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AC50F">
      <w:pPr>
        <w:keepLines w:val="0"/>
        <w:pageBreakBefore w:val="0"/>
        <w:kinsoku/>
        <w:bidi w:val="0"/>
        <w:spacing w:line="360" w:lineRule="auto"/>
        <w:rPr>
          <w:rFonts w:hint="eastAsia" w:ascii="宋体" w:hAnsi="宋体" w:eastAsia="宋体" w:cs="宋体"/>
          <w:b/>
          <w:bCs/>
          <w:color w:val="auto"/>
          <w:sz w:val="28"/>
          <w:szCs w:val="28"/>
          <w:highlight w:val="none"/>
        </w:rPr>
      </w:pPr>
    </w:p>
    <w:p w14:paraId="51F42281">
      <w:pPr>
        <w:keepLines w:val="0"/>
        <w:pageBreakBefore w:val="0"/>
        <w:kinsoku/>
        <w:bidi w:val="0"/>
        <w:spacing w:line="360" w:lineRule="auto"/>
        <w:rPr>
          <w:rFonts w:hint="eastAsia" w:ascii="宋体" w:hAnsi="宋体" w:eastAsia="宋体" w:cs="宋体"/>
          <w:b/>
          <w:bCs/>
          <w:color w:val="auto"/>
          <w:sz w:val="28"/>
          <w:szCs w:val="28"/>
          <w:highlight w:val="none"/>
        </w:rPr>
      </w:pPr>
    </w:p>
    <w:p w14:paraId="5FDD4B59">
      <w:pPr>
        <w:keepLines w:val="0"/>
        <w:pageBreakBefore w:val="0"/>
        <w:kinsoku/>
        <w:bidi w:val="0"/>
        <w:spacing w:line="360" w:lineRule="auto"/>
        <w:rPr>
          <w:rFonts w:hint="default" w:ascii="宋体" w:hAnsi="宋体" w:eastAsia="宋体" w:cs="宋体"/>
          <w:b/>
          <w:color w:val="auto"/>
          <w:sz w:val="28"/>
          <w:szCs w:val="28"/>
          <w:highlight w:val="none"/>
          <w:lang w:val="en-US" w:eastAsia="zh-CN"/>
        </w:rPr>
      </w:pPr>
      <w:r>
        <w:rPr>
          <w:rFonts w:hint="eastAsia" w:ascii="宋体" w:hAnsi="宋体" w:eastAsia="宋体" w:cs="宋体"/>
          <w:b/>
          <w:bCs/>
          <w:color w:val="auto"/>
          <w:sz w:val="28"/>
          <w:szCs w:val="28"/>
          <w:highlight w:val="none"/>
        </w:rPr>
        <w:t>项目编号：</w:t>
      </w:r>
      <w:r>
        <w:rPr>
          <w:rFonts w:hint="eastAsia" w:ascii="宋体" w:hAnsi="宋体" w:cs="宋体"/>
          <w:b/>
          <w:bCs/>
          <w:color w:val="auto"/>
          <w:sz w:val="28"/>
          <w:szCs w:val="28"/>
          <w:highlight w:val="none"/>
          <w:lang w:eastAsia="zh-CN"/>
        </w:rPr>
        <w:t>ZFCG-泾阳县-2025-00014</w:t>
      </w:r>
    </w:p>
    <w:p w14:paraId="369F47EE">
      <w:pPr>
        <w:pStyle w:val="5"/>
        <w:keepLines w:val="0"/>
        <w:pageBreakBefore w:val="0"/>
        <w:kinsoku/>
        <w:bidi w:val="0"/>
        <w:spacing w:line="360" w:lineRule="auto"/>
        <w:jc w:val="both"/>
        <w:rPr>
          <w:rFonts w:hint="eastAsia" w:ascii="宋体" w:hAnsi="宋体" w:eastAsia="宋体" w:cs="宋体"/>
          <w:color w:val="auto"/>
          <w:highlight w:val="none"/>
        </w:rPr>
      </w:pPr>
    </w:p>
    <w:p w14:paraId="0A6B0135">
      <w:pPr>
        <w:keepLines w:val="0"/>
        <w:pageBreakBefore w:val="0"/>
        <w:kinsoku/>
        <w:bidi w:val="0"/>
        <w:spacing w:line="360" w:lineRule="auto"/>
        <w:rPr>
          <w:rFonts w:hint="eastAsia" w:ascii="宋体" w:hAnsi="宋体" w:eastAsia="宋体" w:cs="宋体"/>
          <w:color w:val="auto"/>
          <w:highlight w:val="none"/>
        </w:rPr>
      </w:pPr>
    </w:p>
    <w:p w14:paraId="4D6605C1">
      <w:pPr>
        <w:pStyle w:val="48"/>
        <w:keepLines w:val="0"/>
        <w:pageBreakBefore w:val="0"/>
        <w:kinsoku/>
        <w:bidi w:val="0"/>
        <w:spacing w:line="360" w:lineRule="auto"/>
        <w:rPr>
          <w:rFonts w:hint="eastAsia" w:ascii="宋体" w:hAnsi="宋体" w:eastAsia="宋体" w:cs="宋体"/>
          <w:color w:val="auto"/>
          <w:highlight w:val="none"/>
        </w:rPr>
      </w:pPr>
    </w:p>
    <w:p w14:paraId="44600871">
      <w:pPr>
        <w:keepLines w:val="0"/>
        <w:pageBreakBefore w:val="0"/>
        <w:kinsoku/>
        <w:bidi w:val="0"/>
        <w:spacing w:line="360" w:lineRule="auto"/>
        <w:jc w:val="center"/>
        <w:rPr>
          <w:rFonts w:hint="eastAsia" w:ascii="宋体" w:hAnsi="宋体" w:eastAsia="宋体" w:cs="宋体"/>
          <w:b/>
          <w:bCs/>
          <w:color w:val="auto"/>
          <w:sz w:val="52"/>
          <w:szCs w:val="52"/>
          <w:highlight w:val="none"/>
          <w:lang w:eastAsia="zh-CN"/>
        </w:rPr>
      </w:pPr>
      <w:r>
        <w:rPr>
          <w:rFonts w:hint="eastAsia" w:ascii="宋体" w:hAnsi="宋体" w:cs="宋体"/>
          <w:b/>
          <w:bCs/>
          <w:color w:val="auto"/>
          <w:sz w:val="52"/>
          <w:szCs w:val="52"/>
          <w:highlight w:val="none"/>
          <w:lang w:eastAsia="zh-CN"/>
        </w:rPr>
        <w:t>泾阳县人民政府会议室改造项目</w:t>
      </w:r>
    </w:p>
    <w:p w14:paraId="0967B779">
      <w:pPr>
        <w:pStyle w:val="36"/>
        <w:ind w:left="0" w:leftChars="0" w:firstLine="0" w:firstLineChars="0"/>
        <w:rPr>
          <w:rFonts w:hint="eastAsia" w:ascii="宋体" w:hAnsi="宋体" w:eastAsia="宋体" w:cs="宋体"/>
          <w:color w:val="auto"/>
          <w:highlight w:val="none"/>
          <w:lang w:eastAsia="zh-CN"/>
        </w:rPr>
      </w:pPr>
    </w:p>
    <w:p w14:paraId="5E904587">
      <w:pPr>
        <w:pStyle w:val="35"/>
        <w:ind w:left="0" w:leftChars="0" w:firstLine="0" w:firstLineChars="0"/>
        <w:rPr>
          <w:rFonts w:hint="eastAsia" w:ascii="宋体" w:hAnsi="宋体" w:eastAsia="宋体" w:cs="宋体"/>
          <w:color w:val="auto"/>
          <w:highlight w:val="none"/>
          <w:lang w:eastAsia="zh-CN"/>
        </w:rPr>
      </w:pPr>
    </w:p>
    <w:p w14:paraId="49977722">
      <w:pPr>
        <w:rPr>
          <w:rFonts w:hint="eastAsia" w:ascii="宋体" w:hAnsi="宋体" w:eastAsia="宋体" w:cs="宋体"/>
          <w:color w:val="auto"/>
          <w:highlight w:val="none"/>
        </w:rPr>
      </w:pPr>
    </w:p>
    <w:p w14:paraId="37CCE62E">
      <w:pPr>
        <w:rPr>
          <w:rFonts w:hint="eastAsia" w:ascii="宋体" w:hAnsi="宋体" w:eastAsia="宋体" w:cs="宋体"/>
          <w:color w:val="auto"/>
          <w:highlight w:val="none"/>
        </w:rPr>
      </w:pPr>
    </w:p>
    <w:p w14:paraId="0E98B81F">
      <w:pPr>
        <w:rPr>
          <w:rFonts w:hint="eastAsia" w:ascii="宋体" w:hAnsi="宋体" w:eastAsia="宋体" w:cs="宋体"/>
          <w:color w:val="auto"/>
          <w:highlight w:val="none"/>
        </w:rPr>
      </w:pPr>
    </w:p>
    <w:p w14:paraId="62DB1CA5">
      <w:pPr>
        <w:keepLines w:val="0"/>
        <w:pageBreakBefore w:val="0"/>
        <w:kinsoku/>
        <w:bidi w:val="0"/>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竞争性磋商文件</w:t>
      </w:r>
    </w:p>
    <w:p w14:paraId="2930F9B9">
      <w:pPr>
        <w:keepLines w:val="0"/>
        <w:pageBreakBefore w:val="0"/>
        <w:tabs>
          <w:tab w:val="left" w:pos="5670"/>
        </w:tabs>
        <w:kinsoku/>
        <w:autoSpaceDE w:val="0"/>
        <w:autoSpaceDN w:val="0"/>
        <w:bidi w:val="0"/>
        <w:adjustRightInd w:val="0"/>
        <w:snapToGrid w:val="0"/>
        <w:spacing w:line="360" w:lineRule="auto"/>
        <w:jc w:val="center"/>
        <w:rPr>
          <w:rFonts w:hint="eastAsia" w:ascii="宋体" w:hAnsi="宋体" w:eastAsia="宋体" w:cs="宋体"/>
          <w:color w:val="auto"/>
          <w:sz w:val="28"/>
          <w:szCs w:val="28"/>
          <w:highlight w:val="none"/>
        </w:rPr>
      </w:pPr>
    </w:p>
    <w:p w14:paraId="597691F0">
      <w:pPr>
        <w:pStyle w:val="16"/>
        <w:keepLines w:val="0"/>
        <w:pageBreakBefore w:val="0"/>
        <w:kinsoku/>
        <w:bidi w:val="0"/>
        <w:spacing w:line="360" w:lineRule="auto"/>
        <w:rPr>
          <w:rFonts w:hint="eastAsia" w:ascii="宋体" w:hAnsi="宋体" w:eastAsia="宋体" w:cs="宋体"/>
          <w:color w:val="auto"/>
          <w:sz w:val="28"/>
          <w:szCs w:val="28"/>
          <w:highlight w:val="none"/>
        </w:rPr>
      </w:pPr>
    </w:p>
    <w:p w14:paraId="308C8FDE">
      <w:pPr>
        <w:rPr>
          <w:rFonts w:hint="eastAsia" w:ascii="宋体" w:hAnsi="宋体" w:eastAsia="宋体" w:cs="宋体"/>
          <w:color w:val="auto"/>
          <w:sz w:val="28"/>
          <w:szCs w:val="28"/>
          <w:highlight w:val="none"/>
        </w:rPr>
      </w:pPr>
    </w:p>
    <w:p w14:paraId="0086228B">
      <w:pPr>
        <w:rPr>
          <w:rFonts w:hint="eastAsia" w:ascii="宋体" w:hAnsi="宋体" w:eastAsia="宋体" w:cs="宋体"/>
          <w:color w:val="auto"/>
          <w:sz w:val="28"/>
          <w:szCs w:val="28"/>
          <w:highlight w:val="none"/>
        </w:rPr>
      </w:pPr>
    </w:p>
    <w:p w14:paraId="1FFF0E3F">
      <w:pPr>
        <w:keepLines w:val="0"/>
        <w:pageBreakBefore w:val="0"/>
        <w:kinsoku/>
        <w:bidi w:val="0"/>
        <w:spacing w:line="360" w:lineRule="auto"/>
        <w:rPr>
          <w:rFonts w:hint="eastAsia" w:ascii="宋体" w:hAnsi="宋体" w:eastAsia="宋体" w:cs="宋体"/>
          <w:b/>
          <w:color w:val="auto"/>
          <w:sz w:val="36"/>
          <w:szCs w:val="36"/>
          <w:highlight w:val="none"/>
        </w:rPr>
      </w:pPr>
    </w:p>
    <w:p w14:paraId="6632F755">
      <w:pPr>
        <w:keepNext w:val="0"/>
        <w:keepLines w:val="0"/>
        <w:pageBreakBefore w:val="0"/>
        <w:widowControl w:val="0"/>
        <w:kinsoku/>
        <w:wordWrap/>
        <w:overflowPunct/>
        <w:topLinePunct w:val="0"/>
        <w:bidi w:val="0"/>
        <w:spacing w:line="360" w:lineRule="auto"/>
        <w:ind w:firstLine="1084" w:firstLineChars="300"/>
        <w:textAlignment w:val="auto"/>
        <w:rPr>
          <w:rFonts w:hint="eastAsia" w:ascii="宋体" w:hAnsi="宋体" w:cs="宋体"/>
          <w:b/>
          <w:color w:val="auto"/>
          <w:sz w:val="36"/>
          <w:szCs w:val="36"/>
          <w:highlight w:val="none"/>
          <w:lang w:eastAsia="zh-CN"/>
        </w:rPr>
      </w:pPr>
      <w:r>
        <w:rPr>
          <w:rFonts w:hint="eastAsia" w:ascii="宋体" w:hAnsi="宋体" w:eastAsia="宋体" w:cs="宋体"/>
          <w:b/>
          <w:color w:val="auto"/>
          <w:sz w:val="36"/>
          <w:szCs w:val="36"/>
          <w:highlight w:val="none"/>
        </w:rPr>
        <w:t>采购人：</w:t>
      </w:r>
      <w:r>
        <w:rPr>
          <w:rFonts w:hint="eastAsia" w:ascii="宋体" w:hAnsi="宋体" w:cs="宋体"/>
          <w:b/>
          <w:color w:val="auto"/>
          <w:sz w:val="36"/>
          <w:szCs w:val="36"/>
          <w:highlight w:val="none"/>
          <w:lang w:eastAsia="zh-CN"/>
        </w:rPr>
        <w:t>泾阳县人民政府办公室</w:t>
      </w:r>
    </w:p>
    <w:p w14:paraId="3A97C649">
      <w:pPr>
        <w:keepNext w:val="0"/>
        <w:keepLines w:val="0"/>
        <w:pageBreakBefore w:val="0"/>
        <w:widowControl w:val="0"/>
        <w:kinsoku/>
        <w:wordWrap/>
        <w:overflowPunct/>
        <w:topLinePunct w:val="0"/>
        <w:bidi w:val="0"/>
        <w:spacing w:line="360" w:lineRule="auto"/>
        <w:ind w:firstLine="1084" w:firstLineChars="300"/>
        <w:textAlignment w:val="auto"/>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rPr>
        <w:t>采购代理机构：</w:t>
      </w:r>
      <w:r>
        <w:rPr>
          <w:rFonts w:hint="eastAsia" w:ascii="宋体" w:hAnsi="宋体" w:cs="宋体"/>
          <w:b/>
          <w:color w:val="auto"/>
          <w:sz w:val="36"/>
          <w:szCs w:val="36"/>
          <w:highlight w:val="none"/>
          <w:lang w:eastAsia="zh-CN"/>
        </w:rPr>
        <w:t>泾阳县政府采购中心</w:t>
      </w:r>
    </w:p>
    <w:p w14:paraId="3851B19F">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sz w:val="36"/>
          <w:szCs w:val="36"/>
          <w:highlight w:val="none"/>
          <w:lang w:val="zh-CN"/>
        </w:rPr>
      </w:pPr>
      <w:r>
        <w:rPr>
          <w:rFonts w:hint="eastAsia" w:ascii="宋体" w:hAnsi="宋体" w:eastAsia="宋体" w:cs="宋体"/>
          <w:b/>
          <w:color w:val="auto"/>
          <w:sz w:val="36"/>
          <w:szCs w:val="36"/>
          <w:highlight w:val="none"/>
        </w:rPr>
        <w:t>二〇二</w:t>
      </w:r>
      <w:r>
        <w:rPr>
          <w:rFonts w:hint="eastAsia" w:ascii="宋体" w:hAnsi="宋体" w:cs="宋体"/>
          <w:b/>
          <w:color w:val="auto"/>
          <w:sz w:val="36"/>
          <w:szCs w:val="36"/>
          <w:highlight w:val="none"/>
          <w:lang w:val="en-US" w:eastAsia="zh-CN"/>
        </w:rPr>
        <w:t>五</w:t>
      </w:r>
      <w:r>
        <w:rPr>
          <w:rFonts w:hint="eastAsia" w:ascii="宋体" w:hAnsi="宋体" w:eastAsia="宋体" w:cs="宋体"/>
          <w:b/>
          <w:color w:val="auto"/>
          <w:sz w:val="36"/>
          <w:szCs w:val="36"/>
          <w:highlight w:val="none"/>
        </w:rPr>
        <w:t>年</w:t>
      </w:r>
      <w:r>
        <w:rPr>
          <w:rFonts w:hint="eastAsia" w:ascii="宋体" w:hAnsi="宋体" w:cs="宋体"/>
          <w:b/>
          <w:color w:val="auto"/>
          <w:sz w:val="36"/>
          <w:szCs w:val="36"/>
          <w:highlight w:val="none"/>
          <w:lang w:val="en-US" w:eastAsia="zh-CN"/>
        </w:rPr>
        <w:t>九</w:t>
      </w:r>
      <w:r>
        <w:rPr>
          <w:rFonts w:hint="eastAsia" w:ascii="宋体" w:hAnsi="宋体" w:eastAsia="宋体" w:cs="宋体"/>
          <w:b/>
          <w:color w:val="auto"/>
          <w:sz w:val="36"/>
          <w:szCs w:val="36"/>
          <w:highlight w:val="none"/>
        </w:rPr>
        <w:t>月</w:t>
      </w:r>
    </w:p>
    <w:p w14:paraId="3A10FBA6">
      <w:pPr>
        <w:keepLines w:val="0"/>
        <w:pageBreakBefore w:val="0"/>
        <w:kinsoku/>
        <w:autoSpaceDE w:val="0"/>
        <w:autoSpaceDN w:val="0"/>
        <w:bidi w:val="0"/>
        <w:adjustRightInd w:val="0"/>
        <w:snapToGrid w:val="0"/>
        <w:spacing w:line="360" w:lineRule="auto"/>
        <w:jc w:val="center"/>
        <w:rPr>
          <w:rFonts w:hint="eastAsia" w:ascii="宋体" w:hAnsi="宋体" w:eastAsia="宋体" w:cs="宋体"/>
          <w:b/>
          <w:bCs/>
          <w:color w:val="auto"/>
          <w:sz w:val="28"/>
          <w:szCs w:val="28"/>
          <w:highlight w:val="none"/>
          <w:lang w:val="zh-CN"/>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pgBorders>
            <w:top w:val="none" w:sz="0" w:space="0"/>
            <w:left w:val="none" w:sz="0" w:space="0"/>
            <w:bottom w:val="none" w:sz="0" w:space="0"/>
            <w:right w:val="none" w:sz="0" w:space="0"/>
          </w:pgBorders>
          <w:pgNumType w:start="0"/>
          <w:cols w:space="425" w:num="1"/>
          <w:titlePg/>
          <w:docGrid w:linePitch="312" w:charSpace="0"/>
        </w:sectPr>
      </w:pPr>
    </w:p>
    <w:p w14:paraId="37F36B1D">
      <w:pPr>
        <w:keepLines w:val="0"/>
        <w:pageBreakBefore w:val="0"/>
        <w:kinsoku/>
        <w:autoSpaceDE w:val="0"/>
        <w:autoSpaceDN w:val="0"/>
        <w:bidi w:val="0"/>
        <w:adjustRightInd w:val="0"/>
        <w:snapToGrid w:val="0"/>
        <w:spacing w:line="360" w:lineRule="auto"/>
        <w:jc w:val="center"/>
        <w:rPr>
          <w:rFonts w:hint="eastAsia" w:ascii="宋体" w:hAnsi="宋体" w:eastAsia="宋体" w:cs="宋体"/>
          <w:b/>
          <w:bCs/>
          <w:color w:val="auto"/>
          <w:sz w:val="32"/>
          <w:szCs w:val="32"/>
          <w:highlight w:val="none"/>
          <w:lang w:val="zh-CN"/>
        </w:rPr>
      </w:pPr>
      <w:r>
        <w:rPr>
          <w:rFonts w:hint="eastAsia" w:ascii="宋体" w:hAnsi="宋体"/>
          <w:b/>
          <w:bCs/>
          <w:sz w:val="30"/>
          <w:szCs w:val="30"/>
          <w:highlight w:val="none"/>
        </w:rPr>
        <w:t>特别提示</w:t>
      </w:r>
    </w:p>
    <w:p w14:paraId="298523A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各供应商，在此我们特别提醒您注意以下事项：</w:t>
      </w:r>
    </w:p>
    <w:p w14:paraId="01CD3B51">
      <w:pPr>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1、本项目采用电子化投标及远程不见面开启方式。供应商须使用数字认证证书（CA 锁）对电子响应文件进行签章、加密、递交及开启时解密等相关招投标事宜。开标前，供应商需登录网络开标大厅。开启时，按照工作人员要求进行远程解密，如因供应商自身原因造成无法在规定时间内解密响应文件的，按无效响应对待。</w:t>
      </w:r>
    </w:p>
    <w:p w14:paraId="636DF0AA">
      <w:pPr>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2、制作电子响应文件。供应商须在“全国公共资源交易中心平台（陕西省）（http://www.sxggzyjy.cn/）”的“服务指南”栏目“下载专区”中，免费下载“陕西省公共资源交易平台政府采购电子标书制作工具”，并升级至最新版本，使用该客户端制作电子响应文件，制作扩展名为“.SXSTF”的电子响应文件。”</w:t>
      </w:r>
    </w:p>
    <w:p w14:paraId="6064EC8B">
      <w:pPr>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3、递交电子响应文件。登录全国公共资源交易平台（陕西省˙</w:t>
      </w:r>
      <w:r>
        <w:rPr>
          <w:rFonts w:hint="eastAsia" w:ascii="宋体" w:hAnsi="宋体" w:cs="宋体"/>
          <w:sz w:val="24"/>
          <w:szCs w:val="24"/>
          <w:highlight w:val="none"/>
          <w:lang w:val="en-US" w:eastAsia="zh-CN"/>
        </w:rPr>
        <w:t>咸阳市</w:t>
      </w:r>
      <w:r>
        <w:rPr>
          <w:rFonts w:hint="eastAsia" w:ascii="宋体" w:hAnsi="宋体" w:eastAsia="宋体" w:cs="宋体"/>
          <w:sz w:val="24"/>
          <w:szCs w:val="24"/>
          <w:highlight w:val="none"/>
        </w:rPr>
        <w:t>），选择“电子交易平台—陕西政府采购交易系统—企业端”进行登录，登录后选择“交易乙方”身份进入，进入菜单“采购业务—我的项目——项目流程——上传响应文件”，上传加密的电子响应文件。上传成功后，电子化平台将予以记录。</w:t>
      </w:r>
    </w:p>
    <w:p w14:paraId="26887DC2">
      <w:pPr>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4、供应商需在开启前最少一个小时登录全国公共资源交易平台（陕西省˙</w:t>
      </w:r>
      <w:r>
        <w:rPr>
          <w:rFonts w:hint="eastAsia" w:ascii="宋体" w:hAnsi="宋体" w:cs="宋体"/>
          <w:sz w:val="24"/>
          <w:szCs w:val="24"/>
          <w:highlight w:val="none"/>
          <w:lang w:val="en-US" w:eastAsia="zh-CN"/>
        </w:rPr>
        <w:t>咸阳市</w:t>
      </w:r>
      <w:r>
        <w:rPr>
          <w:rFonts w:hint="eastAsia" w:ascii="宋体" w:hAnsi="宋体" w:eastAsia="宋体" w:cs="宋体"/>
          <w:sz w:val="24"/>
          <w:szCs w:val="24"/>
          <w:highlight w:val="none"/>
        </w:rPr>
        <w:t>）-电子交易平台-</w:t>
      </w:r>
      <w:r>
        <w:rPr>
          <w:rFonts w:hint="eastAsia" w:ascii="宋体" w:hAnsi="宋体" w:cs="宋体"/>
          <w:sz w:val="24"/>
          <w:szCs w:val="24"/>
          <w:highlight w:val="none"/>
          <w:lang w:val="en-US" w:eastAsia="zh-CN"/>
        </w:rPr>
        <w:t>咸阳市</w:t>
      </w:r>
      <w:r>
        <w:rPr>
          <w:rFonts w:hint="eastAsia" w:ascii="宋体" w:hAnsi="宋体" w:eastAsia="宋体" w:cs="宋体"/>
          <w:sz w:val="24"/>
          <w:szCs w:val="24"/>
          <w:highlight w:val="none"/>
        </w:rPr>
        <w:t>公共资源交易平台不见面开标系统自行调试，并按照工作人员要求进行响应文件解密，远程观看开启直播。</w:t>
      </w:r>
    </w:p>
    <w:p w14:paraId="6F81E63E">
      <w:pPr>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5、评审过程中，磋商小组要求供应商提交多轮（最后）磋商报价时，供应商须登录全国公共资源交易平台（陕西省˙</w:t>
      </w:r>
      <w:r>
        <w:rPr>
          <w:rFonts w:hint="eastAsia" w:ascii="宋体" w:hAnsi="宋体" w:cs="宋体"/>
          <w:sz w:val="24"/>
          <w:szCs w:val="24"/>
          <w:highlight w:val="none"/>
          <w:lang w:val="en-US" w:eastAsia="zh-CN"/>
        </w:rPr>
        <w:t>咸阳市</w:t>
      </w:r>
      <w:r>
        <w:rPr>
          <w:rFonts w:hint="eastAsia" w:ascii="宋体" w:hAnsi="宋体" w:eastAsia="宋体" w:cs="宋体"/>
          <w:sz w:val="24"/>
          <w:szCs w:val="24"/>
          <w:highlight w:val="none"/>
        </w:rPr>
        <w:t>）在交易系统中提交多轮（最后）报价，并用数字认证证书（CA 锁）签章。</w:t>
      </w:r>
    </w:p>
    <w:p w14:paraId="1F9F95FE">
      <w:pPr>
        <w:spacing w:line="360" w:lineRule="auto"/>
        <w:ind w:firstLine="470" w:firstLineChars="196"/>
        <w:rPr>
          <w:rFonts w:hint="eastAsia" w:ascii="宋体" w:hAnsi="宋体" w:eastAsia="宋体" w:cs="宋体"/>
          <w:sz w:val="24"/>
          <w:szCs w:val="24"/>
          <w:highlight w:val="none"/>
        </w:rPr>
      </w:pPr>
      <w:r>
        <w:rPr>
          <w:rFonts w:hint="eastAsia" w:ascii="宋体" w:hAnsi="宋体" w:cs="宋体"/>
          <w:b w:val="0"/>
          <w:bCs w:val="0"/>
          <w:sz w:val="24"/>
          <w:szCs w:val="24"/>
          <w:highlight w:val="none"/>
          <w:lang w:val="en-US" w:eastAsia="zh-CN"/>
        </w:rPr>
        <w:t>6、</w:t>
      </w:r>
      <w:r>
        <w:rPr>
          <w:rFonts w:hint="eastAsia" w:ascii="宋体" w:hAnsi="宋体" w:eastAsia="宋体" w:cs="宋体"/>
          <w:sz w:val="24"/>
          <w:szCs w:val="24"/>
          <w:highlight w:val="none"/>
        </w:rPr>
        <w:t>根据陕西省财政厅关于政府采购供应商注册登记有关事项的通知，如所投本项目的供应商未在陕西省政府采购网（http://www.ccgp-shaanxi.gov.cn/）注册登记加入陕西省政府采购供应商库的，应按要求及时办理注册登记，并接受财政部门监督管理。请各供应商仔细阅读上述提示。如需帮助，请您与我们的工作人员联系，我们将非常高兴地为您服务。</w:t>
      </w:r>
    </w:p>
    <w:p w14:paraId="616F2D90">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关于线上操作流程：</w:t>
      </w:r>
    </w:p>
    <w:p w14:paraId="5B748320">
      <w:pPr>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 xml:space="preserve">供应商初次使用交易平台，须先完成诚信入库登记、CA 锁认证及企业信息绑定。相关操作流程详见全国政府采购平台（陕西省）网站〖首页·〉服务指南·〉下载专区〗中的《陕西省公共资源交易中心政府采购项目投标指南》。CA 锁办理地址及咨询 电话如下：西安市长安北路 14 号省体育公寓 B 座一楼 咨询电话：029-88661241。 </w:t>
      </w:r>
    </w:p>
    <w:p w14:paraId="162B658F">
      <w:pPr>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2、网上报名。在陕西省</w:t>
      </w:r>
      <w:r>
        <w:rPr>
          <w:rFonts w:hint="eastAsia" w:ascii="宋体" w:hAnsi="宋体" w:eastAsia="宋体" w:cs="宋体"/>
          <w:sz w:val="24"/>
          <w:szCs w:val="24"/>
          <w:highlight w:val="none"/>
          <w:lang w:val="en-US" w:eastAsia="zh-CN"/>
        </w:rPr>
        <w:t>咸阳市</w:t>
      </w:r>
      <w:r>
        <w:rPr>
          <w:rFonts w:hint="eastAsia" w:ascii="宋体" w:hAnsi="宋体" w:eastAsia="宋体" w:cs="宋体"/>
          <w:sz w:val="24"/>
          <w:szCs w:val="24"/>
          <w:highlight w:val="none"/>
        </w:rPr>
        <w:t>公共资源交易中心平台（http://</w:t>
      </w:r>
      <w:r>
        <w:rPr>
          <w:rFonts w:hint="eastAsia" w:ascii="宋体" w:hAnsi="宋体" w:eastAsia="宋体" w:cs="宋体"/>
          <w:sz w:val="24"/>
          <w:szCs w:val="24"/>
          <w:highlight w:val="none"/>
          <w:lang w:val="en-US" w:eastAsia="zh-CN"/>
        </w:rPr>
        <w:t>xy</w:t>
      </w:r>
      <w:r>
        <w:rPr>
          <w:rFonts w:hint="eastAsia" w:ascii="宋体" w:hAnsi="宋体" w:eastAsia="宋体" w:cs="宋体"/>
          <w:sz w:val="24"/>
          <w:szCs w:val="24"/>
          <w:highlight w:val="none"/>
        </w:rPr>
        <w:t>.sxggzyjy.cn/）报名；</w:t>
      </w:r>
    </w:p>
    <w:p w14:paraId="0C9DABF8">
      <w:pPr>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3、下载竞争性磋商文件。供应商在报名确认后登陆陕西省</w:t>
      </w:r>
      <w:r>
        <w:rPr>
          <w:rFonts w:hint="eastAsia" w:ascii="宋体" w:hAnsi="宋体" w:cs="宋体"/>
          <w:sz w:val="24"/>
          <w:szCs w:val="24"/>
          <w:highlight w:val="none"/>
          <w:lang w:val="en-US" w:eastAsia="zh-CN"/>
        </w:rPr>
        <w:t>咸阳市</w:t>
      </w:r>
      <w:r>
        <w:rPr>
          <w:rFonts w:hint="eastAsia" w:ascii="宋体" w:hAnsi="宋体" w:eastAsia="宋体" w:cs="宋体"/>
          <w:sz w:val="24"/>
          <w:szCs w:val="24"/>
          <w:highlight w:val="none"/>
        </w:rPr>
        <w:t>公共资源交易中心平台（http://</w:t>
      </w:r>
      <w:r>
        <w:rPr>
          <w:rFonts w:hint="eastAsia" w:ascii="宋体" w:hAnsi="宋体" w:cs="宋体"/>
          <w:sz w:val="24"/>
          <w:szCs w:val="24"/>
          <w:highlight w:val="none"/>
          <w:lang w:val="en-US" w:eastAsia="zh-CN"/>
        </w:rPr>
        <w:t>xy</w:t>
      </w:r>
      <w:r>
        <w:rPr>
          <w:rFonts w:hint="eastAsia" w:ascii="宋体" w:hAnsi="宋体" w:eastAsia="宋体" w:cs="宋体"/>
          <w:sz w:val="24"/>
          <w:szCs w:val="24"/>
          <w:highlight w:val="none"/>
        </w:rPr>
        <w:t>.sxggzyjy.cn/）下载竞争性磋商文件；</w:t>
      </w:r>
    </w:p>
    <w:p w14:paraId="0C611D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4、下载编标工具，编辑竞争性磋商响应文件，并在规定时限之前上传竞争性磋商响应文件。</w:t>
      </w:r>
    </w:p>
    <w:p w14:paraId="20D745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请各供应商仔细阅读上述提示。如需帮助，请您与我们的工作人员联系，我们将非常高兴为您服务。</w:t>
      </w:r>
    </w:p>
    <w:p w14:paraId="256B011D">
      <w:pPr>
        <w:keepLines w:val="0"/>
        <w:pageBreakBefore w:val="0"/>
        <w:kinsoku/>
        <w:autoSpaceDE w:val="0"/>
        <w:autoSpaceDN w:val="0"/>
        <w:bidi w:val="0"/>
        <w:adjustRightInd w:val="0"/>
        <w:snapToGrid w:val="0"/>
        <w:spacing w:line="360" w:lineRule="auto"/>
        <w:jc w:val="center"/>
        <w:rPr>
          <w:rFonts w:hint="eastAsia" w:ascii="宋体" w:hAnsi="宋体" w:eastAsia="宋体" w:cs="宋体"/>
          <w:b/>
          <w:bCs/>
          <w:color w:val="auto"/>
          <w:sz w:val="32"/>
          <w:szCs w:val="32"/>
          <w:highlight w:val="none"/>
          <w:lang w:val="zh-CN"/>
        </w:rPr>
      </w:pPr>
    </w:p>
    <w:p w14:paraId="7E9D444B">
      <w:pPr>
        <w:keepLines w:val="0"/>
        <w:pageBreakBefore w:val="0"/>
        <w:kinsoku/>
        <w:autoSpaceDE w:val="0"/>
        <w:autoSpaceDN w:val="0"/>
        <w:bidi w:val="0"/>
        <w:adjustRightInd w:val="0"/>
        <w:snapToGrid w:val="0"/>
        <w:spacing w:line="360" w:lineRule="auto"/>
        <w:jc w:val="center"/>
        <w:rPr>
          <w:rFonts w:hint="eastAsia" w:ascii="宋体" w:hAnsi="宋体" w:eastAsia="宋体" w:cs="宋体"/>
          <w:b/>
          <w:bCs/>
          <w:color w:val="auto"/>
          <w:sz w:val="32"/>
          <w:szCs w:val="32"/>
          <w:highlight w:val="none"/>
          <w:lang w:val="zh-CN"/>
        </w:rPr>
      </w:pPr>
    </w:p>
    <w:p w14:paraId="0A7160D4">
      <w:pPr>
        <w:pStyle w:val="35"/>
        <w:rPr>
          <w:rFonts w:hint="eastAsia" w:ascii="宋体" w:hAnsi="宋体" w:eastAsia="宋体" w:cs="宋体"/>
          <w:b/>
          <w:bCs/>
          <w:color w:val="auto"/>
          <w:sz w:val="32"/>
          <w:szCs w:val="32"/>
          <w:highlight w:val="none"/>
          <w:lang w:val="zh-CN"/>
        </w:rPr>
      </w:pPr>
    </w:p>
    <w:p w14:paraId="12AEA742">
      <w:pPr>
        <w:rPr>
          <w:rFonts w:hint="eastAsia" w:ascii="宋体" w:hAnsi="宋体" w:eastAsia="宋体" w:cs="宋体"/>
          <w:b/>
          <w:bCs/>
          <w:color w:val="auto"/>
          <w:sz w:val="32"/>
          <w:szCs w:val="32"/>
          <w:highlight w:val="none"/>
          <w:lang w:val="zh-CN"/>
        </w:rPr>
      </w:pPr>
    </w:p>
    <w:p w14:paraId="4BFF6CA7">
      <w:pPr>
        <w:pStyle w:val="35"/>
        <w:rPr>
          <w:rFonts w:hint="eastAsia" w:ascii="宋体" w:hAnsi="宋体" w:eastAsia="宋体" w:cs="宋体"/>
          <w:b/>
          <w:bCs/>
          <w:color w:val="auto"/>
          <w:sz w:val="32"/>
          <w:szCs w:val="32"/>
          <w:highlight w:val="none"/>
          <w:lang w:val="zh-CN"/>
        </w:rPr>
      </w:pPr>
    </w:p>
    <w:p w14:paraId="788B1750">
      <w:pPr>
        <w:rPr>
          <w:rFonts w:hint="eastAsia" w:ascii="宋体" w:hAnsi="宋体" w:eastAsia="宋体" w:cs="宋体"/>
          <w:b/>
          <w:bCs/>
          <w:color w:val="auto"/>
          <w:sz w:val="32"/>
          <w:szCs w:val="32"/>
          <w:highlight w:val="none"/>
          <w:lang w:val="zh-CN"/>
        </w:rPr>
      </w:pPr>
    </w:p>
    <w:p w14:paraId="198146C8">
      <w:pPr>
        <w:pStyle w:val="35"/>
        <w:rPr>
          <w:rFonts w:hint="eastAsia" w:ascii="宋体" w:hAnsi="宋体" w:eastAsia="宋体" w:cs="宋体"/>
          <w:b/>
          <w:bCs/>
          <w:color w:val="auto"/>
          <w:sz w:val="32"/>
          <w:szCs w:val="32"/>
          <w:highlight w:val="none"/>
          <w:lang w:val="zh-CN"/>
        </w:rPr>
      </w:pPr>
    </w:p>
    <w:p w14:paraId="37074FFA">
      <w:pPr>
        <w:rPr>
          <w:rFonts w:hint="eastAsia" w:ascii="宋体" w:hAnsi="宋体" w:eastAsia="宋体" w:cs="宋体"/>
          <w:b/>
          <w:bCs/>
          <w:color w:val="auto"/>
          <w:sz w:val="32"/>
          <w:szCs w:val="32"/>
          <w:highlight w:val="none"/>
          <w:lang w:val="zh-CN"/>
        </w:rPr>
      </w:pPr>
    </w:p>
    <w:p w14:paraId="19C9E021">
      <w:pPr>
        <w:pStyle w:val="35"/>
        <w:rPr>
          <w:rFonts w:hint="eastAsia" w:ascii="宋体" w:hAnsi="宋体" w:eastAsia="宋体" w:cs="宋体"/>
          <w:b/>
          <w:bCs/>
          <w:color w:val="auto"/>
          <w:sz w:val="32"/>
          <w:szCs w:val="32"/>
          <w:highlight w:val="none"/>
          <w:lang w:val="zh-CN"/>
        </w:rPr>
      </w:pPr>
    </w:p>
    <w:p w14:paraId="0DF936D6">
      <w:pPr>
        <w:rPr>
          <w:rFonts w:hint="eastAsia" w:ascii="宋体" w:hAnsi="宋体" w:eastAsia="宋体" w:cs="宋体"/>
          <w:b/>
          <w:bCs/>
          <w:color w:val="auto"/>
          <w:sz w:val="32"/>
          <w:szCs w:val="32"/>
          <w:highlight w:val="none"/>
          <w:lang w:val="zh-CN"/>
        </w:rPr>
      </w:pPr>
    </w:p>
    <w:p w14:paraId="136A64DC">
      <w:pPr>
        <w:pStyle w:val="35"/>
        <w:rPr>
          <w:rFonts w:hint="eastAsia" w:ascii="宋体" w:hAnsi="宋体" w:eastAsia="宋体" w:cs="宋体"/>
          <w:b/>
          <w:bCs/>
          <w:color w:val="auto"/>
          <w:sz w:val="32"/>
          <w:szCs w:val="32"/>
          <w:highlight w:val="none"/>
          <w:lang w:val="zh-CN"/>
        </w:rPr>
      </w:pPr>
    </w:p>
    <w:p w14:paraId="09096397">
      <w:pPr>
        <w:rPr>
          <w:rFonts w:hint="eastAsia" w:ascii="宋体" w:hAnsi="宋体" w:eastAsia="宋体" w:cs="宋体"/>
          <w:b/>
          <w:bCs/>
          <w:color w:val="auto"/>
          <w:sz w:val="32"/>
          <w:szCs w:val="32"/>
          <w:highlight w:val="none"/>
          <w:lang w:val="zh-CN"/>
        </w:rPr>
      </w:pPr>
    </w:p>
    <w:p w14:paraId="18F5482A">
      <w:pPr>
        <w:pStyle w:val="35"/>
        <w:rPr>
          <w:rFonts w:hint="eastAsia" w:ascii="宋体" w:hAnsi="宋体" w:eastAsia="宋体" w:cs="宋体"/>
          <w:b/>
          <w:bCs/>
          <w:color w:val="auto"/>
          <w:sz w:val="32"/>
          <w:szCs w:val="32"/>
          <w:highlight w:val="none"/>
          <w:lang w:val="zh-CN"/>
        </w:rPr>
      </w:pPr>
    </w:p>
    <w:p w14:paraId="3460EF0C">
      <w:pPr>
        <w:rPr>
          <w:rFonts w:hint="eastAsia" w:ascii="宋体" w:hAnsi="宋体" w:eastAsia="宋体" w:cs="宋体"/>
          <w:b/>
          <w:bCs/>
          <w:color w:val="auto"/>
          <w:sz w:val="32"/>
          <w:szCs w:val="32"/>
          <w:highlight w:val="none"/>
          <w:lang w:val="zh-CN"/>
        </w:rPr>
      </w:pPr>
    </w:p>
    <w:p w14:paraId="01DBDA05">
      <w:pPr>
        <w:pStyle w:val="35"/>
        <w:rPr>
          <w:rFonts w:hint="eastAsia" w:ascii="宋体" w:hAnsi="宋体" w:eastAsia="宋体" w:cs="宋体"/>
          <w:b/>
          <w:bCs/>
          <w:color w:val="auto"/>
          <w:sz w:val="32"/>
          <w:szCs w:val="32"/>
          <w:highlight w:val="none"/>
          <w:lang w:val="zh-CN"/>
        </w:rPr>
      </w:pPr>
    </w:p>
    <w:p w14:paraId="2E8CB835">
      <w:pPr>
        <w:rPr>
          <w:rFonts w:hint="eastAsia" w:ascii="宋体" w:hAnsi="宋体" w:eastAsia="宋体" w:cs="宋体"/>
          <w:b/>
          <w:bCs/>
          <w:color w:val="auto"/>
          <w:sz w:val="32"/>
          <w:szCs w:val="32"/>
          <w:highlight w:val="none"/>
          <w:lang w:val="zh-CN"/>
        </w:rPr>
      </w:pPr>
    </w:p>
    <w:p w14:paraId="0B1FCBC1">
      <w:pPr>
        <w:pStyle w:val="35"/>
        <w:rPr>
          <w:rFonts w:hint="eastAsia" w:ascii="宋体" w:hAnsi="宋体" w:eastAsia="宋体" w:cs="宋体"/>
          <w:b/>
          <w:bCs/>
          <w:color w:val="auto"/>
          <w:sz w:val="32"/>
          <w:szCs w:val="32"/>
          <w:highlight w:val="none"/>
          <w:lang w:val="zh-CN"/>
        </w:rPr>
      </w:pPr>
    </w:p>
    <w:p w14:paraId="4BA49F14">
      <w:pPr>
        <w:rPr>
          <w:rFonts w:hint="eastAsia" w:ascii="宋体" w:hAnsi="宋体" w:eastAsia="宋体" w:cs="宋体"/>
          <w:b/>
          <w:bCs/>
          <w:color w:val="auto"/>
          <w:sz w:val="32"/>
          <w:szCs w:val="32"/>
          <w:highlight w:val="none"/>
          <w:lang w:val="zh-CN"/>
        </w:rPr>
      </w:pPr>
    </w:p>
    <w:p w14:paraId="34313872">
      <w:pPr>
        <w:pStyle w:val="35"/>
        <w:rPr>
          <w:rFonts w:hint="eastAsia" w:ascii="宋体" w:hAnsi="宋体" w:eastAsia="宋体" w:cs="宋体"/>
          <w:b/>
          <w:bCs/>
          <w:color w:val="auto"/>
          <w:sz w:val="32"/>
          <w:szCs w:val="32"/>
          <w:highlight w:val="none"/>
          <w:lang w:val="zh-CN"/>
        </w:rPr>
      </w:pPr>
    </w:p>
    <w:p w14:paraId="5D8D53FB">
      <w:pPr>
        <w:rPr>
          <w:rFonts w:hint="eastAsia" w:ascii="宋体" w:hAnsi="宋体" w:eastAsia="宋体" w:cs="宋体"/>
          <w:b/>
          <w:bCs/>
          <w:color w:val="auto"/>
          <w:sz w:val="32"/>
          <w:szCs w:val="32"/>
          <w:highlight w:val="none"/>
          <w:lang w:val="zh-CN"/>
        </w:rPr>
      </w:pPr>
    </w:p>
    <w:p w14:paraId="69BFAA5E">
      <w:pPr>
        <w:pStyle w:val="35"/>
        <w:rPr>
          <w:rFonts w:hint="eastAsia"/>
          <w:lang w:val="zh-CN"/>
        </w:rPr>
      </w:pPr>
    </w:p>
    <w:p w14:paraId="350AC1DA">
      <w:pPr>
        <w:pStyle w:val="35"/>
        <w:rPr>
          <w:rFonts w:hint="eastAsia"/>
          <w:lang w:val="zh-CN"/>
        </w:rPr>
      </w:pPr>
    </w:p>
    <w:p w14:paraId="68E8915E">
      <w:pPr>
        <w:keepLines w:val="0"/>
        <w:pageBreakBefore w:val="0"/>
        <w:kinsoku/>
        <w:autoSpaceDE w:val="0"/>
        <w:autoSpaceDN w:val="0"/>
        <w:bidi w:val="0"/>
        <w:adjustRightInd w:val="0"/>
        <w:snapToGrid w:val="0"/>
        <w:spacing w:line="360" w:lineRule="auto"/>
        <w:jc w:val="center"/>
        <w:rPr>
          <w:rFonts w:hint="eastAsia" w:ascii="宋体" w:hAnsi="宋体" w:eastAsia="宋体" w:cs="宋体"/>
          <w:b/>
          <w:bCs/>
          <w:color w:val="auto"/>
          <w:sz w:val="32"/>
          <w:szCs w:val="32"/>
          <w:highlight w:val="none"/>
          <w:lang w:val="zh-CN"/>
        </w:rPr>
      </w:pPr>
    </w:p>
    <w:p w14:paraId="1DDDED84">
      <w:pPr>
        <w:keepLines w:val="0"/>
        <w:pageBreakBefore w:val="0"/>
        <w:kinsoku/>
        <w:autoSpaceDE w:val="0"/>
        <w:autoSpaceDN w:val="0"/>
        <w:bidi w:val="0"/>
        <w:adjustRightInd w:val="0"/>
        <w:snapToGrid w:val="0"/>
        <w:spacing w:line="360" w:lineRule="auto"/>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目录</w:t>
      </w:r>
    </w:p>
    <w:p w14:paraId="6AAE57BF">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b/>
          <w:bCs/>
          <w:color w:val="auto"/>
          <w:sz w:val="28"/>
          <w:szCs w:val="28"/>
          <w:highlight w:val="none"/>
          <w:lang w:val="zh-CN"/>
        </w:rPr>
      </w:pPr>
    </w:p>
    <w:p w14:paraId="18D0C097">
      <w:pPr>
        <w:pStyle w:val="26"/>
        <w:keepNext w:val="0"/>
        <w:keepLines w:val="0"/>
        <w:pageBreakBefore w:val="0"/>
        <w:widowControl w:val="0"/>
        <w:tabs>
          <w:tab w:val="right" w:leader="hyphen" w:pos="9070"/>
          <w:tab w:val="clear" w:pos="9060"/>
        </w:tabs>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TOC \o "1-1" \h \z \u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_Toc4041 </w:instrText>
      </w:r>
      <w:r>
        <w:rPr>
          <w:rFonts w:hint="eastAsia" w:ascii="宋体" w:hAnsi="宋体" w:eastAsia="宋体" w:cs="宋体"/>
          <w:bCs/>
          <w:szCs w:val="24"/>
          <w:highlight w:val="none"/>
        </w:rPr>
        <w:fldChar w:fldCharType="separate"/>
      </w:r>
      <w:r>
        <w:rPr>
          <w:rFonts w:hint="eastAsia" w:ascii="宋体" w:hAnsi="宋体" w:eastAsia="宋体" w:cs="宋体"/>
          <w:bCs/>
          <w:szCs w:val="36"/>
          <w:highlight w:val="none"/>
          <w:lang w:val="zh-CN"/>
        </w:rPr>
        <w:t>第一章</w:t>
      </w:r>
      <w:r>
        <w:rPr>
          <w:rFonts w:hint="eastAsia" w:ascii="宋体" w:hAnsi="宋体" w:eastAsia="宋体" w:cs="宋体"/>
          <w:bCs/>
          <w:szCs w:val="36"/>
          <w:highlight w:val="none"/>
          <w:lang w:val="en-US" w:eastAsia="zh-CN"/>
        </w:rPr>
        <w:t xml:space="preserve"> </w:t>
      </w:r>
      <w:r>
        <w:rPr>
          <w:rFonts w:hint="eastAsia" w:ascii="宋体" w:hAnsi="宋体" w:eastAsia="宋体" w:cs="宋体"/>
          <w:bCs/>
          <w:szCs w:val="36"/>
          <w:highlight w:val="none"/>
          <w:lang w:val="zh-CN"/>
        </w:rPr>
        <w:t>竞争性磋商公告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_Toc4041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bCs/>
          <w:color w:val="auto"/>
          <w:szCs w:val="24"/>
          <w:highlight w:val="none"/>
        </w:rPr>
        <w:fldChar w:fldCharType="end"/>
      </w:r>
    </w:p>
    <w:p w14:paraId="11DE003F">
      <w:pPr>
        <w:pStyle w:val="26"/>
        <w:keepNext w:val="0"/>
        <w:keepLines w:val="0"/>
        <w:pageBreakBefore w:val="0"/>
        <w:widowControl w:val="0"/>
        <w:tabs>
          <w:tab w:val="right" w:leader="hyphen" w:pos="9070"/>
          <w:tab w:val="clear" w:pos="9060"/>
        </w:tabs>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_Toc14736 </w:instrText>
      </w:r>
      <w:r>
        <w:rPr>
          <w:rFonts w:hint="eastAsia" w:ascii="宋体" w:hAnsi="宋体" w:eastAsia="宋体" w:cs="宋体"/>
          <w:bCs/>
          <w:szCs w:val="24"/>
          <w:highlight w:val="none"/>
        </w:rPr>
        <w:fldChar w:fldCharType="separate"/>
      </w:r>
      <w:r>
        <w:rPr>
          <w:rFonts w:hint="eastAsia" w:ascii="宋体" w:hAnsi="宋体" w:eastAsia="宋体" w:cs="宋体"/>
          <w:szCs w:val="36"/>
          <w:highlight w:val="none"/>
          <w:lang w:val="en-US" w:eastAsia="zh-CN"/>
        </w:rPr>
        <w:t xml:space="preserve">第二章 </w:t>
      </w:r>
      <w:r>
        <w:rPr>
          <w:rFonts w:hint="eastAsia" w:ascii="宋体" w:hAnsi="宋体" w:eastAsia="宋体" w:cs="宋体"/>
          <w:szCs w:val="36"/>
          <w:highlight w:val="none"/>
        </w:rPr>
        <w:t>竞争性磋商须知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_Toc14736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bCs/>
          <w:color w:val="auto"/>
          <w:szCs w:val="24"/>
          <w:highlight w:val="none"/>
        </w:rPr>
        <w:fldChar w:fldCharType="end"/>
      </w:r>
    </w:p>
    <w:p w14:paraId="6B27F75E">
      <w:pPr>
        <w:pStyle w:val="26"/>
        <w:keepNext w:val="0"/>
        <w:keepLines w:val="0"/>
        <w:pageBreakBefore w:val="0"/>
        <w:widowControl w:val="0"/>
        <w:tabs>
          <w:tab w:val="right" w:leader="hyphen" w:pos="9070"/>
          <w:tab w:val="clear" w:pos="9060"/>
        </w:tabs>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_Toc27091 </w:instrText>
      </w:r>
      <w:r>
        <w:rPr>
          <w:rFonts w:hint="eastAsia" w:ascii="宋体" w:hAnsi="宋体" w:eastAsia="宋体" w:cs="宋体"/>
          <w:bCs/>
          <w:szCs w:val="24"/>
          <w:highlight w:val="none"/>
        </w:rPr>
        <w:fldChar w:fldCharType="separate"/>
      </w:r>
      <w:r>
        <w:rPr>
          <w:rFonts w:hint="eastAsia" w:ascii="宋体" w:hAnsi="宋体" w:eastAsia="宋体" w:cs="宋体"/>
          <w:szCs w:val="36"/>
          <w:highlight w:val="none"/>
          <w:lang w:val="en-US" w:eastAsia="zh-CN"/>
        </w:rPr>
        <w:t xml:space="preserve">第三章 </w:t>
      </w:r>
      <w:r>
        <w:rPr>
          <w:rFonts w:hint="eastAsia" w:ascii="宋体" w:hAnsi="宋体" w:eastAsia="宋体" w:cs="宋体"/>
          <w:szCs w:val="36"/>
          <w:highlight w:val="none"/>
          <w:lang w:val="zh-CN" w:eastAsia="zh-CN"/>
        </w:rPr>
        <w:t>供应商须知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_Toc27091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bCs/>
          <w:color w:val="auto"/>
          <w:szCs w:val="24"/>
          <w:highlight w:val="none"/>
        </w:rPr>
        <w:fldChar w:fldCharType="end"/>
      </w:r>
    </w:p>
    <w:p w14:paraId="6FC21DC3">
      <w:pPr>
        <w:pStyle w:val="26"/>
        <w:keepNext w:val="0"/>
        <w:keepLines w:val="0"/>
        <w:pageBreakBefore w:val="0"/>
        <w:widowControl w:val="0"/>
        <w:tabs>
          <w:tab w:val="right" w:leader="hyphen" w:pos="9070"/>
          <w:tab w:val="clear" w:pos="9060"/>
        </w:tabs>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_Toc7854 </w:instrText>
      </w:r>
      <w:r>
        <w:rPr>
          <w:rFonts w:hint="eastAsia" w:ascii="宋体" w:hAnsi="宋体" w:eastAsia="宋体" w:cs="宋体"/>
          <w:bCs/>
          <w:szCs w:val="24"/>
          <w:highlight w:val="none"/>
        </w:rPr>
        <w:fldChar w:fldCharType="separate"/>
      </w:r>
      <w:r>
        <w:rPr>
          <w:rFonts w:hint="eastAsia" w:ascii="宋体" w:hAnsi="宋体" w:eastAsia="宋体" w:cs="宋体"/>
          <w:bCs/>
          <w:szCs w:val="36"/>
          <w:highlight w:val="none"/>
          <w:lang w:val="en-US" w:eastAsia="zh-CN"/>
        </w:rPr>
        <w:t>第四章 评审办法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_Toc7854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bCs/>
          <w:color w:val="auto"/>
          <w:szCs w:val="24"/>
          <w:highlight w:val="none"/>
        </w:rPr>
        <w:fldChar w:fldCharType="end"/>
      </w:r>
    </w:p>
    <w:p w14:paraId="7718D601">
      <w:pPr>
        <w:pStyle w:val="26"/>
        <w:keepNext w:val="0"/>
        <w:keepLines w:val="0"/>
        <w:pageBreakBefore w:val="0"/>
        <w:widowControl w:val="0"/>
        <w:tabs>
          <w:tab w:val="right" w:leader="hyphen" w:pos="9070"/>
          <w:tab w:val="clear" w:pos="9060"/>
        </w:tabs>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_Toc1326 </w:instrText>
      </w:r>
      <w:r>
        <w:rPr>
          <w:rFonts w:hint="eastAsia" w:ascii="宋体" w:hAnsi="宋体" w:eastAsia="宋体" w:cs="宋体"/>
          <w:bCs/>
          <w:szCs w:val="24"/>
          <w:highlight w:val="none"/>
        </w:rPr>
        <w:fldChar w:fldCharType="separate"/>
      </w:r>
      <w:r>
        <w:rPr>
          <w:rFonts w:hint="eastAsia" w:ascii="宋体" w:hAnsi="宋体" w:eastAsia="宋体" w:cs="宋体"/>
          <w:bCs/>
          <w:szCs w:val="36"/>
          <w:highlight w:val="none"/>
          <w:lang w:val="en-US" w:eastAsia="zh-CN"/>
        </w:rPr>
        <w:t xml:space="preserve">第五章 </w:t>
      </w:r>
      <w:r>
        <w:rPr>
          <w:rFonts w:hint="eastAsia" w:ascii="宋体" w:hAnsi="宋体" w:eastAsia="宋体" w:cs="宋体"/>
          <w:bCs/>
          <w:szCs w:val="36"/>
          <w:highlight w:val="none"/>
          <w:lang w:val="zh-CN" w:eastAsia="zh-CN"/>
        </w:rPr>
        <w:t>施工内容及技术要求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_Toc1326 \h </w:instrText>
      </w:r>
      <w:r>
        <w:rPr>
          <w:rFonts w:hint="eastAsia" w:ascii="宋体" w:hAnsi="宋体" w:eastAsia="宋体" w:cs="宋体"/>
        </w:rPr>
        <w:fldChar w:fldCharType="separate"/>
      </w:r>
      <w:r>
        <w:rPr>
          <w:rFonts w:hint="eastAsia" w:ascii="宋体" w:hAnsi="宋体" w:eastAsia="宋体" w:cs="宋体"/>
        </w:rPr>
        <w:t>32</w:t>
      </w:r>
      <w:r>
        <w:rPr>
          <w:rFonts w:hint="eastAsia" w:ascii="宋体" w:hAnsi="宋体" w:eastAsia="宋体" w:cs="宋体"/>
        </w:rPr>
        <w:fldChar w:fldCharType="end"/>
      </w:r>
      <w:r>
        <w:rPr>
          <w:rFonts w:hint="eastAsia" w:ascii="宋体" w:hAnsi="宋体" w:eastAsia="宋体" w:cs="宋体"/>
          <w:bCs/>
          <w:color w:val="auto"/>
          <w:szCs w:val="24"/>
          <w:highlight w:val="none"/>
        </w:rPr>
        <w:fldChar w:fldCharType="end"/>
      </w:r>
    </w:p>
    <w:p w14:paraId="45564A66">
      <w:pPr>
        <w:pStyle w:val="26"/>
        <w:keepNext w:val="0"/>
        <w:keepLines w:val="0"/>
        <w:pageBreakBefore w:val="0"/>
        <w:widowControl w:val="0"/>
        <w:tabs>
          <w:tab w:val="right" w:leader="hyphen" w:pos="9070"/>
          <w:tab w:val="clear" w:pos="9060"/>
        </w:tabs>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_Toc9271 </w:instrText>
      </w:r>
      <w:r>
        <w:rPr>
          <w:rFonts w:hint="eastAsia" w:ascii="宋体" w:hAnsi="宋体" w:eastAsia="宋体" w:cs="宋体"/>
          <w:bCs/>
          <w:szCs w:val="24"/>
          <w:highlight w:val="none"/>
        </w:rPr>
        <w:fldChar w:fldCharType="separate"/>
      </w:r>
      <w:r>
        <w:rPr>
          <w:rFonts w:hint="eastAsia" w:ascii="宋体" w:hAnsi="宋体" w:eastAsia="宋体" w:cs="宋体"/>
          <w:bCs/>
          <w:szCs w:val="36"/>
          <w:highlight w:val="none"/>
          <w:lang w:val="zh-CN"/>
        </w:rPr>
        <w:t>第</w:t>
      </w:r>
      <w:r>
        <w:rPr>
          <w:rFonts w:hint="eastAsia" w:ascii="宋体" w:hAnsi="宋体" w:eastAsia="宋体" w:cs="宋体"/>
          <w:bCs/>
          <w:szCs w:val="36"/>
          <w:highlight w:val="none"/>
          <w:lang w:val="en-US" w:eastAsia="zh-CN"/>
        </w:rPr>
        <w:t>六</w:t>
      </w:r>
      <w:r>
        <w:rPr>
          <w:rFonts w:hint="eastAsia" w:ascii="宋体" w:hAnsi="宋体" w:eastAsia="宋体" w:cs="宋体"/>
          <w:bCs/>
          <w:szCs w:val="36"/>
          <w:highlight w:val="none"/>
          <w:lang w:val="zh-CN"/>
        </w:rPr>
        <w:t>章</w:t>
      </w:r>
      <w:r>
        <w:rPr>
          <w:rFonts w:hint="eastAsia" w:ascii="宋体" w:hAnsi="宋体" w:eastAsia="宋体" w:cs="宋体"/>
          <w:bCs/>
          <w:szCs w:val="36"/>
          <w:highlight w:val="none"/>
          <w:lang w:val="en-US" w:eastAsia="zh-CN"/>
        </w:rPr>
        <w:t xml:space="preserve"> 工程量清单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_Toc9271 \h </w:instrText>
      </w:r>
      <w:r>
        <w:rPr>
          <w:rFonts w:hint="eastAsia" w:ascii="宋体" w:hAnsi="宋体" w:eastAsia="宋体" w:cs="宋体"/>
        </w:rPr>
        <w:fldChar w:fldCharType="separate"/>
      </w:r>
      <w:r>
        <w:rPr>
          <w:rFonts w:hint="eastAsia" w:ascii="宋体" w:hAnsi="宋体" w:eastAsia="宋体" w:cs="宋体"/>
        </w:rPr>
        <w:t>34</w:t>
      </w:r>
      <w:r>
        <w:rPr>
          <w:rFonts w:hint="eastAsia" w:ascii="宋体" w:hAnsi="宋体" w:eastAsia="宋体" w:cs="宋体"/>
        </w:rPr>
        <w:fldChar w:fldCharType="end"/>
      </w:r>
      <w:r>
        <w:rPr>
          <w:rFonts w:hint="eastAsia" w:ascii="宋体" w:hAnsi="宋体" w:eastAsia="宋体" w:cs="宋体"/>
          <w:bCs/>
          <w:color w:val="auto"/>
          <w:szCs w:val="24"/>
          <w:highlight w:val="none"/>
        </w:rPr>
        <w:fldChar w:fldCharType="end"/>
      </w:r>
    </w:p>
    <w:p w14:paraId="1106513B">
      <w:pPr>
        <w:pStyle w:val="26"/>
        <w:keepNext w:val="0"/>
        <w:keepLines w:val="0"/>
        <w:pageBreakBefore w:val="0"/>
        <w:widowControl w:val="0"/>
        <w:tabs>
          <w:tab w:val="right" w:leader="hyphen" w:pos="9070"/>
          <w:tab w:val="clear" w:pos="9060"/>
        </w:tabs>
        <w:kinsoku/>
        <w:wordWrap/>
        <w:overflowPunct/>
        <w:topLinePunct w:val="0"/>
        <w:autoSpaceDE/>
        <w:autoSpaceDN/>
        <w:bidi w:val="0"/>
        <w:adjustRightInd/>
        <w:snapToGrid/>
        <w:spacing w:line="360" w:lineRule="exact"/>
        <w:textAlignment w:val="auto"/>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_Toc22572 </w:instrText>
      </w:r>
      <w:r>
        <w:rPr>
          <w:rFonts w:hint="eastAsia" w:ascii="宋体" w:hAnsi="宋体" w:eastAsia="宋体" w:cs="宋体"/>
          <w:bCs/>
          <w:szCs w:val="24"/>
          <w:highlight w:val="none"/>
        </w:rPr>
        <w:fldChar w:fldCharType="separate"/>
      </w:r>
      <w:r>
        <w:rPr>
          <w:rFonts w:hint="eastAsia" w:ascii="宋体" w:hAnsi="宋体" w:eastAsia="宋体" w:cs="宋体"/>
          <w:bCs/>
          <w:szCs w:val="36"/>
          <w:highlight w:val="none"/>
          <w:lang w:val="zh-CN"/>
        </w:rPr>
        <w:t>第</w:t>
      </w:r>
      <w:r>
        <w:rPr>
          <w:rFonts w:hint="eastAsia" w:ascii="宋体" w:hAnsi="宋体" w:eastAsia="宋体" w:cs="宋体"/>
          <w:bCs/>
          <w:szCs w:val="36"/>
          <w:highlight w:val="none"/>
          <w:lang w:val="en-US" w:eastAsia="zh-CN"/>
        </w:rPr>
        <w:t>七</w:t>
      </w:r>
      <w:r>
        <w:rPr>
          <w:rFonts w:hint="eastAsia" w:ascii="宋体" w:hAnsi="宋体" w:eastAsia="宋体" w:cs="宋体"/>
          <w:bCs/>
          <w:szCs w:val="36"/>
          <w:highlight w:val="none"/>
          <w:lang w:val="zh-CN"/>
        </w:rPr>
        <w:t>章</w:t>
      </w:r>
      <w:r>
        <w:rPr>
          <w:rFonts w:hint="eastAsia" w:ascii="宋体" w:hAnsi="宋体" w:eastAsia="宋体" w:cs="宋体"/>
          <w:bCs/>
          <w:szCs w:val="36"/>
          <w:highlight w:val="none"/>
          <w:lang w:val="en-US" w:eastAsia="zh-CN"/>
        </w:rPr>
        <w:t xml:space="preserve"> </w:t>
      </w:r>
      <w:r>
        <w:rPr>
          <w:rFonts w:hint="eastAsia" w:ascii="宋体" w:hAnsi="宋体" w:eastAsia="宋体" w:cs="宋体"/>
          <w:bCs/>
          <w:szCs w:val="36"/>
          <w:highlight w:val="none"/>
          <w:lang w:val="zh-CN"/>
        </w:rPr>
        <w:t>合同协议书</w:t>
      </w:r>
      <w:r>
        <w:rPr>
          <w:b/>
          <w:bCs/>
        </w:rPr>
        <w:tab/>
      </w:r>
      <w:r>
        <w:rPr>
          <w:b w:val="0"/>
          <w:bCs w:val="0"/>
        </w:rPr>
        <w:fldChar w:fldCharType="begin"/>
      </w:r>
      <w:r>
        <w:rPr>
          <w:b w:val="0"/>
          <w:bCs w:val="0"/>
        </w:rPr>
        <w:instrText xml:space="preserve"> PAGEREF _Toc22572 \h </w:instrText>
      </w:r>
      <w:r>
        <w:rPr>
          <w:b w:val="0"/>
          <w:bCs w:val="0"/>
        </w:rPr>
        <w:fldChar w:fldCharType="separate"/>
      </w:r>
      <w:r>
        <w:rPr>
          <w:b w:val="0"/>
          <w:bCs w:val="0"/>
        </w:rPr>
        <w:t>35</w:t>
      </w:r>
      <w:r>
        <w:rPr>
          <w:b w:val="0"/>
          <w:bCs w:val="0"/>
        </w:rPr>
        <w:fldChar w:fldCharType="end"/>
      </w:r>
      <w:r>
        <w:rPr>
          <w:rFonts w:hint="eastAsia" w:ascii="宋体" w:hAnsi="宋体" w:eastAsia="宋体" w:cs="宋体"/>
          <w:bCs/>
          <w:color w:val="auto"/>
          <w:szCs w:val="24"/>
          <w:highlight w:val="none"/>
        </w:rPr>
        <w:fldChar w:fldCharType="end"/>
      </w:r>
    </w:p>
    <w:p w14:paraId="5AB8D7BC">
      <w:pPr>
        <w:pStyle w:val="26"/>
        <w:tabs>
          <w:tab w:val="right" w:leader="hyphen" w:pos="9070"/>
          <w:tab w:val="clear" w:pos="9060"/>
        </w:tabs>
      </w:pPr>
    </w:p>
    <w:p w14:paraId="21F4A246">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b/>
          <w:bCs/>
          <w:color w:val="auto"/>
          <w:sz w:val="28"/>
          <w:szCs w:val="28"/>
          <w:highlight w:val="none"/>
        </w:rPr>
      </w:pPr>
      <w:r>
        <w:rPr>
          <w:rFonts w:hint="eastAsia" w:ascii="宋体" w:hAnsi="宋体" w:eastAsia="宋体" w:cs="宋体"/>
          <w:bCs/>
          <w:color w:val="auto"/>
          <w:szCs w:val="24"/>
          <w:highlight w:val="none"/>
        </w:rPr>
        <w:fldChar w:fldCharType="end"/>
      </w:r>
    </w:p>
    <w:p w14:paraId="125C1BCA">
      <w:pPr>
        <w:keepLines w:val="0"/>
        <w:pageBreakBefore w:val="0"/>
        <w:kinsoku/>
        <w:autoSpaceDE w:val="0"/>
        <w:autoSpaceDN w:val="0"/>
        <w:bidi w:val="0"/>
        <w:adjustRightInd w:val="0"/>
        <w:snapToGrid w:val="0"/>
        <w:spacing w:line="360" w:lineRule="auto"/>
        <w:rPr>
          <w:rFonts w:hint="eastAsia" w:ascii="宋体" w:hAnsi="宋体" w:eastAsia="宋体" w:cs="宋体"/>
          <w:bCs/>
          <w:color w:val="auto"/>
          <w:sz w:val="28"/>
          <w:szCs w:val="28"/>
          <w:highlight w:val="none"/>
        </w:rPr>
      </w:pPr>
    </w:p>
    <w:p w14:paraId="0927EAE0">
      <w:pPr>
        <w:keepLines w:val="0"/>
        <w:pageBreakBefore w:val="0"/>
        <w:kinsoku/>
        <w:autoSpaceDE w:val="0"/>
        <w:autoSpaceDN w:val="0"/>
        <w:bidi w:val="0"/>
        <w:adjustRightInd w:val="0"/>
        <w:spacing w:line="360" w:lineRule="auto"/>
        <w:rPr>
          <w:rFonts w:hint="eastAsia" w:ascii="宋体" w:hAnsi="宋体" w:eastAsia="宋体" w:cs="宋体"/>
          <w:b/>
          <w:bCs/>
          <w:color w:val="auto"/>
          <w:sz w:val="28"/>
          <w:szCs w:val="28"/>
          <w:highlight w:val="none"/>
        </w:rPr>
      </w:pPr>
    </w:p>
    <w:p w14:paraId="79D46621">
      <w:pPr>
        <w:keepLines w:val="0"/>
        <w:pageBreakBefore w:val="0"/>
        <w:kinsoku/>
        <w:autoSpaceDE w:val="0"/>
        <w:autoSpaceDN w:val="0"/>
        <w:bidi w:val="0"/>
        <w:adjustRightInd w:val="0"/>
        <w:spacing w:line="360" w:lineRule="auto"/>
        <w:jc w:val="left"/>
        <w:rPr>
          <w:rFonts w:hint="eastAsia" w:ascii="宋体" w:hAnsi="宋体" w:eastAsia="宋体" w:cs="宋体"/>
          <w:b/>
          <w:bCs/>
          <w:color w:val="auto"/>
          <w:sz w:val="28"/>
          <w:szCs w:val="28"/>
          <w:highlight w:val="none"/>
          <w:lang w:val="zh-CN"/>
        </w:rPr>
      </w:pPr>
    </w:p>
    <w:p w14:paraId="52F1DE16">
      <w:pPr>
        <w:keepLines w:val="0"/>
        <w:pageBreakBefore w:val="0"/>
        <w:kinsoku/>
        <w:autoSpaceDE w:val="0"/>
        <w:autoSpaceDN w:val="0"/>
        <w:bidi w:val="0"/>
        <w:adjustRightInd w:val="0"/>
        <w:spacing w:line="360" w:lineRule="auto"/>
        <w:jc w:val="left"/>
        <w:rPr>
          <w:rFonts w:hint="eastAsia" w:ascii="宋体" w:hAnsi="宋体" w:eastAsia="宋体" w:cs="宋体"/>
          <w:b/>
          <w:bCs/>
          <w:color w:val="auto"/>
          <w:sz w:val="28"/>
          <w:szCs w:val="28"/>
          <w:highlight w:val="none"/>
          <w:lang w:val="zh-CN"/>
        </w:rPr>
      </w:pPr>
    </w:p>
    <w:p w14:paraId="1DDC6D35">
      <w:pPr>
        <w:pStyle w:val="2"/>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36"/>
          <w:szCs w:val="36"/>
          <w:highlight w:val="none"/>
          <w:lang w:val="zh-CN"/>
        </w:rPr>
        <w:sectPr>
          <w:headerReference r:id="rId9" w:type="first"/>
          <w:footerReference r:id="rId11" w:type="first"/>
          <w:footerReference r:id="rId10" w:type="default"/>
          <w:pgSz w:w="11906" w:h="16838"/>
          <w:pgMar w:top="1418" w:right="1418" w:bottom="1418" w:left="1418" w:header="851" w:footer="992" w:gutter="0"/>
          <w:pgBorders>
            <w:top w:val="none" w:sz="0" w:space="0"/>
            <w:left w:val="none" w:sz="0" w:space="0"/>
            <w:bottom w:val="none" w:sz="0" w:space="0"/>
            <w:right w:val="none" w:sz="0" w:space="0"/>
          </w:pgBorders>
          <w:pgNumType w:fmt="decimal" w:start="1"/>
          <w:cols w:space="425" w:num="1"/>
          <w:titlePg/>
          <w:docGrid w:linePitch="312" w:charSpace="0"/>
        </w:sectPr>
      </w:pPr>
    </w:p>
    <w:p w14:paraId="3C4EA1C5">
      <w:pPr>
        <w:pStyle w:val="2"/>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36"/>
          <w:szCs w:val="22"/>
          <w:highlight w:val="none"/>
          <w:lang w:val="zh-CN"/>
        </w:rPr>
      </w:pPr>
      <w:bookmarkStart w:id="0" w:name="_Toc4041"/>
      <w:r>
        <w:rPr>
          <w:rFonts w:hint="eastAsia" w:ascii="宋体" w:hAnsi="宋体" w:eastAsia="宋体" w:cs="宋体"/>
          <w:b/>
          <w:bCs/>
          <w:color w:val="auto"/>
          <w:sz w:val="36"/>
          <w:szCs w:val="36"/>
          <w:highlight w:val="none"/>
          <w:lang w:val="zh-CN"/>
        </w:rPr>
        <w:t>第一章</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lang w:val="zh-CN"/>
        </w:rPr>
        <w:t>竞争性磋商公告</w:t>
      </w:r>
      <w:bookmarkEnd w:id="0"/>
    </w:p>
    <w:tbl>
      <w:tblPr>
        <w:tblStyle w:val="38"/>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0"/>
      </w:tblGrid>
      <w:tr w14:paraId="17BEB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9600" w:type="dxa"/>
          </w:tcPr>
          <w:p w14:paraId="4EC038E3">
            <w:pPr>
              <w:pStyle w:val="7"/>
              <w:keepNext w:val="0"/>
              <w:keepLines w:val="0"/>
              <w:pageBreakBefore w:val="0"/>
              <w:widowControl/>
              <w:kinsoku/>
              <w:wordWrap/>
              <w:overflowPunct/>
              <w:topLinePunct w:val="0"/>
              <w:autoSpaceDE/>
              <w:autoSpaceDN/>
              <w:bidi w:val="0"/>
              <w:adjustRightInd/>
              <w:snapToGrid/>
              <w:spacing w:before="0" w:after="0" w:line="360" w:lineRule="exact"/>
              <w:ind w:left="0" w:leftChars="0" w:firstLine="422" w:firstLineChars="200"/>
              <w:textAlignment w:val="auto"/>
              <w:rPr>
                <w:rFonts w:hint="eastAsia" w:ascii="宋体" w:hAnsi="宋体" w:eastAsia="宋体" w:cs="宋体"/>
                <w:color w:val="auto"/>
                <w:kern w:val="2"/>
                <w:sz w:val="21"/>
                <w:szCs w:val="21"/>
              </w:rPr>
            </w:pPr>
            <w:bookmarkStart w:id="1" w:name="_Hlk102659814"/>
            <w:bookmarkStart w:id="2" w:name="_Toc451185835"/>
            <w:bookmarkStart w:id="3" w:name="_Toc451185838"/>
            <w:r>
              <w:rPr>
                <w:rFonts w:hint="eastAsia" w:ascii="宋体" w:hAnsi="宋体" w:eastAsia="宋体" w:cs="宋体"/>
                <w:color w:val="auto"/>
                <w:kern w:val="2"/>
                <w:sz w:val="21"/>
                <w:szCs w:val="21"/>
              </w:rPr>
              <w:t>项目概况</w:t>
            </w:r>
          </w:p>
          <w:p w14:paraId="02888794">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textAlignment w:val="auto"/>
              <w:rPr>
                <w:rFonts w:hint="eastAsia" w:ascii="宋体" w:hAnsi="宋体" w:eastAsia="宋体" w:cs="宋体"/>
                <w:spacing w:val="-34"/>
                <w:sz w:val="21"/>
                <w:szCs w:val="21"/>
                <w:highlight w:val="none"/>
              </w:rPr>
            </w:pPr>
            <w:r>
              <w:rPr>
                <w:rFonts w:hint="eastAsia" w:cs="宋体"/>
                <w:color w:val="auto"/>
                <w:kern w:val="2"/>
                <w:sz w:val="21"/>
                <w:szCs w:val="21"/>
                <w:lang w:eastAsia="zh-CN"/>
              </w:rPr>
              <w:t>泾阳县人民政府会议室改造项目</w:t>
            </w:r>
            <w:r>
              <w:rPr>
                <w:rFonts w:hint="eastAsia" w:ascii="宋体" w:hAnsi="宋体" w:eastAsia="宋体" w:cs="宋体"/>
                <w:color w:val="auto"/>
                <w:kern w:val="2"/>
                <w:sz w:val="21"/>
                <w:szCs w:val="21"/>
                <w:highlight w:val="none"/>
              </w:rPr>
              <w:t>的潜在供应商应在</w:t>
            </w:r>
            <w:r>
              <w:rPr>
                <w:rFonts w:hint="eastAsia" w:ascii="宋体" w:hAnsi="宋体" w:eastAsia="宋体" w:cs="宋体"/>
                <w:spacing w:val="-11"/>
                <w:sz w:val="21"/>
                <w:szCs w:val="21"/>
                <w:highlight w:val="none"/>
              </w:rPr>
              <w:t>全</w:t>
            </w:r>
            <w:r>
              <w:rPr>
                <w:rFonts w:hint="eastAsia" w:ascii="宋体" w:hAnsi="宋体" w:eastAsia="宋体" w:cs="宋体"/>
                <w:spacing w:val="-37"/>
                <w:sz w:val="21"/>
                <w:szCs w:val="21"/>
                <w:highlight w:val="none"/>
              </w:rPr>
              <w:t xml:space="preserve"> </w:t>
            </w:r>
            <w:r>
              <w:rPr>
                <w:rFonts w:hint="eastAsia" w:ascii="宋体" w:hAnsi="宋体" w:eastAsia="宋体" w:cs="宋体"/>
                <w:spacing w:val="-11"/>
                <w:sz w:val="21"/>
                <w:szCs w:val="21"/>
                <w:highlight w:val="none"/>
              </w:rPr>
              <w:t>国</w:t>
            </w:r>
            <w:r>
              <w:rPr>
                <w:rFonts w:hint="eastAsia" w:ascii="宋体" w:hAnsi="宋体" w:eastAsia="宋体" w:cs="宋体"/>
                <w:spacing w:val="-53"/>
                <w:sz w:val="21"/>
                <w:szCs w:val="21"/>
                <w:highlight w:val="none"/>
              </w:rPr>
              <w:t xml:space="preserve"> </w:t>
            </w:r>
            <w:r>
              <w:rPr>
                <w:rFonts w:hint="eastAsia" w:ascii="宋体" w:hAnsi="宋体" w:eastAsia="宋体" w:cs="宋体"/>
                <w:spacing w:val="-11"/>
                <w:sz w:val="21"/>
                <w:szCs w:val="21"/>
                <w:highlight w:val="none"/>
              </w:rPr>
              <w:t>公</w:t>
            </w:r>
            <w:r>
              <w:rPr>
                <w:rFonts w:hint="eastAsia" w:ascii="宋体" w:hAnsi="宋体" w:eastAsia="宋体" w:cs="宋体"/>
                <w:spacing w:val="-61"/>
                <w:sz w:val="21"/>
                <w:szCs w:val="21"/>
                <w:highlight w:val="none"/>
              </w:rPr>
              <w:t xml:space="preserve"> </w:t>
            </w:r>
            <w:r>
              <w:rPr>
                <w:rFonts w:hint="eastAsia" w:ascii="宋体" w:hAnsi="宋体" w:eastAsia="宋体" w:cs="宋体"/>
                <w:spacing w:val="-11"/>
                <w:sz w:val="21"/>
                <w:szCs w:val="21"/>
                <w:highlight w:val="none"/>
              </w:rPr>
              <w:t>共</w:t>
            </w:r>
            <w:r>
              <w:rPr>
                <w:rFonts w:hint="eastAsia" w:ascii="宋体" w:hAnsi="宋体" w:eastAsia="宋体" w:cs="宋体"/>
                <w:spacing w:val="-50"/>
                <w:sz w:val="21"/>
                <w:szCs w:val="21"/>
                <w:highlight w:val="none"/>
              </w:rPr>
              <w:t xml:space="preserve"> </w:t>
            </w:r>
            <w:r>
              <w:rPr>
                <w:rFonts w:hint="eastAsia" w:ascii="宋体" w:hAnsi="宋体" w:eastAsia="宋体" w:cs="宋体"/>
                <w:spacing w:val="-11"/>
                <w:sz w:val="21"/>
                <w:szCs w:val="21"/>
                <w:highlight w:val="none"/>
              </w:rPr>
              <w:t>资</w:t>
            </w:r>
            <w:r>
              <w:rPr>
                <w:rFonts w:hint="eastAsia" w:ascii="宋体" w:hAnsi="宋体" w:eastAsia="宋体" w:cs="宋体"/>
                <w:spacing w:val="-61"/>
                <w:sz w:val="21"/>
                <w:szCs w:val="21"/>
                <w:highlight w:val="none"/>
              </w:rPr>
              <w:t xml:space="preserve"> </w:t>
            </w:r>
            <w:r>
              <w:rPr>
                <w:rFonts w:hint="eastAsia" w:ascii="宋体" w:hAnsi="宋体" w:eastAsia="宋体" w:cs="宋体"/>
                <w:spacing w:val="-11"/>
                <w:sz w:val="21"/>
                <w:szCs w:val="21"/>
                <w:highlight w:val="none"/>
              </w:rPr>
              <w:t>源</w:t>
            </w:r>
            <w:r>
              <w:rPr>
                <w:rFonts w:hint="eastAsia" w:ascii="宋体" w:hAnsi="宋体" w:eastAsia="宋体" w:cs="宋体"/>
                <w:spacing w:val="-56"/>
                <w:sz w:val="21"/>
                <w:szCs w:val="21"/>
                <w:highlight w:val="none"/>
              </w:rPr>
              <w:t xml:space="preserve"> </w:t>
            </w:r>
            <w:r>
              <w:rPr>
                <w:rFonts w:hint="eastAsia" w:ascii="宋体" w:hAnsi="宋体" w:eastAsia="宋体" w:cs="宋体"/>
                <w:spacing w:val="-11"/>
                <w:sz w:val="21"/>
                <w:szCs w:val="21"/>
                <w:highlight w:val="none"/>
              </w:rPr>
              <w:t>交</w:t>
            </w:r>
            <w:r>
              <w:rPr>
                <w:rFonts w:hint="eastAsia" w:ascii="宋体" w:hAnsi="宋体" w:eastAsia="宋体" w:cs="宋体"/>
                <w:spacing w:val="-44"/>
                <w:sz w:val="21"/>
                <w:szCs w:val="21"/>
                <w:highlight w:val="none"/>
              </w:rPr>
              <w:t xml:space="preserve"> </w:t>
            </w:r>
            <w:r>
              <w:rPr>
                <w:rFonts w:hint="eastAsia" w:ascii="宋体" w:hAnsi="宋体" w:eastAsia="宋体" w:cs="宋体"/>
                <w:spacing w:val="-11"/>
                <w:sz w:val="21"/>
                <w:szCs w:val="21"/>
                <w:highlight w:val="none"/>
              </w:rPr>
              <w:t>易</w:t>
            </w:r>
            <w:r>
              <w:rPr>
                <w:rFonts w:hint="eastAsia" w:ascii="宋体" w:hAnsi="宋体" w:eastAsia="宋体" w:cs="宋体"/>
                <w:spacing w:val="-61"/>
                <w:sz w:val="21"/>
                <w:szCs w:val="21"/>
                <w:highlight w:val="none"/>
              </w:rPr>
              <w:t xml:space="preserve"> </w:t>
            </w:r>
            <w:r>
              <w:rPr>
                <w:rFonts w:hint="eastAsia" w:ascii="宋体" w:hAnsi="宋体" w:eastAsia="宋体" w:cs="宋体"/>
                <w:spacing w:val="-11"/>
                <w:sz w:val="21"/>
                <w:szCs w:val="21"/>
                <w:highlight w:val="none"/>
              </w:rPr>
              <w:t>平</w:t>
            </w:r>
            <w:r>
              <w:rPr>
                <w:rFonts w:hint="eastAsia" w:ascii="宋体" w:hAnsi="宋体" w:eastAsia="宋体" w:cs="宋体"/>
                <w:spacing w:val="-42"/>
                <w:sz w:val="21"/>
                <w:szCs w:val="21"/>
                <w:highlight w:val="none"/>
              </w:rPr>
              <w:t xml:space="preserve"> </w:t>
            </w:r>
            <w:r>
              <w:rPr>
                <w:rFonts w:hint="eastAsia" w:ascii="宋体" w:hAnsi="宋体" w:eastAsia="宋体" w:cs="宋体"/>
                <w:spacing w:val="-11"/>
                <w:sz w:val="21"/>
                <w:szCs w:val="21"/>
                <w:highlight w:val="none"/>
              </w:rPr>
              <w:t>台</w:t>
            </w:r>
            <w:r>
              <w:rPr>
                <w:rFonts w:hint="eastAsia" w:ascii="宋体" w:hAnsi="宋体" w:eastAsia="宋体" w:cs="宋体"/>
                <w:spacing w:val="-69"/>
                <w:sz w:val="21"/>
                <w:szCs w:val="21"/>
                <w:highlight w:val="none"/>
              </w:rPr>
              <w:t xml:space="preserve"> </w:t>
            </w:r>
            <w:r>
              <w:rPr>
                <w:rFonts w:hint="eastAsia" w:ascii="宋体" w:hAnsi="宋体" w:eastAsia="宋体" w:cs="宋体"/>
                <w:spacing w:val="-11"/>
                <w:sz w:val="21"/>
                <w:szCs w:val="21"/>
                <w:highlight w:val="none"/>
              </w:rPr>
              <w:t>（陕</w:t>
            </w:r>
            <w:r>
              <w:rPr>
                <w:rFonts w:hint="eastAsia" w:ascii="宋体" w:hAnsi="宋体" w:eastAsia="宋体" w:cs="宋体"/>
                <w:spacing w:val="-55"/>
                <w:sz w:val="21"/>
                <w:szCs w:val="21"/>
                <w:highlight w:val="none"/>
              </w:rPr>
              <w:t xml:space="preserve"> </w:t>
            </w:r>
            <w:r>
              <w:rPr>
                <w:rFonts w:hint="eastAsia" w:ascii="宋体" w:hAnsi="宋体" w:eastAsia="宋体" w:cs="宋体"/>
                <w:spacing w:val="-11"/>
                <w:sz w:val="21"/>
                <w:szCs w:val="21"/>
                <w:highlight w:val="none"/>
              </w:rPr>
              <w:t>西</w:t>
            </w:r>
            <w:r>
              <w:rPr>
                <w:rFonts w:hint="eastAsia" w:ascii="宋体" w:hAnsi="宋体" w:eastAsia="宋体" w:cs="宋体"/>
                <w:spacing w:val="-56"/>
                <w:sz w:val="21"/>
                <w:szCs w:val="21"/>
                <w:highlight w:val="none"/>
              </w:rPr>
              <w:t xml:space="preserve"> </w:t>
            </w:r>
            <w:r>
              <w:rPr>
                <w:rFonts w:hint="eastAsia" w:ascii="宋体" w:hAnsi="宋体" w:eastAsia="宋体" w:cs="宋体"/>
                <w:spacing w:val="-11"/>
                <w:sz w:val="21"/>
                <w:szCs w:val="21"/>
                <w:highlight w:val="none"/>
              </w:rPr>
              <w:t>省</w:t>
            </w:r>
            <w:r>
              <w:rPr>
                <w:rFonts w:hint="eastAsia" w:ascii="宋体" w:hAnsi="宋体" w:eastAsia="宋体" w:cs="宋体"/>
                <w:spacing w:val="-53"/>
                <w:sz w:val="21"/>
                <w:szCs w:val="21"/>
                <w:highlight w:val="none"/>
              </w:rPr>
              <w:t xml:space="preserve"> </w:t>
            </w:r>
            <w:r>
              <w:rPr>
                <w:rFonts w:hint="eastAsia" w:ascii="宋体" w:hAnsi="宋体" w:eastAsia="宋体" w:cs="宋体"/>
                <w:spacing w:val="-11"/>
                <w:sz w:val="21"/>
                <w:szCs w:val="21"/>
                <w:highlight w:val="none"/>
              </w:rPr>
              <w:t>. 咸</w:t>
            </w:r>
            <w:r>
              <w:rPr>
                <w:rFonts w:hint="eastAsia" w:ascii="宋体" w:hAnsi="宋体" w:eastAsia="宋体" w:cs="宋体"/>
                <w:spacing w:val="-42"/>
                <w:sz w:val="21"/>
                <w:szCs w:val="21"/>
                <w:highlight w:val="none"/>
              </w:rPr>
              <w:t xml:space="preserve"> </w:t>
            </w:r>
            <w:r>
              <w:rPr>
                <w:rFonts w:hint="eastAsia" w:ascii="宋体" w:hAnsi="宋体" w:eastAsia="宋体" w:cs="宋体"/>
                <w:spacing w:val="-11"/>
                <w:sz w:val="21"/>
                <w:szCs w:val="21"/>
                <w:highlight w:val="none"/>
              </w:rPr>
              <w:t>阳</w:t>
            </w:r>
            <w:r>
              <w:rPr>
                <w:rFonts w:hint="eastAsia" w:ascii="宋体" w:hAnsi="宋体" w:eastAsia="宋体" w:cs="宋体"/>
                <w:spacing w:val="-54"/>
                <w:sz w:val="21"/>
                <w:szCs w:val="21"/>
                <w:highlight w:val="none"/>
              </w:rPr>
              <w:t xml:space="preserve"> </w:t>
            </w:r>
            <w:r>
              <w:rPr>
                <w:rFonts w:hint="eastAsia" w:ascii="宋体" w:hAnsi="宋体" w:eastAsia="宋体" w:cs="宋体"/>
                <w:spacing w:val="-11"/>
                <w:sz w:val="21"/>
                <w:szCs w:val="21"/>
                <w:highlight w:val="none"/>
              </w:rPr>
              <w:t>市</w:t>
            </w:r>
            <w:r>
              <w:rPr>
                <w:rFonts w:hint="eastAsia" w:ascii="宋体" w:hAnsi="宋体" w:eastAsia="宋体" w:cs="宋体"/>
                <w:spacing w:val="-35"/>
                <w:sz w:val="21"/>
                <w:szCs w:val="21"/>
                <w:highlight w:val="none"/>
              </w:rPr>
              <w:t xml:space="preserve"> </w:t>
            </w:r>
            <w:r>
              <w:rPr>
                <w:rFonts w:hint="eastAsia" w:ascii="宋体" w:hAnsi="宋体" w:eastAsia="宋体" w:cs="宋体"/>
                <w:spacing w:val="-34"/>
                <w:sz w:val="21"/>
                <w:szCs w:val="21"/>
                <w:highlight w:val="none"/>
              </w:rPr>
              <w:t>）</w:t>
            </w:r>
          </w:p>
          <w:p w14:paraId="3FBA8EC1">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textAlignment w:val="auto"/>
              <w:rPr>
                <w:rFonts w:hint="eastAsia" w:ascii="宋体" w:hAnsi="宋体" w:eastAsia="宋体" w:cs="宋体"/>
                <w:b/>
                <w:bCs/>
                <w:color w:val="auto"/>
                <w:kern w:val="2"/>
                <w:sz w:val="21"/>
                <w:szCs w:val="21"/>
              </w:rPr>
            </w:pPr>
            <w:r>
              <w:rPr>
                <w:rFonts w:hint="eastAsia" w:ascii="宋体" w:hAnsi="宋体" w:eastAsia="宋体" w:cs="宋体"/>
                <w:color w:val="auto"/>
                <w:kern w:val="2"/>
                <w:sz w:val="21"/>
                <w:szCs w:val="21"/>
                <w:lang w:eastAsia="zh-CN"/>
              </w:rPr>
              <w:t>（http://x</w:t>
            </w:r>
            <w:r>
              <w:rPr>
                <w:rFonts w:hint="eastAsia" w:ascii="宋体" w:hAnsi="宋体" w:eastAsia="宋体" w:cs="宋体"/>
                <w:color w:val="auto"/>
                <w:kern w:val="2"/>
                <w:sz w:val="21"/>
                <w:szCs w:val="21"/>
                <w:lang w:val="en-US" w:eastAsia="zh-CN"/>
              </w:rPr>
              <w:t>y</w:t>
            </w:r>
            <w:r>
              <w:rPr>
                <w:rFonts w:hint="eastAsia" w:ascii="宋体" w:hAnsi="宋体" w:eastAsia="宋体" w:cs="宋体"/>
                <w:color w:val="auto"/>
                <w:kern w:val="2"/>
                <w:sz w:val="21"/>
                <w:szCs w:val="21"/>
                <w:lang w:eastAsia="zh-CN"/>
              </w:rPr>
              <w:t>.sxggzyjy.cn/）获取</w:t>
            </w:r>
            <w:r>
              <w:rPr>
                <w:rFonts w:hint="eastAsia" w:ascii="宋体" w:hAnsi="宋体" w:eastAsia="宋体" w:cs="宋体"/>
                <w:color w:val="auto"/>
                <w:kern w:val="2"/>
                <w:sz w:val="21"/>
                <w:szCs w:val="21"/>
                <w:highlight w:val="none"/>
              </w:rPr>
              <w:t>采购文件，并于</w:t>
            </w:r>
            <w:r>
              <w:rPr>
                <w:rFonts w:hint="eastAsia" w:ascii="宋体" w:hAnsi="宋体" w:eastAsia="宋体" w:cs="宋体"/>
                <w:color w:val="auto"/>
                <w:kern w:val="2"/>
                <w:sz w:val="21"/>
                <w:szCs w:val="21"/>
              </w:rPr>
              <w:t>20</w:t>
            </w:r>
            <w:r>
              <w:rPr>
                <w:rFonts w:hint="eastAsia" w:ascii="宋体" w:hAnsi="宋体" w:eastAsia="宋体" w:cs="宋体"/>
                <w:color w:val="auto"/>
                <w:kern w:val="2"/>
                <w:sz w:val="21"/>
                <w:szCs w:val="21"/>
                <w:lang w:val="en-US" w:eastAsia="zh-CN"/>
              </w:rPr>
              <w:t>25</w:t>
            </w:r>
            <w:r>
              <w:rPr>
                <w:rFonts w:hint="eastAsia" w:ascii="宋体" w:hAnsi="宋体" w:eastAsia="宋体" w:cs="宋体"/>
                <w:color w:val="auto"/>
                <w:kern w:val="2"/>
                <w:sz w:val="21"/>
                <w:szCs w:val="21"/>
              </w:rPr>
              <w:t>年</w:t>
            </w:r>
            <w:r>
              <w:rPr>
                <w:rFonts w:hint="eastAsia" w:cs="宋体"/>
                <w:color w:val="auto"/>
                <w:kern w:val="2"/>
                <w:sz w:val="21"/>
                <w:szCs w:val="21"/>
                <w:lang w:val="en-US" w:eastAsia="zh-CN"/>
              </w:rPr>
              <w:t>09</w:t>
            </w:r>
            <w:r>
              <w:rPr>
                <w:rFonts w:hint="eastAsia" w:ascii="宋体" w:hAnsi="宋体" w:eastAsia="宋体" w:cs="宋体"/>
                <w:color w:val="auto"/>
                <w:kern w:val="2"/>
                <w:sz w:val="21"/>
                <w:szCs w:val="21"/>
              </w:rPr>
              <w:t>月</w:t>
            </w:r>
            <w:r>
              <w:rPr>
                <w:rFonts w:hint="eastAsia" w:cs="宋体"/>
                <w:color w:val="auto"/>
                <w:kern w:val="2"/>
                <w:sz w:val="21"/>
                <w:szCs w:val="21"/>
                <w:lang w:val="en-US" w:eastAsia="zh-CN"/>
              </w:rPr>
              <w:t>30</w:t>
            </w:r>
            <w:r>
              <w:rPr>
                <w:rFonts w:hint="eastAsia" w:ascii="宋体" w:hAnsi="宋体" w:eastAsia="宋体" w:cs="宋体"/>
                <w:color w:val="auto"/>
                <w:kern w:val="2"/>
                <w:sz w:val="21"/>
                <w:szCs w:val="21"/>
              </w:rPr>
              <w:t>日</w:t>
            </w:r>
            <w:r>
              <w:rPr>
                <w:rFonts w:hint="eastAsia" w:cs="宋体"/>
                <w:color w:val="auto"/>
                <w:kern w:val="2"/>
                <w:sz w:val="21"/>
                <w:szCs w:val="21"/>
                <w:lang w:val="en-US" w:eastAsia="zh-CN"/>
              </w:rPr>
              <w:t>09</w:t>
            </w:r>
            <w:r>
              <w:rPr>
                <w:rFonts w:hint="eastAsia" w:ascii="宋体" w:hAnsi="宋体" w:eastAsia="宋体" w:cs="宋体"/>
                <w:color w:val="auto"/>
                <w:kern w:val="2"/>
                <w:sz w:val="21"/>
                <w:szCs w:val="21"/>
              </w:rPr>
              <w:t>时</w:t>
            </w:r>
            <w:r>
              <w:rPr>
                <w:rFonts w:hint="eastAsia" w:ascii="宋体" w:hAnsi="宋体" w:eastAsia="宋体" w:cs="宋体"/>
                <w:color w:val="auto"/>
                <w:kern w:val="2"/>
                <w:sz w:val="21"/>
                <w:szCs w:val="21"/>
                <w:lang w:val="en-US" w:eastAsia="zh-CN"/>
              </w:rPr>
              <w:t>30</w:t>
            </w:r>
            <w:r>
              <w:rPr>
                <w:rFonts w:hint="eastAsia" w:ascii="宋体" w:hAnsi="宋体" w:eastAsia="宋体" w:cs="宋体"/>
                <w:color w:val="auto"/>
                <w:kern w:val="2"/>
                <w:sz w:val="21"/>
                <w:szCs w:val="21"/>
              </w:rPr>
              <w:t>分（北京时间）前提交响应文件。</w:t>
            </w:r>
          </w:p>
        </w:tc>
      </w:tr>
    </w:tbl>
    <w:p w14:paraId="5CF38437">
      <w:pPr>
        <w:pStyle w:val="32"/>
        <w:keepNext w:val="0"/>
        <w:keepLines w:val="0"/>
        <w:pageBreakBefore w:val="0"/>
        <w:widowControl/>
        <w:kinsoku/>
        <w:overflowPunct/>
        <w:topLinePunct w:val="0"/>
        <w:autoSpaceDE/>
        <w:autoSpaceDN/>
        <w:bidi w:val="0"/>
        <w:adjustRightInd/>
        <w:snapToGrid/>
        <w:spacing w:before="0" w:beforeAutospacing="0" w:after="0" w:afterAutospacing="0" w:line="360" w:lineRule="exact"/>
        <w:ind w:left="0" w:leftChars="0" w:firstLine="422" w:firstLineChars="200"/>
        <w:textAlignment w:val="auto"/>
        <w:rPr>
          <w:rFonts w:hint="eastAsia" w:ascii="宋体" w:hAnsi="宋体" w:eastAsia="宋体" w:cs="宋体"/>
          <w:b/>
          <w:bCs/>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rPr>
        <w:t>一、项目基本情况</w:t>
      </w:r>
    </w:p>
    <w:p w14:paraId="5097CA2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eastAsia"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rPr>
        <w:t>项目编号：</w:t>
      </w:r>
      <w:r>
        <w:rPr>
          <w:rFonts w:hint="eastAsia" w:cs="宋体"/>
          <w:i w:val="0"/>
          <w:iCs w:val="0"/>
          <w:caps w:val="0"/>
          <w:color w:val="auto"/>
          <w:spacing w:val="0"/>
          <w:sz w:val="21"/>
          <w:szCs w:val="21"/>
          <w:highlight w:val="none"/>
          <w:shd w:val="clear" w:fill="FFFFFF"/>
          <w:lang w:eastAsia="zh-CN"/>
        </w:rPr>
        <w:t>ZFCG-泾阳县-2025-00014</w:t>
      </w:r>
    </w:p>
    <w:p w14:paraId="0FD0C8D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auto"/>
          <w:kern w:val="2"/>
          <w:sz w:val="21"/>
          <w:szCs w:val="21"/>
          <w:lang w:eastAsia="zh-CN"/>
        </w:rPr>
      </w:pPr>
      <w:r>
        <w:rPr>
          <w:rFonts w:hint="eastAsia" w:ascii="宋体" w:hAnsi="宋体" w:eastAsia="宋体" w:cs="宋体"/>
          <w:i w:val="0"/>
          <w:iCs w:val="0"/>
          <w:caps w:val="0"/>
          <w:color w:val="auto"/>
          <w:spacing w:val="0"/>
          <w:sz w:val="21"/>
          <w:szCs w:val="21"/>
          <w:highlight w:val="none"/>
          <w:shd w:val="clear" w:fill="FFFFFF"/>
        </w:rPr>
        <w:t>项目名称：</w:t>
      </w:r>
      <w:r>
        <w:rPr>
          <w:rFonts w:hint="eastAsia" w:cs="宋体"/>
          <w:color w:val="auto"/>
          <w:kern w:val="2"/>
          <w:sz w:val="21"/>
          <w:szCs w:val="21"/>
          <w:lang w:eastAsia="zh-CN"/>
        </w:rPr>
        <w:t>泾阳县人民政府会议室改造项目</w:t>
      </w:r>
    </w:p>
    <w:p w14:paraId="0ADFCD7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fill="FFFFFF"/>
        </w:rPr>
        <w:t>采购方式：</w:t>
      </w:r>
      <w:r>
        <w:rPr>
          <w:rFonts w:hint="eastAsia" w:ascii="宋体" w:hAnsi="宋体" w:eastAsia="宋体" w:cs="宋体"/>
          <w:i w:val="0"/>
          <w:iCs w:val="0"/>
          <w:caps w:val="0"/>
          <w:color w:val="auto"/>
          <w:spacing w:val="0"/>
          <w:sz w:val="21"/>
          <w:szCs w:val="21"/>
          <w:highlight w:val="none"/>
          <w:shd w:val="clear" w:fill="FFFFFF"/>
          <w:lang w:val="en-US" w:eastAsia="zh-CN"/>
        </w:rPr>
        <w:t>竞争性磋商</w:t>
      </w:r>
    </w:p>
    <w:p w14:paraId="69BE0C0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rPr>
        <w:t>预算金额：</w:t>
      </w:r>
      <w:r>
        <w:rPr>
          <w:rFonts w:hint="eastAsia" w:cs="宋体"/>
          <w:i w:val="0"/>
          <w:iCs w:val="0"/>
          <w:caps w:val="0"/>
          <w:color w:val="auto"/>
          <w:spacing w:val="0"/>
          <w:sz w:val="21"/>
          <w:szCs w:val="21"/>
          <w:highlight w:val="none"/>
          <w:shd w:val="clear" w:fill="FFFFFF"/>
          <w:lang w:val="en-US" w:eastAsia="zh-CN"/>
        </w:rPr>
        <w:t>1255000.00</w:t>
      </w:r>
      <w:r>
        <w:rPr>
          <w:rFonts w:hint="eastAsia" w:ascii="宋体" w:hAnsi="宋体" w:eastAsia="宋体" w:cs="宋体"/>
          <w:i w:val="0"/>
          <w:iCs w:val="0"/>
          <w:caps w:val="0"/>
          <w:color w:val="auto"/>
          <w:spacing w:val="0"/>
          <w:sz w:val="21"/>
          <w:szCs w:val="21"/>
          <w:highlight w:val="none"/>
          <w:shd w:val="clear" w:fill="FFFFFF"/>
        </w:rPr>
        <w:t>元</w:t>
      </w:r>
    </w:p>
    <w:p w14:paraId="2899672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rPr>
        <w:t>采购需求：</w:t>
      </w:r>
    </w:p>
    <w:p w14:paraId="346187B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rPr>
        <w:t>合同包1(</w:t>
      </w:r>
      <w:r>
        <w:rPr>
          <w:rFonts w:hint="eastAsia" w:cs="宋体"/>
          <w:color w:val="auto"/>
          <w:kern w:val="2"/>
          <w:sz w:val="21"/>
          <w:szCs w:val="21"/>
          <w:lang w:eastAsia="zh-CN"/>
        </w:rPr>
        <w:t>泾阳县人民政府会议室改造项目</w:t>
      </w:r>
      <w:r>
        <w:rPr>
          <w:rFonts w:hint="eastAsia" w:ascii="宋体" w:hAnsi="宋体" w:eastAsia="宋体" w:cs="宋体"/>
          <w:i w:val="0"/>
          <w:iCs w:val="0"/>
          <w:caps w:val="0"/>
          <w:color w:val="auto"/>
          <w:spacing w:val="0"/>
          <w:sz w:val="21"/>
          <w:szCs w:val="21"/>
          <w:highlight w:val="none"/>
          <w:shd w:val="clear" w:fill="FFFFFF"/>
        </w:rPr>
        <w:t>):</w:t>
      </w:r>
    </w:p>
    <w:p w14:paraId="596EAB5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i w:val="0"/>
          <w:iCs w:val="0"/>
          <w:caps w:val="0"/>
          <w:color w:val="auto"/>
          <w:spacing w:val="0"/>
          <w:sz w:val="21"/>
          <w:szCs w:val="21"/>
          <w:highlight w:val="none"/>
          <w:shd w:val="clear" w:fill="FFFFFF"/>
        </w:rPr>
      </w:pPr>
      <w:r>
        <w:rPr>
          <w:rFonts w:hint="eastAsia" w:ascii="宋体" w:hAnsi="宋体" w:eastAsia="宋体" w:cs="宋体"/>
          <w:i w:val="0"/>
          <w:iCs w:val="0"/>
          <w:caps w:val="0"/>
          <w:color w:val="auto"/>
          <w:spacing w:val="0"/>
          <w:sz w:val="21"/>
          <w:szCs w:val="21"/>
          <w:highlight w:val="none"/>
          <w:shd w:val="clear" w:fill="FFFFFF"/>
        </w:rPr>
        <w:t>合同包预算金额：</w:t>
      </w:r>
      <w:r>
        <w:rPr>
          <w:rFonts w:hint="eastAsia" w:cs="宋体"/>
          <w:i w:val="0"/>
          <w:iCs w:val="0"/>
          <w:caps w:val="0"/>
          <w:color w:val="auto"/>
          <w:spacing w:val="0"/>
          <w:sz w:val="21"/>
          <w:szCs w:val="21"/>
          <w:highlight w:val="none"/>
          <w:shd w:val="clear" w:fill="FFFFFF"/>
          <w:lang w:val="en-US" w:eastAsia="zh-CN"/>
        </w:rPr>
        <w:t>1255000</w:t>
      </w:r>
      <w:r>
        <w:rPr>
          <w:rFonts w:hint="eastAsia" w:ascii="宋体" w:hAnsi="宋体" w:eastAsia="宋体" w:cs="宋体"/>
          <w:i w:val="0"/>
          <w:iCs w:val="0"/>
          <w:caps w:val="0"/>
          <w:color w:val="auto"/>
          <w:spacing w:val="0"/>
          <w:sz w:val="21"/>
          <w:szCs w:val="21"/>
          <w:highlight w:val="none"/>
          <w:shd w:val="clear" w:fill="FFFFFF"/>
          <w:lang w:val="en-US" w:eastAsia="zh-CN"/>
        </w:rPr>
        <w:t>.00</w:t>
      </w:r>
      <w:r>
        <w:rPr>
          <w:rFonts w:hint="eastAsia" w:ascii="宋体" w:hAnsi="宋体" w:eastAsia="宋体" w:cs="宋体"/>
          <w:i w:val="0"/>
          <w:iCs w:val="0"/>
          <w:caps w:val="0"/>
          <w:color w:val="auto"/>
          <w:spacing w:val="0"/>
          <w:sz w:val="21"/>
          <w:szCs w:val="21"/>
          <w:highlight w:val="none"/>
          <w:shd w:val="clear" w:fill="FFFFFF"/>
        </w:rPr>
        <w:t>元</w:t>
      </w:r>
    </w:p>
    <w:p w14:paraId="499FE4D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i w:val="0"/>
          <w:iCs w:val="0"/>
          <w:caps w:val="0"/>
          <w:color w:val="auto"/>
          <w:spacing w:val="0"/>
          <w:sz w:val="21"/>
          <w:szCs w:val="21"/>
          <w:highlight w:val="none"/>
          <w:shd w:val="clear" w:fill="FFFFFF"/>
        </w:rPr>
      </w:pPr>
      <w:r>
        <w:rPr>
          <w:rFonts w:hint="eastAsia" w:ascii="宋体" w:hAnsi="宋体" w:eastAsia="宋体" w:cs="宋体"/>
          <w:i w:val="0"/>
          <w:iCs w:val="0"/>
          <w:caps w:val="0"/>
          <w:color w:val="auto"/>
          <w:spacing w:val="0"/>
          <w:sz w:val="21"/>
          <w:szCs w:val="21"/>
          <w:highlight w:val="none"/>
          <w:shd w:val="clear" w:fill="FFFFFF"/>
        </w:rPr>
        <w:t>合同包</w:t>
      </w:r>
      <w:bookmarkStart w:id="606" w:name="_GoBack"/>
      <w:r>
        <w:rPr>
          <w:rFonts w:hint="eastAsia" w:ascii="宋体" w:hAnsi="宋体" w:eastAsia="宋体" w:cs="宋体"/>
          <w:i w:val="0"/>
          <w:iCs w:val="0"/>
          <w:caps w:val="0"/>
          <w:color w:val="auto"/>
          <w:spacing w:val="0"/>
          <w:sz w:val="21"/>
          <w:szCs w:val="21"/>
          <w:highlight w:val="none"/>
          <w:shd w:val="clear" w:fill="FFFFFF"/>
        </w:rPr>
        <w:t>最高限价</w:t>
      </w:r>
      <w:bookmarkEnd w:id="606"/>
      <w:r>
        <w:rPr>
          <w:rFonts w:hint="eastAsia" w:ascii="宋体" w:hAnsi="宋体" w:eastAsia="宋体" w:cs="宋体"/>
          <w:i w:val="0"/>
          <w:iCs w:val="0"/>
          <w:caps w:val="0"/>
          <w:color w:val="auto"/>
          <w:spacing w:val="0"/>
          <w:sz w:val="21"/>
          <w:szCs w:val="21"/>
          <w:highlight w:val="none"/>
          <w:shd w:val="clear" w:fill="FFFFFF"/>
        </w:rPr>
        <w:t>：</w:t>
      </w:r>
      <w:r>
        <w:rPr>
          <w:rFonts w:hint="eastAsia" w:ascii="宋体" w:hAnsi="宋体" w:eastAsia="宋体" w:cs="宋体"/>
          <w:color w:val="auto"/>
          <w:sz w:val="21"/>
          <w:szCs w:val="21"/>
          <w:highlight w:val="none"/>
        </w:rPr>
        <w:t>1254</w:t>
      </w:r>
      <w:r>
        <w:rPr>
          <w:rFonts w:hint="eastAsia" w:cs="宋体"/>
          <w:color w:val="auto"/>
          <w:sz w:val="21"/>
          <w:szCs w:val="21"/>
          <w:highlight w:val="none"/>
          <w:lang w:val="en-US" w:eastAsia="zh-CN"/>
        </w:rPr>
        <w:t>800</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20</w:t>
      </w:r>
      <w:r>
        <w:rPr>
          <w:rFonts w:hint="eastAsia" w:ascii="宋体" w:hAnsi="宋体" w:eastAsia="宋体" w:cs="宋体"/>
          <w:i w:val="0"/>
          <w:iCs w:val="0"/>
          <w:caps w:val="0"/>
          <w:color w:val="auto"/>
          <w:spacing w:val="0"/>
          <w:sz w:val="21"/>
          <w:szCs w:val="21"/>
          <w:highlight w:val="none"/>
          <w:shd w:val="clear" w:fill="FFFFFF"/>
        </w:rPr>
        <w:t>元</w:t>
      </w:r>
    </w:p>
    <w:tbl>
      <w:tblPr>
        <w:tblStyle w:val="37"/>
        <w:tblW w:w="4995"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51"/>
        <w:gridCol w:w="1634"/>
        <w:gridCol w:w="1603"/>
        <w:gridCol w:w="1346"/>
        <w:gridCol w:w="1327"/>
        <w:gridCol w:w="1459"/>
        <w:gridCol w:w="1481"/>
      </w:tblGrid>
      <w:tr w14:paraId="333630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jc w:val="center"/>
        </w:trPr>
        <w:tc>
          <w:tcPr>
            <w:tcW w:w="24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948B04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8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011D6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86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EA78C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72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A2E5F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71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14631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78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03F1F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79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E29F9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67CEB1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jc w:val="center"/>
        </w:trPr>
        <w:tc>
          <w:tcPr>
            <w:tcW w:w="24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25ADE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1-1</w:t>
            </w:r>
          </w:p>
        </w:tc>
        <w:tc>
          <w:tcPr>
            <w:tcW w:w="8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91522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b/>
                <w:bCs/>
                <w:color w:val="auto"/>
                <w:kern w:val="0"/>
                <w:sz w:val="21"/>
                <w:szCs w:val="21"/>
                <w:highlight w:val="none"/>
                <w:lang w:val="en-US" w:eastAsia="zh-CN" w:bidi="ar"/>
              </w:rPr>
            </w:pPr>
            <w:r>
              <w:rPr>
                <w:rFonts w:hint="eastAsia" w:ascii="宋体" w:hAnsi="宋体" w:cs="宋体"/>
                <w:b/>
                <w:bCs/>
                <w:color w:val="auto"/>
                <w:kern w:val="0"/>
                <w:sz w:val="21"/>
                <w:szCs w:val="21"/>
                <w:highlight w:val="none"/>
                <w:lang w:val="en-US" w:eastAsia="zh-CN" w:bidi="ar"/>
              </w:rPr>
              <w:t>房屋修缮</w:t>
            </w:r>
            <w:r>
              <w:rPr>
                <w:rFonts w:hint="eastAsia" w:ascii="宋体" w:hAnsi="宋体" w:eastAsia="宋体" w:cs="宋体"/>
                <w:b/>
                <w:bCs/>
                <w:color w:val="auto"/>
                <w:kern w:val="0"/>
                <w:sz w:val="21"/>
                <w:szCs w:val="21"/>
                <w:highlight w:val="none"/>
                <w:lang w:val="en-US" w:eastAsia="zh-CN" w:bidi="ar"/>
              </w:rPr>
              <w:t xml:space="preserve"> </w:t>
            </w:r>
          </w:p>
        </w:tc>
        <w:tc>
          <w:tcPr>
            <w:tcW w:w="86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260CD6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泾阳县人民政府会议室改造项目</w:t>
            </w:r>
          </w:p>
        </w:tc>
        <w:tc>
          <w:tcPr>
            <w:tcW w:w="72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86D93B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71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7E5DB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78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E12A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FF0000"/>
                <w:sz w:val="21"/>
                <w:szCs w:val="21"/>
                <w:highlight w:val="none"/>
              </w:rPr>
            </w:pPr>
            <w:r>
              <w:rPr>
                <w:rFonts w:hint="eastAsia" w:ascii="宋体" w:hAnsi="宋体" w:eastAsia="宋体" w:cs="宋体"/>
                <w:i w:val="0"/>
                <w:iCs w:val="0"/>
                <w:caps w:val="0"/>
                <w:color w:val="auto"/>
                <w:spacing w:val="0"/>
                <w:sz w:val="21"/>
                <w:szCs w:val="21"/>
                <w:highlight w:val="none"/>
                <w:shd w:val="clear" w:fill="FFFFFF"/>
                <w:lang w:val="en-US" w:eastAsia="zh-CN"/>
              </w:rPr>
              <w:t>12</w:t>
            </w:r>
            <w:r>
              <w:rPr>
                <w:rFonts w:hint="eastAsia" w:ascii="宋体" w:hAnsi="宋体" w:cs="宋体"/>
                <w:i w:val="0"/>
                <w:iCs w:val="0"/>
                <w:caps w:val="0"/>
                <w:color w:val="auto"/>
                <w:spacing w:val="0"/>
                <w:sz w:val="21"/>
                <w:szCs w:val="21"/>
                <w:highlight w:val="none"/>
                <w:shd w:val="clear" w:fill="FFFFFF"/>
                <w:lang w:val="en-US" w:eastAsia="zh-CN"/>
              </w:rPr>
              <w:t>55</w:t>
            </w:r>
            <w:r>
              <w:rPr>
                <w:rFonts w:hint="eastAsia" w:ascii="宋体" w:hAnsi="宋体" w:eastAsia="宋体" w:cs="宋体"/>
                <w:i w:val="0"/>
                <w:iCs w:val="0"/>
                <w:caps w:val="0"/>
                <w:color w:val="auto"/>
                <w:spacing w:val="0"/>
                <w:sz w:val="21"/>
                <w:szCs w:val="21"/>
                <w:highlight w:val="none"/>
                <w:shd w:val="clear" w:fill="FFFFFF"/>
                <w:lang w:val="en-US" w:eastAsia="zh-CN"/>
              </w:rPr>
              <w:t>000.00</w:t>
            </w:r>
          </w:p>
        </w:tc>
        <w:tc>
          <w:tcPr>
            <w:tcW w:w="79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2243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FF0000"/>
                <w:sz w:val="21"/>
                <w:szCs w:val="21"/>
                <w:highlight w:val="none"/>
              </w:rPr>
            </w:pPr>
            <w:r>
              <w:rPr>
                <w:rFonts w:hint="eastAsia" w:ascii="宋体" w:hAnsi="宋体" w:eastAsia="宋体" w:cs="宋体"/>
                <w:color w:val="auto"/>
                <w:sz w:val="21"/>
                <w:szCs w:val="21"/>
                <w:highlight w:val="none"/>
              </w:rPr>
              <w:t>1254</w:t>
            </w:r>
            <w:r>
              <w:rPr>
                <w:rFonts w:hint="eastAsia" w:ascii="宋体" w:hAnsi="宋体" w:cs="宋体"/>
                <w:color w:val="auto"/>
                <w:sz w:val="21"/>
                <w:szCs w:val="21"/>
                <w:highlight w:val="none"/>
                <w:lang w:val="en-US" w:eastAsia="zh-CN"/>
              </w:rPr>
              <w:t>800.20</w:t>
            </w:r>
            <w:r>
              <w:rPr>
                <w:rFonts w:hint="eastAsia" w:ascii="宋体" w:hAnsi="宋体" w:eastAsia="宋体" w:cs="宋体"/>
                <w:color w:val="auto"/>
                <w:sz w:val="21"/>
                <w:szCs w:val="21"/>
                <w:highlight w:val="none"/>
              </w:rPr>
              <w:t xml:space="preserve"> </w:t>
            </w:r>
          </w:p>
        </w:tc>
      </w:tr>
    </w:tbl>
    <w:p w14:paraId="6A90F729">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本合同包不接受联合体投标</w:t>
      </w:r>
    </w:p>
    <w:p w14:paraId="75D7AA75">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textAlignment w:val="auto"/>
        <w:rPr>
          <w:rFonts w:hint="default" w:ascii="宋体" w:hAnsi="宋体" w:eastAsia="宋体" w:cs="宋体"/>
          <w:color w:val="auto"/>
          <w:kern w:val="0"/>
          <w:sz w:val="21"/>
          <w:szCs w:val="21"/>
          <w:highlight w:val="none"/>
          <w:shd w:val="clear" w:color="auto" w:fill="FFFFFF"/>
          <w:lang w:val="en-US" w:eastAsia="zh-CN"/>
        </w:rPr>
      </w:pPr>
      <w:r>
        <w:rPr>
          <w:rFonts w:hint="eastAsia" w:ascii="宋体" w:hAnsi="宋体" w:eastAsia="宋体" w:cs="宋体"/>
          <w:color w:val="auto"/>
          <w:kern w:val="0"/>
          <w:sz w:val="21"/>
          <w:szCs w:val="21"/>
          <w:highlight w:val="none"/>
          <w:shd w:val="clear" w:color="auto" w:fill="FFFFFF"/>
        </w:rPr>
        <w:t>合同履行期限：</w:t>
      </w:r>
      <w:r>
        <w:rPr>
          <w:rFonts w:hint="eastAsia" w:ascii="宋体" w:hAnsi="宋体" w:eastAsia="宋体" w:cs="宋体"/>
          <w:color w:val="auto"/>
          <w:kern w:val="0"/>
          <w:sz w:val="21"/>
          <w:szCs w:val="21"/>
          <w:highlight w:val="none"/>
          <w:shd w:val="clear" w:color="auto" w:fill="FFFFFF"/>
          <w:lang w:val="en-US" w:eastAsia="zh-CN"/>
        </w:rPr>
        <w:t>自合同签订之日起60日历</w:t>
      </w:r>
      <w:r>
        <w:rPr>
          <w:rFonts w:hint="eastAsia" w:cs="宋体"/>
          <w:color w:val="auto"/>
          <w:kern w:val="0"/>
          <w:sz w:val="21"/>
          <w:szCs w:val="21"/>
          <w:highlight w:val="none"/>
          <w:shd w:val="clear" w:color="auto" w:fill="FFFFFF"/>
          <w:lang w:val="en-US" w:eastAsia="zh-CN"/>
        </w:rPr>
        <w:t>日</w:t>
      </w:r>
    </w:p>
    <w:p w14:paraId="20C6AEAC">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2" w:firstLineChars="200"/>
        <w:textAlignment w:val="auto"/>
        <w:rPr>
          <w:rFonts w:hint="eastAsia" w:ascii="宋体" w:hAnsi="宋体" w:eastAsia="宋体" w:cs="宋体"/>
          <w:b/>
          <w:bCs/>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rPr>
        <w:t>二、申请人的资格要求：</w:t>
      </w:r>
    </w:p>
    <w:p w14:paraId="152E12EE">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1.满足《中华人民共和国政府采购法》第二十二条规定;</w:t>
      </w:r>
    </w:p>
    <w:p w14:paraId="7697B568">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2.落实政府采购政策需满足的资格要求：</w:t>
      </w:r>
    </w:p>
    <w:p w14:paraId="27AB466E">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eastAsia" w:ascii="宋体" w:hAnsi="宋体" w:eastAsia="宋体" w:cs="宋体"/>
          <w:color w:val="000000" w:themeColor="text1"/>
          <w:kern w:val="0"/>
          <w:sz w:val="21"/>
          <w:szCs w:val="21"/>
          <w:highlight w:val="none"/>
          <w:shd w:val="clear" w:color="auto" w:fill="FFFFFF"/>
          <w14:textFill>
            <w14:solidFill>
              <w14:schemeClr w14:val="tx1"/>
            </w14:solidFill>
          </w14:textFill>
        </w:rPr>
      </w:pPr>
      <w:r>
        <w:rPr>
          <w:rFonts w:hint="eastAsia" w:ascii="宋体" w:hAnsi="宋体" w:eastAsia="宋体" w:cs="宋体"/>
          <w:color w:val="auto"/>
          <w:kern w:val="0"/>
          <w:sz w:val="21"/>
          <w:szCs w:val="21"/>
          <w:highlight w:val="none"/>
          <w:shd w:val="clear" w:color="auto" w:fill="FFFFFF"/>
        </w:rPr>
        <w:t>合同包1(</w:t>
      </w:r>
      <w:r>
        <w:rPr>
          <w:rFonts w:hint="eastAsia" w:cs="宋体"/>
          <w:color w:val="auto"/>
          <w:kern w:val="2"/>
          <w:sz w:val="21"/>
          <w:szCs w:val="21"/>
          <w:lang w:eastAsia="zh-CN"/>
        </w:rPr>
        <w:t>泾阳县人民政府会议室改造项目</w:t>
      </w:r>
      <w:r>
        <w:rPr>
          <w:rFonts w:hint="eastAsia" w:ascii="宋体" w:hAnsi="宋体" w:eastAsia="宋体" w:cs="宋体"/>
          <w:color w:val="auto"/>
          <w:kern w:val="0"/>
          <w:sz w:val="21"/>
          <w:szCs w:val="21"/>
          <w:highlight w:val="none"/>
          <w:shd w:val="clear" w:color="auto" w:fill="FFFFFF"/>
        </w:rPr>
        <w:t>)落实政府采购政策需满足的资格要求如下</w:t>
      </w:r>
      <w:r>
        <w:rPr>
          <w:rFonts w:hint="eastAsia" w:ascii="宋体" w:hAnsi="宋体" w:eastAsia="宋体" w:cs="宋体"/>
          <w:color w:val="auto"/>
          <w:kern w:val="0"/>
          <w:sz w:val="21"/>
          <w:szCs w:val="21"/>
          <w:highlight w:val="none"/>
          <w:shd w:val="clear" w:color="auto" w:fill="FFFFFF"/>
          <w:lang w:eastAsia="zh-CN"/>
        </w:rPr>
        <w:t>：</w:t>
      </w:r>
      <w:r>
        <w:rPr>
          <w:rFonts w:hint="eastAsia" w:ascii="宋体" w:hAnsi="宋体" w:eastAsia="宋体" w:cs="宋体"/>
          <w:color w:val="auto"/>
          <w:kern w:val="0"/>
          <w:sz w:val="21"/>
          <w:szCs w:val="21"/>
          <w:highlight w:val="none"/>
          <w:shd w:val="clear" w:color="auto" w:fill="FFFFFF"/>
        </w:rPr>
        <w:t>本</w:t>
      </w:r>
      <w:r>
        <w:rPr>
          <w:rFonts w:hint="eastAsia" w:ascii="宋体" w:hAnsi="宋体" w:eastAsia="宋体" w:cs="宋体"/>
          <w:color w:val="000000" w:themeColor="text1"/>
          <w:kern w:val="0"/>
          <w:sz w:val="21"/>
          <w:szCs w:val="21"/>
          <w:highlight w:val="none"/>
          <w:shd w:val="clear" w:color="auto" w:fill="FFFFFF"/>
          <w14:textFill>
            <w14:solidFill>
              <w14:schemeClr w14:val="tx1"/>
            </w14:solidFill>
          </w14:textFill>
        </w:rPr>
        <w:t>项目专门面向</w:t>
      </w:r>
      <w:r>
        <w:rPr>
          <w:rFonts w:hint="eastAsia" w:ascii="宋体" w:hAnsi="宋体" w:eastAsia="宋体" w:cs="宋体"/>
          <w:color w:val="000000" w:themeColor="text1"/>
          <w:kern w:val="0"/>
          <w:sz w:val="21"/>
          <w:szCs w:val="21"/>
          <w:highlight w:val="none"/>
          <w:shd w:val="clear" w:color="auto" w:fill="FFFFFF"/>
          <w:lang w:val="en-US" w:eastAsia="zh-CN"/>
          <w14:textFill>
            <w14:solidFill>
              <w14:schemeClr w14:val="tx1"/>
            </w14:solidFill>
          </w14:textFill>
        </w:rPr>
        <w:t>中小</w:t>
      </w:r>
      <w:r>
        <w:rPr>
          <w:rFonts w:hint="eastAsia" w:ascii="宋体" w:hAnsi="宋体" w:eastAsia="宋体" w:cs="宋体"/>
          <w:color w:val="000000" w:themeColor="text1"/>
          <w:kern w:val="0"/>
          <w:sz w:val="21"/>
          <w:szCs w:val="21"/>
          <w:highlight w:val="none"/>
          <w:shd w:val="clear" w:color="auto" w:fill="FFFFFF"/>
          <w14:textFill>
            <w14:solidFill>
              <w14:schemeClr w14:val="tx1"/>
            </w14:solidFill>
          </w14:textFill>
        </w:rPr>
        <w:t>企业采购。</w:t>
      </w:r>
    </w:p>
    <w:p w14:paraId="1F6C331B">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2" w:firstLineChars="200"/>
        <w:textAlignment w:val="auto"/>
        <w:rPr>
          <w:rFonts w:hint="eastAsia" w:ascii="宋体" w:hAnsi="宋体" w:eastAsia="宋体" w:cs="宋体"/>
          <w:b/>
          <w:bCs/>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rPr>
        <w:t>3.本项目的特定资格要求：</w:t>
      </w:r>
    </w:p>
    <w:p w14:paraId="34EFB237">
      <w:pPr>
        <w:pStyle w:val="3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合同包1(</w:t>
      </w:r>
      <w:r>
        <w:rPr>
          <w:rFonts w:hint="eastAsia" w:cs="宋体"/>
          <w:color w:val="auto"/>
          <w:kern w:val="0"/>
          <w:sz w:val="21"/>
          <w:szCs w:val="21"/>
          <w:highlight w:val="none"/>
          <w:shd w:val="clear" w:color="auto" w:fill="FFFFFF"/>
          <w:lang w:eastAsia="zh-CN"/>
        </w:rPr>
        <w:t>泾阳县人民政府会议室改造项目</w:t>
      </w:r>
      <w:r>
        <w:rPr>
          <w:rFonts w:hint="eastAsia" w:ascii="宋体" w:hAnsi="宋体" w:eastAsia="宋体" w:cs="宋体"/>
          <w:color w:val="auto"/>
          <w:kern w:val="0"/>
          <w:sz w:val="21"/>
          <w:szCs w:val="21"/>
          <w:highlight w:val="none"/>
          <w:shd w:val="clear" w:color="auto" w:fill="FFFFFF"/>
        </w:rPr>
        <w:t>)特定资格要求如下:</w:t>
      </w:r>
    </w:p>
    <w:p w14:paraId="55BC7ED2">
      <w:pPr>
        <w:pStyle w:val="32"/>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具有独立承担民事责任能力的法人、其他组织或自然人，并出具合法有效的营业执照或事业单位法人证书等国家规定的相关证明，自然人参与的提供其身份证明；</w:t>
      </w:r>
    </w:p>
    <w:p w14:paraId="02D3BDEB">
      <w:pPr>
        <w:pStyle w:val="32"/>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rPr>
        <w:t>供应商须</w:t>
      </w:r>
      <w:r>
        <w:rPr>
          <w:rFonts w:hint="eastAsia" w:ascii="宋体" w:hAnsi="宋体" w:eastAsia="宋体" w:cs="宋体"/>
          <w:color w:val="auto"/>
          <w:kern w:val="0"/>
          <w:sz w:val="21"/>
          <w:szCs w:val="21"/>
          <w:highlight w:val="none"/>
          <w:shd w:val="clear" w:color="auto" w:fill="FFFFFF"/>
        </w:rPr>
        <w:t>提供具有财务审计资质单位出具的202</w:t>
      </w:r>
      <w:r>
        <w:rPr>
          <w:rFonts w:hint="eastAsia" w:ascii="宋体" w:hAnsi="宋体" w:eastAsia="宋体" w:cs="宋体"/>
          <w:color w:val="auto"/>
          <w:kern w:val="0"/>
          <w:sz w:val="21"/>
          <w:szCs w:val="21"/>
          <w:highlight w:val="none"/>
          <w:shd w:val="clear" w:color="auto" w:fill="FFFFFF"/>
          <w:lang w:val="en-US" w:eastAsia="zh-CN"/>
        </w:rPr>
        <w:t>3</w:t>
      </w:r>
      <w:r>
        <w:rPr>
          <w:rFonts w:hint="eastAsia" w:ascii="宋体" w:hAnsi="宋体" w:eastAsia="宋体" w:cs="宋体"/>
          <w:color w:val="auto"/>
          <w:kern w:val="0"/>
          <w:sz w:val="21"/>
          <w:szCs w:val="21"/>
          <w:highlight w:val="none"/>
          <w:shd w:val="clear" w:color="auto" w:fill="FFFFFF"/>
        </w:rPr>
        <w:t>年</w:t>
      </w:r>
      <w:r>
        <w:rPr>
          <w:rFonts w:hint="eastAsia" w:ascii="宋体" w:hAnsi="宋体" w:eastAsia="宋体" w:cs="宋体"/>
          <w:color w:val="auto"/>
          <w:kern w:val="0"/>
          <w:sz w:val="21"/>
          <w:szCs w:val="21"/>
          <w:highlight w:val="none"/>
          <w:shd w:val="clear" w:color="auto" w:fill="FFFFFF"/>
          <w:lang w:val="en-US" w:eastAsia="zh-CN"/>
        </w:rPr>
        <w:t>-2024年任意一年年</w:t>
      </w:r>
      <w:r>
        <w:rPr>
          <w:rFonts w:hint="eastAsia" w:ascii="宋体" w:hAnsi="宋体" w:eastAsia="宋体" w:cs="宋体"/>
          <w:color w:val="auto"/>
          <w:kern w:val="0"/>
          <w:sz w:val="21"/>
          <w:szCs w:val="21"/>
          <w:highlight w:val="none"/>
          <w:shd w:val="clear" w:color="auto" w:fill="FFFFFF"/>
        </w:rPr>
        <w:t>度财务报告（包括资产负债表、利润表、现金流量表及会计报表附注，成立时间至开标时间不足一年的可提供成立后任意时段的资产负债表）或开标前六个月内其基本账户银行出具的资信证明（附开户许可证</w:t>
      </w:r>
      <w:r>
        <w:rPr>
          <w:rFonts w:hint="eastAsia" w:ascii="宋体" w:hAnsi="宋体" w:eastAsia="宋体" w:cs="宋体"/>
          <w:color w:val="auto"/>
          <w:kern w:val="0"/>
          <w:sz w:val="21"/>
          <w:szCs w:val="21"/>
          <w:highlight w:val="none"/>
          <w:shd w:val="clear" w:color="auto" w:fill="FFFFFF"/>
          <w:lang w:val="en-US" w:eastAsia="zh-CN"/>
        </w:rPr>
        <w:t>或</w:t>
      </w:r>
      <w:r>
        <w:rPr>
          <w:rFonts w:hint="eastAsia" w:ascii="宋体" w:hAnsi="宋体" w:eastAsia="宋体" w:cs="宋体"/>
          <w:color w:val="auto"/>
          <w:kern w:val="0"/>
          <w:sz w:val="21"/>
          <w:szCs w:val="21"/>
          <w:highlight w:val="none"/>
          <w:shd w:val="clear" w:color="auto" w:fill="FFFFFF"/>
        </w:rPr>
        <w:t>基本存款账户信息）或政府采购信用担保机构出具的投标担保函；</w:t>
      </w:r>
    </w:p>
    <w:p w14:paraId="760C0097">
      <w:pPr>
        <w:pStyle w:val="32"/>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eastAsia" w:ascii="宋体" w:hAnsi="宋体" w:eastAsia="宋体" w:cs="宋体"/>
          <w:color w:val="auto"/>
          <w:kern w:val="0"/>
          <w:sz w:val="21"/>
          <w:szCs w:val="21"/>
          <w:highlight w:val="none"/>
          <w:shd w:val="clear" w:color="auto" w:fill="FFFFFF"/>
          <w:lang w:val="en-US" w:eastAsia="zh-CN"/>
        </w:rPr>
      </w:pPr>
      <w:r>
        <w:rPr>
          <w:rFonts w:hint="eastAsia" w:ascii="宋体" w:hAnsi="宋体" w:eastAsia="宋体" w:cs="宋体"/>
          <w:color w:val="auto"/>
          <w:kern w:val="0"/>
          <w:sz w:val="21"/>
          <w:szCs w:val="21"/>
          <w:highlight w:val="none"/>
          <w:shd w:val="clear" w:color="auto" w:fill="FFFFFF"/>
          <w:lang w:val="en-US" w:eastAsia="zh-CN"/>
        </w:rPr>
        <w:t>供应商须提供2024年</w:t>
      </w:r>
      <w:r>
        <w:rPr>
          <w:rFonts w:hint="eastAsia" w:cs="宋体"/>
          <w:color w:val="auto"/>
          <w:kern w:val="0"/>
          <w:sz w:val="21"/>
          <w:szCs w:val="21"/>
          <w:highlight w:val="none"/>
          <w:shd w:val="clear" w:color="auto" w:fill="FFFFFF"/>
          <w:lang w:val="en-US" w:eastAsia="zh-CN"/>
        </w:rPr>
        <w:t>8</w:t>
      </w:r>
      <w:r>
        <w:rPr>
          <w:rFonts w:hint="eastAsia" w:ascii="宋体" w:hAnsi="宋体" w:eastAsia="宋体" w:cs="宋体"/>
          <w:color w:val="auto"/>
          <w:kern w:val="0"/>
          <w:sz w:val="21"/>
          <w:szCs w:val="21"/>
          <w:highlight w:val="none"/>
          <w:shd w:val="clear" w:color="auto" w:fill="FFFFFF"/>
          <w:lang w:val="en-US" w:eastAsia="zh-CN"/>
        </w:rPr>
        <w:t xml:space="preserve">月至今任意一个月已缴纳完税凭证或税务机关开具的完税证明，依法免税或无须缴纳税收的供应商应提供相关文件证明； </w:t>
      </w:r>
    </w:p>
    <w:p w14:paraId="6FD000C5">
      <w:pPr>
        <w:pStyle w:val="32"/>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eastAsia" w:ascii="宋体" w:hAnsi="宋体" w:eastAsia="宋体" w:cs="宋体"/>
          <w:color w:val="auto"/>
          <w:kern w:val="0"/>
          <w:sz w:val="21"/>
          <w:szCs w:val="21"/>
          <w:highlight w:val="none"/>
          <w:shd w:val="clear" w:color="auto" w:fill="FFFFFF"/>
          <w:lang w:val="en-US" w:eastAsia="zh-CN"/>
        </w:rPr>
      </w:pPr>
      <w:r>
        <w:rPr>
          <w:rFonts w:hint="eastAsia" w:ascii="宋体" w:hAnsi="宋体" w:eastAsia="宋体" w:cs="宋体"/>
          <w:color w:val="auto"/>
          <w:kern w:val="0"/>
          <w:sz w:val="21"/>
          <w:szCs w:val="21"/>
          <w:highlight w:val="none"/>
          <w:shd w:val="clear" w:color="auto" w:fill="FFFFFF"/>
          <w:lang w:val="en-US" w:eastAsia="zh-CN"/>
        </w:rPr>
        <w:t>供应商须提供2024年</w:t>
      </w:r>
      <w:r>
        <w:rPr>
          <w:rFonts w:hint="eastAsia" w:cs="宋体"/>
          <w:color w:val="auto"/>
          <w:kern w:val="0"/>
          <w:sz w:val="21"/>
          <w:szCs w:val="21"/>
          <w:highlight w:val="none"/>
          <w:shd w:val="clear" w:color="auto" w:fill="FFFFFF"/>
          <w:lang w:val="en-US" w:eastAsia="zh-CN"/>
        </w:rPr>
        <w:t>8</w:t>
      </w:r>
      <w:r>
        <w:rPr>
          <w:rFonts w:hint="eastAsia" w:ascii="宋体" w:hAnsi="宋体" w:eastAsia="宋体" w:cs="宋体"/>
          <w:color w:val="auto"/>
          <w:kern w:val="0"/>
          <w:sz w:val="21"/>
          <w:szCs w:val="21"/>
          <w:highlight w:val="none"/>
          <w:shd w:val="clear" w:color="auto" w:fill="FFFFFF"/>
          <w:lang w:val="en-US" w:eastAsia="zh-CN"/>
        </w:rPr>
        <w:t>月至今任意一个月已缴纳的社会保障资金缴存单据或社保机构开具的社会保险参保缴费情况证明，依法不需要缴纳社会保障资金的供应商应提供相关证明；</w:t>
      </w:r>
    </w:p>
    <w:p w14:paraId="6DA6527E">
      <w:pPr>
        <w:pStyle w:val="32"/>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具备履行合同所必需的设备和专业技术能力的证明材料(由供应商根据项目需求提供说明材料或者承诺)；</w:t>
      </w:r>
    </w:p>
    <w:p w14:paraId="22F20EE7">
      <w:pPr>
        <w:pStyle w:val="32"/>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提供参加政府采购活动前三年内在经营活动中没有重大违法记录的书面声明；</w:t>
      </w:r>
    </w:p>
    <w:p w14:paraId="548D6927">
      <w:pPr>
        <w:pStyle w:val="32"/>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供应商应授权合法的人员参加磋商全过程，其中法定代表人直接参加磋商的，须出具法定代表人身份证明及法人身份证原件及复印件；法定代表人授权代表参加磋商的，须出具法定代表人授权书及授权代表身份证原件及复印件；</w:t>
      </w:r>
    </w:p>
    <w:p w14:paraId="4C7560DB">
      <w:pPr>
        <w:pStyle w:val="32"/>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供应商须具备建筑工程施工总承包叁级（含叁级）以上资质，同时具备建设行政主管部门颁发有效的安全生产许可证；</w:t>
      </w:r>
    </w:p>
    <w:p w14:paraId="21307CE1">
      <w:pPr>
        <w:pStyle w:val="32"/>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拟投入的项目经理须具备建筑工程专业贰级（含贰级）以上注册建造师执业资格和有效的安全生产考核B证，且未担任其他在建工程项目的项目经理（需提供企业书面承诺等证明材料）；</w:t>
      </w:r>
    </w:p>
    <w:p w14:paraId="78F610E1">
      <w:pPr>
        <w:pStyle w:val="32"/>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供应商及其拟派项目经理须在“陕西省住房和城乡建设厅”官方网站可查询；</w:t>
      </w:r>
    </w:p>
    <w:p w14:paraId="169CE0E7">
      <w:pPr>
        <w:pStyle w:val="32"/>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供应商不得为列入信用中国(www.creditchina.gov.cn)的重大税收违法案件当事人名单记录或中国执行信息公开网（http://zxgk.court.gov.cn/shixin/）的失信被执行人名单记录或中国政府采购网(www.ccgp.gov.cn)的政府采购严重违法失信行为记录名单；</w:t>
      </w:r>
    </w:p>
    <w:p w14:paraId="480C9683">
      <w:pPr>
        <w:pStyle w:val="32"/>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与招标人存在利害关系可能影响招标公正性的单位，不得参加投标、单位负责人为同一人或存在控股、管理关系的不同单位，不得参加同一标段投标，否则，相关投标均无效；</w:t>
      </w:r>
    </w:p>
    <w:p w14:paraId="1F0D3642">
      <w:pPr>
        <w:pStyle w:val="32"/>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sz w:val="21"/>
          <w:szCs w:val="21"/>
          <w:highlight w:val="none"/>
          <w:lang w:val="en-US" w:eastAsia="zh-CN"/>
        </w:rPr>
        <w:t>本项目不接受联合体磋商</w:t>
      </w:r>
      <w:r>
        <w:rPr>
          <w:rFonts w:hint="eastAsia" w:ascii="宋体" w:hAnsi="宋体" w:eastAsia="宋体" w:cs="宋体"/>
          <w:color w:val="auto"/>
          <w:kern w:val="0"/>
          <w:sz w:val="21"/>
          <w:szCs w:val="21"/>
          <w:highlight w:val="none"/>
          <w:shd w:val="clear" w:color="auto" w:fill="FFFFFF"/>
        </w:rPr>
        <w:t>。</w:t>
      </w:r>
    </w:p>
    <w:p w14:paraId="5501AA2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22" w:firstLineChars="200"/>
        <w:jc w:val="left"/>
        <w:textAlignment w:val="baseline"/>
        <w:rPr>
          <w:rFonts w:hint="eastAsia" w:ascii="宋体" w:hAnsi="宋体" w:eastAsia="宋体" w:cs="宋体"/>
          <w:b w:val="0"/>
          <w:bCs w:val="0"/>
          <w:color w:val="auto"/>
          <w:sz w:val="21"/>
          <w:szCs w:val="21"/>
          <w:highlight w:val="none"/>
        </w:rPr>
      </w:pPr>
      <w:r>
        <w:rPr>
          <w:rStyle w:val="40"/>
          <w:rFonts w:hint="eastAsia" w:ascii="宋体" w:hAnsi="宋体" w:eastAsia="宋体" w:cs="宋体"/>
          <w:b/>
          <w:bCs/>
          <w:i w:val="0"/>
          <w:iCs w:val="0"/>
          <w:caps w:val="0"/>
          <w:color w:val="auto"/>
          <w:spacing w:val="0"/>
          <w:sz w:val="21"/>
          <w:szCs w:val="21"/>
          <w:highlight w:val="none"/>
          <w:shd w:val="clear" w:fill="FFFFFF"/>
          <w:vertAlign w:val="baseline"/>
        </w:rPr>
        <w:t>三、获取采购文件</w:t>
      </w:r>
    </w:p>
    <w:p w14:paraId="2C3517F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vertAlign w:val="baseline"/>
        </w:rPr>
        <w:t>时间：2025年</w:t>
      </w:r>
      <w:r>
        <w:rPr>
          <w:rFonts w:hint="eastAsia" w:cs="宋体"/>
          <w:i w:val="0"/>
          <w:iCs w:val="0"/>
          <w:caps w:val="0"/>
          <w:color w:val="auto"/>
          <w:spacing w:val="0"/>
          <w:sz w:val="21"/>
          <w:szCs w:val="21"/>
          <w:highlight w:val="none"/>
          <w:shd w:val="clear" w:fill="FFFFFF"/>
          <w:vertAlign w:val="baseline"/>
          <w:lang w:val="en-US" w:eastAsia="zh-CN"/>
        </w:rPr>
        <w:t>09</w:t>
      </w:r>
      <w:r>
        <w:rPr>
          <w:rFonts w:hint="eastAsia" w:ascii="宋体" w:hAnsi="宋体" w:eastAsia="宋体" w:cs="宋体"/>
          <w:i w:val="0"/>
          <w:iCs w:val="0"/>
          <w:caps w:val="0"/>
          <w:color w:val="auto"/>
          <w:spacing w:val="0"/>
          <w:sz w:val="21"/>
          <w:szCs w:val="21"/>
          <w:highlight w:val="none"/>
          <w:shd w:val="clear" w:fill="FFFFFF"/>
          <w:vertAlign w:val="baseline"/>
        </w:rPr>
        <w:t>月</w:t>
      </w:r>
      <w:r>
        <w:rPr>
          <w:rFonts w:hint="eastAsia" w:cs="宋体"/>
          <w:i w:val="0"/>
          <w:iCs w:val="0"/>
          <w:caps w:val="0"/>
          <w:color w:val="auto"/>
          <w:spacing w:val="0"/>
          <w:sz w:val="21"/>
          <w:szCs w:val="21"/>
          <w:highlight w:val="none"/>
          <w:shd w:val="clear" w:fill="FFFFFF"/>
          <w:vertAlign w:val="baseline"/>
          <w:lang w:val="en-US" w:eastAsia="zh-CN"/>
        </w:rPr>
        <w:t>19</w:t>
      </w:r>
      <w:r>
        <w:rPr>
          <w:rFonts w:hint="eastAsia" w:ascii="宋体" w:hAnsi="宋体" w:eastAsia="宋体" w:cs="宋体"/>
          <w:i w:val="0"/>
          <w:iCs w:val="0"/>
          <w:caps w:val="0"/>
          <w:color w:val="auto"/>
          <w:spacing w:val="0"/>
          <w:sz w:val="21"/>
          <w:szCs w:val="21"/>
          <w:highlight w:val="none"/>
          <w:shd w:val="clear" w:fill="FFFFFF"/>
          <w:vertAlign w:val="baseline"/>
        </w:rPr>
        <w:t>日至2025年</w:t>
      </w:r>
      <w:r>
        <w:rPr>
          <w:rFonts w:hint="eastAsia" w:cs="宋体"/>
          <w:i w:val="0"/>
          <w:iCs w:val="0"/>
          <w:caps w:val="0"/>
          <w:color w:val="auto"/>
          <w:spacing w:val="0"/>
          <w:sz w:val="21"/>
          <w:szCs w:val="21"/>
          <w:highlight w:val="none"/>
          <w:shd w:val="clear" w:fill="FFFFFF"/>
          <w:vertAlign w:val="baseline"/>
          <w:lang w:val="en-US" w:eastAsia="zh-CN"/>
        </w:rPr>
        <w:t>09</w:t>
      </w:r>
      <w:r>
        <w:rPr>
          <w:rFonts w:hint="eastAsia" w:ascii="宋体" w:hAnsi="宋体" w:eastAsia="宋体" w:cs="宋体"/>
          <w:i w:val="0"/>
          <w:iCs w:val="0"/>
          <w:caps w:val="0"/>
          <w:color w:val="auto"/>
          <w:spacing w:val="0"/>
          <w:sz w:val="21"/>
          <w:szCs w:val="21"/>
          <w:highlight w:val="none"/>
          <w:shd w:val="clear" w:fill="FFFFFF"/>
          <w:vertAlign w:val="baseline"/>
        </w:rPr>
        <w:t>月</w:t>
      </w:r>
      <w:r>
        <w:rPr>
          <w:rFonts w:hint="eastAsia" w:cs="宋体"/>
          <w:i w:val="0"/>
          <w:iCs w:val="0"/>
          <w:caps w:val="0"/>
          <w:color w:val="auto"/>
          <w:spacing w:val="0"/>
          <w:sz w:val="21"/>
          <w:szCs w:val="21"/>
          <w:highlight w:val="none"/>
          <w:shd w:val="clear" w:fill="FFFFFF"/>
          <w:vertAlign w:val="baseline"/>
          <w:lang w:val="en-US" w:eastAsia="zh-CN"/>
        </w:rPr>
        <w:t>26</w:t>
      </w:r>
      <w:r>
        <w:rPr>
          <w:rFonts w:hint="eastAsia" w:ascii="宋体" w:hAnsi="宋体" w:eastAsia="宋体" w:cs="宋体"/>
          <w:i w:val="0"/>
          <w:iCs w:val="0"/>
          <w:caps w:val="0"/>
          <w:color w:val="auto"/>
          <w:spacing w:val="0"/>
          <w:sz w:val="21"/>
          <w:szCs w:val="21"/>
          <w:highlight w:val="none"/>
          <w:shd w:val="clear" w:fill="FFFFFF"/>
          <w:vertAlign w:val="baseline"/>
          <w:lang w:val="en-US" w:eastAsia="zh-CN"/>
        </w:rPr>
        <w:t>日，每天上午00:00:00至12:00:00，下午12:00:00至23:59:59（北京时间）</w:t>
      </w:r>
    </w:p>
    <w:p w14:paraId="6093A495">
      <w:pPr>
        <w:keepNext w:val="0"/>
        <w:keepLines w:val="0"/>
        <w:pageBreakBefore w:val="0"/>
        <w:shd w:val="clear" w:color="auto" w:fill="auto"/>
        <w:kinsoku/>
        <w:overflowPunct/>
        <w:topLinePunct w:val="0"/>
        <w:autoSpaceDE/>
        <w:autoSpaceDN/>
        <w:bidi w:val="0"/>
        <w:adjustRightInd/>
        <w:snapToGrid/>
        <w:spacing w:line="360" w:lineRule="auto"/>
        <w:ind w:firstLine="420" w:firstLineChars="200"/>
        <w:rPr>
          <w:rFonts w:hint="eastAsia" w:ascii="宋体" w:hAnsi="宋体" w:eastAsia="宋体" w:cs="宋体"/>
          <w:i w:val="0"/>
          <w:iCs w:val="0"/>
          <w:caps w:val="0"/>
          <w:color w:val="auto"/>
          <w:spacing w:val="0"/>
          <w:kern w:val="0"/>
          <w:sz w:val="21"/>
          <w:szCs w:val="21"/>
          <w:highlight w:val="none"/>
          <w:shd w:val="clear" w:fill="FFFFFF"/>
          <w:vertAlign w:val="baseline"/>
          <w:lang w:val="en-US" w:eastAsia="zh-CN" w:bidi="ar-SA"/>
        </w:rPr>
      </w:pPr>
      <w:r>
        <w:rPr>
          <w:rFonts w:hint="eastAsia" w:ascii="宋体" w:hAnsi="宋体" w:eastAsia="宋体" w:cs="宋体"/>
          <w:i w:val="0"/>
          <w:iCs w:val="0"/>
          <w:caps w:val="0"/>
          <w:color w:val="auto"/>
          <w:spacing w:val="0"/>
          <w:kern w:val="0"/>
          <w:sz w:val="21"/>
          <w:szCs w:val="21"/>
          <w:highlight w:val="none"/>
          <w:shd w:val="clear" w:fill="FFFFFF"/>
          <w:vertAlign w:val="baseline"/>
          <w:lang w:val="en-US" w:eastAsia="zh-CN" w:bidi="ar-SA"/>
        </w:rPr>
        <w:t>途径：全国公共资源交易平台（陕西省·咸阳市）网站〖首页〉电子交易平台〉陕西政府采购交易系统〉企业端〗</w:t>
      </w:r>
    </w:p>
    <w:p w14:paraId="62147B6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i w:val="0"/>
          <w:iCs w:val="0"/>
          <w:caps w:val="0"/>
          <w:color w:val="auto"/>
          <w:spacing w:val="0"/>
          <w:kern w:val="0"/>
          <w:sz w:val="21"/>
          <w:szCs w:val="21"/>
          <w:highlight w:val="none"/>
          <w:shd w:val="clear" w:fill="FFFFFF"/>
          <w:vertAlign w:val="baseline"/>
          <w:lang w:val="en-US" w:eastAsia="zh-CN" w:bidi="ar-SA"/>
        </w:rPr>
      </w:pPr>
      <w:r>
        <w:rPr>
          <w:rFonts w:hint="eastAsia" w:ascii="宋体" w:hAnsi="宋体" w:eastAsia="宋体" w:cs="宋体"/>
          <w:i w:val="0"/>
          <w:iCs w:val="0"/>
          <w:caps w:val="0"/>
          <w:color w:val="auto"/>
          <w:spacing w:val="0"/>
          <w:sz w:val="21"/>
          <w:szCs w:val="21"/>
          <w:highlight w:val="none"/>
          <w:shd w:val="clear" w:fill="FFFFFF"/>
          <w:vertAlign w:val="baseline"/>
        </w:rPr>
        <w:t>方</w:t>
      </w:r>
      <w:r>
        <w:rPr>
          <w:rFonts w:hint="eastAsia" w:ascii="宋体" w:hAnsi="宋体" w:eastAsia="宋体" w:cs="宋体"/>
          <w:i w:val="0"/>
          <w:iCs w:val="0"/>
          <w:caps w:val="0"/>
          <w:color w:val="auto"/>
          <w:spacing w:val="0"/>
          <w:kern w:val="0"/>
          <w:sz w:val="21"/>
          <w:szCs w:val="21"/>
          <w:highlight w:val="none"/>
          <w:shd w:val="clear" w:fill="FFFFFF"/>
          <w:vertAlign w:val="baseline"/>
          <w:lang w:val="en-US" w:eastAsia="zh-CN" w:bidi="ar-SA"/>
        </w:rPr>
        <w:t>式：网上自行下载（逾期下载通道自行关闭，已投标未下载采购文件的供应商自行承担责任）</w:t>
      </w:r>
    </w:p>
    <w:p w14:paraId="7164F13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fill="FFFFFF"/>
          <w:vertAlign w:val="baseline"/>
        </w:rPr>
        <w:t>售价：</w:t>
      </w:r>
      <w:r>
        <w:rPr>
          <w:rFonts w:hint="eastAsia" w:ascii="宋体" w:hAnsi="宋体" w:eastAsia="宋体" w:cs="宋体"/>
          <w:i w:val="0"/>
          <w:iCs w:val="0"/>
          <w:caps w:val="0"/>
          <w:color w:val="auto"/>
          <w:spacing w:val="0"/>
          <w:sz w:val="21"/>
          <w:szCs w:val="21"/>
          <w:highlight w:val="none"/>
          <w:shd w:val="clear" w:fill="FFFFFF"/>
          <w:vertAlign w:val="baseline"/>
          <w:lang w:val="en-US" w:eastAsia="zh-CN"/>
        </w:rPr>
        <w:t>0元</w:t>
      </w:r>
    </w:p>
    <w:p w14:paraId="689D142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22" w:firstLineChars="200"/>
        <w:jc w:val="left"/>
        <w:textAlignment w:val="baseline"/>
        <w:rPr>
          <w:rFonts w:hint="eastAsia" w:ascii="宋体" w:hAnsi="宋体" w:eastAsia="宋体" w:cs="宋体"/>
          <w:b w:val="0"/>
          <w:bCs w:val="0"/>
          <w:color w:val="auto"/>
          <w:sz w:val="21"/>
          <w:szCs w:val="21"/>
          <w:highlight w:val="none"/>
        </w:rPr>
      </w:pPr>
      <w:r>
        <w:rPr>
          <w:rStyle w:val="40"/>
          <w:rFonts w:hint="eastAsia" w:ascii="宋体" w:hAnsi="宋体" w:eastAsia="宋体" w:cs="宋体"/>
          <w:b/>
          <w:bCs/>
          <w:i w:val="0"/>
          <w:iCs w:val="0"/>
          <w:caps w:val="0"/>
          <w:color w:val="auto"/>
          <w:spacing w:val="0"/>
          <w:sz w:val="21"/>
          <w:szCs w:val="21"/>
          <w:highlight w:val="none"/>
          <w:shd w:val="clear" w:fill="FFFFFF"/>
          <w:vertAlign w:val="baseline"/>
        </w:rPr>
        <w:t>四</w:t>
      </w:r>
      <w:r>
        <w:rPr>
          <w:rStyle w:val="40"/>
          <w:rFonts w:hint="eastAsia" w:ascii="宋体" w:hAnsi="宋体" w:eastAsia="宋体" w:cs="宋体"/>
          <w:b/>
          <w:bCs/>
          <w:i w:val="0"/>
          <w:iCs w:val="0"/>
          <w:caps w:val="0"/>
          <w:color w:val="auto"/>
          <w:spacing w:val="0"/>
          <w:sz w:val="21"/>
          <w:szCs w:val="21"/>
          <w:highlight w:val="none"/>
          <w:shd w:val="clear" w:fill="FFFFFF"/>
          <w:vertAlign w:val="baseline"/>
          <w:lang w:eastAsia="zh-CN"/>
        </w:rPr>
        <w:t>、</w:t>
      </w:r>
      <w:r>
        <w:rPr>
          <w:rStyle w:val="40"/>
          <w:rFonts w:hint="eastAsia" w:ascii="宋体" w:hAnsi="宋体" w:eastAsia="宋体" w:cs="宋体"/>
          <w:b/>
          <w:bCs/>
          <w:i w:val="0"/>
          <w:iCs w:val="0"/>
          <w:caps w:val="0"/>
          <w:color w:val="auto"/>
          <w:spacing w:val="0"/>
          <w:sz w:val="21"/>
          <w:szCs w:val="21"/>
          <w:highlight w:val="none"/>
          <w:shd w:val="clear" w:fill="FFFFFF"/>
          <w:vertAlign w:val="baseline"/>
        </w:rPr>
        <w:t>响应文件提交</w:t>
      </w:r>
    </w:p>
    <w:p w14:paraId="2B7D9871">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vertAlign w:val="baseline"/>
        </w:rPr>
        <w:t>截止时间：2025年</w:t>
      </w:r>
      <w:r>
        <w:rPr>
          <w:rFonts w:hint="eastAsia" w:cs="宋体"/>
          <w:i w:val="0"/>
          <w:iCs w:val="0"/>
          <w:caps w:val="0"/>
          <w:color w:val="auto"/>
          <w:spacing w:val="0"/>
          <w:sz w:val="21"/>
          <w:szCs w:val="21"/>
          <w:highlight w:val="none"/>
          <w:shd w:val="clear" w:fill="FFFFFF"/>
          <w:vertAlign w:val="baseline"/>
          <w:lang w:val="en-US" w:eastAsia="zh-CN"/>
        </w:rPr>
        <w:t>09</w:t>
      </w:r>
      <w:r>
        <w:rPr>
          <w:rFonts w:hint="eastAsia" w:ascii="宋体" w:hAnsi="宋体" w:eastAsia="宋体" w:cs="宋体"/>
          <w:i w:val="0"/>
          <w:iCs w:val="0"/>
          <w:caps w:val="0"/>
          <w:color w:val="auto"/>
          <w:spacing w:val="0"/>
          <w:sz w:val="21"/>
          <w:szCs w:val="21"/>
          <w:highlight w:val="none"/>
          <w:shd w:val="clear" w:fill="FFFFFF"/>
          <w:vertAlign w:val="baseline"/>
        </w:rPr>
        <w:t>月</w:t>
      </w:r>
      <w:r>
        <w:rPr>
          <w:rFonts w:hint="eastAsia" w:cs="宋体"/>
          <w:i w:val="0"/>
          <w:iCs w:val="0"/>
          <w:caps w:val="0"/>
          <w:color w:val="auto"/>
          <w:spacing w:val="0"/>
          <w:sz w:val="21"/>
          <w:szCs w:val="21"/>
          <w:highlight w:val="none"/>
          <w:shd w:val="clear" w:fill="FFFFFF"/>
          <w:vertAlign w:val="baseline"/>
          <w:lang w:val="en-US" w:eastAsia="zh-CN"/>
        </w:rPr>
        <w:t>30</w:t>
      </w:r>
      <w:r>
        <w:rPr>
          <w:rFonts w:hint="eastAsia" w:ascii="宋体" w:hAnsi="宋体" w:eastAsia="宋体" w:cs="宋体"/>
          <w:i w:val="0"/>
          <w:iCs w:val="0"/>
          <w:caps w:val="0"/>
          <w:color w:val="auto"/>
          <w:spacing w:val="0"/>
          <w:sz w:val="21"/>
          <w:szCs w:val="21"/>
          <w:highlight w:val="none"/>
          <w:shd w:val="clear" w:fill="FFFFFF"/>
          <w:vertAlign w:val="baseline"/>
        </w:rPr>
        <w:t>日</w:t>
      </w:r>
      <w:r>
        <w:rPr>
          <w:rFonts w:hint="eastAsia" w:cs="宋体"/>
          <w:color w:val="auto"/>
          <w:sz w:val="21"/>
          <w:szCs w:val="21"/>
          <w:highlight w:val="none"/>
          <w:lang w:val="en-US" w:eastAsia="zh-CN"/>
        </w:rPr>
        <w:t>09</w:t>
      </w:r>
      <w:r>
        <w:rPr>
          <w:rFonts w:hint="eastAsia" w:ascii="宋体" w:hAnsi="宋体" w:eastAsia="宋体" w:cs="宋体"/>
          <w:color w:val="auto"/>
          <w:sz w:val="21"/>
          <w:szCs w:val="21"/>
          <w:highlight w:val="none"/>
          <w:lang w:val="en-US" w:eastAsia="zh-CN"/>
        </w:rPr>
        <w:t>时30分</w:t>
      </w:r>
      <w:r>
        <w:rPr>
          <w:rFonts w:hint="eastAsia" w:ascii="宋体" w:hAnsi="宋体" w:eastAsia="宋体" w:cs="宋体"/>
          <w:i w:val="0"/>
          <w:iCs w:val="0"/>
          <w:caps w:val="0"/>
          <w:color w:val="auto"/>
          <w:spacing w:val="0"/>
          <w:sz w:val="21"/>
          <w:szCs w:val="21"/>
          <w:highlight w:val="none"/>
          <w:shd w:val="clear" w:fill="FFFFFF"/>
          <w:vertAlign w:val="baseline"/>
        </w:rPr>
        <w:t>00秒（北京时间）</w:t>
      </w:r>
    </w:p>
    <w:p w14:paraId="58D9CFA3">
      <w:pPr>
        <w:keepNext w:val="0"/>
        <w:keepLines w:val="0"/>
        <w:pageBreakBefore w:val="0"/>
        <w:kinsoku/>
        <w:overflowPunct/>
        <w:topLinePunct w:val="0"/>
        <w:autoSpaceDE/>
        <w:autoSpaceDN/>
        <w:bidi w:val="0"/>
        <w:adjustRightInd/>
        <w:snapToGrid/>
        <w:spacing w:line="360" w:lineRule="auto"/>
        <w:ind w:firstLine="420" w:firstLineChars="200"/>
        <w:rPr>
          <w:rFonts w:hint="eastAsia" w:ascii="仿宋" w:hAnsi="仿宋" w:eastAsia="仿宋" w:cs="仿宋"/>
          <w:i w:val="0"/>
          <w:iCs w:val="0"/>
          <w:caps w:val="0"/>
          <w:color w:val="333333"/>
          <w:spacing w:val="0"/>
          <w:sz w:val="28"/>
          <w:szCs w:val="28"/>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fill="FFFFFF"/>
          <w:vertAlign w:val="baseline"/>
        </w:rPr>
        <w:t>地点</w:t>
      </w:r>
      <w:r>
        <w:rPr>
          <w:rFonts w:hint="eastAsia" w:ascii="宋体" w:hAnsi="宋体" w:eastAsia="宋体" w:cs="宋体"/>
          <w:i w:val="0"/>
          <w:iCs w:val="0"/>
          <w:caps w:val="0"/>
          <w:color w:val="auto"/>
          <w:spacing w:val="0"/>
          <w:kern w:val="0"/>
          <w:sz w:val="21"/>
          <w:szCs w:val="21"/>
          <w:highlight w:val="none"/>
          <w:shd w:val="clear" w:fill="FFFFFF"/>
          <w:vertAlign w:val="baseline"/>
          <w:lang w:val="en-US" w:eastAsia="zh-CN" w:bidi="ar-SA"/>
        </w:rPr>
        <w:t>：全国公共资源交易平台（陕西省·咸阳市）网站〖首页〉电子交易平台〉陕西政府采购交易系统〉企业端】，在线提交。</w:t>
      </w:r>
    </w:p>
    <w:p w14:paraId="7EBE619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22" w:firstLineChars="200"/>
        <w:jc w:val="left"/>
        <w:textAlignment w:val="baseline"/>
        <w:rPr>
          <w:rFonts w:hint="eastAsia" w:ascii="宋体" w:hAnsi="宋体" w:eastAsia="宋体" w:cs="宋体"/>
          <w:b w:val="0"/>
          <w:bCs w:val="0"/>
          <w:color w:val="auto"/>
          <w:sz w:val="21"/>
          <w:szCs w:val="21"/>
          <w:highlight w:val="none"/>
        </w:rPr>
      </w:pPr>
      <w:r>
        <w:rPr>
          <w:rStyle w:val="40"/>
          <w:rFonts w:hint="eastAsia" w:ascii="宋体" w:hAnsi="宋体" w:eastAsia="宋体" w:cs="宋体"/>
          <w:b/>
          <w:bCs/>
          <w:i w:val="0"/>
          <w:iCs w:val="0"/>
          <w:caps w:val="0"/>
          <w:color w:val="auto"/>
          <w:spacing w:val="0"/>
          <w:sz w:val="21"/>
          <w:szCs w:val="21"/>
          <w:highlight w:val="none"/>
          <w:shd w:val="clear" w:fill="FFFFFF"/>
          <w:vertAlign w:val="baseline"/>
        </w:rPr>
        <w:t>五、开启</w:t>
      </w:r>
    </w:p>
    <w:p w14:paraId="27C0E7CD">
      <w:pPr>
        <w:pStyle w:val="32"/>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时间：2025年</w:t>
      </w:r>
      <w:r>
        <w:rPr>
          <w:rFonts w:hint="eastAsia" w:cs="宋体"/>
          <w:color w:val="auto"/>
          <w:kern w:val="0"/>
          <w:sz w:val="21"/>
          <w:szCs w:val="21"/>
          <w:highlight w:val="none"/>
          <w:shd w:val="clear" w:color="auto" w:fill="FFFFFF"/>
          <w:lang w:val="en-US" w:eastAsia="zh-CN"/>
        </w:rPr>
        <w:t>09</w:t>
      </w:r>
      <w:r>
        <w:rPr>
          <w:rFonts w:hint="eastAsia" w:ascii="宋体" w:hAnsi="宋体" w:eastAsia="宋体" w:cs="宋体"/>
          <w:color w:val="auto"/>
          <w:kern w:val="0"/>
          <w:sz w:val="21"/>
          <w:szCs w:val="21"/>
          <w:highlight w:val="none"/>
          <w:shd w:val="clear" w:color="auto" w:fill="FFFFFF"/>
        </w:rPr>
        <w:t>月</w:t>
      </w:r>
      <w:r>
        <w:rPr>
          <w:rFonts w:hint="eastAsia" w:cs="宋体"/>
          <w:color w:val="auto"/>
          <w:kern w:val="0"/>
          <w:sz w:val="21"/>
          <w:szCs w:val="21"/>
          <w:highlight w:val="none"/>
          <w:shd w:val="clear" w:color="auto" w:fill="FFFFFF"/>
          <w:lang w:val="en-US" w:eastAsia="zh-CN"/>
        </w:rPr>
        <w:t>30</w:t>
      </w:r>
      <w:r>
        <w:rPr>
          <w:rFonts w:hint="eastAsia" w:ascii="宋体" w:hAnsi="宋体" w:eastAsia="宋体" w:cs="宋体"/>
          <w:color w:val="auto"/>
          <w:kern w:val="0"/>
          <w:sz w:val="21"/>
          <w:szCs w:val="21"/>
          <w:highlight w:val="none"/>
          <w:shd w:val="clear" w:color="auto" w:fill="FFFFFF"/>
        </w:rPr>
        <w:t>日</w:t>
      </w:r>
      <w:r>
        <w:rPr>
          <w:rFonts w:hint="eastAsia" w:cs="宋体"/>
          <w:color w:val="auto"/>
          <w:kern w:val="0"/>
          <w:sz w:val="21"/>
          <w:szCs w:val="21"/>
          <w:highlight w:val="none"/>
          <w:shd w:val="clear" w:color="auto" w:fill="FFFFFF"/>
          <w:lang w:val="en-US" w:eastAsia="zh-CN"/>
        </w:rPr>
        <w:t>09</w:t>
      </w:r>
      <w:r>
        <w:rPr>
          <w:rFonts w:hint="eastAsia" w:ascii="宋体" w:hAnsi="宋体" w:eastAsia="宋体" w:cs="宋体"/>
          <w:color w:val="auto"/>
          <w:kern w:val="0"/>
          <w:sz w:val="21"/>
          <w:szCs w:val="21"/>
          <w:highlight w:val="none"/>
          <w:shd w:val="clear" w:color="auto" w:fill="FFFFFF"/>
          <w:lang w:val="en-US" w:eastAsia="zh-CN"/>
        </w:rPr>
        <w:t>时30分</w:t>
      </w:r>
      <w:r>
        <w:rPr>
          <w:rFonts w:hint="eastAsia" w:ascii="宋体" w:hAnsi="宋体" w:eastAsia="宋体" w:cs="宋体"/>
          <w:color w:val="auto"/>
          <w:kern w:val="0"/>
          <w:sz w:val="21"/>
          <w:szCs w:val="21"/>
          <w:highlight w:val="none"/>
          <w:shd w:val="clear" w:color="auto" w:fill="FFFFFF"/>
        </w:rPr>
        <w:t>00秒（北京时间）</w:t>
      </w:r>
    </w:p>
    <w:p w14:paraId="419AD640">
      <w:pPr>
        <w:pStyle w:val="32"/>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地点：全国公共资源交易平台（陕西省.</w:t>
      </w:r>
      <w:r>
        <w:rPr>
          <w:rFonts w:hint="eastAsia" w:ascii="宋体" w:hAnsi="宋体" w:eastAsia="宋体" w:cs="宋体"/>
          <w:color w:val="auto"/>
          <w:kern w:val="0"/>
          <w:sz w:val="21"/>
          <w:szCs w:val="21"/>
          <w:highlight w:val="none"/>
          <w:shd w:val="clear" w:color="auto" w:fill="FFFFFF"/>
          <w:lang w:val="en-US" w:eastAsia="zh-CN"/>
        </w:rPr>
        <w:t>咸阳市</w:t>
      </w:r>
      <w:r>
        <w:rPr>
          <w:rFonts w:hint="eastAsia" w:ascii="宋体" w:hAnsi="宋体" w:eastAsia="宋体" w:cs="宋体"/>
          <w:color w:val="auto"/>
          <w:kern w:val="0"/>
          <w:sz w:val="21"/>
          <w:szCs w:val="21"/>
          <w:highlight w:val="none"/>
          <w:shd w:val="clear" w:color="auto" w:fill="FFFFFF"/>
        </w:rPr>
        <w:t>）不见面开标大厅</w:t>
      </w:r>
    </w:p>
    <w:p w14:paraId="2B240D7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22" w:firstLineChars="200"/>
        <w:jc w:val="left"/>
        <w:textAlignment w:val="baseline"/>
        <w:rPr>
          <w:rFonts w:hint="eastAsia" w:ascii="宋体" w:hAnsi="宋体" w:eastAsia="宋体" w:cs="宋体"/>
          <w:b w:val="0"/>
          <w:bCs w:val="0"/>
          <w:color w:val="auto"/>
          <w:sz w:val="21"/>
          <w:szCs w:val="21"/>
          <w:highlight w:val="none"/>
        </w:rPr>
      </w:pPr>
      <w:r>
        <w:rPr>
          <w:rStyle w:val="40"/>
          <w:rFonts w:hint="eastAsia" w:ascii="宋体" w:hAnsi="宋体" w:eastAsia="宋体" w:cs="宋体"/>
          <w:b/>
          <w:bCs/>
          <w:i w:val="0"/>
          <w:iCs w:val="0"/>
          <w:caps w:val="0"/>
          <w:color w:val="auto"/>
          <w:spacing w:val="0"/>
          <w:sz w:val="21"/>
          <w:szCs w:val="21"/>
          <w:highlight w:val="none"/>
          <w:shd w:val="clear" w:fill="FFFFFF"/>
          <w:vertAlign w:val="baseline"/>
        </w:rPr>
        <w:t>六、公告期限</w:t>
      </w:r>
    </w:p>
    <w:p w14:paraId="44CD46B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vertAlign w:val="baseline"/>
        </w:rPr>
        <w:t>自本公告发布之日起3个工作日。</w:t>
      </w:r>
    </w:p>
    <w:p w14:paraId="17D9BF5D">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22" w:firstLineChars="200"/>
        <w:textAlignment w:val="auto"/>
        <w:rPr>
          <w:rFonts w:hint="eastAsia" w:ascii="宋体" w:hAnsi="宋体" w:eastAsia="宋体" w:cs="宋体"/>
          <w:color w:val="auto"/>
          <w:kern w:val="0"/>
          <w:sz w:val="21"/>
          <w:szCs w:val="21"/>
          <w:highlight w:val="none"/>
          <w:shd w:val="clear" w:color="auto" w:fill="FFFFFF"/>
        </w:rPr>
      </w:pPr>
      <w:r>
        <w:rPr>
          <w:rFonts w:hint="eastAsia" w:cs="宋体"/>
          <w:b/>
          <w:bCs/>
          <w:color w:val="auto"/>
          <w:kern w:val="0"/>
          <w:sz w:val="21"/>
          <w:szCs w:val="21"/>
          <w:highlight w:val="none"/>
          <w:shd w:val="clear" w:color="auto" w:fill="FFFFFF"/>
          <w:lang w:val="en-US" w:eastAsia="zh-CN"/>
        </w:rPr>
        <w:t>七</w:t>
      </w:r>
      <w:r>
        <w:rPr>
          <w:rFonts w:hint="eastAsia" w:ascii="宋体" w:hAnsi="宋体" w:eastAsia="宋体" w:cs="宋体"/>
          <w:b/>
          <w:bCs/>
          <w:color w:val="auto"/>
          <w:kern w:val="0"/>
          <w:sz w:val="21"/>
          <w:szCs w:val="21"/>
          <w:highlight w:val="none"/>
          <w:shd w:val="clear" w:color="auto" w:fill="FFFFFF"/>
        </w:rPr>
        <w:t>、其他补充事宜</w:t>
      </w:r>
    </w:p>
    <w:p w14:paraId="634F6FD9">
      <w:pPr>
        <w:keepNext w:val="0"/>
        <w:keepLines w:val="0"/>
        <w:pageBreakBefore w:val="0"/>
        <w:kinsoku/>
        <w:overflowPunct/>
        <w:topLinePunct w:val="0"/>
        <w:autoSpaceDE/>
        <w:autoSpaceDN/>
        <w:bidi w:val="0"/>
        <w:adjustRightInd/>
        <w:snapToGrid/>
        <w:spacing w:line="360" w:lineRule="auto"/>
        <w:ind w:firstLine="420" w:firstLineChars="200"/>
        <w:rPr>
          <w:rFonts w:hint="eastAsia" w:ascii="宋体" w:hAnsi="宋体" w:eastAsia="宋体" w:cs="宋体"/>
          <w:b w:val="0"/>
          <w:bCs w:val="0"/>
          <w:i w:val="0"/>
          <w:iCs w:val="0"/>
          <w:caps w:val="0"/>
          <w:color w:val="auto"/>
          <w:spacing w:val="0"/>
          <w:kern w:val="0"/>
          <w:sz w:val="21"/>
          <w:szCs w:val="21"/>
          <w:shd w:val="clear" w:fill="FFFFFF"/>
          <w:vertAlign w:val="baseline"/>
          <w:lang w:val="en-US" w:eastAsia="zh-CN" w:bidi="ar-SA"/>
        </w:rPr>
      </w:pPr>
      <w:r>
        <w:rPr>
          <w:rFonts w:hint="eastAsia" w:ascii="宋体" w:hAnsi="宋体" w:eastAsia="宋体" w:cs="宋体"/>
          <w:b w:val="0"/>
          <w:bCs w:val="0"/>
          <w:i w:val="0"/>
          <w:iCs w:val="0"/>
          <w:caps w:val="0"/>
          <w:color w:val="auto"/>
          <w:spacing w:val="0"/>
          <w:kern w:val="0"/>
          <w:sz w:val="21"/>
          <w:szCs w:val="21"/>
          <w:shd w:val="clear" w:fill="FFFFFF"/>
          <w:vertAlign w:val="baseline"/>
          <w:lang w:val="en-US" w:eastAsia="zh-CN" w:bidi="ar-SA"/>
        </w:rPr>
        <w:t>1.</w:t>
      </w:r>
      <w:r>
        <w:rPr>
          <w:rFonts w:hint="eastAsia" w:ascii="宋体" w:hAnsi="宋体" w:cs="宋体"/>
          <w:b w:val="0"/>
          <w:bCs w:val="0"/>
          <w:i w:val="0"/>
          <w:iCs w:val="0"/>
          <w:caps w:val="0"/>
          <w:color w:val="auto"/>
          <w:spacing w:val="0"/>
          <w:kern w:val="0"/>
          <w:sz w:val="21"/>
          <w:szCs w:val="21"/>
          <w:shd w:val="clear" w:fill="FFFFFF"/>
          <w:vertAlign w:val="baseline"/>
          <w:lang w:val="en-US" w:eastAsia="zh-CN" w:bidi="ar-SA"/>
        </w:rPr>
        <w:t>供应商应在全国公共资源交易平台（陕西省·咸阳市）</w:t>
      </w:r>
      <w:r>
        <w:rPr>
          <w:rFonts w:hint="eastAsia" w:ascii="宋体" w:hAnsi="宋体" w:eastAsia="宋体" w:cs="宋体"/>
          <w:b w:val="0"/>
          <w:bCs w:val="0"/>
          <w:i w:val="0"/>
          <w:iCs w:val="0"/>
          <w:caps w:val="0"/>
          <w:color w:val="auto"/>
          <w:spacing w:val="0"/>
          <w:kern w:val="0"/>
          <w:sz w:val="21"/>
          <w:szCs w:val="21"/>
          <w:shd w:val="clear" w:fill="FFFFFF"/>
          <w:vertAlign w:val="baseline"/>
          <w:lang w:val="en-US" w:eastAsia="zh-CN" w:bidi="ar-SA"/>
        </w:rPr>
        <w:t>（http://x</w:t>
      </w:r>
      <w:r>
        <w:rPr>
          <w:rFonts w:hint="eastAsia" w:ascii="宋体" w:hAnsi="宋体" w:cs="宋体"/>
          <w:b w:val="0"/>
          <w:bCs w:val="0"/>
          <w:i w:val="0"/>
          <w:iCs w:val="0"/>
          <w:caps w:val="0"/>
          <w:color w:val="auto"/>
          <w:spacing w:val="0"/>
          <w:kern w:val="0"/>
          <w:sz w:val="21"/>
          <w:szCs w:val="21"/>
          <w:shd w:val="clear" w:fill="FFFFFF"/>
          <w:vertAlign w:val="baseline"/>
          <w:lang w:val="en-US" w:eastAsia="zh-CN" w:bidi="ar-SA"/>
        </w:rPr>
        <w:t>y</w:t>
      </w:r>
      <w:r>
        <w:rPr>
          <w:rFonts w:hint="eastAsia" w:ascii="宋体" w:hAnsi="宋体" w:eastAsia="宋体" w:cs="宋体"/>
          <w:b w:val="0"/>
          <w:bCs w:val="0"/>
          <w:i w:val="0"/>
          <w:iCs w:val="0"/>
          <w:caps w:val="0"/>
          <w:color w:val="auto"/>
          <w:spacing w:val="0"/>
          <w:kern w:val="0"/>
          <w:sz w:val="21"/>
          <w:szCs w:val="21"/>
          <w:shd w:val="clear" w:fill="FFFFFF"/>
          <w:vertAlign w:val="baseline"/>
          <w:lang w:val="en-US" w:eastAsia="zh-CN" w:bidi="ar-SA"/>
        </w:rPr>
        <w:t xml:space="preserve">.sxggzyjy.cn/）选择“电子交易平台—陕西政府采购交易系统货物、服务类工程类管理端”进行登录，通过“交易乙方”身份进入供应商界面参与投标活动，选择本项目点击“项目流程”进入采购文件下载页面，点击“交易文件下载”即可下载该项目发布的电子采购文件。在获取时限内下载竞争性磋商文件，逾期下载通道将关闭。 </w:t>
      </w:r>
    </w:p>
    <w:p w14:paraId="246D498E">
      <w:pPr>
        <w:keepNext w:val="0"/>
        <w:keepLines w:val="0"/>
        <w:pageBreakBefore w:val="0"/>
        <w:kinsoku/>
        <w:overflowPunct/>
        <w:topLinePunct w:val="0"/>
        <w:autoSpaceDE/>
        <w:autoSpaceDN/>
        <w:bidi w:val="0"/>
        <w:adjustRightInd/>
        <w:snapToGrid/>
        <w:spacing w:line="360" w:lineRule="auto"/>
        <w:ind w:firstLine="420" w:firstLineChars="200"/>
        <w:rPr>
          <w:rFonts w:hint="eastAsia" w:ascii="宋体" w:hAnsi="宋体" w:eastAsia="宋体" w:cs="宋体"/>
          <w:b w:val="0"/>
          <w:bCs w:val="0"/>
          <w:i w:val="0"/>
          <w:iCs w:val="0"/>
          <w:caps w:val="0"/>
          <w:color w:val="auto"/>
          <w:spacing w:val="0"/>
          <w:kern w:val="0"/>
          <w:sz w:val="21"/>
          <w:szCs w:val="21"/>
          <w:shd w:val="clear" w:fill="FFFFFF"/>
          <w:vertAlign w:val="baseline"/>
          <w:lang w:val="en-US" w:eastAsia="zh-CN" w:bidi="ar-SA"/>
        </w:rPr>
      </w:pPr>
      <w:r>
        <w:rPr>
          <w:rFonts w:hint="eastAsia" w:ascii="宋体" w:hAnsi="宋体" w:eastAsia="宋体" w:cs="宋体"/>
          <w:b w:val="0"/>
          <w:bCs w:val="0"/>
          <w:i w:val="0"/>
          <w:iCs w:val="0"/>
          <w:caps w:val="0"/>
          <w:color w:val="auto"/>
          <w:spacing w:val="0"/>
          <w:kern w:val="0"/>
          <w:sz w:val="21"/>
          <w:szCs w:val="21"/>
          <w:shd w:val="clear" w:fill="FFFFFF"/>
          <w:vertAlign w:val="baseline"/>
          <w:lang w:val="en-US" w:eastAsia="zh-CN" w:bidi="ar-SA"/>
        </w:rPr>
        <w:t>2.供应商初次使用交易平台，须先完成诚信入库登记、CA 锁认证及企业信息绑定。相关操作流程详见全国政府采购平台（陕西省）网站〖首页·〉服务指南·〉下载专区〗中的《陕西省公共资源交易中心政府采购项目投标指南》。CA 锁办理地址及咨询 电话如下：西安市长安北路 14 号省体育公寓 B 座一楼 咨询电话：029-88661241</w:t>
      </w:r>
      <w:r>
        <w:rPr>
          <w:rFonts w:hint="eastAsia" w:ascii="宋体" w:hAnsi="宋体" w:cs="宋体"/>
          <w:b w:val="0"/>
          <w:bCs w:val="0"/>
          <w:i w:val="0"/>
          <w:iCs w:val="0"/>
          <w:caps w:val="0"/>
          <w:color w:val="auto"/>
          <w:spacing w:val="0"/>
          <w:kern w:val="0"/>
          <w:sz w:val="21"/>
          <w:szCs w:val="21"/>
          <w:shd w:val="clear" w:fill="FFFFFF"/>
          <w:vertAlign w:val="baseline"/>
          <w:lang w:val="en-US" w:eastAsia="zh-CN" w:bidi="ar-SA"/>
        </w:rPr>
        <w:t>。</w:t>
      </w:r>
      <w:r>
        <w:rPr>
          <w:rFonts w:hint="eastAsia" w:ascii="宋体" w:hAnsi="宋体" w:eastAsia="宋体" w:cs="宋体"/>
          <w:b w:val="0"/>
          <w:bCs w:val="0"/>
          <w:i w:val="0"/>
          <w:iCs w:val="0"/>
          <w:caps w:val="0"/>
          <w:color w:val="auto"/>
          <w:spacing w:val="0"/>
          <w:kern w:val="0"/>
          <w:sz w:val="21"/>
          <w:szCs w:val="21"/>
          <w:shd w:val="clear" w:fill="FFFFFF"/>
          <w:vertAlign w:val="baseline"/>
          <w:lang w:val="en-US" w:eastAsia="zh-CN" w:bidi="ar-SA"/>
        </w:rPr>
        <w:t xml:space="preserve"> </w:t>
      </w:r>
    </w:p>
    <w:p w14:paraId="14EF077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baseline"/>
        <w:rPr>
          <w:rFonts w:hint="eastAsia" w:ascii="宋体" w:hAnsi="宋体" w:eastAsia="宋体" w:cs="宋体"/>
          <w:b w:val="0"/>
          <w:bCs w:val="0"/>
          <w:i w:val="0"/>
          <w:iCs w:val="0"/>
          <w:caps w:val="0"/>
          <w:color w:val="auto"/>
          <w:spacing w:val="0"/>
          <w:kern w:val="0"/>
          <w:sz w:val="21"/>
          <w:szCs w:val="21"/>
          <w:shd w:val="clear" w:fill="FFFFFF"/>
          <w:vertAlign w:val="baseline"/>
          <w:lang w:val="en-US" w:eastAsia="zh-CN" w:bidi="ar-SA"/>
        </w:rPr>
      </w:pPr>
      <w:r>
        <w:rPr>
          <w:rFonts w:hint="eastAsia" w:ascii="宋体" w:hAnsi="宋体" w:eastAsia="宋体" w:cs="宋体"/>
          <w:b w:val="0"/>
          <w:bCs w:val="0"/>
          <w:i w:val="0"/>
          <w:iCs w:val="0"/>
          <w:caps w:val="0"/>
          <w:color w:val="auto"/>
          <w:spacing w:val="0"/>
          <w:kern w:val="0"/>
          <w:sz w:val="21"/>
          <w:szCs w:val="21"/>
          <w:shd w:val="clear" w:fill="FFFFFF"/>
          <w:vertAlign w:val="baseline"/>
          <w:lang w:val="en-US" w:eastAsia="zh-CN" w:bidi="ar-SA"/>
        </w:rPr>
        <w:t>3. 本项目采用</w:t>
      </w:r>
      <w:r>
        <w:rPr>
          <w:rFonts w:hint="eastAsia" w:ascii="宋体" w:hAnsi="宋体" w:cs="宋体"/>
          <w:b w:val="0"/>
          <w:bCs w:val="0"/>
          <w:i w:val="0"/>
          <w:iCs w:val="0"/>
          <w:caps w:val="0"/>
          <w:color w:val="auto"/>
          <w:spacing w:val="0"/>
          <w:kern w:val="0"/>
          <w:sz w:val="21"/>
          <w:szCs w:val="21"/>
          <w:shd w:val="clear" w:fill="FFFFFF"/>
          <w:vertAlign w:val="baseline"/>
          <w:lang w:val="en-US" w:eastAsia="zh-CN" w:bidi="ar-SA"/>
        </w:rPr>
        <w:t>“</w:t>
      </w:r>
      <w:r>
        <w:rPr>
          <w:rFonts w:hint="eastAsia" w:ascii="宋体" w:hAnsi="宋体" w:eastAsia="宋体" w:cs="宋体"/>
          <w:b w:val="0"/>
          <w:bCs w:val="0"/>
          <w:i w:val="0"/>
          <w:iCs w:val="0"/>
          <w:caps w:val="0"/>
          <w:color w:val="auto"/>
          <w:spacing w:val="0"/>
          <w:kern w:val="0"/>
          <w:sz w:val="21"/>
          <w:szCs w:val="21"/>
          <w:shd w:val="clear" w:fill="FFFFFF"/>
          <w:vertAlign w:val="baseline"/>
          <w:lang w:val="en-US" w:eastAsia="zh-CN" w:bidi="ar-SA"/>
        </w:rPr>
        <w:t>不见面开标”方式进行，供应商可远程登录〖全国公共资源交易平台（陕西省.咸阳市）〉不见面开标〗在线参加开标过程。详见〖全国公共资源交易平台（陕西省.咸阳市）〉服务指南〉下载专区〗中的《咸阳市公共资源交易不见面开标大厅投 标人操作手册》。</w:t>
      </w:r>
    </w:p>
    <w:p w14:paraId="6DDCFDD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baseline"/>
        <w:rPr>
          <w:rFonts w:hint="eastAsia" w:ascii="宋体" w:hAnsi="宋体" w:eastAsia="宋体" w:cs="宋体"/>
          <w:b w:val="0"/>
          <w:bCs w:val="0"/>
          <w:i w:val="0"/>
          <w:iCs w:val="0"/>
          <w:caps w:val="0"/>
          <w:color w:val="auto"/>
          <w:spacing w:val="0"/>
          <w:kern w:val="0"/>
          <w:sz w:val="21"/>
          <w:szCs w:val="21"/>
          <w:shd w:val="clear" w:fill="FFFFFF"/>
          <w:vertAlign w:val="baseline"/>
          <w:lang w:val="en-US" w:eastAsia="zh-CN" w:bidi="ar-SA"/>
        </w:rPr>
      </w:pPr>
      <w:r>
        <w:rPr>
          <w:rFonts w:hint="eastAsia" w:ascii="宋体" w:hAnsi="宋体" w:eastAsia="宋体" w:cs="宋体"/>
          <w:b w:val="0"/>
          <w:bCs w:val="0"/>
          <w:i w:val="0"/>
          <w:iCs w:val="0"/>
          <w:caps w:val="0"/>
          <w:color w:val="auto"/>
          <w:spacing w:val="0"/>
          <w:kern w:val="0"/>
          <w:sz w:val="21"/>
          <w:szCs w:val="21"/>
          <w:shd w:val="clear" w:fill="FFFFFF"/>
          <w:vertAlign w:val="baseline"/>
          <w:lang w:val="en-US" w:eastAsia="zh-CN" w:bidi="ar-SA"/>
        </w:rPr>
        <w:t>4.供应商应在磋商截止时间前通过全国公共资源交易平台（陕西省·咸阳市）递交电子响应文件。因响应供应商自身设施故障或自身原因导致无法完成磋商的，由响应供应商自行承担后果。</w:t>
      </w:r>
    </w:p>
    <w:p w14:paraId="1FA49A1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baseline"/>
        <w:rPr>
          <w:rFonts w:hint="eastAsia" w:ascii="宋体" w:hAnsi="宋体" w:eastAsia="宋体" w:cs="宋体"/>
          <w:b w:val="0"/>
          <w:bCs w:val="0"/>
          <w:i w:val="0"/>
          <w:iCs w:val="0"/>
          <w:caps w:val="0"/>
          <w:color w:val="auto"/>
          <w:spacing w:val="0"/>
          <w:sz w:val="21"/>
          <w:szCs w:val="21"/>
          <w:shd w:val="clear" w:fill="FFFFFF"/>
          <w:vertAlign w:val="baseline"/>
        </w:rPr>
      </w:pPr>
      <w:r>
        <w:rPr>
          <w:rFonts w:hint="eastAsia" w:ascii="宋体" w:hAnsi="宋体" w:eastAsia="宋体" w:cs="宋体"/>
          <w:b w:val="0"/>
          <w:bCs w:val="0"/>
          <w:i w:val="0"/>
          <w:iCs w:val="0"/>
          <w:caps w:val="0"/>
          <w:color w:val="auto"/>
          <w:spacing w:val="0"/>
          <w:kern w:val="0"/>
          <w:sz w:val="21"/>
          <w:szCs w:val="21"/>
          <w:shd w:val="clear" w:fill="FFFFFF"/>
          <w:vertAlign w:val="baseline"/>
          <w:lang w:val="en-US" w:eastAsia="zh-CN" w:bidi="ar-SA"/>
        </w:rPr>
        <w:t>5.请潜在供应商务必按照《陕西省财政厅关于政府采购供应商注册登记有关事项的通知》要求，通过陕西省政府采</w:t>
      </w:r>
      <w:r>
        <w:rPr>
          <w:rFonts w:hint="eastAsia" w:ascii="宋体" w:hAnsi="宋体" w:eastAsia="宋体" w:cs="宋体"/>
          <w:b w:val="0"/>
          <w:bCs w:val="0"/>
          <w:i w:val="0"/>
          <w:iCs w:val="0"/>
          <w:caps w:val="0"/>
          <w:color w:val="auto"/>
          <w:spacing w:val="0"/>
          <w:sz w:val="21"/>
          <w:szCs w:val="21"/>
          <w:shd w:val="clear" w:fill="FFFFFF"/>
          <w:vertAlign w:val="baseline"/>
        </w:rPr>
        <w:t>购网（http://www.ccgp-shaanxi.gov.cn/）进行陕西政府采购统一身份认证注册登记。</w:t>
      </w:r>
    </w:p>
    <w:p w14:paraId="0BD57FA8">
      <w:pPr>
        <w:keepNext w:val="0"/>
        <w:keepLines w:val="0"/>
        <w:pageBreakBefore w:val="0"/>
        <w:kinsoku/>
        <w:overflowPunct/>
        <w:topLinePunct w:val="0"/>
        <w:autoSpaceDE/>
        <w:autoSpaceDN/>
        <w:bidi w:val="0"/>
        <w:adjustRightInd/>
        <w:snapToGrid/>
        <w:spacing w:line="360" w:lineRule="auto"/>
        <w:ind w:left="0" w:firstLine="420" w:firstLineChars="200"/>
        <w:rPr>
          <w:rFonts w:hint="eastAsia" w:ascii="宋体" w:hAnsi="宋体" w:eastAsia="宋体" w:cs="宋体"/>
          <w:b w:val="0"/>
          <w:bCs w:val="0"/>
          <w:i w:val="0"/>
          <w:iCs w:val="0"/>
          <w:caps w:val="0"/>
          <w:color w:val="auto"/>
          <w:spacing w:val="0"/>
          <w:kern w:val="0"/>
          <w:sz w:val="21"/>
          <w:szCs w:val="21"/>
          <w:shd w:val="clear" w:fill="FFFFFF"/>
          <w:vertAlign w:val="baseline"/>
          <w:lang w:val="en-US" w:eastAsia="zh-CN" w:bidi="ar-SA"/>
        </w:rPr>
      </w:pPr>
      <w:r>
        <w:rPr>
          <w:rFonts w:hint="eastAsia" w:ascii="宋体" w:hAnsi="宋体" w:cs="宋体"/>
          <w:b w:val="0"/>
          <w:bCs w:val="0"/>
          <w:i w:val="0"/>
          <w:iCs w:val="0"/>
          <w:caps w:val="0"/>
          <w:color w:val="auto"/>
          <w:spacing w:val="0"/>
          <w:kern w:val="0"/>
          <w:sz w:val="21"/>
          <w:szCs w:val="21"/>
          <w:shd w:val="clear" w:fill="FFFFFF"/>
          <w:vertAlign w:val="baseline"/>
          <w:lang w:val="en-US" w:eastAsia="zh-CN" w:bidi="ar-SA"/>
        </w:rPr>
        <w:t>6</w:t>
      </w:r>
      <w:r>
        <w:rPr>
          <w:rFonts w:hint="eastAsia" w:ascii="宋体" w:hAnsi="宋体" w:eastAsia="宋体" w:cs="宋体"/>
          <w:b w:val="0"/>
          <w:bCs w:val="0"/>
          <w:i w:val="0"/>
          <w:iCs w:val="0"/>
          <w:caps w:val="0"/>
          <w:color w:val="auto"/>
          <w:spacing w:val="0"/>
          <w:kern w:val="0"/>
          <w:sz w:val="21"/>
          <w:szCs w:val="21"/>
          <w:shd w:val="clear" w:fill="FFFFFF"/>
          <w:vertAlign w:val="baseline"/>
          <w:lang w:val="en-US" w:eastAsia="zh-CN" w:bidi="ar-SA"/>
        </w:rPr>
        <w:t>.为保证本项目开评标工作顺利进行，供应商应确保相关设备能够顺利登录系统并进行操作。新点客服电话：4008503300</w:t>
      </w:r>
      <w:r>
        <w:rPr>
          <w:rFonts w:hint="eastAsia" w:ascii="宋体" w:hAnsi="宋体" w:cs="宋体"/>
          <w:b w:val="0"/>
          <w:bCs w:val="0"/>
          <w:i w:val="0"/>
          <w:iCs w:val="0"/>
          <w:caps w:val="0"/>
          <w:color w:val="auto"/>
          <w:spacing w:val="0"/>
          <w:kern w:val="0"/>
          <w:sz w:val="21"/>
          <w:szCs w:val="21"/>
          <w:shd w:val="clear" w:fill="FFFFFF"/>
          <w:vertAlign w:val="baseline"/>
          <w:lang w:val="en-US" w:eastAsia="zh-CN" w:bidi="ar-SA"/>
        </w:rPr>
        <w:t>。</w:t>
      </w:r>
    </w:p>
    <w:p w14:paraId="050A5CD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baseline"/>
        <w:rPr>
          <w:rFonts w:hint="eastAsia" w:ascii="宋体" w:hAnsi="宋体" w:eastAsia="宋体" w:cs="宋体"/>
          <w:b w:val="0"/>
          <w:bCs w:val="0"/>
          <w:i w:val="0"/>
          <w:iCs w:val="0"/>
          <w:caps w:val="0"/>
          <w:color w:val="auto"/>
          <w:spacing w:val="0"/>
          <w:sz w:val="21"/>
          <w:szCs w:val="21"/>
          <w:shd w:val="clear" w:fill="FFFFFF"/>
          <w:vertAlign w:val="baseline"/>
        </w:rPr>
      </w:pPr>
      <w:r>
        <w:rPr>
          <w:rFonts w:hint="eastAsia" w:ascii="宋体" w:hAnsi="宋体" w:eastAsia="宋体" w:cs="宋体"/>
          <w:b w:val="0"/>
          <w:bCs w:val="0"/>
          <w:i w:val="0"/>
          <w:iCs w:val="0"/>
          <w:caps w:val="0"/>
          <w:color w:val="auto"/>
          <w:spacing w:val="0"/>
          <w:sz w:val="21"/>
          <w:szCs w:val="21"/>
          <w:shd w:val="clear" w:fill="FFFFFF"/>
          <w:vertAlign w:val="baseline"/>
          <w:lang w:val="en-US" w:eastAsia="zh-CN"/>
        </w:rPr>
        <w:t>7</w:t>
      </w:r>
      <w:r>
        <w:rPr>
          <w:rFonts w:hint="eastAsia" w:ascii="宋体" w:hAnsi="宋体" w:eastAsia="宋体" w:cs="宋体"/>
          <w:b w:val="0"/>
          <w:bCs w:val="0"/>
          <w:i w:val="0"/>
          <w:iCs w:val="0"/>
          <w:caps w:val="0"/>
          <w:color w:val="auto"/>
          <w:spacing w:val="0"/>
          <w:sz w:val="21"/>
          <w:szCs w:val="21"/>
          <w:shd w:val="clear" w:fill="FFFFFF"/>
          <w:vertAlign w:val="baseline"/>
        </w:rPr>
        <w:t>.本项目需要落实的政府采购政策：</w:t>
      </w:r>
    </w:p>
    <w:p w14:paraId="3E4D003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baseline"/>
        <w:rPr>
          <w:rFonts w:hint="eastAsia" w:ascii="宋体" w:hAnsi="宋体" w:eastAsia="宋体" w:cs="宋体"/>
          <w:b w:val="0"/>
          <w:bCs w:val="0"/>
          <w:i w:val="0"/>
          <w:iCs w:val="0"/>
          <w:caps w:val="0"/>
          <w:color w:val="auto"/>
          <w:spacing w:val="0"/>
          <w:sz w:val="21"/>
          <w:szCs w:val="21"/>
          <w:shd w:val="clear" w:fill="FFFFFF"/>
          <w:vertAlign w:val="baseline"/>
        </w:rPr>
      </w:pPr>
      <w:r>
        <w:rPr>
          <w:rFonts w:hint="eastAsia" w:ascii="宋体" w:hAnsi="宋体" w:eastAsia="宋体" w:cs="宋体"/>
          <w:b w:val="0"/>
          <w:bCs w:val="0"/>
          <w:i w:val="0"/>
          <w:iCs w:val="0"/>
          <w:caps w:val="0"/>
          <w:color w:val="auto"/>
          <w:spacing w:val="0"/>
          <w:sz w:val="21"/>
          <w:szCs w:val="21"/>
          <w:shd w:val="clear" w:fill="FFFFFF"/>
          <w:vertAlign w:val="baseline"/>
        </w:rPr>
        <w:t>（1）《政府采购促进中小企业发展管理办法》（财库〔2020〕46号）；</w:t>
      </w:r>
    </w:p>
    <w:p w14:paraId="25DDA82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baseline"/>
        <w:rPr>
          <w:rFonts w:hint="eastAsia" w:ascii="宋体" w:hAnsi="宋体" w:eastAsia="宋体" w:cs="宋体"/>
          <w:b w:val="0"/>
          <w:bCs w:val="0"/>
          <w:i w:val="0"/>
          <w:iCs w:val="0"/>
          <w:caps w:val="0"/>
          <w:color w:val="auto"/>
          <w:spacing w:val="0"/>
          <w:sz w:val="21"/>
          <w:szCs w:val="21"/>
          <w:shd w:val="clear" w:fill="FFFFFF"/>
          <w:vertAlign w:val="baseline"/>
        </w:rPr>
      </w:pPr>
      <w:r>
        <w:rPr>
          <w:rFonts w:hint="eastAsia" w:ascii="宋体" w:hAnsi="宋体" w:eastAsia="宋体" w:cs="宋体"/>
          <w:b w:val="0"/>
          <w:bCs w:val="0"/>
          <w:i w:val="0"/>
          <w:iCs w:val="0"/>
          <w:caps w:val="0"/>
          <w:color w:val="auto"/>
          <w:spacing w:val="0"/>
          <w:sz w:val="21"/>
          <w:szCs w:val="21"/>
          <w:shd w:val="clear" w:fill="FFFFFF"/>
          <w:vertAlign w:val="baseline"/>
        </w:rPr>
        <w:t>（2）《财政部司法部关于政府采购支持监狱企业发展有关问题的通知》（财库〔2014〕68号）；</w:t>
      </w:r>
    </w:p>
    <w:p w14:paraId="60053F5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baseline"/>
        <w:rPr>
          <w:rFonts w:hint="eastAsia" w:ascii="宋体" w:hAnsi="宋体" w:eastAsia="宋体" w:cs="宋体"/>
          <w:b w:val="0"/>
          <w:bCs w:val="0"/>
          <w:i w:val="0"/>
          <w:iCs w:val="0"/>
          <w:caps w:val="0"/>
          <w:color w:val="auto"/>
          <w:spacing w:val="0"/>
          <w:sz w:val="21"/>
          <w:szCs w:val="21"/>
          <w:shd w:val="clear" w:fill="FFFFFF"/>
          <w:vertAlign w:val="baseline"/>
        </w:rPr>
      </w:pPr>
      <w:r>
        <w:rPr>
          <w:rFonts w:hint="eastAsia" w:ascii="宋体" w:hAnsi="宋体" w:eastAsia="宋体" w:cs="宋体"/>
          <w:b w:val="0"/>
          <w:bCs w:val="0"/>
          <w:i w:val="0"/>
          <w:iCs w:val="0"/>
          <w:caps w:val="0"/>
          <w:color w:val="auto"/>
          <w:spacing w:val="0"/>
          <w:sz w:val="21"/>
          <w:szCs w:val="21"/>
          <w:shd w:val="clear" w:fill="FFFFFF"/>
          <w:vertAlign w:val="baseline"/>
        </w:rPr>
        <w:t>（3）《国务院办公厅关于建立政府强制采购节能产品制度的通知》（国办发〔2007〕51号）；</w:t>
      </w:r>
    </w:p>
    <w:p w14:paraId="3DC91F8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baseline"/>
        <w:rPr>
          <w:rFonts w:hint="eastAsia" w:ascii="宋体" w:hAnsi="宋体" w:eastAsia="宋体" w:cs="宋体"/>
          <w:b w:val="0"/>
          <w:bCs w:val="0"/>
          <w:i w:val="0"/>
          <w:iCs w:val="0"/>
          <w:caps w:val="0"/>
          <w:color w:val="auto"/>
          <w:spacing w:val="0"/>
          <w:sz w:val="21"/>
          <w:szCs w:val="21"/>
          <w:shd w:val="clear" w:fill="FFFFFF"/>
          <w:vertAlign w:val="baseline"/>
        </w:rPr>
      </w:pPr>
      <w:r>
        <w:rPr>
          <w:rFonts w:hint="eastAsia" w:ascii="宋体" w:hAnsi="宋体" w:eastAsia="宋体" w:cs="宋体"/>
          <w:b w:val="0"/>
          <w:bCs w:val="0"/>
          <w:i w:val="0"/>
          <w:iCs w:val="0"/>
          <w:caps w:val="0"/>
          <w:color w:val="auto"/>
          <w:spacing w:val="0"/>
          <w:sz w:val="21"/>
          <w:szCs w:val="21"/>
          <w:shd w:val="clear" w:fill="FFFFFF"/>
          <w:vertAlign w:val="baseline"/>
        </w:rPr>
        <w:t>（4）《环境标志产品政府采购实施的意见》（财库〔2006〕90号）；</w:t>
      </w:r>
    </w:p>
    <w:p w14:paraId="6B82AE4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baseline"/>
        <w:rPr>
          <w:rFonts w:hint="eastAsia" w:ascii="宋体" w:hAnsi="宋体" w:eastAsia="宋体" w:cs="宋体"/>
          <w:b w:val="0"/>
          <w:bCs w:val="0"/>
          <w:i w:val="0"/>
          <w:iCs w:val="0"/>
          <w:caps w:val="0"/>
          <w:color w:val="auto"/>
          <w:spacing w:val="0"/>
          <w:sz w:val="21"/>
          <w:szCs w:val="21"/>
          <w:shd w:val="clear" w:fill="FFFFFF"/>
          <w:vertAlign w:val="baseline"/>
        </w:rPr>
      </w:pPr>
      <w:r>
        <w:rPr>
          <w:rFonts w:hint="eastAsia" w:ascii="宋体" w:hAnsi="宋体" w:eastAsia="宋体" w:cs="宋体"/>
          <w:b w:val="0"/>
          <w:bCs w:val="0"/>
          <w:i w:val="0"/>
          <w:iCs w:val="0"/>
          <w:caps w:val="0"/>
          <w:color w:val="auto"/>
          <w:spacing w:val="0"/>
          <w:sz w:val="21"/>
          <w:szCs w:val="21"/>
          <w:shd w:val="clear" w:fill="FFFFFF"/>
          <w:vertAlign w:val="baseline"/>
        </w:rPr>
        <w:t>（5）《关于促进残疾人就业政府采购政策的通知》（财库〔2017〕141号）；</w:t>
      </w:r>
    </w:p>
    <w:p w14:paraId="68F1CA7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baseline"/>
        <w:rPr>
          <w:rFonts w:hint="eastAsia" w:ascii="宋体" w:hAnsi="宋体" w:eastAsia="宋体" w:cs="宋体"/>
          <w:b w:val="0"/>
          <w:bCs w:val="0"/>
          <w:i w:val="0"/>
          <w:iCs w:val="0"/>
          <w:caps w:val="0"/>
          <w:color w:val="auto"/>
          <w:spacing w:val="0"/>
          <w:sz w:val="21"/>
          <w:szCs w:val="21"/>
          <w:shd w:val="clear" w:fill="FFFFFF"/>
          <w:vertAlign w:val="baseline"/>
        </w:rPr>
      </w:pPr>
      <w:r>
        <w:rPr>
          <w:rFonts w:hint="eastAsia" w:ascii="宋体" w:hAnsi="宋体" w:eastAsia="宋体" w:cs="宋体"/>
          <w:b w:val="0"/>
          <w:bCs w:val="0"/>
          <w:i w:val="0"/>
          <w:iCs w:val="0"/>
          <w:caps w:val="0"/>
          <w:color w:val="auto"/>
          <w:spacing w:val="0"/>
          <w:sz w:val="21"/>
          <w:szCs w:val="21"/>
          <w:shd w:val="clear" w:fill="FFFFFF"/>
          <w:vertAlign w:val="baseline"/>
        </w:rPr>
        <w:t>（6）《财政部国家发展改革委关于印发〈节能产品政府采购实施意见〉的通知》（财库〔2004〕185号）；</w:t>
      </w:r>
    </w:p>
    <w:p w14:paraId="3DE49C6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baseline"/>
        <w:rPr>
          <w:rFonts w:hint="eastAsia" w:ascii="宋体" w:hAnsi="宋体" w:eastAsia="宋体" w:cs="宋体"/>
          <w:b w:val="0"/>
          <w:bCs w:val="0"/>
          <w:i w:val="0"/>
          <w:iCs w:val="0"/>
          <w:caps w:val="0"/>
          <w:color w:val="auto"/>
          <w:spacing w:val="0"/>
          <w:sz w:val="21"/>
          <w:szCs w:val="21"/>
          <w:shd w:val="clear" w:fill="FFFFFF"/>
          <w:vertAlign w:val="baseline"/>
        </w:rPr>
      </w:pPr>
      <w:r>
        <w:rPr>
          <w:rFonts w:hint="eastAsia" w:ascii="宋体" w:hAnsi="宋体" w:eastAsia="宋体" w:cs="宋体"/>
          <w:b w:val="0"/>
          <w:bCs w:val="0"/>
          <w:i w:val="0"/>
          <w:iCs w:val="0"/>
          <w:caps w:val="0"/>
          <w:color w:val="auto"/>
          <w:spacing w:val="0"/>
          <w:sz w:val="21"/>
          <w:szCs w:val="21"/>
          <w:shd w:val="clear" w:fill="FFFFFF"/>
          <w:vertAlign w:val="baseline"/>
        </w:rPr>
        <w:t>（7）《财政部发展改革委生态环境部市场监管总局关于调整优化节能产品、环境标志产品政府采购执行机制的通知》（财库〔2019〕9号）；</w:t>
      </w:r>
    </w:p>
    <w:p w14:paraId="030E142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baseline"/>
        <w:rPr>
          <w:rFonts w:hint="eastAsia" w:ascii="宋体" w:hAnsi="宋体" w:eastAsia="宋体" w:cs="宋体"/>
          <w:b w:val="0"/>
          <w:bCs w:val="0"/>
          <w:i w:val="0"/>
          <w:iCs w:val="0"/>
          <w:caps w:val="0"/>
          <w:color w:val="auto"/>
          <w:spacing w:val="0"/>
          <w:sz w:val="21"/>
          <w:szCs w:val="21"/>
          <w:shd w:val="clear" w:fill="FFFFFF"/>
          <w:vertAlign w:val="baseline"/>
        </w:rPr>
      </w:pPr>
      <w:r>
        <w:rPr>
          <w:rFonts w:hint="eastAsia" w:ascii="宋体" w:hAnsi="宋体" w:eastAsia="宋体" w:cs="宋体"/>
          <w:b w:val="0"/>
          <w:bCs w:val="0"/>
          <w:i w:val="0"/>
          <w:iCs w:val="0"/>
          <w:caps w:val="0"/>
          <w:color w:val="auto"/>
          <w:spacing w:val="0"/>
          <w:sz w:val="21"/>
          <w:szCs w:val="21"/>
          <w:shd w:val="clear" w:fill="FFFFFF"/>
          <w:vertAlign w:val="baseline"/>
        </w:rPr>
        <w:t>（8）《关于印发环境标志产品政府采购品目清单的通知》（财库〔2019〕18号）；</w:t>
      </w:r>
    </w:p>
    <w:p w14:paraId="0D6D65F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baseline"/>
        <w:rPr>
          <w:rFonts w:hint="eastAsia" w:ascii="宋体" w:hAnsi="宋体" w:eastAsia="宋体" w:cs="宋体"/>
          <w:b w:val="0"/>
          <w:bCs w:val="0"/>
          <w:i w:val="0"/>
          <w:iCs w:val="0"/>
          <w:caps w:val="0"/>
          <w:color w:val="auto"/>
          <w:spacing w:val="0"/>
          <w:sz w:val="21"/>
          <w:szCs w:val="21"/>
          <w:shd w:val="clear" w:fill="FFFFFF"/>
          <w:vertAlign w:val="baseline"/>
        </w:rPr>
      </w:pPr>
      <w:r>
        <w:rPr>
          <w:rFonts w:hint="eastAsia" w:ascii="宋体" w:hAnsi="宋体" w:eastAsia="宋体" w:cs="宋体"/>
          <w:b w:val="0"/>
          <w:bCs w:val="0"/>
          <w:i w:val="0"/>
          <w:iCs w:val="0"/>
          <w:caps w:val="0"/>
          <w:color w:val="auto"/>
          <w:spacing w:val="0"/>
          <w:sz w:val="21"/>
          <w:szCs w:val="21"/>
          <w:shd w:val="clear" w:fill="FFFFFF"/>
          <w:vertAlign w:val="baseline"/>
        </w:rPr>
        <w:t>（9）《关于印发节能产品政府采购品目清单的通知》（财库〔2019〕19号）；</w:t>
      </w:r>
    </w:p>
    <w:p w14:paraId="1B049A8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baseline"/>
        <w:rPr>
          <w:rFonts w:hint="eastAsia" w:ascii="宋体" w:hAnsi="宋体" w:eastAsia="宋体" w:cs="宋体"/>
          <w:b w:val="0"/>
          <w:bCs w:val="0"/>
          <w:i w:val="0"/>
          <w:iCs w:val="0"/>
          <w:caps w:val="0"/>
          <w:color w:val="auto"/>
          <w:spacing w:val="0"/>
          <w:sz w:val="21"/>
          <w:szCs w:val="21"/>
          <w:shd w:val="clear" w:fill="FFFFFF"/>
          <w:vertAlign w:val="baseline"/>
        </w:rPr>
      </w:pPr>
      <w:r>
        <w:rPr>
          <w:rFonts w:hint="eastAsia" w:ascii="宋体" w:hAnsi="宋体" w:eastAsia="宋体" w:cs="宋体"/>
          <w:b w:val="0"/>
          <w:bCs w:val="0"/>
          <w:i w:val="0"/>
          <w:iCs w:val="0"/>
          <w:caps w:val="0"/>
          <w:color w:val="auto"/>
          <w:spacing w:val="0"/>
          <w:sz w:val="21"/>
          <w:szCs w:val="21"/>
          <w:shd w:val="clear" w:fill="FFFFFF"/>
          <w:vertAlign w:val="baseline"/>
        </w:rPr>
        <w:t>（10）《关于运用政府采购政策支持乡村产业振兴的通知》（财库〔2021〕19号）；</w:t>
      </w:r>
    </w:p>
    <w:p w14:paraId="589674F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baseline"/>
        <w:rPr>
          <w:rFonts w:hint="eastAsia" w:ascii="宋体" w:hAnsi="宋体" w:eastAsia="宋体" w:cs="宋体"/>
          <w:b w:val="0"/>
          <w:bCs w:val="0"/>
          <w:i w:val="0"/>
          <w:iCs w:val="0"/>
          <w:caps w:val="0"/>
          <w:color w:val="auto"/>
          <w:spacing w:val="0"/>
          <w:sz w:val="21"/>
          <w:szCs w:val="21"/>
          <w:shd w:val="clear" w:fill="FFFFFF"/>
          <w:vertAlign w:val="baseline"/>
        </w:rPr>
      </w:pPr>
      <w:r>
        <w:rPr>
          <w:rFonts w:hint="eastAsia" w:ascii="宋体" w:hAnsi="宋体" w:eastAsia="宋体" w:cs="宋体"/>
          <w:b w:val="0"/>
          <w:bCs w:val="0"/>
          <w:i w:val="0"/>
          <w:iCs w:val="0"/>
          <w:caps w:val="0"/>
          <w:color w:val="auto"/>
          <w:spacing w:val="0"/>
          <w:sz w:val="21"/>
          <w:szCs w:val="21"/>
          <w:shd w:val="clear" w:fill="FFFFFF"/>
          <w:vertAlign w:val="baseline"/>
        </w:rPr>
        <w:t>（11）《陕西省中小企业政府采购信用融资办法》（陕财办采〔2018〕23号）；</w:t>
      </w:r>
    </w:p>
    <w:p w14:paraId="46CC2EB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baseline"/>
        <w:rPr>
          <w:rFonts w:hint="eastAsia" w:ascii="宋体" w:hAnsi="宋体" w:eastAsia="宋体" w:cs="宋体"/>
          <w:b w:val="0"/>
          <w:bCs w:val="0"/>
          <w:i w:val="0"/>
          <w:iCs w:val="0"/>
          <w:caps w:val="0"/>
          <w:color w:val="auto"/>
          <w:spacing w:val="0"/>
          <w:sz w:val="21"/>
          <w:szCs w:val="21"/>
          <w:shd w:val="clear" w:fill="FFFFFF"/>
          <w:vertAlign w:val="baseline"/>
        </w:rPr>
      </w:pPr>
      <w:r>
        <w:rPr>
          <w:rFonts w:hint="eastAsia" w:ascii="宋体" w:hAnsi="宋体" w:eastAsia="宋体" w:cs="宋体"/>
          <w:b w:val="0"/>
          <w:bCs w:val="0"/>
          <w:i w:val="0"/>
          <w:iCs w:val="0"/>
          <w:caps w:val="0"/>
          <w:color w:val="auto"/>
          <w:spacing w:val="0"/>
          <w:sz w:val="21"/>
          <w:szCs w:val="21"/>
          <w:shd w:val="clear" w:fill="FFFFFF"/>
          <w:vertAlign w:val="baseline"/>
        </w:rPr>
        <w:t>（12）《陕西省财政厅关于加快推进我省中小企业政府采购信用融资工作的通知》（陕财办采〔2020〕15号）；</w:t>
      </w:r>
    </w:p>
    <w:p w14:paraId="1DDF886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baseline"/>
        <w:rPr>
          <w:rFonts w:hint="eastAsia" w:ascii="宋体" w:hAnsi="宋体" w:eastAsia="宋体" w:cs="宋体"/>
          <w:b w:val="0"/>
          <w:bCs w:val="0"/>
          <w:i w:val="0"/>
          <w:iCs w:val="0"/>
          <w:caps w:val="0"/>
          <w:color w:val="auto"/>
          <w:spacing w:val="0"/>
          <w:sz w:val="21"/>
          <w:szCs w:val="21"/>
          <w:shd w:val="clear" w:fill="FFFFFF"/>
          <w:vertAlign w:val="baseline"/>
        </w:rPr>
      </w:pPr>
      <w:r>
        <w:rPr>
          <w:rFonts w:hint="eastAsia" w:ascii="宋体" w:hAnsi="宋体" w:eastAsia="宋体" w:cs="宋体"/>
          <w:b w:val="0"/>
          <w:bCs w:val="0"/>
          <w:i w:val="0"/>
          <w:iCs w:val="0"/>
          <w:caps w:val="0"/>
          <w:color w:val="auto"/>
          <w:spacing w:val="0"/>
          <w:sz w:val="21"/>
          <w:szCs w:val="21"/>
          <w:shd w:val="clear" w:fill="FFFFFF"/>
          <w:vertAlign w:val="baseline"/>
        </w:rPr>
        <w:t>（13）《财政部关于在政府采购活动中查询及使用信用记录有关问题的通知》（财库〔2016〕125号）；</w:t>
      </w:r>
    </w:p>
    <w:p w14:paraId="1F87064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baseline"/>
        <w:rPr>
          <w:rFonts w:hint="eastAsia" w:ascii="宋体" w:hAnsi="宋体" w:eastAsia="宋体" w:cs="宋体"/>
          <w:b w:val="0"/>
          <w:bCs w:val="0"/>
          <w:i w:val="0"/>
          <w:iCs w:val="0"/>
          <w:caps w:val="0"/>
          <w:color w:val="auto"/>
          <w:spacing w:val="0"/>
          <w:sz w:val="21"/>
          <w:szCs w:val="21"/>
          <w:shd w:val="clear" w:fill="FFFFFF"/>
          <w:vertAlign w:val="baseline"/>
        </w:rPr>
      </w:pPr>
      <w:r>
        <w:rPr>
          <w:rFonts w:hint="eastAsia" w:ascii="宋体" w:hAnsi="宋体" w:eastAsia="宋体" w:cs="宋体"/>
          <w:b w:val="0"/>
          <w:bCs w:val="0"/>
          <w:i w:val="0"/>
          <w:iCs w:val="0"/>
          <w:caps w:val="0"/>
          <w:color w:val="auto"/>
          <w:spacing w:val="0"/>
          <w:sz w:val="21"/>
          <w:szCs w:val="21"/>
          <w:shd w:val="clear" w:fill="FFFFFF"/>
          <w:vertAlign w:val="baseline"/>
        </w:rPr>
        <w:t>（14）《财政部关于进一步加大政府采购支持中小企业力度的通知》（财库〔2022〕19号）；</w:t>
      </w:r>
    </w:p>
    <w:p w14:paraId="0E5E716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baseline"/>
        <w:rPr>
          <w:rFonts w:hint="eastAsia" w:ascii="宋体" w:hAnsi="宋体" w:eastAsia="宋体" w:cs="宋体"/>
          <w:b w:val="0"/>
          <w:bCs w:val="0"/>
          <w:i w:val="0"/>
          <w:iCs w:val="0"/>
          <w:caps w:val="0"/>
          <w:color w:val="auto"/>
          <w:spacing w:val="0"/>
          <w:sz w:val="21"/>
          <w:szCs w:val="21"/>
          <w:shd w:val="clear" w:fill="FFFFFF"/>
          <w:vertAlign w:val="baseline"/>
        </w:rPr>
      </w:pPr>
      <w:r>
        <w:rPr>
          <w:rFonts w:hint="eastAsia" w:ascii="宋体" w:hAnsi="宋体" w:eastAsia="宋体" w:cs="宋体"/>
          <w:b w:val="0"/>
          <w:bCs w:val="0"/>
          <w:i w:val="0"/>
          <w:iCs w:val="0"/>
          <w:caps w:val="0"/>
          <w:color w:val="auto"/>
          <w:spacing w:val="0"/>
          <w:sz w:val="21"/>
          <w:szCs w:val="21"/>
          <w:shd w:val="clear" w:fill="FFFFFF"/>
          <w:vertAlign w:val="baseline"/>
        </w:rPr>
        <w:t>（1</w:t>
      </w:r>
      <w:r>
        <w:rPr>
          <w:rFonts w:hint="eastAsia" w:ascii="宋体" w:hAnsi="宋体" w:eastAsia="宋体" w:cs="宋体"/>
          <w:b w:val="0"/>
          <w:bCs w:val="0"/>
          <w:i w:val="0"/>
          <w:iCs w:val="0"/>
          <w:caps w:val="0"/>
          <w:color w:val="auto"/>
          <w:spacing w:val="0"/>
          <w:sz w:val="21"/>
          <w:szCs w:val="21"/>
          <w:shd w:val="clear" w:fill="FFFFFF"/>
          <w:vertAlign w:val="baseline"/>
          <w:lang w:val="en-US" w:eastAsia="zh-CN"/>
        </w:rPr>
        <w:t>5</w:t>
      </w:r>
      <w:r>
        <w:rPr>
          <w:rFonts w:hint="eastAsia" w:ascii="宋体" w:hAnsi="宋体" w:eastAsia="宋体" w:cs="宋体"/>
          <w:b w:val="0"/>
          <w:bCs w:val="0"/>
          <w:i w:val="0"/>
          <w:iCs w:val="0"/>
          <w:caps w:val="0"/>
          <w:color w:val="auto"/>
          <w:spacing w:val="0"/>
          <w:sz w:val="21"/>
          <w:szCs w:val="21"/>
          <w:shd w:val="clear" w:fill="FFFFFF"/>
          <w:vertAlign w:val="baseline"/>
        </w:rPr>
        <w:t>）其他落实的政府采购政策。若享受以上政策优惠的企业，需提供相应声明函或品目清单范围内产品的有效认证证书。</w:t>
      </w:r>
    </w:p>
    <w:p w14:paraId="50E8F237">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2" w:firstLineChars="200"/>
        <w:textAlignment w:val="auto"/>
        <w:rPr>
          <w:rFonts w:hint="eastAsia" w:ascii="宋体" w:hAnsi="宋体" w:eastAsia="宋体" w:cs="宋体"/>
          <w:b/>
          <w:bCs/>
          <w:color w:val="auto"/>
          <w:kern w:val="0"/>
          <w:sz w:val="21"/>
          <w:szCs w:val="21"/>
          <w:highlight w:val="none"/>
          <w:shd w:val="clear" w:color="auto" w:fill="FFFFFF"/>
        </w:rPr>
      </w:pPr>
      <w:r>
        <w:rPr>
          <w:rFonts w:hint="eastAsia" w:cs="宋体"/>
          <w:b/>
          <w:bCs/>
          <w:color w:val="auto"/>
          <w:kern w:val="0"/>
          <w:sz w:val="21"/>
          <w:szCs w:val="21"/>
          <w:highlight w:val="none"/>
          <w:shd w:val="clear" w:color="auto" w:fill="FFFFFF"/>
          <w:lang w:val="en-US" w:eastAsia="zh-CN"/>
        </w:rPr>
        <w:t>八</w:t>
      </w:r>
      <w:r>
        <w:rPr>
          <w:rFonts w:hint="eastAsia" w:ascii="宋体" w:hAnsi="宋体" w:eastAsia="宋体" w:cs="宋体"/>
          <w:b/>
          <w:bCs/>
          <w:color w:val="auto"/>
          <w:kern w:val="0"/>
          <w:sz w:val="21"/>
          <w:szCs w:val="21"/>
          <w:highlight w:val="none"/>
          <w:shd w:val="clear" w:color="auto" w:fill="FFFFFF"/>
        </w:rPr>
        <w:t>、对本次招标提出询问，请按以下方式联系。</w:t>
      </w:r>
    </w:p>
    <w:p w14:paraId="56A354A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vertAlign w:val="baseline"/>
        </w:rPr>
        <w:t>1.采购人信息</w:t>
      </w:r>
    </w:p>
    <w:p w14:paraId="39B3589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both"/>
        <w:textAlignment w:val="baseline"/>
        <w:rPr>
          <w:rFonts w:hint="eastAsia" w:ascii="宋体" w:hAnsi="宋体" w:eastAsia="宋体" w:cs="宋体"/>
          <w:color w:val="auto"/>
          <w:sz w:val="21"/>
          <w:szCs w:val="21"/>
          <w:lang w:val="en-US" w:eastAsia="zh-CN"/>
        </w:rPr>
      </w:pPr>
      <w:r>
        <w:rPr>
          <w:rFonts w:hint="eastAsia" w:ascii="宋体" w:hAnsi="宋体" w:eastAsia="宋体" w:cs="宋体"/>
          <w:i w:val="0"/>
          <w:iCs w:val="0"/>
          <w:caps w:val="0"/>
          <w:color w:val="auto"/>
          <w:spacing w:val="0"/>
          <w:sz w:val="21"/>
          <w:szCs w:val="21"/>
          <w:shd w:val="clear" w:fill="FFFFFF"/>
          <w:vertAlign w:val="baseline"/>
        </w:rPr>
        <w:t>名称：</w:t>
      </w:r>
      <w:r>
        <w:rPr>
          <w:rFonts w:hint="eastAsia" w:cs="宋体"/>
          <w:i w:val="0"/>
          <w:iCs w:val="0"/>
          <w:caps w:val="0"/>
          <w:color w:val="auto"/>
          <w:spacing w:val="0"/>
          <w:sz w:val="21"/>
          <w:szCs w:val="21"/>
          <w:shd w:val="clear" w:fill="FFFFFF"/>
          <w:vertAlign w:val="baseline"/>
          <w:lang w:eastAsia="zh-CN"/>
        </w:rPr>
        <w:t>泾阳县人民政府办公室</w:t>
      </w:r>
    </w:p>
    <w:p w14:paraId="26F9303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both"/>
        <w:textAlignment w:val="baseline"/>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vertAlign w:val="baseline"/>
        </w:rPr>
        <w:t>地址：陕西省咸阳市泾阳县中心街190号</w:t>
      </w:r>
      <w:r>
        <w:rPr>
          <w:rFonts w:hint="eastAsia" w:ascii="宋体" w:hAnsi="宋体" w:eastAsia="宋体" w:cs="宋体"/>
          <w:color w:val="auto"/>
          <w:sz w:val="21"/>
          <w:szCs w:val="21"/>
          <w:lang w:val="en-US" w:eastAsia="zh-CN"/>
        </w:rPr>
        <w:t xml:space="preserve"> </w:t>
      </w:r>
    </w:p>
    <w:p w14:paraId="682D63F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both"/>
        <w:textAlignment w:val="baseline"/>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aps w:val="0"/>
          <w:color w:val="auto"/>
          <w:spacing w:val="0"/>
          <w:sz w:val="21"/>
          <w:szCs w:val="21"/>
          <w:shd w:val="clear" w:fill="FFFFFF"/>
          <w:vertAlign w:val="baseline"/>
        </w:rPr>
        <w:t>联系方式：</w:t>
      </w:r>
      <w:r>
        <w:rPr>
          <w:rFonts w:hint="eastAsia" w:cs="宋体"/>
          <w:i w:val="0"/>
          <w:iCs w:val="0"/>
          <w:caps w:val="0"/>
          <w:color w:val="auto"/>
          <w:spacing w:val="0"/>
          <w:sz w:val="21"/>
          <w:szCs w:val="21"/>
          <w:shd w:val="clear" w:fill="FFFFFF"/>
          <w:vertAlign w:val="baseline"/>
          <w:lang w:val="en-US" w:eastAsia="zh-CN"/>
        </w:rPr>
        <w:t>029-</w:t>
      </w:r>
      <w:r>
        <w:rPr>
          <w:rFonts w:hint="eastAsia" w:ascii="宋体" w:hAnsi="宋体" w:eastAsia="宋体" w:cs="宋体"/>
          <w:i w:val="0"/>
          <w:iCs w:val="0"/>
          <w:caps w:val="0"/>
          <w:color w:val="auto"/>
          <w:spacing w:val="0"/>
          <w:sz w:val="21"/>
          <w:szCs w:val="21"/>
          <w:shd w:val="clear" w:fill="FFFFFF"/>
          <w:vertAlign w:val="baseline"/>
          <w:lang w:val="en-US" w:eastAsia="zh-CN"/>
        </w:rPr>
        <w:t>36222432</w:t>
      </w:r>
    </w:p>
    <w:p w14:paraId="1A8A170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vertAlign w:val="baseline"/>
        </w:rPr>
        <w:t>2.</w:t>
      </w:r>
      <w:r>
        <w:rPr>
          <w:rFonts w:hint="eastAsia" w:ascii="宋体" w:hAnsi="宋体" w:eastAsia="宋体" w:cs="宋体"/>
          <w:b w:val="0"/>
          <w:bCs w:val="0"/>
          <w:i w:val="0"/>
          <w:iCs w:val="0"/>
          <w:caps w:val="0"/>
          <w:color w:val="auto"/>
          <w:spacing w:val="0"/>
          <w:sz w:val="21"/>
          <w:szCs w:val="21"/>
          <w:shd w:val="clear" w:fill="FFFFFF"/>
          <w:vertAlign w:val="baseline"/>
          <w:lang w:eastAsia="zh-CN"/>
        </w:rPr>
        <w:t>采购代理机构</w:t>
      </w:r>
      <w:r>
        <w:rPr>
          <w:rFonts w:hint="eastAsia" w:ascii="宋体" w:hAnsi="宋体" w:eastAsia="宋体" w:cs="宋体"/>
          <w:b w:val="0"/>
          <w:bCs w:val="0"/>
          <w:i w:val="0"/>
          <w:iCs w:val="0"/>
          <w:caps w:val="0"/>
          <w:color w:val="auto"/>
          <w:spacing w:val="0"/>
          <w:sz w:val="21"/>
          <w:szCs w:val="21"/>
          <w:shd w:val="clear" w:fill="FFFFFF"/>
          <w:vertAlign w:val="baseline"/>
        </w:rPr>
        <w:t>信息</w:t>
      </w:r>
    </w:p>
    <w:p w14:paraId="6AD2FC8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名称：泾阳县政府采购中心</w:t>
      </w:r>
    </w:p>
    <w:p w14:paraId="6703D832">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地址：咸阳市泾阳县中心街402号</w:t>
      </w:r>
    </w:p>
    <w:p w14:paraId="048CC19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both"/>
        <w:textAlignment w:val="baseline"/>
        <w:rPr>
          <w:rFonts w:hint="default" w:ascii="宋体" w:hAnsi="宋体" w:eastAsia="宋体" w:cs="宋体"/>
          <w:color w:val="auto"/>
          <w:sz w:val="21"/>
          <w:szCs w:val="21"/>
          <w:lang w:val="en-US" w:eastAsia="zh-CN"/>
        </w:rPr>
      </w:pPr>
      <w:r>
        <w:rPr>
          <w:rFonts w:hint="eastAsia" w:ascii="宋体" w:hAnsi="宋体" w:eastAsia="宋体" w:cs="宋体"/>
          <w:i w:val="0"/>
          <w:iCs w:val="0"/>
          <w:caps w:val="0"/>
          <w:color w:val="auto"/>
          <w:spacing w:val="0"/>
          <w:sz w:val="21"/>
          <w:szCs w:val="21"/>
          <w:shd w:val="clear" w:fill="FFFFFF"/>
          <w:vertAlign w:val="baseline"/>
        </w:rPr>
        <w:t>联系方式：029-3622</w:t>
      </w:r>
      <w:r>
        <w:rPr>
          <w:rFonts w:hint="eastAsia" w:cs="宋体"/>
          <w:i w:val="0"/>
          <w:iCs w:val="0"/>
          <w:caps w:val="0"/>
          <w:color w:val="auto"/>
          <w:spacing w:val="0"/>
          <w:sz w:val="21"/>
          <w:szCs w:val="21"/>
          <w:shd w:val="clear" w:fill="FFFFFF"/>
          <w:vertAlign w:val="baseline"/>
          <w:lang w:val="en-US" w:eastAsia="zh-CN"/>
        </w:rPr>
        <w:t>0106</w:t>
      </w:r>
    </w:p>
    <w:p w14:paraId="708DA1A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vertAlign w:val="baseline"/>
        </w:rPr>
        <w:t>3.项目联系方式</w:t>
      </w:r>
    </w:p>
    <w:p w14:paraId="48ED75B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项目联系人：</w:t>
      </w:r>
      <w:r>
        <w:rPr>
          <w:rFonts w:hint="eastAsia" w:ascii="宋体" w:hAnsi="宋体" w:eastAsia="宋体" w:cs="宋体"/>
          <w:i w:val="0"/>
          <w:iCs w:val="0"/>
          <w:caps w:val="0"/>
          <w:color w:val="auto"/>
          <w:spacing w:val="0"/>
          <w:sz w:val="21"/>
          <w:szCs w:val="21"/>
          <w:shd w:val="clear" w:fill="FFFFFF"/>
          <w:vertAlign w:val="baseline"/>
          <w:lang w:eastAsia="zh-CN"/>
        </w:rPr>
        <w:t>赵</w:t>
      </w:r>
      <w:r>
        <w:rPr>
          <w:rFonts w:hint="eastAsia" w:ascii="宋体" w:hAnsi="宋体" w:eastAsia="宋体" w:cs="宋体"/>
          <w:i w:val="0"/>
          <w:iCs w:val="0"/>
          <w:caps w:val="0"/>
          <w:color w:val="auto"/>
          <w:spacing w:val="0"/>
          <w:sz w:val="21"/>
          <w:szCs w:val="21"/>
          <w:shd w:val="clear" w:fill="FFFFFF"/>
          <w:vertAlign w:val="baseline"/>
        </w:rPr>
        <w:t>工</w:t>
      </w:r>
    </w:p>
    <w:p w14:paraId="105BC82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both"/>
        <w:textAlignment w:val="baseline"/>
        <w:rPr>
          <w:rFonts w:hint="default" w:ascii="宋体" w:hAnsi="宋体" w:eastAsia="宋体" w:cs="宋体"/>
          <w:color w:val="auto"/>
          <w:sz w:val="21"/>
          <w:szCs w:val="21"/>
          <w:lang w:val="en-US" w:eastAsia="zh-CN"/>
        </w:rPr>
      </w:pPr>
      <w:r>
        <w:rPr>
          <w:rFonts w:hint="eastAsia" w:ascii="宋体" w:hAnsi="宋体" w:eastAsia="宋体" w:cs="宋体"/>
          <w:i w:val="0"/>
          <w:iCs w:val="0"/>
          <w:caps w:val="0"/>
          <w:color w:val="auto"/>
          <w:spacing w:val="0"/>
          <w:sz w:val="21"/>
          <w:szCs w:val="21"/>
          <w:shd w:val="clear" w:fill="FFFFFF"/>
          <w:vertAlign w:val="baseline"/>
        </w:rPr>
        <w:t>电话：029-3622</w:t>
      </w:r>
      <w:r>
        <w:rPr>
          <w:rFonts w:hint="eastAsia" w:cs="宋体"/>
          <w:i w:val="0"/>
          <w:iCs w:val="0"/>
          <w:caps w:val="0"/>
          <w:color w:val="auto"/>
          <w:spacing w:val="0"/>
          <w:sz w:val="21"/>
          <w:szCs w:val="21"/>
          <w:shd w:val="clear" w:fill="FFFFFF"/>
          <w:vertAlign w:val="baseline"/>
          <w:lang w:val="en-US" w:eastAsia="zh-CN"/>
        </w:rPr>
        <w:t>0106</w:t>
      </w:r>
    </w:p>
    <w:p w14:paraId="54853D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left="0" w:right="0" w:firstLine="420" w:firstLineChars="200"/>
        <w:jc w:val="right"/>
        <w:textAlignment w:val="auto"/>
        <w:outlineLvl w:val="9"/>
        <w:rPr>
          <w:rFonts w:hint="eastAsia" w:ascii="宋体" w:hAnsi="宋体" w:eastAsia="宋体" w:cs="宋体"/>
          <w:b w:val="0"/>
          <w:bCs w:val="0"/>
          <w:i w:val="0"/>
          <w:iCs w:val="0"/>
          <w:caps w:val="0"/>
          <w:color w:val="auto"/>
          <w:spacing w:val="0"/>
          <w:sz w:val="21"/>
          <w:szCs w:val="21"/>
          <w:highlight w:val="none"/>
          <w:shd w:val="clear" w:color="auto" w:fill="FFFFFF"/>
          <w:lang w:eastAsia="zh-CN"/>
        </w:rPr>
      </w:pPr>
      <w:r>
        <w:rPr>
          <w:rFonts w:hint="eastAsia" w:ascii="宋体" w:hAnsi="宋体" w:eastAsia="宋体" w:cs="宋体"/>
          <w:b w:val="0"/>
          <w:bCs w:val="0"/>
          <w:i w:val="0"/>
          <w:iCs w:val="0"/>
          <w:caps w:val="0"/>
          <w:color w:val="auto"/>
          <w:spacing w:val="0"/>
          <w:sz w:val="21"/>
          <w:szCs w:val="21"/>
          <w:highlight w:val="none"/>
          <w:shd w:val="clear" w:color="auto" w:fill="FFFFFF"/>
          <w:lang w:eastAsia="zh-CN"/>
        </w:rPr>
        <w:t>泾阳县政府采购中心</w:t>
      </w:r>
    </w:p>
    <w:p w14:paraId="0F973500">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right"/>
        <w:textAlignment w:val="auto"/>
        <w:rPr>
          <w:rFonts w:hint="eastAsia" w:ascii="宋体" w:hAnsi="宋体" w:eastAsia="宋体" w:cs="宋体"/>
          <w:b w:val="0"/>
          <w:bCs w:val="0"/>
          <w:i w:val="0"/>
          <w:iCs w:val="0"/>
          <w:caps w:val="0"/>
          <w:color w:val="auto"/>
          <w:spacing w:val="0"/>
          <w:sz w:val="21"/>
          <w:szCs w:val="21"/>
          <w:highlight w:val="none"/>
          <w:shd w:val="clear" w:color="auto" w:fill="FFFFFF"/>
        </w:rPr>
        <w:sectPr>
          <w:footerReference r:id="rId13" w:type="first"/>
          <w:footerReference r:id="rId12" w:type="default"/>
          <w:pgSz w:w="11906" w:h="16838"/>
          <w:pgMar w:top="1418" w:right="1418" w:bottom="1418" w:left="1418" w:header="851" w:footer="992" w:gutter="0"/>
          <w:pgBorders>
            <w:top w:val="none" w:sz="0" w:space="0"/>
            <w:left w:val="none" w:sz="0" w:space="0"/>
            <w:bottom w:val="none" w:sz="0" w:space="0"/>
            <w:right w:val="none" w:sz="0" w:space="0"/>
          </w:pgBorders>
          <w:pgNumType w:fmt="decimal" w:start="1"/>
          <w:cols w:space="425" w:num="1"/>
          <w:docGrid w:linePitch="312" w:charSpace="0"/>
        </w:sectPr>
      </w:pPr>
      <w:r>
        <w:rPr>
          <w:rFonts w:hint="eastAsia" w:ascii="宋体" w:hAnsi="宋体" w:eastAsia="宋体" w:cs="宋体"/>
          <w:b w:val="0"/>
          <w:bCs w:val="0"/>
          <w:i w:val="0"/>
          <w:iCs w:val="0"/>
          <w:caps w:val="0"/>
          <w:color w:val="auto"/>
          <w:spacing w:val="0"/>
          <w:sz w:val="21"/>
          <w:szCs w:val="21"/>
          <w:highlight w:val="none"/>
          <w:shd w:val="clear" w:color="auto" w:fill="FFFFFF"/>
        </w:rPr>
        <w:t>20</w:t>
      </w: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25</w:t>
      </w:r>
      <w:r>
        <w:rPr>
          <w:rFonts w:hint="eastAsia" w:ascii="宋体" w:hAnsi="宋体" w:eastAsia="宋体" w:cs="宋体"/>
          <w:b w:val="0"/>
          <w:bCs w:val="0"/>
          <w:i w:val="0"/>
          <w:iCs w:val="0"/>
          <w:caps w:val="0"/>
          <w:color w:val="auto"/>
          <w:spacing w:val="0"/>
          <w:sz w:val="21"/>
          <w:szCs w:val="21"/>
          <w:highlight w:val="none"/>
          <w:shd w:val="clear" w:color="auto" w:fill="FFFFFF"/>
        </w:rPr>
        <w:t>年</w:t>
      </w:r>
      <w:r>
        <w:rPr>
          <w:rFonts w:hint="eastAsia" w:cs="宋体"/>
          <w:b w:val="0"/>
          <w:bCs w:val="0"/>
          <w:i w:val="0"/>
          <w:iCs w:val="0"/>
          <w:caps w:val="0"/>
          <w:color w:val="auto"/>
          <w:spacing w:val="0"/>
          <w:sz w:val="21"/>
          <w:szCs w:val="21"/>
          <w:highlight w:val="none"/>
          <w:shd w:val="clear" w:color="auto" w:fill="FFFFFF"/>
          <w:lang w:val="en-US" w:eastAsia="zh-CN"/>
        </w:rPr>
        <w:t>09</w:t>
      </w:r>
      <w:r>
        <w:rPr>
          <w:rFonts w:hint="eastAsia" w:ascii="宋体" w:hAnsi="宋体" w:eastAsia="宋体" w:cs="宋体"/>
          <w:b w:val="0"/>
          <w:bCs w:val="0"/>
          <w:i w:val="0"/>
          <w:iCs w:val="0"/>
          <w:caps w:val="0"/>
          <w:color w:val="auto"/>
          <w:spacing w:val="0"/>
          <w:sz w:val="21"/>
          <w:szCs w:val="21"/>
          <w:highlight w:val="none"/>
          <w:shd w:val="clear" w:color="auto" w:fill="FFFFFF"/>
        </w:rPr>
        <w:t>月</w:t>
      </w:r>
      <w:r>
        <w:rPr>
          <w:rFonts w:hint="eastAsia" w:cs="宋体"/>
          <w:b w:val="0"/>
          <w:bCs w:val="0"/>
          <w:i w:val="0"/>
          <w:iCs w:val="0"/>
          <w:caps w:val="0"/>
          <w:color w:val="auto"/>
          <w:spacing w:val="0"/>
          <w:sz w:val="21"/>
          <w:szCs w:val="21"/>
          <w:highlight w:val="none"/>
          <w:shd w:val="clear" w:color="auto" w:fill="FFFFFF"/>
          <w:lang w:val="en-US" w:eastAsia="zh-CN"/>
        </w:rPr>
        <w:t>19</w:t>
      </w:r>
      <w:r>
        <w:rPr>
          <w:rFonts w:hint="eastAsia" w:ascii="宋体" w:hAnsi="宋体" w:eastAsia="宋体" w:cs="宋体"/>
          <w:b w:val="0"/>
          <w:bCs w:val="0"/>
          <w:i w:val="0"/>
          <w:iCs w:val="0"/>
          <w:caps w:val="0"/>
          <w:color w:val="auto"/>
          <w:spacing w:val="0"/>
          <w:sz w:val="21"/>
          <w:szCs w:val="21"/>
          <w:highlight w:val="none"/>
          <w:shd w:val="clear" w:color="auto" w:fill="FFFFFF"/>
        </w:rPr>
        <w:t>日</w:t>
      </w:r>
    </w:p>
    <w:bookmarkEnd w:id="1"/>
    <w:bookmarkEnd w:id="2"/>
    <w:bookmarkEnd w:id="3"/>
    <w:p w14:paraId="4FD583E0">
      <w:pPr>
        <w:pStyle w:val="2"/>
        <w:keepLines w:val="0"/>
        <w:pageBreakBefore w:val="0"/>
        <w:numPr>
          <w:ilvl w:val="0"/>
          <w:numId w:val="0"/>
        </w:numPr>
        <w:kinsoku/>
        <w:bidi w:val="0"/>
        <w:spacing w:line="360" w:lineRule="auto"/>
        <w:jc w:val="center"/>
        <w:rPr>
          <w:rFonts w:hint="eastAsia" w:ascii="宋体" w:hAnsi="宋体" w:eastAsia="宋体" w:cs="宋体"/>
          <w:b/>
          <w:color w:val="auto"/>
          <w:sz w:val="36"/>
          <w:szCs w:val="36"/>
          <w:highlight w:val="none"/>
        </w:rPr>
      </w:pPr>
      <w:bookmarkStart w:id="4" w:name="_Toc14736"/>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rPr>
        <w:t>竞争性磋商须知</w:t>
      </w:r>
      <w:bookmarkEnd w:id="4"/>
    </w:p>
    <w:tbl>
      <w:tblPr>
        <w:tblStyle w:val="37"/>
        <w:tblW w:w="1005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921"/>
        <w:gridCol w:w="7518"/>
      </w:tblGrid>
      <w:tr w14:paraId="43918B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tblHeader/>
          <w:jc w:val="center"/>
        </w:trPr>
        <w:tc>
          <w:tcPr>
            <w:tcW w:w="613" w:type="dxa"/>
            <w:vAlign w:val="center"/>
          </w:tcPr>
          <w:p w14:paraId="38BDD0AD">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序号</w:t>
            </w:r>
          </w:p>
        </w:tc>
        <w:tc>
          <w:tcPr>
            <w:tcW w:w="1921" w:type="dxa"/>
            <w:vAlign w:val="center"/>
          </w:tcPr>
          <w:p w14:paraId="26072A4F">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条款名称</w:t>
            </w:r>
          </w:p>
        </w:tc>
        <w:tc>
          <w:tcPr>
            <w:tcW w:w="7518" w:type="dxa"/>
            <w:vAlign w:val="center"/>
          </w:tcPr>
          <w:p w14:paraId="6CB83FF4">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说明和要求</w:t>
            </w:r>
          </w:p>
        </w:tc>
      </w:tr>
      <w:tr w14:paraId="1D7ADD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3C2A6171">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p>
        </w:tc>
        <w:tc>
          <w:tcPr>
            <w:tcW w:w="1921" w:type="dxa"/>
            <w:vAlign w:val="center"/>
          </w:tcPr>
          <w:p w14:paraId="7EBA6EDF">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采购人</w:t>
            </w:r>
          </w:p>
        </w:tc>
        <w:tc>
          <w:tcPr>
            <w:tcW w:w="7518" w:type="dxa"/>
            <w:vAlign w:val="center"/>
          </w:tcPr>
          <w:p w14:paraId="01CEB74B">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名  称：</w:t>
            </w:r>
            <w:r>
              <w:rPr>
                <w:rFonts w:hint="eastAsia" w:ascii="宋体" w:hAnsi="宋体" w:cs="宋体"/>
                <w:color w:val="auto"/>
                <w:sz w:val="21"/>
                <w:szCs w:val="21"/>
                <w:highlight w:val="none"/>
                <w:lang w:val="en-US" w:eastAsia="zh-CN"/>
              </w:rPr>
              <w:t>泾阳县人民政府办公室</w:t>
            </w:r>
          </w:p>
          <w:p w14:paraId="5B0653FE">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val="en-US" w:eastAsia="zh-CN"/>
              </w:rPr>
              <w:t>：</w:t>
            </w:r>
            <w:r>
              <w:rPr>
                <w:rFonts w:hint="eastAsia" w:ascii="宋体" w:hAnsi="宋体" w:eastAsia="宋体" w:cs="宋体"/>
                <w:i w:val="0"/>
                <w:iCs w:val="0"/>
                <w:caps w:val="0"/>
                <w:color w:val="auto"/>
                <w:spacing w:val="0"/>
                <w:sz w:val="21"/>
                <w:szCs w:val="21"/>
                <w:shd w:val="clear" w:fill="FFFFFF"/>
                <w:vertAlign w:val="baseline"/>
              </w:rPr>
              <w:t>陕西省咸阳市泾阳县中心街190号</w:t>
            </w:r>
            <w:r>
              <w:rPr>
                <w:rFonts w:hint="eastAsia" w:ascii="宋体" w:hAnsi="宋体" w:eastAsia="宋体" w:cs="宋体"/>
                <w:color w:val="auto"/>
                <w:sz w:val="21"/>
                <w:szCs w:val="21"/>
                <w:lang w:val="en-US" w:eastAsia="zh-CN"/>
              </w:rPr>
              <w:t xml:space="preserve"> </w:t>
            </w:r>
          </w:p>
          <w:p w14:paraId="0CD0E0C7">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范鼎新</w:t>
            </w:r>
          </w:p>
          <w:p w14:paraId="29E92904">
            <w:pPr>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lang w:val="en-US" w:eastAsia="zh-CN"/>
              </w:rPr>
              <w:t>：</w:t>
            </w:r>
            <w:r>
              <w:rPr>
                <w:rFonts w:hint="eastAsia" w:ascii="宋体" w:hAnsi="宋体" w:cs="宋体"/>
                <w:i w:val="0"/>
                <w:iCs w:val="0"/>
                <w:caps w:val="0"/>
                <w:color w:val="auto"/>
                <w:spacing w:val="0"/>
                <w:sz w:val="21"/>
                <w:szCs w:val="21"/>
                <w:shd w:val="clear" w:fill="FFFFFF"/>
                <w:vertAlign w:val="baseline"/>
                <w:lang w:val="en-US" w:eastAsia="zh-CN"/>
              </w:rPr>
              <w:t>029-36222432</w:t>
            </w:r>
          </w:p>
        </w:tc>
      </w:tr>
      <w:tr w14:paraId="74DE0F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38B4D79A">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p>
        </w:tc>
        <w:tc>
          <w:tcPr>
            <w:tcW w:w="1921" w:type="dxa"/>
            <w:vAlign w:val="center"/>
          </w:tcPr>
          <w:p w14:paraId="30993761">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采购代理机构</w:t>
            </w:r>
          </w:p>
        </w:tc>
        <w:tc>
          <w:tcPr>
            <w:tcW w:w="7518" w:type="dxa"/>
            <w:vAlign w:val="center"/>
          </w:tcPr>
          <w:p w14:paraId="01B2A62A">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称</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泾阳县政府采购中心</w:t>
            </w:r>
          </w:p>
          <w:p w14:paraId="751A230F">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址</w:t>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aps w:val="0"/>
                <w:color w:val="auto"/>
                <w:spacing w:val="0"/>
                <w:sz w:val="21"/>
                <w:szCs w:val="21"/>
                <w:shd w:val="clear" w:fill="FFFFFF"/>
                <w:vertAlign w:val="baseline"/>
              </w:rPr>
              <w:t>咸阳市泾阳县中心街402号</w:t>
            </w:r>
          </w:p>
          <w:p w14:paraId="35E5A6EA">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aps w:val="0"/>
                <w:color w:val="auto"/>
                <w:spacing w:val="0"/>
                <w:sz w:val="21"/>
                <w:szCs w:val="21"/>
                <w:shd w:val="clear" w:fill="FFFFFF"/>
                <w:vertAlign w:val="baseline"/>
                <w:lang w:eastAsia="zh-CN"/>
              </w:rPr>
              <w:t>赵</w:t>
            </w:r>
            <w:r>
              <w:rPr>
                <w:rFonts w:hint="eastAsia" w:ascii="宋体" w:hAnsi="宋体" w:eastAsia="宋体" w:cs="宋体"/>
                <w:i w:val="0"/>
                <w:iCs w:val="0"/>
                <w:caps w:val="0"/>
                <w:color w:val="auto"/>
                <w:spacing w:val="0"/>
                <w:sz w:val="21"/>
                <w:szCs w:val="21"/>
                <w:shd w:val="clear" w:fill="FFFFFF"/>
                <w:vertAlign w:val="baseline"/>
              </w:rPr>
              <w:t>工</w:t>
            </w:r>
          </w:p>
          <w:p w14:paraId="6E13C0DD">
            <w:pPr>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话</w:t>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aps w:val="0"/>
                <w:color w:val="auto"/>
                <w:spacing w:val="0"/>
                <w:sz w:val="21"/>
                <w:szCs w:val="21"/>
                <w:shd w:val="clear" w:fill="FFFFFF"/>
                <w:vertAlign w:val="baseline"/>
              </w:rPr>
              <w:t>029-3622</w:t>
            </w:r>
            <w:r>
              <w:rPr>
                <w:rFonts w:hint="eastAsia" w:ascii="宋体" w:hAnsi="宋体" w:cs="宋体"/>
                <w:i w:val="0"/>
                <w:iCs w:val="0"/>
                <w:caps w:val="0"/>
                <w:color w:val="auto"/>
                <w:spacing w:val="0"/>
                <w:sz w:val="21"/>
                <w:szCs w:val="21"/>
                <w:shd w:val="clear" w:fill="FFFFFF"/>
                <w:vertAlign w:val="baseline"/>
                <w:lang w:val="en-US" w:eastAsia="zh-CN"/>
              </w:rPr>
              <w:t>0106</w:t>
            </w:r>
          </w:p>
        </w:tc>
      </w:tr>
      <w:tr w14:paraId="44765B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345DCDCD">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p>
        </w:tc>
        <w:tc>
          <w:tcPr>
            <w:tcW w:w="1921" w:type="dxa"/>
            <w:vAlign w:val="center"/>
          </w:tcPr>
          <w:p w14:paraId="1D1E5C87">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项目名称</w:t>
            </w:r>
          </w:p>
        </w:tc>
        <w:tc>
          <w:tcPr>
            <w:tcW w:w="7518" w:type="dxa"/>
            <w:vAlign w:val="center"/>
          </w:tcPr>
          <w:p w14:paraId="5D97B072">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lang w:val="en-US" w:eastAsia="zh-CN"/>
              </w:rPr>
              <w:t>泾阳县人民政府会议室改造项目</w:t>
            </w:r>
          </w:p>
        </w:tc>
      </w:tr>
      <w:tr w14:paraId="145832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2F94AAC5">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w:t>
            </w:r>
          </w:p>
        </w:tc>
        <w:tc>
          <w:tcPr>
            <w:tcW w:w="1921" w:type="dxa"/>
            <w:vAlign w:val="center"/>
          </w:tcPr>
          <w:p w14:paraId="2640FB6A">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项目编号</w:t>
            </w:r>
          </w:p>
        </w:tc>
        <w:tc>
          <w:tcPr>
            <w:tcW w:w="7518" w:type="dxa"/>
            <w:vAlign w:val="center"/>
          </w:tcPr>
          <w:p w14:paraId="607B4BA3">
            <w:pPr>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ZFCG-泾阳县-2025-00014</w:t>
            </w:r>
          </w:p>
        </w:tc>
      </w:tr>
      <w:tr w14:paraId="3B2D6B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54D81FF3">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921" w:type="dxa"/>
            <w:vAlign w:val="center"/>
          </w:tcPr>
          <w:p w14:paraId="0F9786B7">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采购方式</w:t>
            </w:r>
          </w:p>
        </w:tc>
        <w:tc>
          <w:tcPr>
            <w:tcW w:w="7518" w:type="dxa"/>
            <w:vAlign w:val="center"/>
          </w:tcPr>
          <w:p w14:paraId="2085978B">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竞争性磋商</w:t>
            </w:r>
          </w:p>
        </w:tc>
      </w:tr>
      <w:tr w14:paraId="0F1D1A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13" w:type="dxa"/>
            <w:vAlign w:val="center"/>
          </w:tcPr>
          <w:p w14:paraId="18B32201">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921" w:type="dxa"/>
            <w:vAlign w:val="center"/>
          </w:tcPr>
          <w:p w14:paraId="758FBAAF">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采购内容</w:t>
            </w:r>
          </w:p>
        </w:tc>
        <w:tc>
          <w:tcPr>
            <w:tcW w:w="7518" w:type="dxa"/>
            <w:vAlign w:val="center"/>
          </w:tcPr>
          <w:p w14:paraId="7838B13B">
            <w:pPr>
              <w:pStyle w:val="118"/>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lang w:val="en-US" w:eastAsia="zh-CN"/>
              </w:rPr>
              <w:t>会议室改造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具体</w:t>
            </w:r>
            <w:r>
              <w:rPr>
                <w:rFonts w:hint="eastAsia" w:ascii="宋体" w:hAnsi="宋体" w:eastAsia="宋体" w:cs="宋体"/>
                <w:color w:val="auto"/>
                <w:sz w:val="21"/>
                <w:szCs w:val="21"/>
                <w:highlight w:val="none"/>
              </w:rPr>
              <w:t>内容详见</w:t>
            </w: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w:t>
            </w:r>
          </w:p>
        </w:tc>
      </w:tr>
      <w:tr w14:paraId="544E50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27C9AFB7">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921" w:type="dxa"/>
            <w:vAlign w:val="center"/>
          </w:tcPr>
          <w:p w14:paraId="27FE919C">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资金比例</w:t>
            </w:r>
          </w:p>
        </w:tc>
        <w:tc>
          <w:tcPr>
            <w:tcW w:w="7518" w:type="dxa"/>
            <w:vAlign w:val="center"/>
          </w:tcPr>
          <w:p w14:paraId="36855541">
            <w:pPr>
              <w:pStyle w:val="118"/>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w:t>
            </w:r>
          </w:p>
        </w:tc>
      </w:tr>
      <w:tr w14:paraId="6FD354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7036EB26">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921" w:type="dxa"/>
            <w:vAlign w:val="center"/>
          </w:tcPr>
          <w:p w14:paraId="3A8D1031">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采购预算</w:t>
            </w:r>
          </w:p>
        </w:tc>
        <w:tc>
          <w:tcPr>
            <w:tcW w:w="7518" w:type="dxa"/>
            <w:vAlign w:val="center"/>
          </w:tcPr>
          <w:p w14:paraId="4772E06E">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i w:val="0"/>
                <w:iCs w:val="0"/>
                <w:caps w:val="0"/>
                <w:color w:val="auto"/>
                <w:spacing w:val="0"/>
                <w:sz w:val="21"/>
                <w:szCs w:val="21"/>
                <w:highlight w:val="none"/>
                <w:shd w:val="clear" w:fill="FFFFFF"/>
                <w:lang w:val="en-US" w:eastAsia="zh-CN"/>
              </w:rPr>
              <w:t>1255000.00</w:t>
            </w:r>
            <w:r>
              <w:rPr>
                <w:rFonts w:hint="eastAsia" w:ascii="宋体" w:hAnsi="宋体" w:eastAsia="宋体" w:cs="宋体"/>
                <w:i w:val="0"/>
                <w:iCs w:val="0"/>
                <w:caps w:val="0"/>
                <w:color w:val="auto"/>
                <w:spacing w:val="0"/>
                <w:sz w:val="21"/>
                <w:szCs w:val="21"/>
                <w:highlight w:val="none"/>
                <w:shd w:val="clear" w:fill="FFFFFF"/>
              </w:rPr>
              <w:t>元</w:t>
            </w:r>
          </w:p>
        </w:tc>
      </w:tr>
      <w:tr w14:paraId="04408F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73DD26F9">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921" w:type="dxa"/>
            <w:vAlign w:val="center"/>
          </w:tcPr>
          <w:p w14:paraId="0A99A85E">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w:t>
            </w:r>
          </w:p>
        </w:tc>
        <w:tc>
          <w:tcPr>
            <w:tcW w:w="7518" w:type="dxa"/>
            <w:vAlign w:val="center"/>
          </w:tcPr>
          <w:p w14:paraId="7471AB88">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1254</w:t>
            </w:r>
            <w:r>
              <w:rPr>
                <w:rFonts w:hint="eastAsia" w:ascii="宋体" w:hAnsi="宋体" w:cs="宋体"/>
                <w:color w:val="auto"/>
                <w:sz w:val="21"/>
                <w:szCs w:val="21"/>
                <w:highlight w:val="none"/>
                <w:lang w:val="en-US" w:eastAsia="zh-CN"/>
              </w:rPr>
              <w:t>800.20</w:t>
            </w:r>
            <w:r>
              <w:rPr>
                <w:rFonts w:hint="eastAsia" w:ascii="宋体" w:hAnsi="宋体" w:eastAsia="宋体" w:cs="宋体"/>
                <w:color w:val="auto"/>
                <w:kern w:val="0"/>
                <w:sz w:val="21"/>
                <w:szCs w:val="21"/>
                <w:highlight w:val="none"/>
                <w:lang w:val="en-US" w:eastAsia="zh-CN" w:bidi="ar-SA"/>
              </w:rPr>
              <w:t>元</w:t>
            </w:r>
          </w:p>
        </w:tc>
      </w:tr>
      <w:tr w14:paraId="7C2B57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53CB9DD4">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921" w:type="dxa"/>
            <w:vAlign w:val="center"/>
          </w:tcPr>
          <w:p w14:paraId="1743A28C">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工期及施工地点</w:t>
            </w:r>
          </w:p>
        </w:tc>
        <w:tc>
          <w:tcPr>
            <w:tcW w:w="7518" w:type="dxa"/>
            <w:vAlign w:val="center"/>
          </w:tcPr>
          <w:p w14:paraId="24D9176A">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textAlignment w:val="auto"/>
              <w:rPr>
                <w:rFonts w:hint="default" w:ascii="宋体" w:hAnsi="宋体" w:eastAsia="宋体" w:cs="宋体"/>
                <w:color w:val="auto"/>
                <w:kern w:val="0"/>
                <w:sz w:val="21"/>
                <w:szCs w:val="21"/>
                <w:highlight w:val="none"/>
                <w:shd w:val="clear" w:color="auto" w:fill="FFFFFF"/>
                <w:lang w:val="en-US" w:eastAsia="zh-CN"/>
              </w:rPr>
            </w:pPr>
            <w:r>
              <w:rPr>
                <w:rFonts w:hint="eastAsia" w:ascii="宋体" w:hAnsi="宋体" w:eastAsia="宋体" w:cs="宋体"/>
                <w:color w:val="auto"/>
                <w:sz w:val="21"/>
                <w:szCs w:val="21"/>
                <w:highlight w:val="none"/>
                <w:lang w:val="en-US" w:eastAsia="zh-CN"/>
              </w:rPr>
              <w:t>工期：</w:t>
            </w:r>
            <w:r>
              <w:rPr>
                <w:rFonts w:hint="eastAsia" w:ascii="宋体" w:hAnsi="宋体" w:eastAsia="宋体" w:cs="宋体"/>
                <w:color w:val="auto"/>
                <w:kern w:val="0"/>
                <w:sz w:val="21"/>
                <w:szCs w:val="21"/>
                <w:highlight w:val="none"/>
                <w:shd w:val="clear" w:color="auto" w:fill="FFFFFF"/>
                <w:lang w:val="en-US" w:eastAsia="zh-CN"/>
              </w:rPr>
              <w:t>自合同签订之日起60日历</w:t>
            </w:r>
            <w:r>
              <w:rPr>
                <w:rFonts w:hint="eastAsia" w:cs="宋体"/>
                <w:color w:val="auto"/>
                <w:kern w:val="0"/>
                <w:sz w:val="21"/>
                <w:szCs w:val="21"/>
                <w:highlight w:val="none"/>
                <w:shd w:val="clear" w:color="auto" w:fill="FFFFFF"/>
                <w:lang w:val="en-US" w:eastAsia="zh-CN"/>
              </w:rPr>
              <w:t>日</w:t>
            </w:r>
          </w:p>
          <w:p w14:paraId="175C8B87">
            <w:pPr>
              <w:pStyle w:val="118"/>
              <w:keepNext w:val="0"/>
              <w:keepLines w:val="0"/>
              <w:pageBreakBefore w:val="0"/>
              <w:kinsoku/>
              <w:wordWrap/>
              <w:overflowPunct/>
              <w:topLinePunct w:val="0"/>
              <w:bidi w:val="0"/>
              <w:snapToGrid/>
              <w:spacing w:line="360" w:lineRule="exact"/>
              <w:ind w:left="0" w:leftChars="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施工地点：</w:t>
            </w:r>
            <w:r>
              <w:rPr>
                <w:rFonts w:hint="eastAsia" w:cs="宋体"/>
                <w:color w:val="auto"/>
                <w:sz w:val="21"/>
                <w:szCs w:val="21"/>
                <w:highlight w:val="none"/>
                <w:lang w:val="en-US" w:eastAsia="zh-CN"/>
              </w:rPr>
              <w:t>采购人指定地点</w:t>
            </w:r>
          </w:p>
        </w:tc>
      </w:tr>
      <w:tr w14:paraId="7BFB62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029A63A8">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921" w:type="dxa"/>
            <w:vAlign w:val="center"/>
          </w:tcPr>
          <w:p w14:paraId="75B75DEE">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质量要求、验收标准</w:t>
            </w:r>
          </w:p>
        </w:tc>
        <w:tc>
          <w:tcPr>
            <w:tcW w:w="7518" w:type="dxa"/>
            <w:vAlign w:val="center"/>
          </w:tcPr>
          <w:p w14:paraId="5E79436A">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质量要求：达到国家现行技术标准。</w:t>
            </w:r>
          </w:p>
          <w:p w14:paraId="46E274D7">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验收标准：国家标准、行业标准、企业标准。</w:t>
            </w:r>
          </w:p>
        </w:tc>
      </w:tr>
      <w:tr w14:paraId="7C9E2E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613" w:type="dxa"/>
            <w:vAlign w:val="center"/>
          </w:tcPr>
          <w:p w14:paraId="66D27759">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921" w:type="dxa"/>
            <w:vAlign w:val="center"/>
          </w:tcPr>
          <w:p w14:paraId="3C44AF16">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磋商文件发售</w:t>
            </w:r>
          </w:p>
        </w:tc>
        <w:tc>
          <w:tcPr>
            <w:tcW w:w="7518" w:type="dxa"/>
            <w:vAlign w:val="center"/>
          </w:tcPr>
          <w:p w14:paraId="17A46EBD">
            <w:pPr>
              <w:pStyle w:val="125"/>
              <w:keepNext w:val="0"/>
              <w:keepLines w:val="0"/>
              <w:pageBreakBefore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发售时间：</w:t>
            </w:r>
            <w:r>
              <w:rPr>
                <w:rFonts w:hint="eastAsia" w:ascii="宋体" w:hAnsi="宋体" w:eastAsia="宋体" w:cs="宋体"/>
                <w:i w:val="0"/>
                <w:iCs w:val="0"/>
                <w:caps w:val="0"/>
                <w:color w:val="auto"/>
                <w:spacing w:val="0"/>
                <w:sz w:val="21"/>
                <w:szCs w:val="21"/>
                <w:highlight w:val="none"/>
                <w:shd w:val="clear" w:fill="FFFFFF"/>
                <w:vertAlign w:val="baseline"/>
              </w:rPr>
              <w:t>2025年</w:t>
            </w:r>
            <w:r>
              <w:rPr>
                <w:rFonts w:hint="eastAsia" w:ascii="宋体" w:hAnsi="宋体" w:cs="宋体"/>
                <w:i w:val="0"/>
                <w:iCs w:val="0"/>
                <w:caps w:val="0"/>
                <w:color w:val="auto"/>
                <w:spacing w:val="0"/>
                <w:sz w:val="21"/>
                <w:szCs w:val="21"/>
                <w:highlight w:val="none"/>
                <w:shd w:val="clear" w:fill="FFFFFF"/>
                <w:vertAlign w:val="baseline"/>
                <w:lang w:val="en-US" w:eastAsia="zh-CN"/>
              </w:rPr>
              <w:t>09</w:t>
            </w:r>
            <w:r>
              <w:rPr>
                <w:rFonts w:hint="eastAsia" w:ascii="宋体" w:hAnsi="宋体" w:eastAsia="宋体" w:cs="宋体"/>
                <w:i w:val="0"/>
                <w:iCs w:val="0"/>
                <w:caps w:val="0"/>
                <w:color w:val="auto"/>
                <w:spacing w:val="0"/>
                <w:sz w:val="21"/>
                <w:szCs w:val="21"/>
                <w:highlight w:val="none"/>
                <w:shd w:val="clear" w:fill="FFFFFF"/>
                <w:vertAlign w:val="baseline"/>
              </w:rPr>
              <w:t>月</w:t>
            </w:r>
            <w:r>
              <w:rPr>
                <w:rFonts w:hint="eastAsia" w:ascii="宋体" w:hAnsi="宋体" w:cs="宋体"/>
                <w:i w:val="0"/>
                <w:iCs w:val="0"/>
                <w:caps w:val="0"/>
                <w:color w:val="auto"/>
                <w:spacing w:val="0"/>
                <w:sz w:val="21"/>
                <w:szCs w:val="21"/>
                <w:highlight w:val="none"/>
                <w:shd w:val="clear" w:fill="FFFFFF"/>
                <w:vertAlign w:val="baseline"/>
                <w:lang w:val="en-US" w:eastAsia="zh-CN"/>
              </w:rPr>
              <w:t>19</w:t>
            </w:r>
            <w:r>
              <w:rPr>
                <w:rFonts w:hint="eastAsia" w:ascii="宋体" w:hAnsi="宋体" w:eastAsia="宋体" w:cs="宋体"/>
                <w:i w:val="0"/>
                <w:iCs w:val="0"/>
                <w:caps w:val="0"/>
                <w:color w:val="auto"/>
                <w:spacing w:val="0"/>
                <w:sz w:val="21"/>
                <w:szCs w:val="21"/>
                <w:highlight w:val="none"/>
                <w:shd w:val="clear" w:fill="FFFFFF"/>
                <w:vertAlign w:val="baseline"/>
              </w:rPr>
              <w:t>日至2025年</w:t>
            </w:r>
            <w:r>
              <w:rPr>
                <w:rFonts w:hint="eastAsia" w:ascii="宋体" w:hAnsi="宋体" w:cs="宋体"/>
                <w:i w:val="0"/>
                <w:iCs w:val="0"/>
                <w:caps w:val="0"/>
                <w:color w:val="auto"/>
                <w:spacing w:val="0"/>
                <w:sz w:val="21"/>
                <w:szCs w:val="21"/>
                <w:highlight w:val="none"/>
                <w:shd w:val="clear" w:fill="FFFFFF"/>
                <w:vertAlign w:val="baseline"/>
                <w:lang w:val="en-US" w:eastAsia="zh-CN"/>
              </w:rPr>
              <w:t>09</w:t>
            </w:r>
            <w:r>
              <w:rPr>
                <w:rFonts w:hint="eastAsia" w:ascii="宋体" w:hAnsi="宋体" w:eastAsia="宋体" w:cs="宋体"/>
                <w:i w:val="0"/>
                <w:iCs w:val="0"/>
                <w:caps w:val="0"/>
                <w:color w:val="auto"/>
                <w:spacing w:val="0"/>
                <w:sz w:val="21"/>
                <w:szCs w:val="21"/>
                <w:highlight w:val="none"/>
                <w:shd w:val="clear" w:fill="FFFFFF"/>
                <w:vertAlign w:val="baseline"/>
              </w:rPr>
              <w:t>月</w:t>
            </w:r>
            <w:r>
              <w:rPr>
                <w:rFonts w:hint="eastAsia" w:ascii="宋体" w:hAnsi="宋体" w:cs="宋体"/>
                <w:i w:val="0"/>
                <w:iCs w:val="0"/>
                <w:caps w:val="0"/>
                <w:color w:val="auto"/>
                <w:spacing w:val="0"/>
                <w:sz w:val="21"/>
                <w:szCs w:val="21"/>
                <w:highlight w:val="none"/>
                <w:shd w:val="clear" w:fill="FFFFFF"/>
                <w:vertAlign w:val="baseline"/>
                <w:lang w:val="en-US" w:eastAsia="zh-CN"/>
              </w:rPr>
              <w:t>26</w:t>
            </w:r>
            <w:r>
              <w:rPr>
                <w:rFonts w:hint="eastAsia" w:ascii="宋体" w:hAnsi="宋体" w:eastAsia="宋体" w:cs="宋体"/>
                <w:i w:val="0"/>
                <w:iCs w:val="0"/>
                <w:caps w:val="0"/>
                <w:color w:val="auto"/>
                <w:spacing w:val="0"/>
                <w:sz w:val="21"/>
                <w:szCs w:val="21"/>
                <w:highlight w:val="none"/>
                <w:shd w:val="clear" w:fill="FFFFFF"/>
                <w:vertAlign w:val="baseline"/>
                <w:lang w:val="en-US" w:eastAsia="zh-CN"/>
              </w:rPr>
              <w:t>日，每天上午00:00:00至12:00:00，下午12:00:00至23:59:59（北京时间）</w:t>
            </w:r>
          </w:p>
          <w:p w14:paraId="16B9F1FE">
            <w:pPr>
              <w:keepNext w:val="0"/>
              <w:keepLines w:val="0"/>
              <w:pageBreakBefore w:val="0"/>
              <w:kinsoku/>
              <w:wordWrap/>
              <w:overflowPunct/>
              <w:topLinePunct w:val="0"/>
              <w:autoSpaceDE/>
              <w:autoSpaceDN/>
              <w:bidi w:val="0"/>
              <w:adjustRightInd/>
              <w:snapToGrid/>
              <w:spacing w:line="360" w:lineRule="exact"/>
              <w:ind w:left="0" w:leftChars="0" w:right="0" w:right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发售地点：</w:t>
            </w:r>
            <w:r>
              <w:rPr>
                <w:rFonts w:hint="eastAsia" w:ascii="宋体" w:hAnsi="宋体" w:eastAsia="宋体" w:cs="宋体"/>
                <w:i w:val="0"/>
                <w:iCs w:val="0"/>
                <w:caps w:val="0"/>
                <w:color w:val="auto"/>
                <w:spacing w:val="0"/>
                <w:kern w:val="0"/>
                <w:sz w:val="21"/>
                <w:szCs w:val="21"/>
                <w:highlight w:val="none"/>
                <w:shd w:val="clear" w:fill="FFFFFF"/>
                <w:vertAlign w:val="baseline"/>
                <w:lang w:val="en-US" w:eastAsia="zh-CN" w:bidi="ar-SA"/>
              </w:rPr>
              <w:t>网上自行下载</w:t>
            </w:r>
          </w:p>
        </w:tc>
      </w:tr>
      <w:tr w14:paraId="5A40A4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3D01EFFD">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1921" w:type="dxa"/>
            <w:vAlign w:val="center"/>
          </w:tcPr>
          <w:p w14:paraId="6DBCE2F3">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联合体磋商</w:t>
            </w:r>
          </w:p>
        </w:tc>
        <w:tc>
          <w:tcPr>
            <w:tcW w:w="7518" w:type="dxa"/>
            <w:vAlign w:val="center"/>
          </w:tcPr>
          <w:p w14:paraId="4680F7B4">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不接受</w:t>
            </w:r>
          </w:p>
        </w:tc>
      </w:tr>
      <w:tr w14:paraId="7AE592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4C39CC93">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1921" w:type="dxa"/>
            <w:vAlign w:val="center"/>
          </w:tcPr>
          <w:p w14:paraId="2DF0BAD3">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考察现场、标前答疑会</w:t>
            </w:r>
          </w:p>
        </w:tc>
        <w:tc>
          <w:tcPr>
            <w:tcW w:w="7518" w:type="dxa"/>
            <w:vAlign w:val="center"/>
          </w:tcPr>
          <w:p w14:paraId="20D32631">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不组织</w:t>
            </w:r>
          </w:p>
        </w:tc>
      </w:tr>
      <w:tr w14:paraId="615173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6C66DB9D">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921" w:type="dxa"/>
            <w:vAlign w:val="center"/>
          </w:tcPr>
          <w:p w14:paraId="6E50CF8F">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构成竞争性磋商文件的其他文件</w:t>
            </w:r>
          </w:p>
        </w:tc>
        <w:tc>
          <w:tcPr>
            <w:tcW w:w="7518" w:type="dxa"/>
            <w:vAlign w:val="center"/>
          </w:tcPr>
          <w:p w14:paraId="062CF0E1">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竞争性磋商文件的澄清、修改书及有关补充通知为竞争性磋商文件的有效组成部分。</w:t>
            </w:r>
          </w:p>
        </w:tc>
      </w:tr>
      <w:tr w14:paraId="47C557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0D7CDE10">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1921" w:type="dxa"/>
            <w:vAlign w:val="center"/>
          </w:tcPr>
          <w:p w14:paraId="06421B64">
            <w:pPr>
              <w:pStyle w:val="125"/>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rPr>
              <w:t>磋商文件递交截止时间和地点</w:t>
            </w:r>
          </w:p>
        </w:tc>
        <w:tc>
          <w:tcPr>
            <w:tcW w:w="7518" w:type="dxa"/>
            <w:vAlign w:val="center"/>
          </w:tcPr>
          <w:p w14:paraId="41476DE8">
            <w:pPr>
              <w:keepNext w:val="0"/>
              <w:keepLines w:val="0"/>
              <w:pageBreakBefore w:val="0"/>
              <w:kinsoku/>
              <w:wordWrap/>
              <w:overflowPunct/>
              <w:topLinePunct w:val="0"/>
              <w:autoSpaceDE/>
              <w:autoSpaceDN/>
              <w:bidi w:val="0"/>
              <w:adjustRightInd/>
              <w:snapToGrid/>
              <w:spacing w:line="36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1.磋商文件截止时间</w:t>
            </w:r>
            <w:r>
              <w:rPr>
                <w:rFonts w:hint="eastAsia" w:ascii="宋体" w:hAnsi="宋体" w:eastAsia="宋体" w:cs="宋体"/>
                <w:color w:val="auto"/>
                <w:sz w:val="21"/>
                <w:szCs w:val="21"/>
                <w:highlight w:val="none"/>
                <w:lang w:val="en-US" w:eastAsia="zh-CN"/>
              </w:rPr>
              <w:t>和开启时间</w:t>
            </w:r>
            <w:r>
              <w:rPr>
                <w:rFonts w:hint="eastAsia" w:ascii="宋体" w:hAnsi="宋体" w:eastAsia="宋体" w:cs="宋体"/>
                <w:color w:val="auto"/>
                <w:sz w:val="21"/>
                <w:szCs w:val="21"/>
                <w:highlight w:val="none"/>
              </w:rPr>
              <w:t>：202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09</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日</w:t>
            </w:r>
            <w:r>
              <w:rPr>
                <w:rFonts w:hint="eastAsia" w:ascii="宋体" w:hAnsi="宋体" w:cs="宋体"/>
                <w:color w:val="auto"/>
                <w:kern w:val="2"/>
                <w:sz w:val="21"/>
                <w:szCs w:val="21"/>
                <w:highlight w:val="none"/>
                <w:lang w:val="en-US" w:eastAsia="zh-CN"/>
              </w:rPr>
              <w:t>09</w:t>
            </w:r>
            <w:r>
              <w:rPr>
                <w:rFonts w:hint="eastAsia" w:ascii="宋体" w:hAnsi="宋体" w:eastAsia="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30</w:t>
            </w:r>
            <w:r>
              <w:rPr>
                <w:rFonts w:hint="eastAsia" w:ascii="宋体" w:hAnsi="宋体" w:eastAsia="宋体" w:cs="宋体"/>
                <w:color w:val="auto"/>
                <w:sz w:val="21"/>
                <w:szCs w:val="21"/>
                <w:highlight w:val="none"/>
              </w:rPr>
              <w:t>（北京时间）</w:t>
            </w:r>
          </w:p>
          <w:p w14:paraId="3E69D3A5">
            <w:pPr>
              <w:keepNext w:val="0"/>
              <w:keepLines w:val="0"/>
              <w:pageBreakBefore w:val="0"/>
              <w:kinsoku/>
              <w:wordWrap/>
              <w:overflowPunct/>
              <w:topLinePunct w:val="0"/>
              <w:autoSpaceDE/>
              <w:autoSpaceDN/>
              <w:bidi w:val="0"/>
              <w:adjustRightInd/>
              <w:snapToGrid/>
              <w:spacing w:line="36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2.磋商时间：202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09</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日</w:t>
            </w:r>
            <w:r>
              <w:rPr>
                <w:rFonts w:hint="eastAsia" w:ascii="宋体" w:hAnsi="宋体" w:cs="宋体"/>
                <w:color w:val="auto"/>
                <w:kern w:val="2"/>
                <w:sz w:val="21"/>
                <w:szCs w:val="21"/>
                <w:highlight w:val="none"/>
                <w:lang w:val="en-US" w:eastAsia="zh-CN"/>
              </w:rPr>
              <w:t>09</w:t>
            </w:r>
            <w:r>
              <w:rPr>
                <w:rFonts w:hint="eastAsia" w:ascii="宋体" w:hAnsi="宋体" w:eastAsia="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30</w:t>
            </w:r>
            <w:r>
              <w:rPr>
                <w:rFonts w:hint="eastAsia" w:ascii="宋体" w:hAnsi="宋体" w:eastAsia="宋体" w:cs="宋体"/>
                <w:color w:val="auto"/>
                <w:sz w:val="21"/>
                <w:szCs w:val="21"/>
                <w:highlight w:val="none"/>
              </w:rPr>
              <w:t>（北京时间）</w:t>
            </w:r>
          </w:p>
          <w:p w14:paraId="07A1291E">
            <w:pPr>
              <w:keepNext w:val="0"/>
              <w:keepLines w:val="0"/>
              <w:pageBreakBefore w:val="0"/>
              <w:kinsoku/>
              <w:wordWrap/>
              <w:overflowPunct/>
              <w:topLinePunct w:val="0"/>
              <w:autoSpaceDE/>
              <w:autoSpaceDN/>
              <w:bidi w:val="0"/>
              <w:adjustRightInd/>
              <w:snapToGrid/>
              <w:spacing w:line="360" w:lineRule="exact"/>
              <w:ind w:left="0" w:leftChars="0" w:right="0" w:righ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3.磋商地点：</w:t>
            </w:r>
            <w:r>
              <w:rPr>
                <w:rFonts w:hint="eastAsia" w:ascii="宋体" w:hAnsi="宋体" w:eastAsia="宋体" w:cs="宋体"/>
                <w:color w:val="auto"/>
                <w:kern w:val="0"/>
                <w:sz w:val="21"/>
                <w:szCs w:val="21"/>
                <w:highlight w:val="none"/>
                <w:shd w:val="clear" w:color="auto" w:fill="FFFFFF"/>
              </w:rPr>
              <w:t>全国公共资源交易平台（陕西省.</w:t>
            </w:r>
            <w:r>
              <w:rPr>
                <w:rFonts w:hint="eastAsia" w:ascii="宋体" w:hAnsi="宋体" w:eastAsia="宋体" w:cs="宋体"/>
                <w:color w:val="auto"/>
                <w:kern w:val="0"/>
                <w:sz w:val="21"/>
                <w:szCs w:val="21"/>
                <w:highlight w:val="none"/>
                <w:shd w:val="clear" w:color="auto" w:fill="FFFFFF"/>
                <w:lang w:val="en-US" w:eastAsia="zh-CN"/>
              </w:rPr>
              <w:t>咸阳市</w:t>
            </w:r>
            <w:r>
              <w:rPr>
                <w:rFonts w:hint="eastAsia" w:ascii="宋体" w:hAnsi="宋体" w:eastAsia="宋体" w:cs="宋体"/>
                <w:color w:val="auto"/>
                <w:kern w:val="0"/>
                <w:sz w:val="21"/>
                <w:szCs w:val="21"/>
                <w:highlight w:val="none"/>
                <w:shd w:val="clear" w:color="auto" w:fill="FFFFFF"/>
              </w:rPr>
              <w:t>）不见面开标大厅</w:t>
            </w:r>
          </w:p>
        </w:tc>
      </w:tr>
      <w:tr w14:paraId="521ED3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108E0599">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1921" w:type="dxa"/>
            <w:vAlign w:val="center"/>
          </w:tcPr>
          <w:p w14:paraId="4E2A3683">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磋商有效期</w:t>
            </w:r>
          </w:p>
        </w:tc>
        <w:tc>
          <w:tcPr>
            <w:tcW w:w="7518" w:type="dxa"/>
            <w:vAlign w:val="center"/>
          </w:tcPr>
          <w:p w14:paraId="00453373">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从磋商截止日起90日历天。</w:t>
            </w:r>
          </w:p>
        </w:tc>
      </w:tr>
      <w:tr w14:paraId="1E7B61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01F7D21A">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8</w:t>
            </w:r>
          </w:p>
        </w:tc>
        <w:tc>
          <w:tcPr>
            <w:tcW w:w="1921" w:type="dxa"/>
            <w:vAlign w:val="center"/>
          </w:tcPr>
          <w:p w14:paraId="6D8D0EF1">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签字盖章</w:t>
            </w:r>
          </w:p>
        </w:tc>
        <w:tc>
          <w:tcPr>
            <w:tcW w:w="7518" w:type="dxa"/>
            <w:vAlign w:val="center"/>
          </w:tcPr>
          <w:p w14:paraId="148357F0">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磋商供应商必须按照竞争性磋商文件的规定和要求签字、盖章。</w:t>
            </w:r>
          </w:p>
          <w:p w14:paraId="028A8B59">
            <w:pPr>
              <w:keepNext w:val="0"/>
              <w:keepLines w:val="0"/>
              <w:pageBreakBefore w:val="0"/>
              <w:kinsoku/>
              <w:wordWrap/>
              <w:overflowPunct/>
              <w:topLinePunct w:val="0"/>
              <w:autoSpaceDE/>
              <w:autoSpaceDN/>
              <w:bidi w:val="0"/>
              <w:adjustRightInd/>
              <w:snapToGrid/>
              <w:spacing w:line="360" w:lineRule="exact"/>
              <w:ind w:left="0" w:leftChars="0" w:right="0" w:rightChars="0"/>
              <w:textAlignment w:val="auto"/>
              <w:rPr>
                <w:rFonts w:hint="eastAsia"/>
              </w:rPr>
            </w:pPr>
            <w:r>
              <w:rPr>
                <w:rFonts w:hint="eastAsia" w:ascii="宋体" w:hAnsi="宋体" w:cs="宋体"/>
                <w:color w:val="auto"/>
                <w:sz w:val="21"/>
                <w:szCs w:val="21"/>
                <w:highlight w:val="none"/>
                <w:lang w:val="en-US" w:eastAsia="zh-CN"/>
              </w:rPr>
              <w:t>2.电子投标文件制作过程中，需要法定代表人签字或盖章的地方，请使用“法人CA锁”进行签章；需要加盖供应商公章的地方，请使用“企业CA锁”进行签章。</w:t>
            </w:r>
          </w:p>
        </w:tc>
      </w:tr>
      <w:tr w14:paraId="6DB01F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13" w:type="dxa"/>
            <w:vAlign w:val="center"/>
          </w:tcPr>
          <w:p w14:paraId="54F70606">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1</w:t>
            </w:r>
            <w:r>
              <w:rPr>
                <w:rFonts w:hint="eastAsia" w:ascii="宋体" w:hAnsi="宋体" w:eastAsia="宋体" w:cs="宋体"/>
                <w:color w:val="auto"/>
                <w:sz w:val="21"/>
                <w:szCs w:val="21"/>
                <w:highlight w:val="none"/>
                <w:lang w:val="en-US" w:eastAsia="zh-CN"/>
              </w:rPr>
              <w:t>9</w:t>
            </w:r>
          </w:p>
        </w:tc>
        <w:tc>
          <w:tcPr>
            <w:tcW w:w="1921" w:type="dxa"/>
            <w:vAlign w:val="center"/>
          </w:tcPr>
          <w:p w14:paraId="5C778160">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磋商响应文件的装订、数量</w:t>
            </w:r>
          </w:p>
        </w:tc>
        <w:tc>
          <w:tcPr>
            <w:tcW w:w="7518" w:type="dxa"/>
            <w:vAlign w:val="center"/>
          </w:tcPr>
          <w:p w14:paraId="1F7F51AA">
            <w:pPr>
              <w:pStyle w:val="2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供应商无需提供；</w:t>
            </w:r>
          </w:p>
          <w:p w14:paraId="6151D002">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成交</w:t>
            </w:r>
            <w:r>
              <w:rPr>
                <w:rFonts w:hint="eastAsia" w:ascii="宋体" w:hAnsi="宋体" w:eastAsia="宋体" w:cs="宋体"/>
                <w:color w:val="auto"/>
                <w:kern w:val="0"/>
                <w:sz w:val="21"/>
                <w:szCs w:val="21"/>
                <w:highlight w:val="none"/>
                <w:lang w:val="en-US" w:eastAsia="zh-CN" w:bidi="ar-SA"/>
              </w:rPr>
              <w:t>供应商在领取</w:t>
            </w:r>
            <w:r>
              <w:rPr>
                <w:rFonts w:hint="eastAsia" w:ascii="宋体" w:hAnsi="宋体" w:cs="宋体"/>
                <w:color w:val="auto"/>
                <w:kern w:val="0"/>
                <w:sz w:val="21"/>
                <w:szCs w:val="21"/>
                <w:highlight w:val="none"/>
                <w:lang w:val="en-US" w:eastAsia="zh-CN" w:bidi="ar-SA"/>
              </w:rPr>
              <w:t>成交</w:t>
            </w:r>
            <w:r>
              <w:rPr>
                <w:rFonts w:hint="eastAsia" w:ascii="宋体" w:hAnsi="宋体" w:eastAsia="宋体" w:cs="宋体"/>
                <w:color w:val="auto"/>
                <w:kern w:val="0"/>
                <w:sz w:val="21"/>
                <w:szCs w:val="21"/>
                <w:highlight w:val="none"/>
                <w:lang w:val="en-US" w:eastAsia="zh-CN" w:bidi="ar-SA"/>
              </w:rPr>
              <w:t>通知书时提供正本壹份，副本贰份，电子版</w:t>
            </w:r>
            <w:r>
              <w:rPr>
                <w:rFonts w:hint="eastAsia" w:ascii="宋体" w:hAnsi="宋体" w:cs="宋体"/>
                <w:color w:val="auto"/>
                <w:kern w:val="0"/>
                <w:sz w:val="21"/>
                <w:szCs w:val="21"/>
                <w:highlight w:val="none"/>
                <w:lang w:val="en-US" w:eastAsia="zh-CN" w:bidi="ar-SA"/>
              </w:rPr>
              <w:t>贰</w:t>
            </w:r>
            <w:r>
              <w:rPr>
                <w:rFonts w:hint="eastAsia" w:ascii="宋体" w:hAnsi="宋体" w:eastAsia="宋体" w:cs="宋体"/>
                <w:color w:val="auto"/>
                <w:kern w:val="0"/>
                <w:sz w:val="21"/>
                <w:szCs w:val="21"/>
                <w:highlight w:val="none"/>
                <w:lang w:val="en-US" w:eastAsia="zh-CN" w:bidi="ar-SA"/>
              </w:rPr>
              <w:t>份。</w:t>
            </w:r>
          </w:p>
        </w:tc>
      </w:tr>
      <w:tr w14:paraId="62ED4F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62209838">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20</w:t>
            </w:r>
          </w:p>
        </w:tc>
        <w:tc>
          <w:tcPr>
            <w:tcW w:w="1921" w:type="dxa"/>
            <w:vAlign w:val="center"/>
          </w:tcPr>
          <w:p w14:paraId="62F084A3">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磋商响应</w:t>
            </w:r>
            <w:r>
              <w:rPr>
                <w:rFonts w:hint="eastAsia" w:ascii="宋体" w:hAnsi="宋体" w:eastAsia="宋体" w:cs="宋体"/>
                <w:color w:val="auto"/>
                <w:kern w:val="0"/>
                <w:sz w:val="21"/>
                <w:szCs w:val="21"/>
                <w:highlight w:val="none"/>
                <w:lang w:val="zh-CN" w:eastAsia="zh-CN" w:bidi="ar-SA"/>
              </w:rPr>
              <w:t>文件递交地址</w:t>
            </w:r>
          </w:p>
        </w:tc>
        <w:tc>
          <w:tcPr>
            <w:tcW w:w="7518" w:type="dxa"/>
            <w:vAlign w:val="center"/>
          </w:tcPr>
          <w:p w14:paraId="4BFA8158">
            <w:pPr>
              <w:pStyle w:val="118"/>
              <w:keepNext w:val="0"/>
              <w:keepLines w:val="0"/>
              <w:pageBreakBefore w:val="0"/>
              <w:kinsoku/>
              <w:wordWrap/>
              <w:overflowPunct/>
              <w:topLinePunct w:val="0"/>
              <w:bidi w:val="0"/>
              <w:snapToGrid/>
              <w:spacing w:line="360" w:lineRule="exact"/>
              <w:ind w:left="0" w:leftChars="0"/>
              <w:jc w:val="left"/>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递交地址:</w:t>
            </w:r>
            <w:r>
              <w:rPr>
                <w:rFonts w:hint="eastAsia" w:ascii="宋体" w:hAnsi="宋体" w:eastAsia="宋体" w:cs="宋体"/>
                <w:color w:val="auto"/>
                <w:kern w:val="0"/>
                <w:sz w:val="21"/>
                <w:szCs w:val="21"/>
                <w:highlight w:val="none"/>
                <w:lang w:val="en-US" w:eastAsia="zh-CN" w:bidi="ar-SA"/>
              </w:rPr>
              <w:t>全国公共资源交易平台（陕西省·</w:t>
            </w:r>
            <w:r>
              <w:rPr>
                <w:rFonts w:hint="eastAsia" w:cs="宋体"/>
                <w:color w:val="auto"/>
                <w:kern w:val="0"/>
                <w:sz w:val="21"/>
                <w:szCs w:val="21"/>
                <w:highlight w:val="none"/>
                <w:lang w:val="en-US" w:eastAsia="zh-CN" w:bidi="ar-SA"/>
              </w:rPr>
              <w:t>咸阳市</w:t>
            </w:r>
            <w:r>
              <w:rPr>
                <w:rFonts w:hint="eastAsia" w:ascii="宋体" w:hAnsi="宋体" w:eastAsia="宋体" w:cs="宋体"/>
                <w:color w:val="auto"/>
                <w:kern w:val="0"/>
                <w:sz w:val="21"/>
                <w:szCs w:val="21"/>
                <w:highlight w:val="none"/>
                <w:lang w:val="en-US" w:eastAsia="zh-CN" w:bidi="ar-SA"/>
              </w:rPr>
              <w:t>）网站〖首页〉电子交易平台〉陕西政府采购交易系统〉企业端〗在线提交</w:t>
            </w:r>
          </w:p>
        </w:tc>
      </w:tr>
      <w:tr w14:paraId="4DD55C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61834E2E">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1921" w:type="dxa"/>
            <w:vAlign w:val="center"/>
          </w:tcPr>
          <w:p w14:paraId="0CDAE1A9">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供应商资格要求</w:t>
            </w:r>
          </w:p>
        </w:tc>
        <w:tc>
          <w:tcPr>
            <w:tcW w:w="7518" w:type="dxa"/>
            <w:vAlign w:val="center"/>
          </w:tcPr>
          <w:p w14:paraId="365C823A">
            <w:pPr>
              <w:keepNext w:val="0"/>
              <w:keepLines w:val="0"/>
              <w:pageBreakBefore w:val="0"/>
              <w:numPr>
                <w:ilvl w:val="0"/>
                <w:numId w:val="0"/>
              </w:numPr>
              <w:kinsoku/>
              <w:wordWrap/>
              <w:overflowPunct/>
              <w:topLinePunct w:val="0"/>
              <w:bidi w:val="0"/>
              <w:snapToGrid/>
              <w:spacing w:line="360" w:lineRule="exact"/>
              <w:ind w:left="0" w:lef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满足《中华人民共和国政府采购法》第二十二条规定</w:t>
            </w:r>
            <w:r>
              <w:rPr>
                <w:rFonts w:hint="eastAsia" w:ascii="宋体" w:hAnsi="宋体" w:cs="宋体"/>
                <w:b/>
                <w:bCs/>
                <w:color w:val="auto"/>
                <w:sz w:val="21"/>
                <w:szCs w:val="21"/>
                <w:highlight w:val="none"/>
                <w:lang w:eastAsia="zh-CN"/>
              </w:rPr>
              <w:t>：</w:t>
            </w:r>
          </w:p>
          <w:p w14:paraId="4BE3883B">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具有独立承担民事责任能力的法人、其他组织或自然人，并出具合法有效的营业执照或事业单位法人证书等国家规定的相关证明，自然人参与的提供其身份证明；</w:t>
            </w:r>
          </w:p>
          <w:p w14:paraId="642DD598">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须提供具有财务审计资质单位出具的2023年-2024年任意一年年度财务报告（包括资产负债表、利润表、现金流量表及会计报表附注，成立时间至开标时间不足一年的可提供成立后任意时段的资产负债表）或开标前六个月内其基本账户银行出具的资信证明（附开户许可证或基本存款账户信息）或政府采购信用担保机构出具的投标担保函；</w:t>
            </w:r>
          </w:p>
          <w:p w14:paraId="7C180674">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供应商须提供2024年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 xml:space="preserve">月至今任意一个月已缴纳完税凭证或税务机关开具的完税证明，依法免税或无须缴纳税收的供应商应提供相关文件证明； </w:t>
            </w:r>
          </w:p>
          <w:p w14:paraId="2BBA1B2A">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供应商须提供2024年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月至今任意一个月已缴纳的社会保障资金缴存单据或社保机构开具的社会保险参保缴费情况证明，依法不需要缴纳社会保障资金的供应商应提供相关证明；</w:t>
            </w:r>
          </w:p>
          <w:p w14:paraId="2F59FF0E">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具备履行合同所必需的设备和专业技术能力的证明材料(由供应商根据项目需求提供说明材料或者承诺)；</w:t>
            </w:r>
          </w:p>
          <w:p w14:paraId="1D83AFB3">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提供参加政府采购活动前三年内在经营活动中没有重大违法记录的书面声明；</w:t>
            </w:r>
          </w:p>
          <w:p w14:paraId="2E973270">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落实政府采购政策需满足的资格要求：</w:t>
            </w:r>
            <w:r>
              <w:rPr>
                <w:rFonts w:hint="eastAsia" w:ascii="宋体" w:hAnsi="宋体" w:eastAsia="宋体" w:cs="宋体"/>
                <w:b/>
                <w:bCs/>
                <w:color w:val="auto"/>
                <w:sz w:val="21"/>
                <w:szCs w:val="21"/>
                <w:highlight w:val="none"/>
                <w:lang w:val="en-US" w:eastAsia="zh-CN"/>
              </w:rPr>
              <w:t>本项目专门面向</w:t>
            </w:r>
            <w:r>
              <w:rPr>
                <w:rFonts w:hint="eastAsia" w:ascii="宋体" w:hAnsi="宋体" w:cs="宋体"/>
                <w:b/>
                <w:bCs/>
                <w:color w:val="auto"/>
                <w:sz w:val="21"/>
                <w:szCs w:val="21"/>
                <w:highlight w:val="none"/>
                <w:lang w:val="en-US" w:eastAsia="zh-CN"/>
              </w:rPr>
              <w:t>中小</w:t>
            </w:r>
            <w:r>
              <w:rPr>
                <w:rFonts w:hint="eastAsia" w:ascii="宋体" w:hAnsi="宋体" w:eastAsia="宋体" w:cs="宋体"/>
                <w:b/>
                <w:bCs/>
                <w:color w:val="auto"/>
                <w:sz w:val="21"/>
                <w:szCs w:val="21"/>
                <w:highlight w:val="none"/>
                <w:lang w:val="en-US" w:eastAsia="zh-CN"/>
              </w:rPr>
              <w:t>企业采购。</w:t>
            </w:r>
          </w:p>
          <w:p w14:paraId="1219BE5D">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、本项目的特定资格要求：</w:t>
            </w:r>
          </w:p>
          <w:p w14:paraId="57C1430E">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应授权合法的人员参加磋商全过程，其中法定代表人直接参加磋商的，须出具法定代表人身份证明及法人身份证原件及复印件；法定代表人授权代表参加磋商的，须出具法定代表人授权书及授权代表身份证原件及复印件；</w:t>
            </w:r>
          </w:p>
          <w:p w14:paraId="4C4D90CA">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供应商须具备建筑工程施工总承包叁级（含叁级）以上资质，同时具备建设行政主管部门颁发有效的安全生产许可证；</w:t>
            </w:r>
          </w:p>
          <w:p w14:paraId="0B98208E">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0" w:firstLineChars="0"/>
              <w:textAlignment w:val="auto"/>
              <w:rPr>
                <w:rFonts w:hint="default"/>
                <w:lang w:val="en-US" w:eastAsia="zh-CN"/>
              </w:rPr>
            </w:pPr>
            <w:r>
              <w:rPr>
                <w:rFonts w:hint="eastAsia" w:ascii="宋体" w:hAnsi="宋体" w:eastAsia="宋体" w:cs="宋体"/>
                <w:color w:val="auto"/>
                <w:sz w:val="21"/>
                <w:szCs w:val="21"/>
                <w:highlight w:val="none"/>
                <w:lang w:val="en-US" w:eastAsia="zh-CN"/>
              </w:rPr>
              <w:t>拟投入的项目经理须具备建筑工程专业贰级（含贰级）以上注册建造师执业资格和有效的安全生产考核B证，且未担任其他在建工程项目的项目经理（需提供企业书面承诺等证明材料）；</w:t>
            </w:r>
          </w:p>
          <w:p w14:paraId="718AEC40">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shd w:val="clear" w:color="auto" w:fill="FFFFFF"/>
              </w:rPr>
              <w:t>供应商及其拟派项目经理须在“陕西省住房和城乡建设厅”官方网站可查询；</w:t>
            </w:r>
          </w:p>
          <w:p w14:paraId="286CB645">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不得为列入信用中国(www.creditchina.gov.cn)的重大税收违法案件当事人名单记录或中国执行信息公开网（http://zxgk.court.gov.cn/shixin/）的失信被执行人名单记录或中国政府采购网(www.ccgp.gov.cn)的政府采购严重违法失信行为记录名单；</w:t>
            </w:r>
          </w:p>
          <w:p w14:paraId="7CDE8E47">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与招标人存在利害关系可能影响招标公正性的单位，不得参加投标、单位负责人为同一人或存在控股、管理关系的不同单位，不得参加同一标段投标，否则，相关投标均无效；</w:t>
            </w:r>
          </w:p>
          <w:p w14:paraId="08E0F92B">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本项目不接受联合体磋商。</w:t>
            </w:r>
          </w:p>
          <w:p w14:paraId="4B4537DB">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200"/>
              <w:textAlignment w:val="auto"/>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rPr>
              <w:t>以上为必备资质，缺一项或某项达不到求，按无效文件处理。</w:t>
            </w:r>
          </w:p>
          <w:p w14:paraId="292B48AE">
            <w:pPr>
              <w:keepNext w:val="0"/>
              <w:keepLines w:val="0"/>
              <w:pageBreakBefore w:val="0"/>
              <w:widowControl w:val="0"/>
              <w:kinsoku/>
              <w:wordWrap/>
              <w:overflowPunct/>
              <w:topLinePunct w:val="0"/>
              <w:autoSpaceDE/>
              <w:autoSpaceDN/>
              <w:bidi w:val="0"/>
              <w:adjustRightInd/>
              <w:snapToGrid/>
              <w:spacing w:line="360" w:lineRule="exact"/>
              <w:ind w:left="0" w:leftChars="0" w:firstLine="211" w:firstLineChars="1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14:paraId="696E2D56">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（1）分支机构参与投标时，响应文件中应附法人出具的授权书。法人只能授权一家分支机构参与投标，且不能与分支机构同时参与投标。分支机构须提供自己的资格要求证明文件。</w:t>
            </w:r>
          </w:p>
          <w:p w14:paraId="27E002FA">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highlight w:val="none"/>
                <w:lang w:val="en-US" w:eastAsia="zh-CN"/>
              </w:rPr>
              <w:t>（2）事业单位法人参与投标可不提供财务状况报告、社会保障资金缴纳证明及税收缴纳证明。</w:t>
            </w:r>
          </w:p>
        </w:tc>
      </w:tr>
      <w:tr w14:paraId="606250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Align w:val="center"/>
          </w:tcPr>
          <w:p w14:paraId="699F6F17">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1921" w:type="dxa"/>
            <w:vAlign w:val="center"/>
          </w:tcPr>
          <w:p w14:paraId="5A52EEDB">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磋商保证金</w:t>
            </w:r>
          </w:p>
        </w:tc>
        <w:tc>
          <w:tcPr>
            <w:tcW w:w="7518" w:type="dxa"/>
            <w:vAlign w:val="center"/>
          </w:tcPr>
          <w:p w14:paraId="1C34298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sz w:val="21"/>
                <w:szCs w:val="21"/>
                <w:lang w:val="en-US" w:eastAsia="zh-CN"/>
              </w:rPr>
            </w:pPr>
            <w:r>
              <w:rPr>
                <w:rFonts w:hint="eastAsia" w:ascii="宋体" w:hAnsi="宋体" w:eastAsia="宋体" w:cs="宋体"/>
                <w:color w:val="auto"/>
                <w:sz w:val="21"/>
                <w:szCs w:val="21"/>
                <w:highlight w:val="none"/>
                <w:lang w:val="en-US" w:eastAsia="zh-CN"/>
              </w:rPr>
              <w:t>本项目无磋商保证金</w:t>
            </w:r>
          </w:p>
        </w:tc>
      </w:tr>
      <w:tr w14:paraId="7BBD7F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Align w:val="center"/>
          </w:tcPr>
          <w:p w14:paraId="335E2A2F">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p>
        </w:tc>
        <w:tc>
          <w:tcPr>
            <w:tcW w:w="1921" w:type="dxa"/>
            <w:vAlign w:val="center"/>
          </w:tcPr>
          <w:p w14:paraId="548D0D2B">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履约保证金</w:t>
            </w:r>
          </w:p>
        </w:tc>
        <w:tc>
          <w:tcPr>
            <w:tcW w:w="7518" w:type="dxa"/>
            <w:vAlign w:val="center"/>
          </w:tcPr>
          <w:p w14:paraId="46008B83">
            <w:pPr>
              <w:keepNext w:val="0"/>
              <w:keepLines w:val="0"/>
              <w:pageBreakBefore w:val="0"/>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本项目无履约保证金</w:t>
            </w:r>
          </w:p>
        </w:tc>
      </w:tr>
      <w:tr w14:paraId="2F0E11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2712B1D3">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p>
        </w:tc>
        <w:tc>
          <w:tcPr>
            <w:tcW w:w="1921" w:type="dxa"/>
            <w:vAlign w:val="center"/>
          </w:tcPr>
          <w:p w14:paraId="108CCB84">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招标代理服务费</w:t>
            </w:r>
          </w:p>
        </w:tc>
        <w:tc>
          <w:tcPr>
            <w:tcW w:w="7518" w:type="dxa"/>
            <w:vAlign w:val="center"/>
          </w:tcPr>
          <w:p w14:paraId="18C9EC4E">
            <w:pPr>
              <w:keepNext w:val="0"/>
              <w:keepLines w:val="0"/>
              <w:pageBreakBefore w:val="0"/>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本项目无</w:t>
            </w:r>
            <w:r>
              <w:rPr>
                <w:rFonts w:hint="eastAsia" w:ascii="宋体" w:hAnsi="宋体" w:eastAsia="宋体" w:cs="宋体"/>
                <w:color w:val="auto"/>
                <w:sz w:val="21"/>
                <w:szCs w:val="21"/>
                <w:highlight w:val="none"/>
              </w:rPr>
              <w:t>招标代理服务费</w:t>
            </w:r>
          </w:p>
        </w:tc>
      </w:tr>
      <w:tr w14:paraId="7C1F3E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206F661D">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1921" w:type="dxa"/>
            <w:vAlign w:val="center"/>
          </w:tcPr>
          <w:p w14:paraId="04132B1C">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知识产权</w:t>
            </w:r>
          </w:p>
        </w:tc>
        <w:tc>
          <w:tcPr>
            <w:tcW w:w="7518" w:type="dxa"/>
            <w:vAlign w:val="center"/>
          </w:tcPr>
          <w:p w14:paraId="2EDCA81F">
            <w:pPr>
              <w:pStyle w:val="118"/>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应对所供服务具有或已取得合法知识产权，供应商应保证所供服务不会出现因第三方提出侵犯其专利权、商标权或其它知识产权而引发法律或经济纠纷，否则由供应商负责解决并承担全部责任；如因此影响到采购人的正常使用，采购人有权单方解除本合同，供应商应无条件向采购人退回已收取的全部合同价款。</w:t>
            </w:r>
          </w:p>
        </w:tc>
      </w:tr>
      <w:tr w14:paraId="6A340D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52C24835">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w:t>
            </w:r>
          </w:p>
        </w:tc>
        <w:tc>
          <w:tcPr>
            <w:tcW w:w="1921" w:type="dxa"/>
            <w:vAlign w:val="center"/>
          </w:tcPr>
          <w:p w14:paraId="170A69EB">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评审方法</w:t>
            </w:r>
          </w:p>
        </w:tc>
        <w:tc>
          <w:tcPr>
            <w:tcW w:w="7518" w:type="dxa"/>
            <w:vAlign w:val="center"/>
          </w:tcPr>
          <w:p w14:paraId="5163D8DC">
            <w:pPr>
              <w:keepNext w:val="0"/>
              <w:keepLines w:val="0"/>
              <w:pageBreakBefore w:val="0"/>
              <w:numPr>
                <w:ilvl w:val="0"/>
                <w:numId w:val="0"/>
              </w:numPr>
              <w:kinsoku/>
              <w:wordWrap/>
              <w:overflowPunct/>
              <w:topLinePunct w:val="0"/>
              <w:bidi w:val="0"/>
              <w:snapToGrid/>
              <w:spacing w:line="360" w:lineRule="exact"/>
              <w:ind w:left="0" w:leftChars="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综合评分法（详见第四章）</w:t>
            </w:r>
          </w:p>
        </w:tc>
      </w:tr>
      <w:tr w14:paraId="1778FD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2F67DA55">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w:t>
            </w:r>
          </w:p>
        </w:tc>
        <w:tc>
          <w:tcPr>
            <w:tcW w:w="1921" w:type="dxa"/>
            <w:vAlign w:val="center"/>
          </w:tcPr>
          <w:p w14:paraId="4F32D9D3">
            <w:pPr>
              <w:keepNext w:val="0"/>
              <w:keepLines w:val="0"/>
              <w:pageBreakBefore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偏离</w:t>
            </w:r>
          </w:p>
        </w:tc>
        <w:tc>
          <w:tcPr>
            <w:tcW w:w="7518" w:type="dxa"/>
            <w:vAlign w:val="center"/>
          </w:tcPr>
          <w:p w14:paraId="35213124">
            <w:pPr>
              <w:keepNext w:val="0"/>
              <w:keepLines w:val="0"/>
              <w:pageBreakBefore w:val="0"/>
              <w:kinsoku/>
              <w:wordWrap/>
              <w:overflowPunct/>
              <w:topLinePunct w:val="0"/>
              <w:autoSpaceDE/>
              <w:autoSpaceDN/>
              <w:bidi w:val="0"/>
              <w:adjustRightInd/>
              <w:snapToGrid/>
              <w:spacing w:line="360" w:lineRule="exact"/>
              <w:ind w:left="0" w:left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本项目实质性条款包括但不限于工期、付款方式、质保期等不允许负偏离，否则视为无效响应文件。</w:t>
            </w:r>
          </w:p>
        </w:tc>
      </w:tr>
      <w:tr w14:paraId="5809B6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729829FE">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w:t>
            </w:r>
          </w:p>
        </w:tc>
        <w:tc>
          <w:tcPr>
            <w:tcW w:w="1921" w:type="dxa"/>
            <w:vAlign w:val="center"/>
          </w:tcPr>
          <w:p w14:paraId="1A85AE6E">
            <w:pPr>
              <w:keepNext w:val="0"/>
              <w:keepLines w:val="0"/>
              <w:pageBreakBefore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履约验收</w:t>
            </w:r>
          </w:p>
        </w:tc>
        <w:tc>
          <w:tcPr>
            <w:tcW w:w="7518" w:type="dxa"/>
            <w:vAlign w:val="center"/>
          </w:tcPr>
          <w:p w14:paraId="4609F4C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是否委托采购代理机构组织履约验收：</w:t>
            </w:r>
          </w:p>
          <w:p w14:paraId="7EAEF6E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验收费用由采购人/成交供应商支付，费用标准按成交金额的5‰计算，不足5000元的，按5000元收取。</w:t>
            </w:r>
          </w:p>
          <w:p w14:paraId="2FAFB5E2">
            <w:pPr>
              <w:keepNext w:val="0"/>
              <w:keepLines w:val="0"/>
              <w:pageBreakBefore w:val="0"/>
              <w:kinsoku/>
              <w:wordWrap/>
              <w:overflowPunct/>
              <w:topLinePunct w:val="0"/>
              <w:autoSpaceDE/>
              <w:autoSpaceDN/>
              <w:bidi w:val="0"/>
              <w:adjustRightInd/>
              <w:snapToGrid/>
              <w:spacing w:line="360" w:lineRule="exact"/>
              <w:ind w:left="0" w:leftChars="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否。</w:t>
            </w:r>
          </w:p>
        </w:tc>
      </w:tr>
      <w:tr w14:paraId="47FCCF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4D1AEDDF">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w:t>
            </w:r>
          </w:p>
        </w:tc>
        <w:tc>
          <w:tcPr>
            <w:tcW w:w="1921" w:type="dxa"/>
            <w:vAlign w:val="center"/>
          </w:tcPr>
          <w:p w14:paraId="08044458">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信用担保及信用融资</w:t>
            </w:r>
          </w:p>
        </w:tc>
        <w:tc>
          <w:tcPr>
            <w:tcW w:w="7518" w:type="dxa"/>
            <w:vAlign w:val="center"/>
          </w:tcPr>
          <w:p w14:paraId="64CE1ECD">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陕西省财政厅关于印发《陕西省中小企业政府采购信用融资办法》（陕财办采〔2018〕23号）和《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tc>
      </w:tr>
      <w:tr w14:paraId="0D42AD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00C54CBC">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1921" w:type="dxa"/>
            <w:vAlign w:val="center"/>
          </w:tcPr>
          <w:p w14:paraId="7BCD9B23">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所属行业</w:t>
            </w:r>
          </w:p>
        </w:tc>
        <w:tc>
          <w:tcPr>
            <w:tcW w:w="7518" w:type="dxa"/>
            <w:vAlign w:val="center"/>
          </w:tcPr>
          <w:p w14:paraId="5E8F97C8">
            <w:pPr>
              <w:pStyle w:val="118"/>
              <w:keepNext w:val="0"/>
              <w:keepLines w:val="0"/>
              <w:pageBreakBefore w:val="0"/>
              <w:numPr>
                <w:ilvl w:val="0"/>
                <w:numId w:val="0"/>
              </w:numPr>
              <w:kinsoku/>
              <w:wordWrap/>
              <w:overflowPunct/>
              <w:topLinePunct w:val="0"/>
              <w:bidi w:val="0"/>
              <w:snapToGrid/>
              <w:spacing w:line="360" w:lineRule="exact"/>
              <w:ind w:left="0" w:left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本项目所属行业为：建筑业。</w:t>
            </w:r>
          </w:p>
        </w:tc>
      </w:tr>
      <w:tr w14:paraId="703C45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4C3AA209">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w:t>
            </w:r>
          </w:p>
        </w:tc>
        <w:tc>
          <w:tcPr>
            <w:tcW w:w="1921" w:type="dxa"/>
            <w:vAlign w:val="center"/>
          </w:tcPr>
          <w:p w14:paraId="6AFDC997">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响应文件和证明资料签字、盖章要求</w:t>
            </w:r>
          </w:p>
        </w:tc>
        <w:tc>
          <w:tcPr>
            <w:tcW w:w="7518" w:type="dxa"/>
            <w:vAlign w:val="center"/>
          </w:tcPr>
          <w:p w14:paraId="428A1A74">
            <w:pPr>
              <w:pStyle w:val="118"/>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1、按第八章响应文件格式中要求签字和盖章。</w:t>
            </w:r>
          </w:p>
          <w:p w14:paraId="2D7A6342">
            <w:pPr>
              <w:pStyle w:val="118"/>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2、证明资料复印件、扫描件加盖供应商公章。</w:t>
            </w:r>
          </w:p>
          <w:p w14:paraId="21AC2DE8">
            <w:pPr>
              <w:pStyle w:val="118"/>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3、投标报价的计价成果文件封面必须由造价人员签字并加盖执业专用章。</w:t>
            </w:r>
          </w:p>
        </w:tc>
      </w:tr>
    </w:tbl>
    <w:p w14:paraId="638242A6">
      <w:pPr>
        <w:keepLines w:val="0"/>
        <w:pageBreakBefore w:val="0"/>
        <w:kinsoku/>
        <w:autoSpaceDE w:val="0"/>
        <w:autoSpaceDN w:val="0"/>
        <w:bidi w:val="0"/>
        <w:adjustRightInd w:val="0"/>
        <w:spacing w:line="360" w:lineRule="auto"/>
        <w:jc w:val="center"/>
        <w:rPr>
          <w:rFonts w:hint="eastAsia" w:ascii="宋体" w:hAnsi="宋体" w:eastAsia="宋体" w:cs="宋体"/>
          <w:color w:val="auto"/>
          <w:sz w:val="28"/>
          <w:szCs w:val="28"/>
          <w:highlight w:val="none"/>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tbl>
      <w:tblPr>
        <w:tblStyle w:val="37"/>
        <w:tblW w:w="1005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921"/>
        <w:gridCol w:w="7518"/>
      </w:tblGrid>
      <w:tr w14:paraId="12081C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tblHeader/>
          <w:jc w:val="center"/>
        </w:trPr>
        <w:tc>
          <w:tcPr>
            <w:tcW w:w="613" w:type="dxa"/>
            <w:vAlign w:val="center"/>
          </w:tcPr>
          <w:p w14:paraId="3D2A585D">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zh-CN"/>
              </w:rPr>
            </w:pPr>
            <w:bookmarkStart w:id="5" w:name="_Toc27091"/>
            <w:r>
              <w:rPr>
                <w:rFonts w:hint="eastAsia" w:ascii="宋体" w:hAnsi="宋体" w:eastAsia="宋体" w:cs="宋体"/>
                <w:color w:val="auto"/>
                <w:sz w:val="21"/>
                <w:szCs w:val="21"/>
                <w:highlight w:val="none"/>
                <w:lang w:val="zh-CN"/>
              </w:rPr>
              <w:t>序号</w:t>
            </w:r>
          </w:p>
        </w:tc>
        <w:tc>
          <w:tcPr>
            <w:tcW w:w="1921" w:type="dxa"/>
            <w:vAlign w:val="center"/>
          </w:tcPr>
          <w:p w14:paraId="4ECD6C10">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条款名称</w:t>
            </w:r>
          </w:p>
        </w:tc>
        <w:tc>
          <w:tcPr>
            <w:tcW w:w="7518" w:type="dxa"/>
            <w:vAlign w:val="center"/>
          </w:tcPr>
          <w:p w14:paraId="0858B778">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说明和要求</w:t>
            </w:r>
          </w:p>
        </w:tc>
      </w:tr>
      <w:tr w14:paraId="0AD455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01E936DA">
            <w:pPr>
              <w:pStyle w:val="118"/>
              <w:keepNext w:val="0"/>
              <w:keepLines w:val="0"/>
              <w:pageBreakBefore w:val="0"/>
              <w:kinsoku/>
              <w:wordWrap/>
              <w:overflowPunct/>
              <w:topLinePunct w:val="0"/>
              <w:bidi w:val="0"/>
              <w:snapToGrid/>
              <w:spacing w:line="360" w:lineRule="exact"/>
              <w:ind w:left="0" w:leftChars="0"/>
              <w:jc w:val="center"/>
              <w:textAlignment w:val="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32</w:t>
            </w:r>
          </w:p>
        </w:tc>
        <w:tc>
          <w:tcPr>
            <w:tcW w:w="1921" w:type="dxa"/>
            <w:vAlign w:val="center"/>
          </w:tcPr>
          <w:p w14:paraId="7FDF3C25">
            <w:pPr>
              <w:spacing w:before="171" w:line="219" w:lineRule="auto"/>
              <w:jc w:val="center"/>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不见面开标</w:t>
            </w:r>
          </w:p>
        </w:tc>
        <w:tc>
          <w:tcPr>
            <w:tcW w:w="7518" w:type="dxa"/>
            <w:vAlign w:val="center"/>
          </w:tcPr>
          <w:p w14:paraId="3C3C8225">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为方便供应商并降低投标成本，该项目将采取“不见面”开标的形式，供应商无须到达开标现场，即可在网上直接参与开标活动。相关注意事项如下：</w:t>
            </w:r>
          </w:p>
          <w:p w14:paraId="50EE08F6">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r>
              <w:rPr>
                <w:rFonts w:hint="eastAsia" w:ascii="宋体" w:hAnsi="宋体" w:cs="宋体"/>
                <w:color w:val="auto"/>
                <w:kern w:val="0"/>
                <w:sz w:val="21"/>
                <w:szCs w:val="21"/>
                <w:highlight w:val="none"/>
                <w:lang w:val="en-US" w:eastAsia="zh-CN" w:bidi="ar-SA"/>
              </w:rPr>
              <w:t>、磋商</w:t>
            </w:r>
            <w:r>
              <w:rPr>
                <w:rFonts w:hint="eastAsia" w:ascii="宋体" w:hAnsi="宋体" w:eastAsia="宋体" w:cs="宋体"/>
                <w:color w:val="auto"/>
                <w:kern w:val="0"/>
                <w:sz w:val="21"/>
                <w:szCs w:val="21"/>
                <w:highlight w:val="none"/>
                <w:lang w:val="en-US" w:eastAsia="zh-CN" w:bidi="ar-SA"/>
              </w:rPr>
              <w:t>当日</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请各供应商至少提前一小时登录“不见面”开标大厅，并按要求在</w:t>
            </w:r>
            <w:r>
              <w:rPr>
                <w:rFonts w:hint="eastAsia" w:ascii="宋体" w:hAnsi="宋体" w:cs="宋体"/>
                <w:color w:val="auto"/>
                <w:kern w:val="0"/>
                <w:sz w:val="21"/>
                <w:szCs w:val="21"/>
                <w:highlight w:val="none"/>
                <w:lang w:val="en-US" w:eastAsia="zh-CN" w:bidi="ar-SA"/>
              </w:rPr>
              <w:t>磋商</w:t>
            </w:r>
            <w:r>
              <w:rPr>
                <w:rFonts w:hint="eastAsia" w:ascii="宋体" w:hAnsi="宋体" w:eastAsia="宋体" w:cs="宋体"/>
                <w:color w:val="auto"/>
                <w:kern w:val="0"/>
                <w:sz w:val="21"/>
                <w:szCs w:val="21"/>
                <w:highlight w:val="none"/>
                <w:lang w:val="en-US" w:eastAsia="zh-CN" w:bidi="ar-SA"/>
              </w:rPr>
              <w:t>前签到，并保持在线按照主持人指令进行</w:t>
            </w:r>
            <w:r>
              <w:rPr>
                <w:rFonts w:hint="eastAsia" w:ascii="宋体" w:hAnsi="宋体" w:cs="宋体"/>
                <w:color w:val="auto"/>
                <w:kern w:val="0"/>
                <w:sz w:val="21"/>
                <w:szCs w:val="21"/>
                <w:highlight w:val="none"/>
                <w:lang w:val="en-US" w:eastAsia="zh-CN" w:bidi="ar-SA"/>
              </w:rPr>
              <w:t>磋商响应</w:t>
            </w:r>
            <w:r>
              <w:rPr>
                <w:rFonts w:hint="eastAsia" w:ascii="宋体" w:hAnsi="宋体" w:eastAsia="宋体" w:cs="宋体"/>
                <w:color w:val="auto"/>
                <w:kern w:val="0"/>
                <w:sz w:val="21"/>
                <w:szCs w:val="21"/>
                <w:highlight w:val="none"/>
                <w:lang w:val="en-US" w:eastAsia="zh-CN" w:bidi="ar-SA"/>
              </w:rPr>
              <w:t>文件解密，直到主持人宣布</w:t>
            </w:r>
            <w:r>
              <w:rPr>
                <w:rFonts w:hint="eastAsia" w:ascii="宋体" w:hAnsi="宋体" w:cs="宋体"/>
                <w:color w:val="auto"/>
                <w:kern w:val="0"/>
                <w:sz w:val="21"/>
                <w:szCs w:val="21"/>
                <w:highlight w:val="none"/>
                <w:lang w:val="en-US" w:eastAsia="zh-CN" w:bidi="ar-SA"/>
              </w:rPr>
              <w:t>磋商</w:t>
            </w:r>
            <w:r>
              <w:rPr>
                <w:rFonts w:hint="eastAsia" w:ascii="宋体" w:hAnsi="宋体" w:eastAsia="宋体" w:cs="宋体"/>
                <w:color w:val="auto"/>
                <w:kern w:val="0"/>
                <w:sz w:val="21"/>
                <w:szCs w:val="21"/>
                <w:highlight w:val="none"/>
                <w:lang w:val="en-US" w:eastAsia="zh-CN" w:bidi="ar-SA"/>
              </w:rPr>
              <w:t>结束后方可退出开标大厅。</w:t>
            </w:r>
          </w:p>
          <w:p w14:paraId="5E25520B">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供应商无需提交纸质投标文件，待项目成交采购结果公布后，由中标</w:t>
            </w:r>
            <w:r>
              <w:rPr>
                <w:rFonts w:hint="eastAsia" w:ascii="宋体" w:hAnsi="宋体" w:cs="宋体"/>
                <w:color w:val="auto"/>
                <w:kern w:val="0"/>
                <w:sz w:val="21"/>
                <w:szCs w:val="21"/>
                <w:highlight w:val="none"/>
                <w:lang w:val="en-US" w:eastAsia="zh-CN" w:bidi="ar-SA"/>
              </w:rPr>
              <w:t>（成交）</w:t>
            </w:r>
            <w:r>
              <w:rPr>
                <w:rFonts w:hint="eastAsia" w:ascii="宋体" w:hAnsi="宋体" w:eastAsia="宋体" w:cs="宋体"/>
                <w:color w:val="auto"/>
                <w:kern w:val="0"/>
                <w:sz w:val="21"/>
                <w:szCs w:val="21"/>
                <w:highlight w:val="none"/>
                <w:lang w:val="en-US" w:eastAsia="zh-CN" w:bidi="ar-SA"/>
              </w:rPr>
              <w:t>供应商补交一正两副纸质</w:t>
            </w:r>
            <w:r>
              <w:rPr>
                <w:rFonts w:hint="eastAsia" w:ascii="宋体" w:hAnsi="宋体" w:cs="宋体"/>
                <w:color w:val="auto"/>
                <w:kern w:val="0"/>
                <w:sz w:val="21"/>
                <w:szCs w:val="21"/>
                <w:highlight w:val="none"/>
                <w:lang w:val="en-US" w:eastAsia="zh-CN" w:bidi="ar-SA"/>
              </w:rPr>
              <w:t>磋商响应</w:t>
            </w:r>
            <w:r>
              <w:rPr>
                <w:rFonts w:hint="eastAsia" w:ascii="宋体" w:hAnsi="宋体" w:eastAsia="宋体" w:cs="宋体"/>
                <w:color w:val="auto"/>
                <w:kern w:val="0"/>
                <w:sz w:val="21"/>
                <w:szCs w:val="21"/>
                <w:highlight w:val="none"/>
                <w:lang w:val="en-US" w:eastAsia="zh-CN" w:bidi="ar-SA"/>
              </w:rPr>
              <w:t>文件用于备案（正本留</w:t>
            </w:r>
            <w:r>
              <w:rPr>
                <w:rFonts w:hint="eastAsia" w:ascii="宋体" w:hAnsi="宋体" w:cs="宋体"/>
                <w:color w:val="auto"/>
                <w:kern w:val="0"/>
                <w:sz w:val="21"/>
                <w:szCs w:val="21"/>
                <w:highlight w:val="none"/>
                <w:lang w:val="en-US" w:eastAsia="zh-CN" w:bidi="ar-SA"/>
              </w:rPr>
              <w:t>泾阳县政府采购中心</w:t>
            </w:r>
            <w:r>
              <w:rPr>
                <w:rFonts w:hint="eastAsia" w:ascii="宋体" w:hAnsi="宋体" w:eastAsia="宋体" w:cs="宋体"/>
                <w:color w:val="auto"/>
                <w:kern w:val="0"/>
                <w:sz w:val="21"/>
                <w:szCs w:val="21"/>
                <w:highlight w:val="none"/>
                <w:lang w:val="en-US" w:eastAsia="zh-CN" w:bidi="ar-SA"/>
              </w:rPr>
              <w:t>中心，副本留采购单位）。</w:t>
            </w:r>
          </w:p>
          <w:p w14:paraId="258C9821">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 、</w:t>
            </w:r>
            <w:r>
              <w:rPr>
                <w:rFonts w:hint="eastAsia" w:ascii="宋体" w:hAnsi="宋体" w:cs="宋体"/>
                <w:color w:val="auto"/>
                <w:kern w:val="0"/>
                <w:sz w:val="21"/>
                <w:szCs w:val="21"/>
                <w:highlight w:val="none"/>
                <w:lang w:val="en-US" w:eastAsia="zh-CN" w:bidi="ar-SA"/>
              </w:rPr>
              <w:t>磋商</w:t>
            </w:r>
            <w:r>
              <w:rPr>
                <w:rFonts w:hint="eastAsia" w:ascii="宋体" w:hAnsi="宋体" w:eastAsia="宋体" w:cs="宋体"/>
                <w:color w:val="auto"/>
                <w:kern w:val="0"/>
                <w:sz w:val="21"/>
                <w:szCs w:val="21"/>
                <w:highlight w:val="none"/>
                <w:lang w:val="en-US" w:eastAsia="zh-CN" w:bidi="ar-SA"/>
              </w:rPr>
              <w:t>过程中，供应商在收到工作人员“开始解密”指令后，应在30分钟内使用CA对电子投标文件进行解密，超时仍未解密视为无效</w:t>
            </w:r>
            <w:r>
              <w:rPr>
                <w:rFonts w:hint="eastAsia" w:ascii="宋体" w:hAnsi="宋体" w:cs="宋体"/>
                <w:color w:val="auto"/>
                <w:kern w:val="0"/>
                <w:sz w:val="21"/>
                <w:szCs w:val="21"/>
                <w:highlight w:val="none"/>
                <w:lang w:val="en-US" w:eastAsia="zh-CN" w:bidi="ar-SA"/>
              </w:rPr>
              <w:t>磋商响应</w:t>
            </w:r>
            <w:r>
              <w:rPr>
                <w:rFonts w:hint="eastAsia" w:ascii="宋体" w:hAnsi="宋体" w:eastAsia="宋体" w:cs="宋体"/>
                <w:color w:val="auto"/>
                <w:kern w:val="0"/>
                <w:sz w:val="21"/>
                <w:szCs w:val="21"/>
                <w:highlight w:val="none"/>
                <w:lang w:val="en-US" w:eastAsia="zh-CN" w:bidi="ar-SA"/>
              </w:rPr>
              <w:t>文件，解密时所用CA 应与 加密</w:t>
            </w:r>
            <w:r>
              <w:rPr>
                <w:rFonts w:hint="eastAsia" w:ascii="宋体" w:hAnsi="宋体" w:cs="宋体"/>
                <w:color w:val="auto"/>
                <w:kern w:val="0"/>
                <w:sz w:val="21"/>
                <w:szCs w:val="21"/>
                <w:highlight w:val="none"/>
                <w:lang w:val="en-US" w:eastAsia="zh-CN" w:bidi="ar-SA"/>
              </w:rPr>
              <w:t>磋商响应</w:t>
            </w:r>
            <w:r>
              <w:rPr>
                <w:rFonts w:hint="eastAsia" w:ascii="宋体" w:hAnsi="宋体" w:eastAsia="宋体" w:cs="宋体"/>
                <w:color w:val="auto"/>
                <w:kern w:val="0"/>
                <w:sz w:val="21"/>
                <w:szCs w:val="21"/>
                <w:highlight w:val="none"/>
                <w:lang w:val="en-US" w:eastAsia="zh-CN" w:bidi="ar-SA"/>
              </w:rPr>
              <w:t>文件时所用CA 相同；评审过程中，</w:t>
            </w:r>
            <w:r>
              <w:rPr>
                <w:rFonts w:hint="eastAsia" w:ascii="宋体" w:hAnsi="宋体" w:cs="宋体"/>
                <w:color w:val="auto"/>
                <w:kern w:val="0"/>
                <w:sz w:val="21"/>
                <w:szCs w:val="21"/>
                <w:highlight w:val="none"/>
                <w:lang w:val="en-US" w:eastAsia="zh-CN" w:bidi="ar-SA"/>
              </w:rPr>
              <w:t>磋商小组</w:t>
            </w:r>
            <w:r>
              <w:rPr>
                <w:rFonts w:hint="eastAsia" w:ascii="宋体" w:hAnsi="宋体" w:eastAsia="宋体" w:cs="宋体"/>
                <w:color w:val="auto"/>
                <w:kern w:val="0"/>
                <w:sz w:val="21"/>
                <w:szCs w:val="21"/>
                <w:highlight w:val="none"/>
                <w:lang w:val="en-US" w:eastAsia="zh-CN" w:bidi="ar-SA"/>
              </w:rPr>
              <w:t>可能会就某些问题要求供应商进行在线澄清。</w:t>
            </w:r>
          </w:p>
          <w:p w14:paraId="4A6422EE">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 、相关技术问题，请咨询软件开发商：</w:t>
            </w:r>
          </w:p>
          <w:p w14:paraId="540B75E5">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技术支持热线：400-998-0000/400-928-0095</w:t>
            </w:r>
          </w:p>
          <w:p w14:paraId="652EDA6B">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供应商自行下载不见面开标投标供应商操作手册，并严格按照手册要求进行系统配置。若未按要求配置造成无法签到、无法解密等情况导致投标失败的投标供应商自行承担后果。（下载路径：全国公共资源交易平台（陕西省.咸阳市）-服务指南-下载专区-咸阳市公共资源交易中心不见面开标大厅投标人操作手册）</w:t>
            </w:r>
            <w:r>
              <w:rPr>
                <w:rFonts w:hint="eastAsia" w:ascii="宋体" w:hAnsi="宋体" w:cs="宋体"/>
                <w:color w:val="auto"/>
                <w:kern w:val="0"/>
                <w:sz w:val="21"/>
                <w:szCs w:val="21"/>
                <w:highlight w:val="none"/>
                <w:lang w:val="en-US" w:eastAsia="zh-CN" w:bidi="ar-SA"/>
              </w:rPr>
              <w:t>。</w:t>
            </w:r>
          </w:p>
        </w:tc>
      </w:tr>
      <w:tr w14:paraId="777A3A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613" w:type="dxa"/>
            <w:vAlign w:val="center"/>
          </w:tcPr>
          <w:p w14:paraId="50DC06BE">
            <w:pPr>
              <w:pStyle w:val="118"/>
              <w:keepNext w:val="0"/>
              <w:keepLines w:val="0"/>
              <w:pageBreakBefore w:val="0"/>
              <w:kinsoku/>
              <w:wordWrap/>
              <w:overflowPunct/>
              <w:topLinePunct w:val="0"/>
              <w:bidi w:val="0"/>
              <w:snapToGrid/>
              <w:spacing w:line="360" w:lineRule="exact"/>
              <w:ind w:left="0" w:leftChars="0"/>
              <w:jc w:val="center"/>
              <w:textAlignment w:val="auto"/>
              <w:rPr>
                <w:rFonts w:hint="default" w:cs="宋体"/>
                <w:color w:val="auto"/>
                <w:sz w:val="21"/>
                <w:szCs w:val="21"/>
                <w:highlight w:val="none"/>
                <w:lang w:val="en-US" w:eastAsia="zh-CN"/>
              </w:rPr>
            </w:pPr>
            <w:r>
              <w:rPr>
                <w:rFonts w:hint="eastAsia" w:cs="宋体"/>
                <w:color w:val="auto"/>
                <w:sz w:val="21"/>
                <w:szCs w:val="21"/>
                <w:highlight w:val="none"/>
                <w:lang w:val="en-US" w:eastAsia="zh-CN"/>
              </w:rPr>
              <w:t>33</w:t>
            </w:r>
          </w:p>
        </w:tc>
        <w:tc>
          <w:tcPr>
            <w:tcW w:w="1921" w:type="dxa"/>
            <w:vAlign w:val="center"/>
          </w:tcPr>
          <w:p w14:paraId="1F580878">
            <w:pPr>
              <w:spacing w:before="171" w:line="219" w:lineRule="auto"/>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注意事项</w:t>
            </w:r>
          </w:p>
        </w:tc>
        <w:tc>
          <w:tcPr>
            <w:tcW w:w="7518" w:type="dxa"/>
            <w:vAlign w:val="center"/>
          </w:tcPr>
          <w:p w14:paraId="66D60CD5">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供应商应随时留意可能发布的变更公告， 因供应商未及时关注所造或的一 切后果由供应商自行承担。</w:t>
            </w:r>
          </w:p>
        </w:tc>
      </w:tr>
    </w:tbl>
    <w:p w14:paraId="0BA3DB78">
      <w:pPr>
        <w:pStyle w:val="2"/>
        <w:keepLines w:val="0"/>
        <w:pageBreakBefore w:val="0"/>
        <w:widowControl w:val="0"/>
        <w:kinsoku/>
        <w:wordWrap/>
        <w:overflowPunct/>
        <w:topLinePunct w:val="0"/>
        <w:bidi w:val="0"/>
        <w:spacing w:line="400" w:lineRule="exact"/>
        <w:textAlignment w:val="auto"/>
        <w:rPr>
          <w:rFonts w:hint="eastAsia" w:ascii="宋体" w:hAnsi="宋体" w:eastAsia="宋体" w:cs="宋体"/>
          <w:b/>
          <w:color w:val="auto"/>
          <w:sz w:val="36"/>
          <w:szCs w:val="36"/>
          <w:highlight w:val="none"/>
          <w:lang w:val="en-US" w:eastAsia="zh-CN"/>
        </w:rPr>
      </w:pPr>
    </w:p>
    <w:p w14:paraId="3AA3E435">
      <w:pPr>
        <w:pStyle w:val="2"/>
        <w:keepLines w:val="0"/>
        <w:pageBreakBefore w:val="0"/>
        <w:widowControl w:val="0"/>
        <w:kinsoku/>
        <w:wordWrap/>
        <w:overflowPunct/>
        <w:topLinePunct w:val="0"/>
        <w:bidi w:val="0"/>
        <w:spacing w:line="400" w:lineRule="exact"/>
        <w:textAlignment w:val="auto"/>
        <w:rPr>
          <w:rFonts w:hint="eastAsia" w:ascii="宋体" w:hAnsi="宋体" w:eastAsia="宋体" w:cs="宋体"/>
          <w:b/>
          <w:color w:val="auto"/>
          <w:sz w:val="36"/>
          <w:szCs w:val="36"/>
          <w:highlight w:val="none"/>
          <w:lang w:val="en-US" w:eastAsia="zh-CN"/>
        </w:rPr>
      </w:pPr>
    </w:p>
    <w:p w14:paraId="7AEFCD30">
      <w:pPr>
        <w:pStyle w:val="2"/>
        <w:keepLines w:val="0"/>
        <w:pageBreakBefore w:val="0"/>
        <w:widowControl w:val="0"/>
        <w:kinsoku/>
        <w:wordWrap/>
        <w:overflowPunct/>
        <w:topLinePunct w:val="0"/>
        <w:bidi w:val="0"/>
        <w:spacing w:line="400" w:lineRule="exact"/>
        <w:textAlignment w:val="auto"/>
        <w:rPr>
          <w:rFonts w:hint="eastAsia" w:ascii="宋体" w:hAnsi="宋体" w:eastAsia="宋体" w:cs="宋体"/>
          <w:b/>
          <w:color w:val="auto"/>
          <w:sz w:val="36"/>
          <w:szCs w:val="36"/>
          <w:highlight w:val="none"/>
          <w:lang w:val="en-US" w:eastAsia="zh-CN"/>
        </w:rPr>
      </w:pPr>
    </w:p>
    <w:p w14:paraId="56928BE9">
      <w:pPr>
        <w:rPr>
          <w:rFonts w:hint="eastAsia"/>
          <w:lang w:val="en-US" w:eastAsia="zh-CN"/>
        </w:rPr>
      </w:pPr>
    </w:p>
    <w:p w14:paraId="04EF1064">
      <w:pPr>
        <w:pStyle w:val="2"/>
        <w:keepLines w:val="0"/>
        <w:pageBreakBefore w:val="0"/>
        <w:widowControl w:val="0"/>
        <w:kinsoku/>
        <w:wordWrap/>
        <w:overflowPunct/>
        <w:topLinePunct w:val="0"/>
        <w:bidi w:val="0"/>
        <w:spacing w:line="400" w:lineRule="exact"/>
        <w:textAlignment w:val="auto"/>
        <w:rPr>
          <w:rFonts w:hint="eastAsia" w:ascii="宋体" w:hAnsi="宋体" w:eastAsia="宋体" w:cs="宋体"/>
          <w:b/>
          <w:color w:val="auto"/>
          <w:sz w:val="36"/>
          <w:szCs w:val="36"/>
          <w:highlight w:val="none"/>
          <w:lang w:val="en-US" w:eastAsia="zh-CN"/>
        </w:rPr>
      </w:pPr>
    </w:p>
    <w:p w14:paraId="33B07CD8">
      <w:pPr>
        <w:pStyle w:val="2"/>
        <w:keepLines w:val="0"/>
        <w:pageBreakBefore w:val="0"/>
        <w:widowControl w:val="0"/>
        <w:kinsoku/>
        <w:wordWrap/>
        <w:overflowPunct/>
        <w:topLinePunct w:val="0"/>
        <w:bidi w:val="0"/>
        <w:spacing w:line="400" w:lineRule="exact"/>
        <w:textAlignment w:val="auto"/>
        <w:rPr>
          <w:rFonts w:hint="eastAsia" w:ascii="宋体" w:hAnsi="宋体" w:eastAsia="宋体" w:cs="宋体"/>
          <w:b/>
          <w:color w:val="auto"/>
          <w:sz w:val="36"/>
          <w:szCs w:val="36"/>
          <w:highlight w:val="none"/>
          <w:lang w:val="en-US" w:eastAsia="zh-CN"/>
        </w:rPr>
      </w:pPr>
    </w:p>
    <w:p w14:paraId="63232A4D">
      <w:pPr>
        <w:pStyle w:val="2"/>
        <w:keepLines w:val="0"/>
        <w:pageBreakBefore w:val="0"/>
        <w:widowControl w:val="0"/>
        <w:kinsoku/>
        <w:wordWrap/>
        <w:overflowPunct/>
        <w:topLinePunct w:val="0"/>
        <w:bidi w:val="0"/>
        <w:spacing w:line="400" w:lineRule="exact"/>
        <w:textAlignment w:val="auto"/>
        <w:rPr>
          <w:rFonts w:hint="eastAsia" w:ascii="宋体" w:hAnsi="宋体" w:eastAsia="宋体" w:cs="宋体"/>
          <w:b/>
          <w:color w:val="auto"/>
          <w:sz w:val="36"/>
          <w:szCs w:val="36"/>
          <w:highlight w:val="none"/>
          <w:lang w:val="en-US" w:eastAsia="zh-CN"/>
        </w:rPr>
      </w:pPr>
    </w:p>
    <w:p w14:paraId="0961E3F2">
      <w:pPr>
        <w:rPr>
          <w:rFonts w:hint="eastAsia" w:ascii="宋体" w:hAnsi="宋体" w:eastAsia="宋体" w:cs="宋体"/>
          <w:b/>
          <w:color w:val="auto"/>
          <w:sz w:val="36"/>
          <w:szCs w:val="36"/>
          <w:highlight w:val="none"/>
          <w:lang w:val="en-US" w:eastAsia="zh-CN"/>
        </w:rPr>
      </w:pPr>
    </w:p>
    <w:p w14:paraId="32705ED8">
      <w:pPr>
        <w:rPr>
          <w:rFonts w:hint="eastAsia" w:ascii="宋体" w:hAnsi="宋体" w:eastAsia="宋体" w:cs="宋体"/>
          <w:b/>
          <w:color w:val="auto"/>
          <w:sz w:val="36"/>
          <w:szCs w:val="36"/>
          <w:highlight w:val="none"/>
          <w:lang w:val="en-US" w:eastAsia="zh-CN"/>
        </w:rPr>
      </w:pPr>
    </w:p>
    <w:p w14:paraId="27B5239E">
      <w:pPr>
        <w:rPr>
          <w:rFonts w:hint="eastAsia" w:ascii="宋体" w:hAnsi="宋体" w:eastAsia="宋体" w:cs="宋体"/>
          <w:b/>
          <w:color w:val="auto"/>
          <w:sz w:val="36"/>
          <w:szCs w:val="36"/>
          <w:highlight w:val="none"/>
          <w:lang w:val="en-US" w:eastAsia="zh-CN"/>
        </w:rPr>
      </w:pPr>
    </w:p>
    <w:p w14:paraId="7DE0815B">
      <w:pPr>
        <w:rPr>
          <w:rFonts w:hint="eastAsia" w:ascii="宋体" w:hAnsi="宋体" w:eastAsia="宋体" w:cs="宋体"/>
          <w:b/>
          <w:color w:val="auto"/>
          <w:sz w:val="36"/>
          <w:szCs w:val="36"/>
          <w:highlight w:val="none"/>
          <w:lang w:val="en-US" w:eastAsia="zh-CN"/>
        </w:rPr>
      </w:pPr>
    </w:p>
    <w:p w14:paraId="35F835AC">
      <w:pPr>
        <w:rPr>
          <w:rFonts w:hint="eastAsia" w:ascii="宋体" w:hAnsi="宋体" w:eastAsia="宋体" w:cs="宋体"/>
          <w:b/>
          <w:color w:val="auto"/>
          <w:sz w:val="36"/>
          <w:szCs w:val="36"/>
          <w:highlight w:val="none"/>
          <w:lang w:val="en-US" w:eastAsia="zh-CN"/>
        </w:rPr>
      </w:pPr>
    </w:p>
    <w:p w14:paraId="54551A9F">
      <w:pPr>
        <w:pStyle w:val="2"/>
        <w:keepLines w:val="0"/>
        <w:pageBreakBefore w:val="0"/>
        <w:widowControl w:val="0"/>
        <w:kinsoku/>
        <w:wordWrap/>
        <w:overflowPunct/>
        <w:topLinePunct w:val="0"/>
        <w:bidi w:val="0"/>
        <w:spacing w:line="400" w:lineRule="exact"/>
        <w:textAlignment w:val="auto"/>
        <w:rPr>
          <w:rFonts w:hint="eastAsia" w:ascii="宋体" w:hAnsi="宋体" w:eastAsia="宋体" w:cs="宋体"/>
          <w:b/>
          <w:color w:val="auto"/>
          <w:sz w:val="36"/>
          <w:szCs w:val="36"/>
          <w:highlight w:val="none"/>
          <w:lang w:val="zh-CN" w:eastAsia="zh-CN"/>
        </w:rPr>
      </w:pPr>
      <w:r>
        <w:rPr>
          <w:rFonts w:hint="eastAsia" w:ascii="宋体" w:hAnsi="宋体" w:eastAsia="宋体" w:cs="宋体"/>
          <w:b/>
          <w:color w:val="auto"/>
          <w:sz w:val="36"/>
          <w:szCs w:val="36"/>
          <w:highlight w:val="none"/>
          <w:lang w:val="en-US" w:eastAsia="zh-CN"/>
        </w:rPr>
        <w:t xml:space="preserve">第三章 </w:t>
      </w:r>
      <w:r>
        <w:rPr>
          <w:rFonts w:hint="eastAsia" w:ascii="宋体" w:hAnsi="宋体" w:eastAsia="宋体" w:cs="宋体"/>
          <w:b/>
          <w:color w:val="auto"/>
          <w:sz w:val="36"/>
          <w:szCs w:val="36"/>
          <w:highlight w:val="none"/>
          <w:lang w:val="zh-CN" w:eastAsia="zh-CN"/>
        </w:rPr>
        <w:t>供应商须知</w:t>
      </w:r>
      <w:bookmarkEnd w:id="5"/>
    </w:p>
    <w:p w14:paraId="3EA8DD9D">
      <w:pPr>
        <w:pStyle w:val="2"/>
        <w:keepLines w:val="0"/>
        <w:pageBreakBefore w:val="0"/>
        <w:widowControl w:val="0"/>
        <w:kinsoku/>
        <w:wordWrap/>
        <w:overflowPunct/>
        <w:topLinePunct w:val="0"/>
        <w:bidi w:val="0"/>
        <w:spacing w:line="400" w:lineRule="exact"/>
        <w:textAlignment w:val="auto"/>
        <w:rPr>
          <w:rFonts w:hint="eastAsia" w:ascii="宋体" w:hAnsi="宋体" w:eastAsia="宋体" w:cs="宋体"/>
          <w:b/>
          <w:color w:val="auto"/>
          <w:sz w:val="28"/>
          <w:szCs w:val="28"/>
          <w:highlight w:val="none"/>
          <w:lang w:val="zh-CN" w:eastAsia="zh-CN"/>
        </w:rPr>
      </w:pPr>
      <w:bookmarkStart w:id="6" w:name="_Toc29046"/>
      <w:bookmarkStart w:id="7" w:name="_Toc23881"/>
      <w:r>
        <w:rPr>
          <w:rFonts w:hint="eastAsia" w:ascii="宋体" w:hAnsi="宋体" w:eastAsia="宋体" w:cs="宋体"/>
          <w:b/>
          <w:color w:val="auto"/>
          <w:sz w:val="28"/>
          <w:szCs w:val="28"/>
          <w:highlight w:val="none"/>
          <w:lang w:val="en-US" w:eastAsia="zh-CN"/>
        </w:rPr>
        <w:t>A</w:t>
      </w:r>
      <w:r>
        <w:rPr>
          <w:rFonts w:hint="eastAsia" w:ascii="宋体" w:hAnsi="宋体" w:eastAsia="宋体" w:cs="宋体"/>
          <w:b/>
          <w:color w:val="auto"/>
          <w:sz w:val="28"/>
          <w:szCs w:val="28"/>
          <w:highlight w:val="none"/>
          <w:lang w:val="zh-CN" w:eastAsia="zh-CN"/>
        </w:rPr>
        <w:t>、总则</w:t>
      </w:r>
      <w:bookmarkEnd w:id="6"/>
      <w:bookmarkEnd w:id="7"/>
    </w:p>
    <w:p w14:paraId="1338D922">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1、资金来源</w:t>
      </w:r>
    </w:p>
    <w:p w14:paraId="00009968">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本次竞争性磋商所签合同使用国有资金支付，资金已落实到位。</w:t>
      </w:r>
    </w:p>
    <w:p w14:paraId="3F947E52">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b/>
          <w:color w:val="auto"/>
          <w:sz w:val="21"/>
          <w:szCs w:val="21"/>
          <w:highlight w:val="none"/>
          <w:lang w:val="zh-CN" w:eastAsia="zh-CN"/>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lang w:val="zh-CN"/>
        </w:rPr>
        <w:t>、</w:t>
      </w:r>
      <w:r>
        <w:rPr>
          <w:rFonts w:hint="eastAsia" w:ascii="宋体" w:hAnsi="宋体" w:eastAsia="宋体" w:cs="宋体"/>
          <w:b/>
          <w:color w:val="auto"/>
          <w:sz w:val="21"/>
          <w:szCs w:val="21"/>
          <w:highlight w:val="none"/>
          <w:lang w:val="en-US" w:eastAsia="zh-CN"/>
        </w:rPr>
        <w:t>名词解释</w:t>
      </w:r>
    </w:p>
    <w:p w14:paraId="38FD46FB">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1、采购人：</w:t>
      </w:r>
      <w:r>
        <w:rPr>
          <w:rFonts w:hint="eastAsia" w:ascii="宋体" w:hAnsi="宋体" w:cs="宋体"/>
          <w:color w:val="auto"/>
          <w:sz w:val="21"/>
          <w:szCs w:val="21"/>
          <w:highlight w:val="none"/>
          <w:lang w:val="zh-CN"/>
        </w:rPr>
        <w:t>泾阳县人民政府办公室</w:t>
      </w:r>
    </w:p>
    <w:p w14:paraId="2A0489A1">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2、监督机构：</w:t>
      </w:r>
      <w:r>
        <w:rPr>
          <w:rFonts w:hint="eastAsia" w:ascii="宋体" w:hAnsi="宋体" w:cs="宋体"/>
          <w:color w:val="auto"/>
          <w:sz w:val="21"/>
          <w:szCs w:val="21"/>
          <w:highlight w:val="none"/>
          <w:lang w:val="zh-CN"/>
        </w:rPr>
        <w:t>泾阳县</w:t>
      </w:r>
      <w:r>
        <w:rPr>
          <w:rFonts w:hint="eastAsia" w:ascii="宋体" w:hAnsi="宋体" w:eastAsia="宋体" w:cs="宋体"/>
          <w:color w:val="auto"/>
          <w:sz w:val="21"/>
          <w:szCs w:val="21"/>
          <w:highlight w:val="none"/>
          <w:lang w:val="en-US" w:eastAsia="zh-CN"/>
        </w:rPr>
        <w:t>财政局</w:t>
      </w:r>
    </w:p>
    <w:p w14:paraId="4295351A">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lang w:val="zh-CN"/>
        </w:rPr>
        <w:t>、采购代理机构：</w:t>
      </w:r>
      <w:r>
        <w:rPr>
          <w:rFonts w:hint="eastAsia" w:ascii="宋体" w:hAnsi="宋体" w:cs="宋体"/>
          <w:color w:val="auto"/>
          <w:sz w:val="21"/>
          <w:szCs w:val="21"/>
          <w:highlight w:val="none"/>
          <w:lang w:val="zh-CN"/>
        </w:rPr>
        <w:t>泾阳县政府采购中心</w:t>
      </w:r>
    </w:p>
    <w:p w14:paraId="45C13D10">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lang w:val="zh-CN"/>
        </w:rPr>
        <w:t>、供应商：响应磋商并且符合竞争性磋商文件规定资格条件和参加磋商竞争的法人或其他组织或自然人。</w:t>
      </w:r>
    </w:p>
    <w:p w14:paraId="1C18A0B7">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2.5、竞争性磋商文件：由采购人或采购代理机构发出的文本、文件，包括全部章节和附件及答疑会议纪要。</w:t>
      </w:r>
    </w:p>
    <w:p w14:paraId="1EDFC07A">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2.6、磋商响应文件：磋商供应商根据本竞争性磋商文件向采购人提交的全部文件。</w:t>
      </w:r>
    </w:p>
    <w:p w14:paraId="34E49010">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zh-CN"/>
        </w:rPr>
        <w:t>磋商费用</w:t>
      </w:r>
    </w:p>
    <w:p w14:paraId="66DA450D">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无论磋商结果如何，磋商供应商自行承担与参加磋商活动有关的全部费用。</w:t>
      </w:r>
    </w:p>
    <w:p w14:paraId="3D51E469">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zh-CN"/>
        </w:rPr>
        <w:t>合格的供应商</w:t>
      </w:r>
    </w:p>
    <w:p w14:paraId="45E9CCB6">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.1、《中华人民共和国政府采购法》第二十二条第一款规定的供应商基本资格条件:</w:t>
      </w:r>
    </w:p>
    <w:p w14:paraId="5173674D">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rPr>
        <w:t>1）具有独立承担民事责任的能力；</w:t>
      </w:r>
    </w:p>
    <w:p w14:paraId="6C6310EC">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rPr>
        <w:t>2）具有良好的商业信誉和健全的财务会计制度；</w:t>
      </w:r>
    </w:p>
    <w:p w14:paraId="3332CA2D">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rPr>
        <w:t>3）具有履行合同所必需的设备和专业技术能力；</w:t>
      </w:r>
    </w:p>
    <w:p w14:paraId="1E8ECA7C">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rPr>
        <w:t>4）有依法缴纳税收和社会保障资金的良好记录；</w:t>
      </w:r>
    </w:p>
    <w:p w14:paraId="0B60B595">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rPr>
        <w:t>5）参加政府采购活动前三年内，在经营活动中没有重大违法记录；</w:t>
      </w:r>
    </w:p>
    <w:p w14:paraId="74132ADA">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rPr>
        <w:t>6）法律、行政法规规定的其他条件。</w:t>
      </w:r>
    </w:p>
    <w:p w14:paraId="6421EC23">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.2、根据本次采购项目的要求，规定的供应商特殊条件（见</w:t>
      </w:r>
      <w:r>
        <w:rPr>
          <w:rFonts w:hint="eastAsia" w:ascii="宋体" w:hAnsi="宋体" w:eastAsia="宋体" w:cs="宋体"/>
          <w:color w:val="auto"/>
          <w:sz w:val="21"/>
          <w:szCs w:val="21"/>
          <w:highlight w:val="none"/>
          <w:lang w:val="zh-CN" w:eastAsia="zh-CN"/>
        </w:rPr>
        <w:t>竞争性磋商须知</w:t>
      </w:r>
      <w:r>
        <w:rPr>
          <w:rFonts w:hint="eastAsia" w:ascii="宋体" w:hAnsi="宋体" w:eastAsia="宋体" w:cs="宋体"/>
          <w:color w:val="auto"/>
          <w:sz w:val="21"/>
          <w:szCs w:val="21"/>
          <w:highlight w:val="none"/>
          <w:lang w:val="zh-CN"/>
        </w:rPr>
        <w:t>）。</w:t>
      </w:r>
    </w:p>
    <w:p w14:paraId="5413BFE2">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否则均为无效磋商。</w:t>
      </w:r>
    </w:p>
    <w:p w14:paraId="231C55FB">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lang w:val="zh-CN"/>
        </w:rPr>
        <w:t>.4、供应商不得直接或间接地与采购人或采购代理机构有任何关联，亦不得是采购人或采购代理机构的附属机构。如果供应商在磋商中隐瞒了上述关系，一经证实，则该磋商无效。</w:t>
      </w:r>
    </w:p>
    <w:p w14:paraId="6DB1D328">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lang w:val="zh-CN"/>
        </w:rPr>
        <w:t>.</w:t>
      </w:r>
      <w:r>
        <w:rPr>
          <w:rFonts w:hint="eastAsia" w:ascii="宋体" w:hAnsi="宋体" w:cs="宋体"/>
          <w:color w:val="auto"/>
          <w:sz w:val="21"/>
          <w:szCs w:val="21"/>
          <w:highlight w:val="none"/>
          <w:shd w:val="clear" w:color="auto" w:fill="auto"/>
          <w:lang w:val="en-US" w:eastAsia="zh-CN"/>
        </w:rPr>
        <w:t>5</w:t>
      </w:r>
      <w:r>
        <w:rPr>
          <w:rFonts w:hint="eastAsia" w:ascii="宋体" w:hAnsi="宋体" w:eastAsia="宋体" w:cs="宋体"/>
          <w:color w:val="auto"/>
          <w:sz w:val="21"/>
          <w:szCs w:val="21"/>
          <w:highlight w:val="none"/>
          <w:shd w:val="clear" w:color="auto" w:fill="auto"/>
          <w:lang w:val="zh-CN"/>
        </w:rPr>
        <w:t>、联合体磋商：不接受联合体磋商。</w:t>
      </w:r>
    </w:p>
    <w:p w14:paraId="15C3859E">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b/>
          <w:bCs/>
          <w:color w:val="auto"/>
          <w:sz w:val="21"/>
          <w:szCs w:val="21"/>
          <w:highlight w:val="none"/>
          <w:shd w:val="clear" w:color="auto" w:fill="auto"/>
          <w:lang w:val="zh-CN" w:eastAsia="zh-CN"/>
        </w:rPr>
      </w:pPr>
      <w:r>
        <w:rPr>
          <w:rFonts w:hint="eastAsia" w:ascii="宋体" w:hAnsi="宋体" w:eastAsia="宋体" w:cs="宋体"/>
          <w:b/>
          <w:bCs/>
          <w:color w:val="auto"/>
          <w:sz w:val="21"/>
          <w:szCs w:val="21"/>
          <w:highlight w:val="none"/>
          <w:shd w:val="clear" w:color="auto" w:fill="auto"/>
          <w:lang w:val="en-US" w:eastAsia="zh-CN"/>
        </w:rPr>
        <w:t>5、</w:t>
      </w:r>
      <w:r>
        <w:rPr>
          <w:rFonts w:hint="eastAsia" w:ascii="宋体" w:hAnsi="宋体" w:eastAsia="宋体" w:cs="宋体"/>
          <w:b/>
          <w:bCs/>
          <w:color w:val="auto"/>
          <w:sz w:val="21"/>
          <w:szCs w:val="21"/>
          <w:highlight w:val="none"/>
          <w:shd w:val="clear" w:color="auto" w:fill="auto"/>
          <w:lang w:val="zh-CN" w:eastAsia="zh-CN"/>
        </w:rPr>
        <w:t>合格的磋商响应人和合格的服务</w:t>
      </w:r>
    </w:p>
    <w:p w14:paraId="3D9345F7">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zh-CN"/>
        </w:rPr>
        <w:t>凡具有法人资格，具有独立承担民事责任的能力；遵守国家法律、行政法规，具有良好的信誉及履行合同的能力和良好的履行合同记录，资金状况良好；具有履行合同所必需的服务和专业技术能力，有依法缴纳税收和社会保障资金的良好纪录；参加政府采购活动前三年内，在经营活动中没有重大违法纪录。</w:t>
      </w:r>
    </w:p>
    <w:p w14:paraId="04FF933A">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6、竞争性磋商响应文件内容的真实性</w:t>
      </w:r>
    </w:p>
    <w:p w14:paraId="22F893D7">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42BD544E">
      <w:pPr>
        <w:pStyle w:val="2"/>
        <w:keepLines w:val="0"/>
        <w:pageBreakBefore w:val="0"/>
        <w:widowControl w:val="0"/>
        <w:kinsoku/>
        <w:wordWrap/>
        <w:overflowPunct/>
        <w:topLinePunct w:val="0"/>
        <w:bidi w:val="0"/>
        <w:spacing w:line="400" w:lineRule="exact"/>
        <w:textAlignment w:val="auto"/>
        <w:rPr>
          <w:rFonts w:hint="eastAsia" w:ascii="宋体" w:hAnsi="宋体" w:eastAsia="宋体" w:cs="宋体"/>
          <w:b/>
          <w:color w:val="auto"/>
          <w:sz w:val="28"/>
          <w:szCs w:val="28"/>
          <w:highlight w:val="none"/>
          <w:shd w:val="clear" w:color="auto" w:fill="auto"/>
          <w:lang w:val="zh-CN" w:eastAsia="zh-CN"/>
        </w:rPr>
      </w:pPr>
      <w:bookmarkStart w:id="8" w:name="_Toc28088"/>
      <w:bookmarkStart w:id="9" w:name="_Toc7646"/>
      <w:r>
        <w:rPr>
          <w:rFonts w:hint="eastAsia" w:ascii="宋体" w:hAnsi="宋体" w:eastAsia="宋体" w:cs="宋体"/>
          <w:b/>
          <w:color w:val="auto"/>
          <w:sz w:val="28"/>
          <w:szCs w:val="28"/>
          <w:highlight w:val="none"/>
          <w:shd w:val="clear" w:color="auto" w:fill="auto"/>
          <w:lang w:val="en-US" w:eastAsia="zh-CN"/>
        </w:rPr>
        <w:t>B</w:t>
      </w:r>
      <w:r>
        <w:rPr>
          <w:rFonts w:hint="eastAsia" w:ascii="宋体" w:hAnsi="宋体" w:eastAsia="宋体" w:cs="宋体"/>
          <w:b/>
          <w:color w:val="auto"/>
          <w:sz w:val="28"/>
          <w:szCs w:val="28"/>
          <w:highlight w:val="none"/>
          <w:shd w:val="clear" w:color="auto" w:fill="auto"/>
          <w:lang w:val="zh-CN" w:eastAsia="zh-CN"/>
        </w:rPr>
        <w:t>、竞争性磋商文件</w:t>
      </w:r>
      <w:bookmarkEnd w:id="8"/>
      <w:bookmarkEnd w:id="9"/>
    </w:p>
    <w:p w14:paraId="0D6091AB">
      <w:pPr>
        <w:keepNext w:val="0"/>
        <w:keepLines w:val="0"/>
        <w:pageBreakBefore w:val="0"/>
        <w:widowControl w:val="0"/>
        <w:kinsoku/>
        <w:wordWrap/>
        <w:overflowPunct/>
        <w:topLinePunct w:val="0"/>
        <w:bidi w:val="0"/>
        <w:snapToGrid w:val="0"/>
        <w:spacing w:line="400" w:lineRule="exact"/>
        <w:ind w:left="0" w:leftChars="0" w:firstLine="422" w:firstLineChars="200"/>
        <w:textAlignment w:val="auto"/>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7、磋商文件的构成</w:t>
      </w:r>
    </w:p>
    <w:p w14:paraId="7BAB2CC6">
      <w:pPr>
        <w:keepNext w:val="0"/>
        <w:keepLines w:val="0"/>
        <w:pageBreakBefore w:val="0"/>
        <w:widowControl w:val="0"/>
        <w:kinsoku/>
        <w:wordWrap/>
        <w:overflowPunct/>
        <w:topLinePunct w:val="0"/>
        <w:bidi w:val="0"/>
        <w:snapToGrid w:val="0"/>
        <w:spacing w:line="400" w:lineRule="exact"/>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7.1</w:t>
      </w:r>
      <w:r>
        <w:rPr>
          <w:rFonts w:hint="eastAsia" w:ascii="宋体" w:hAnsi="宋体" w:eastAsia="宋体" w:cs="宋体"/>
          <w:color w:val="auto"/>
          <w:sz w:val="21"/>
          <w:szCs w:val="21"/>
          <w:highlight w:val="none"/>
          <w:shd w:val="clear" w:color="auto" w:fill="auto"/>
        </w:rPr>
        <w:t>、磋商文件组成：采购文件是根据本项目的特点和需求编制，包括以下内容：</w:t>
      </w:r>
    </w:p>
    <w:p w14:paraId="631C2F50">
      <w:pPr>
        <w:keepNext w:val="0"/>
        <w:keepLines w:val="0"/>
        <w:pageBreakBefore w:val="0"/>
        <w:widowControl w:val="0"/>
        <w:kinsoku/>
        <w:wordWrap/>
        <w:overflowPunct/>
        <w:topLinePunct w:val="0"/>
        <w:bidi w:val="0"/>
        <w:snapToGrid w:val="0"/>
        <w:spacing w:line="400" w:lineRule="exact"/>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（1）</w:t>
      </w:r>
      <w:r>
        <w:rPr>
          <w:rFonts w:hint="eastAsia" w:ascii="宋体" w:hAnsi="宋体" w:eastAsia="宋体" w:cs="宋体"/>
          <w:color w:val="auto"/>
          <w:sz w:val="21"/>
          <w:szCs w:val="21"/>
          <w:highlight w:val="none"/>
          <w:shd w:val="clear" w:color="auto" w:fill="auto"/>
        </w:rPr>
        <w:t>竞争性磋商公告</w:t>
      </w:r>
    </w:p>
    <w:p w14:paraId="6ECCADC6">
      <w:pPr>
        <w:keepNext w:val="0"/>
        <w:keepLines w:val="0"/>
        <w:pageBreakBefore w:val="0"/>
        <w:widowControl w:val="0"/>
        <w:kinsoku/>
        <w:wordWrap/>
        <w:overflowPunct/>
        <w:topLinePunct w:val="0"/>
        <w:bidi w:val="0"/>
        <w:snapToGrid w:val="0"/>
        <w:spacing w:line="400" w:lineRule="exact"/>
        <w:ind w:left="0" w:leftChars="0" w:firstLine="420" w:firstLineChars="200"/>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（2）竞争性磋商须知</w:t>
      </w:r>
    </w:p>
    <w:p w14:paraId="4A3EDAC3">
      <w:pPr>
        <w:keepNext w:val="0"/>
        <w:keepLines w:val="0"/>
        <w:pageBreakBefore w:val="0"/>
        <w:widowControl w:val="0"/>
        <w:kinsoku/>
        <w:wordWrap/>
        <w:overflowPunct/>
        <w:topLinePunct w:val="0"/>
        <w:bidi w:val="0"/>
        <w:snapToGrid w:val="0"/>
        <w:spacing w:line="400" w:lineRule="exact"/>
        <w:ind w:left="0" w:leftChars="0" w:firstLine="420" w:firstLineChars="200"/>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（3）供应商须知</w:t>
      </w:r>
    </w:p>
    <w:p w14:paraId="256EE04A">
      <w:pPr>
        <w:keepNext w:val="0"/>
        <w:keepLines w:val="0"/>
        <w:pageBreakBefore w:val="0"/>
        <w:widowControl w:val="0"/>
        <w:kinsoku/>
        <w:wordWrap/>
        <w:overflowPunct/>
        <w:topLinePunct w:val="0"/>
        <w:bidi w:val="0"/>
        <w:snapToGrid w:val="0"/>
        <w:spacing w:line="400" w:lineRule="exact"/>
        <w:ind w:left="0" w:leftChars="0" w:firstLine="420" w:firstLineChars="200"/>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（4）评审办法</w:t>
      </w:r>
    </w:p>
    <w:p w14:paraId="7922E591">
      <w:pPr>
        <w:keepNext w:val="0"/>
        <w:keepLines w:val="0"/>
        <w:pageBreakBefore w:val="0"/>
        <w:widowControl w:val="0"/>
        <w:kinsoku/>
        <w:wordWrap/>
        <w:overflowPunct/>
        <w:topLinePunct w:val="0"/>
        <w:bidi w:val="0"/>
        <w:snapToGrid w:val="0"/>
        <w:spacing w:line="400" w:lineRule="exact"/>
        <w:ind w:left="0" w:leftChars="0" w:firstLine="420" w:firstLineChars="200"/>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（5）</w:t>
      </w:r>
      <w:r>
        <w:rPr>
          <w:rFonts w:hint="eastAsia" w:ascii="宋体" w:hAnsi="宋体" w:eastAsia="宋体" w:cs="宋体"/>
          <w:color w:val="auto"/>
          <w:sz w:val="21"/>
          <w:szCs w:val="21"/>
          <w:highlight w:val="none"/>
          <w:lang w:val="en-US" w:eastAsia="zh-CN"/>
        </w:rPr>
        <w:t>施工内容及技术要求</w:t>
      </w:r>
    </w:p>
    <w:p w14:paraId="1A986014">
      <w:pPr>
        <w:keepNext w:val="0"/>
        <w:keepLines w:val="0"/>
        <w:pageBreakBefore w:val="0"/>
        <w:widowControl w:val="0"/>
        <w:kinsoku/>
        <w:wordWrap/>
        <w:overflowPunct/>
        <w:topLinePunct w:val="0"/>
        <w:bidi w:val="0"/>
        <w:snapToGrid w:val="0"/>
        <w:spacing w:line="400" w:lineRule="exact"/>
        <w:ind w:left="0" w:leftChars="0" w:firstLine="420" w:firstLineChars="200"/>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（6）</w:t>
      </w:r>
      <w:r>
        <w:rPr>
          <w:rFonts w:hint="eastAsia" w:ascii="宋体" w:hAnsi="宋体" w:eastAsia="宋体" w:cs="宋体"/>
          <w:color w:val="auto"/>
          <w:sz w:val="21"/>
          <w:szCs w:val="21"/>
          <w:highlight w:val="none"/>
          <w:lang w:val="en-US" w:eastAsia="zh-CN"/>
        </w:rPr>
        <w:t>工程量清单</w:t>
      </w:r>
    </w:p>
    <w:p w14:paraId="43F7418B">
      <w:pPr>
        <w:keepNext w:val="0"/>
        <w:keepLines w:val="0"/>
        <w:pageBreakBefore w:val="0"/>
        <w:widowControl w:val="0"/>
        <w:kinsoku/>
        <w:wordWrap/>
        <w:overflowPunct/>
        <w:topLinePunct w:val="0"/>
        <w:bidi w:val="0"/>
        <w:snapToGrid w:val="0"/>
        <w:spacing w:line="400" w:lineRule="exact"/>
        <w:ind w:left="0" w:leftChars="0" w:firstLine="420" w:firstLineChars="200"/>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（7）合同协议书</w:t>
      </w:r>
    </w:p>
    <w:p w14:paraId="1CF3900D">
      <w:pPr>
        <w:keepNext w:val="0"/>
        <w:keepLines w:val="0"/>
        <w:pageBreakBefore w:val="0"/>
        <w:widowControl w:val="0"/>
        <w:kinsoku/>
        <w:wordWrap/>
        <w:overflowPunct/>
        <w:topLinePunct w:val="0"/>
        <w:bidi w:val="0"/>
        <w:snapToGrid w:val="0"/>
        <w:spacing w:line="400" w:lineRule="exact"/>
        <w:ind w:left="0" w:leftChars="0" w:firstLine="420" w:firstLineChars="200"/>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（8）响应文件格式</w:t>
      </w:r>
    </w:p>
    <w:p w14:paraId="2784CCAC">
      <w:pPr>
        <w:keepNext w:val="0"/>
        <w:keepLines w:val="0"/>
        <w:pageBreakBefore w:val="0"/>
        <w:widowControl w:val="0"/>
        <w:kinsoku/>
        <w:wordWrap/>
        <w:overflowPunct/>
        <w:topLinePunct w:val="0"/>
        <w:autoSpaceDE w:val="0"/>
        <w:autoSpaceDN w:val="0"/>
        <w:bidi w:val="0"/>
        <w:adjustRightInd w:val="0"/>
        <w:spacing w:line="400" w:lineRule="exact"/>
        <w:ind w:left="0" w:leftChars="0" w:firstLine="420" w:firstLineChars="200"/>
        <w:textAlignment w:val="auto"/>
        <w:rPr>
          <w:rFonts w:hint="eastAsia" w:ascii="宋体" w:hAnsi="宋体" w:eastAsia="宋体" w:cs="宋体"/>
          <w:b w:val="0"/>
          <w:bCs w:val="0"/>
          <w:color w:val="auto"/>
          <w:sz w:val="21"/>
          <w:szCs w:val="21"/>
          <w:highlight w:val="none"/>
          <w:shd w:val="clear" w:color="auto" w:fill="auto"/>
          <w:lang w:val="zh-CN"/>
        </w:rPr>
      </w:pPr>
      <w:r>
        <w:rPr>
          <w:rFonts w:hint="eastAsia" w:ascii="宋体" w:hAnsi="宋体" w:eastAsia="宋体" w:cs="宋体"/>
          <w:b w:val="0"/>
          <w:bCs w:val="0"/>
          <w:color w:val="auto"/>
          <w:sz w:val="21"/>
          <w:szCs w:val="21"/>
          <w:highlight w:val="none"/>
          <w:shd w:val="clear" w:color="auto" w:fill="auto"/>
          <w:lang w:val="en-US" w:eastAsia="zh-CN"/>
        </w:rPr>
        <w:t>7.</w:t>
      </w:r>
      <w:r>
        <w:rPr>
          <w:rFonts w:hint="eastAsia" w:ascii="宋体" w:hAnsi="宋体" w:eastAsia="宋体" w:cs="宋体"/>
          <w:b w:val="0"/>
          <w:bCs w:val="0"/>
          <w:color w:val="auto"/>
          <w:sz w:val="21"/>
          <w:szCs w:val="21"/>
          <w:highlight w:val="none"/>
          <w:shd w:val="clear" w:color="auto" w:fill="auto"/>
          <w:lang w:val="zh-CN"/>
        </w:rPr>
        <w:t>2、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1160E856">
      <w:pPr>
        <w:keepNext w:val="0"/>
        <w:keepLines w:val="0"/>
        <w:pageBreakBefore w:val="0"/>
        <w:widowControl w:val="0"/>
        <w:kinsoku/>
        <w:wordWrap/>
        <w:overflowPunct/>
        <w:topLinePunct w:val="0"/>
        <w:autoSpaceDE w:val="0"/>
        <w:autoSpaceDN w:val="0"/>
        <w:bidi w:val="0"/>
        <w:adjustRightInd w:val="0"/>
        <w:spacing w:line="400" w:lineRule="exact"/>
        <w:ind w:left="0" w:leftChars="0" w:firstLine="422" w:firstLineChars="200"/>
        <w:textAlignment w:val="auto"/>
        <w:rPr>
          <w:rFonts w:hint="eastAsia" w:ascii="宋体" w:hAnsi="宋体" w:eastAsia="宋体" w:cs="宋体"/>
          <w:b/>
          <w:bCs/>
          <w:color w:val="auto"/>
          <w:sz w:val="21"/>
          <w:szCs w:val="21"/>
          <w:highlight w:val="none"/>
          <w:shd w:val="clear" w:color="auto" w:fill="auto"/>
          <w:lang w:val="zh-CN"/>
        </w:rPr>
      </w:pPr>
      <w:r>
        <w:rPr>
          <w:rFonts w:hint="eastAsia" w:ascii="宋体" w:hAnsi="宋体" w:eastAsia="宋体" w:cs="宋体"/>
          <w:b/>
          <w:bCs/>
          <w:color w:val="auto"/>
          <w:sz w:val="21"/>
          <w:szCs w:val="21"/>
          <w:highlight w:val="none"/>
          <w:shd w:val="clear" w:color="auto" w:fill="auto"/>
          <w:lang w:val="en-US" w:eastAsia="zh-CN"/>
        </w:rPr>
        <w:t>8</w:t>
      </w:r>
      <w:r>
        <w:rPr>
          <w:rFonts w:hint="eastAsia" w:ascii="宋体" w:hAnsi="宋体" w:eastAsia="宋体" w:cs="宋体"/>
          <w:b/>
          <w:bCs/>
          <w:color w:val="auto"/>
          <w:sz w:val="21"/>
          <w:szCs w:val="21"/>
          <w:highlight w:val="none"/>
          <w:shd w:val="clear" w:color="auto" w:fill="auto"/>
          <w:lang w:val="zh-CN"/>
        </w:rPr>
        <w:t>、磋商文件的澄清或修改</w:t>
      </w:r>
    </w:p>
    <w:p w14:paraId="260713A6">
      <w:pPr>
        <w:keepNext w:val="0"/>
        <w:keepLines w:val="0"/>
        <w:pageBreakBefore w:val="0"/>
        <w:widowControl w:val="0"/>
        <w:kinsoku/>
        <w:wordWrap/>
        <w:overflowPunct/>
        <w:topLinePunct w:val="0"/>
        <w:autoSpaceDE w:val="0"/>
        <w:autoSpaceDN w:val="0"/>
        <w:bidi w:val="0"/>
        <w:adjustRightInd w:val="0"/>
        <w:spacing w:line="400" w:lineRule="exact"/>
        <w:ind w:left="0" w:leftChars="0" w:firstLine="420" w:firstLineChars="200"/>
        <w:textAlignment w:val="auto"/>
        <w:rPr>
          <w:rFonts w:hint="eastAsia" w:ascii="宋体" w:hAnsi="宋体" w:eastAsia="宋体" w:cs="宋体"/>
          <w:b w:val="0"/>
          <w:bCs/>
          <w:color w:val="auto"/>
          <w:sz w:val="21"/>
          <w:szCs w:val="21"/>
          <w:highlight w:val="none"/>
          <w:shd w:val="clear" w:color="auto" w:fill="auto"/>
          <w:lang w:val="zh-CN"/>
        </w:rPr>
      </w:pPr>
      <w:r>
        <w:rPr>
          <w:rFonts w:hint="eastAsia" w:ascii="宋体" w:hAnsi="宋体" w:eastAsia="宋体" w:cs="宋体"/>
          <w:b w:val="0"/>
          <w:bCs/>
          <w:color w:val="auto"/>
          <w:sz w:val="21"/>
          <w:szCs w:val="21"/>
          <w:highlight w:val="none"/>
          <w:shd w:val="clear" w:color="auto" w:fill="auto"/>
          <w:lang w:val="en-US" w:eastAsia="zh-CN"/>
        </w:rPr>
        <w:t>8</w:t>
      </w:r>
      <w:r>
        <w:rPr>
          <w:rFonts w:hint="eastAsia" w:ascii="宋体" w:hAnsi="宋体" w:eastAsia="宋体" w:cs="宋体"/>
          <w:b w:val="0"/>
          <w:bCs/>
          <w:color w:val="auto"/>
          <w:sz w:val="21"/>
          <w:szCs w:val="21"/>
          <w:highlight w:val="none"/>
          <w:shd w:val="clear" w:color="auto" w:fill="auto"/>
          <w:lang w:val="zh-CN"/>
        </w:rPr>
        <w:t>.1、在竞争性磋商响应文件截止时间前，采购代理机构可以视采购具体情况，延长竞争性磋商响应文件递交截止时间和磋商时间并在财政部门指定的媒体上发布变更公告，同时将变更时间通知所有获取竞争性磋商文件的供应商。</w:t>
      </w:r>
    </w:p>
    <w:p w14:paraId="0ED5D0D8">
      <w:pPr>
        <w:keepNext w:val="0"/>
        <w:keepLines w:val="0"/>
        <w:pageBreakBefore w:val="0"/>
        <w:widowControl w:val="0"/>
        <w:kinsoku/>
        <w:wordWrap/>
        <w:overflowPunct/>
        <w:topLinePunct w:val="0"/>
        <w:autoSpaceDE w:val="0"/>
        <w:autoSpaceDN w:val="0"/>
        <w:bidi w:val="0"/>
        <w:adjustRightInd w:val="0"/>
        <w:spacing w:line="400" w:lineRule="exact"/>
        <w:ind w:left="0" w:leftChars="0" w:firstLine="420" w:firstLineChars="200"/>
        <w:textAlignment w:val="auto"/>
        <w:rPr>
          <w:rFonts w:hint="eastAsia" w:ascii="宋体" w:hAnsi="宋体" w:eastAsia="宋体" w:cs="宋体"/>
          <w:b w:val="0"/>
          <w:bCs/>
          <w:color w:val="auto"/>
          <w:sz w:val="21"/>
          <w:szCs w:val="21"/>
          <w:highlight w:val="none"/>
          <w:shd w:val="clear" w:color="auto" w:fill="auto"/>
          <w:lang w:val="zh-CN"/>
        </w:rPr>
      </w:pPr>
      <w:r>
        <w:rPr>
          <w:rFonts w:hint="eastAsia" w:ascii="宋体" w:hAnsi="宋体" w:eastAsia="宋体" w:cs="宋体"/>
          <w:b w:val="0"/>
          <w:bCs/>
          <w:color w:val="auto"/>
          <w:sz w:val="21"/>
          <w:szCs w:val="21"/>
          <w:highlight w:val="none"/>
          <w:shd w:val="clear" w:color="auto" w:fill="auto"/>
          <w:lang w:val="en-US" w:eastAsia="zh-CN"/>
        </w:rPr>
        <w:t>8</w:t>
      </w:r>
      <w:r>
        <w:rPr>
          <w:rFonts w:hint="eastAsia" w:ascii="宋体" w:hAnsi="宋体" w:eastAsia="宋体" w:cs="宋体"/>
          <w:b w:val="0"/>
          <w:bCs/>
          <w:color w:val="auto"/>
          <w:sz w:val="21"/>
          <w:szCs w:val="21"/>
          <w:highlight w:val="none"/>
          <w:shd w:val="clear" w:color="auto" w:fill="auto"/>
          <w:lang w:val="zh-CN"/>
        </w:rPr>
        <w:t>.2、提交响应文件截止之间前，采购人或采购代理机构有权对已发出的磋商文件进行必要的澄清或修改，澄清或修改的内容作为磋商文件的组成部分。澄清或修改的内容可能影响响应文件编制的，采购代理机构应在提交响应文件截止时间至少5日前，通知所有获得磋商文件的供应商；不足5日的，采购代理机构应当顺延提交响应文件截止时间。</w:t>
      </w:r>
    </w:p>
    <w:p w14:paraId="387163E1">
      <w:pPr>
        <w:keepNext w:val="0"/>
        <w:keepLines w:val="0"/>
        <w:pageBreakBefore w:val="0"/>
        <w:widowControl w:val="0"/>
        <w:kinsoku/>
        <w:wordWrap/>
        <w:overflowPunct/>
        <w:topLinePunct w:val="0"/>
        <w:autoSpaceDE w:val="0"/>
        <w:autoSpaceDN w:val="0"/>
        <w:bidi w:val="0"/>
        <w:adjustRightInd w:val="0"/>
        <w:spacing w:line="400" w:lineRule="exact"/>
        <w:ind w:left="0" w:leftChars="0" w:firstLine="420" w:firstLineChars="200"/>
        <w:textAlignment w:val="auto"/>
        <w:rPr>
          <w:rFonts w:hint="eastAsia" w:ascii="宋体" w:hAnsi="宋体" w:eastAsia="宋体" w:cs="宋体"/>
          <w:b w:val="0"/>
          <w:bCs/>
          <w:color w:val="auto"/>
          <w:sz w:val="21"/>
          <w:szCs w:val="21"/>
          <w:highlight w:val="none"/>
          <w:shd w:val="clear" w:color="auto" w:fill="auto"/>
          <w:lang w:val="zh-CN"/>
        </w:rPr>
      </w:pPr>
      <w:r>
        <w:rPr>
          <w:rFonts w:hint="eastAsia" w:ascii="宋体" w:hAnsi="宋体" w:eastAsia="宋体" w:cs="宋体"/>
          <w:b w:val="0"/>
          <w:bCs/>
          <w:color w:val="auto"/>
          <w:sz w:val="21"/>
          <w:szCs w:val="21"/>
          <w:highlight w:val="none"/>
          <w:shd w:val="clear" w:color="auto" w:fill="auto"/>
          <w:lang w:val="en-US" w:eastAsia="zh-CN"/>
        </w:rPr>
        <w:t>8</w:t>
      </w:r>
      <w:r>
        <w:rPr>
          <w:rFonts w:hint="eastAsia" w:ascii="宋体" w:hAnsi="宋体" w:eastAsia="宋体" w:cs="宋体"/>
          <w:b w:val="0"/>
          <w:bCs/>
          <w:color w:val="auto"/>
          <w:sz w:val="21"/>
          <w:szCs w:val="21"/>
          <w:highlight w:val="none"/>
          <w:shd w:val="clear" w:color="auto" w:fill="auto"/>
          <w:lang w:val="zh-CN"/>
        </w:rPr>
        <w:t>.</w:t>
      </w:r>
      <w:r>
        <w:rPr>
          <w:rFonts w:hint="eastAsia" w:ascii="宋体" w:hAnsi="宋体" w:eastAsia="宋体" w:cs="宋体"/>
          <w:b w:val="0"/>
          <w:bCs/>
          <w:color w:val="auto"/>
          <w:sz w:val="21"/>
          <w:szCs w:val="21"/>
          <w:highlight w:val="none"/>
          <w:shd w:val="clear" w:color="auto" w:fill="auto"/>
          <w:lang w:val="en-US" w:eastAsia="zh-CN"/>
        </w:rPr>
        <w:t>3</w:t>
      </w:r>
      <w:r>
        <w:rPr>
          <w:rFonts w:hint="eastAsia" w:ascii="宋体" w:hAnsi="宋体" w:eastAsia="宋体" w:cs="宋体"/>
          <w:b w:val="0"/>
          <w:bCs/>
          <w:color w:val="auto"/>
          <w:sz w:val="21"/>
          <w:szCs w:val="21"/>
          <w:highlight w:val="none"/>
          <w:shd w:val="clear" w:color="auto" w:fill="auto"/>
          <w:lang w:val="zh-CN"/>
        </w:rPr>
        <w:t>、任何要求对磋商文件进行澄清的磋商供应商，均应在响应文件递交截止时间3天前，通知采购代理机构,由代理机构汇总后统一进行答复，并通知所有参与竞争性磋商的供应商。</w:t>
      </w:r>
    </w:p>
    <w:p w14:paraId="149FD1D4">
      <w:pPr>
        <w:keepNext w:val="0"/>
        <w:keepLines w:val="0"/>
        <w:pageBreakBefore w:val="0"/>
        <w:widowControl w:val="0"/>
        <w:kinsoku/>
        <w:wordWrap/>
        <w:overflowPunct/>
        <w:topLinePunct w:val="0"/>
        <w:bidi w:val="0"/>
        <w:spacing w:line="400" w:lineRule="exact"/>
        <w:ind w:left="0" w:leftChars="0" w:firstLine="420" w:firstLineChars="200"/>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8.4、当竞争性磋商文件的澄清、修改、补充等在同一内容的表述上不一致时，以最后发出的文件为准。所有补充文件将作为竞争性磋商文件的组成部分，对所有供应商具有约束力。</w:t>
      </w:r>
    </w:p>
    <w:p w14:paraId="2C631669">
      <w:pPr>
        <w:keepNext w:val="0"/>
        <w:keepLines w:val="0"/>
        <w:pageBreakBefore w:val="0"/>
        <w:widowControl w:val="0"/>
        <w:kinsoku/>
        <w:wordWrap/>
        <w:overflowPunct/>
        <w:topLinePunct w:val="0"/>
        <w:bidi w:val="0"/>
        <w:spacing w:line="400" w:lineRule="exact"/>
        <w:ind w:left="0" w:leftChars="0" w:firstLine="420" w:firstLineChars="200"/>
        <w:textAlignment w:val="auto"/>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8.5、供应商若对磋商文件有任何疑问，可以向采购代理机构提出询问。否则，视为同意磋商文件的一切条款和要求并承担由此引起的一切法律责任。凡因供应商对磋商文件阅读不深、理解不透、误解、疏漏、或因市场行情了解不清造成的后果和风险均由供应商自负。</w:t>
      </w:r>
    </w:p>
    <w:p w14:paraId="56E3BE37">
      <w:pPr>
        <w:keepNext w:val="0"/>
        <w:keepLines w:val="0"/>
        <w:pageBreakBefore w:val="0"/>
        <w:widowControl w:val="0"/>
        <w:kinsoku/>
        <w:wordWrap/>
        <w:overflowPunct/>
        <w:topLinePunct w:val="0"/>
        <w:autoSpaceDE w:val="0"/>
        <w:autoSpaceDN w:val="0"/>
        <w:bidi w:val="0"/>
        <w:adjustRightInd w:val="0"/>
        <w:spacing w:line="400" w:lineRule="exact"/>
        <w:ind w:left="0" w:leftChars="0" w:firstLine="420" w:firstLineChars="200"/>
        <w:textAlignment w:val="auto"/>
        <w:rPr>
          <w:rFonts w:hint="eastAsia" w:ascii="宋体" w:hAnsi="宋体" w:eastAsia="宋体" w:cs="宋体"/>
          <w:b w:val="0"/>
          <w:bCs/>
          <w:color w:val="auto"/>
          <w:sz w:val="21"/>
          <w:szCs w:val="21"/>
          <w:highlight w:val="none"/>
          <w:shd w:val="clear" w:color="auto" w:fill="auto"/>
          <w:lang w:val="zh-CN"/>
        </w:rPr>
      </w:pPr>
      <w:r>
        <w:rPr>
          <w:rFonts w:hint="eastAsia" w:ascii="宋体" w:hAnsi="宋体" w:eastAsia="宋体" w:cs="宋体"/>
          <w:b w:val="0"/>
          <w:bCs/>
          <w:color w:val="auto"/>
          <w:sz w:val="21"/>
          <w:szCs w:val="21"/>
          <w:highlight w:val="none"/>
          <w:shd w:val="clear" w:color="auto" w:fill="auto"/>
          <w:lang w:val="en-US" w:eastAsia="zh-CN"/>
        </w:rPr>
        <w:t>8</w:t>
      </w:r>
      <w:r>
        <w:rPr>
          <w:rFonts w:hint="eastAsia" w:ascii="宋体" w:hAnsi="宋体" w:eastAsia="宋体" w:cs="宋体"/>
          <w:b w:val="0"/>
          <w:bCs/>
          <w:color w:val="auto"/>
          <w:sz w:val="21"/>
          <w:szCs w:val="21"/>
          <w:highlight w:val="none"/>
          <w:shd w:val="clear" w:color="auto" w:fill="auto"/>
          <w:lang w:val="zh-CN"/>
        </w:rPr>
        <w:t>.</w:t>
      </w:r>
      <w:r>
        <w:rPr>
          <w:rFonts w:hint="eastAsia" w:ascii="宋体" w:hAnsi="宋体" w:eastAsia="宋体" w:cs="宋体"/>
          <w:b w:val="0"/>
          <w:bCs/>
          <w:color w:val="auto"/>
          <w:sz w:val="21"/>
          <w:szCs w:val="21"/>
          <w:highlight w:val="none"/>
          <w:shd w:val="clear" w:color="auto" w:fill="auto"/>
          <w:lang w:val="en-US" w:eastAsia="zh-CN"/>
        </w:rPr>
        <w:t>6</w:t>
      </w:r>
      <w:r>
        <w:rPr>
          <w:rFonts w:hint="eastAsia" w:ascii="宋体" w:hAnsi="宋体" w:eastAsia="宋体" w:cs="宋体"/>
          <w:b w:val="0"/>
          <w:bCs/>
          <w:color w:val="auto"/>
          <w:sz w:val="21"/>
          <w:szCs w:val="21"/>
          <w:highlight w:val="none"/>
          <w:shd w:val="clear" w:color="auto" w:fill="auto"/>
          <w:lang w:val="zh-CN"/>
        </w:rPr>
        <w:t>、竞争性磋商文件的解释权归采购代理机构所有。如发现竞争性磋商文件内容中与现行的法律法规不相符合的情况，以现行的法律法规为准；竞争性磋商文件中某个或多个条款依我国法律、法规被认定为非法、无效或不可执行的,该无效条款的无效、失效和不可执行,不影响亦不损害其他条款的有效性、生效性和可执行性。</w:t>
      </w:r>
    </w:p>
    <w:p w14:paraId="239A4A58">
      <w:pPr>
        <w:keepNext w:val="0"/>
        <w:keepLines w:val="0"/>
        <w:pageBreakBefore w:val="0"/>
        <w:widowControl w:val="0"/>
        <w:kinsoku/>
        <w:wordWrap/>
        <w:overflowPunct/>
        <w:topLinePunct w:val="0"/>
        <w:autoSpaceDE w:val="0"/>
        <w:autoSpaceDN w:val="0"/>
        <w:bidi w:val="0"/>
        <w:adjustRightInd w:val="0"/>
        <w:spacing w:line="400" w:lineRule="exact"/>
        <w:ind w:left="0" w:leftChars="0" w:firstLine="420" w:firstLineChars="200"/>
        <w:textAlignment w:val="auto"/>
        <w:rPr>
          <w:rFonts w:hint="eastAsia" w:ascii="宋体" w:hAnsi="宋体" w:eastAsia="宋体" w:cs="宋体"/>
          <w:b w:val="0"/>
          <w:bCs/>
          <w:color w:val="auto"/>
          <w:sz w:val="21"/>
          <w:szCs w:val="21"/>
          <w:highlight w:val="none"/>
          <w:shd w:val="clear" w:color="auto" w:fill="auto"/>
          <w:lang w:val="zh-CN"/>
        </w:rPr>
      </w:pPr>
      <w:r>
        <w:rPr>
          <w:rFonts w:hint="eastAsia" w:ascii="宋体" w:hAnsi="宋体" w:eastAsia="宋体" w:cs="宋体"/>
          <w:b w:val="0"/>
          <w:bCs/>
          <w:color w:val="auto"/>
          <w:sz w:val="21"/>
          <w:szCs w:val="21"/>
          <w:highlight w:val="none"/>
          <w:shd w:val="clear" w:color="auto" w:fill="auto"/>
          <w:lang w:val="en-US" w:eastAsia="zh-CN"/>
        </w:rPr>
        <w:t>8.7</w:t>
      </w:r>
      <w:r>
        <w:rPr>
          <w:rFonts w:hint="eastAsia" w:ascii="宋体" w:hAnsi="宋体" w:eastAsia="宋体" w:cs="宋体"/>
          <w:b w:val="0"/>
          <w:bCs/>
          <w:color w:val="auto"/>
          <w:sz w:val="21"/>
          <w:szCs w:val="21"/>
          <w:highlight w:val="none"/>
          <w:shd w:val="clear" w:color="auto" w:fill="auto"/>
          <w:lang w:val="zh-CN"/>
        </w:rPr>
        <w:t>请各供应商在提交</w:t>
      </w:r>
      <w:r>
        <w:rPr>
          <w:rFonts w:hint="eastAsia" w:ascii="宋体" w:hAnsi="宋体" w:cs="宋体"/>
          <w:b w:val="0"/>
          <w:bCs/>
          <w:color w:val="auto"/>
          <w:sz w:val="21"/>
          <w:szCs w:val="21"/>
          <w:highlight w:val="none"/>
          <w:shd w:val="clear" w:color="auto" w:fill="auto"/>
          <w:lang w:val="en-US" w:eastAsia="zh-CN"/>
        </w:rPr>
        <w:t>磋商响应</w:t>
      </w:r>
      <w:r>
        <w:rPr>
          <w:rFonts w:hint="eastAsia" w:ascii="宋体" w:hAnsi="宋体" w:eastAsia="宋体" w:cs="宋体"/>
          <w:b w:val="0"/>
          <w:bCs/>
          <w:color w:val="auto"/>
          <w:sz w:val="21"/>
          <w:szCs w:val="21"/>
          <w:highlight w:val="none"/>
          <w:shd w:val="clear" w:color="auto" w:fill="auto"/>
          <w:lang w:val="zh-CN"/>
        </w:rPr>
        <w:t>文件截止时间之前，务必自行关注下列地址发布的变更公告，采购</w:t>
      </w:r>
      <w:r>
        <w:rPr>
          <w:rFonts w:hint="eastAsia" w:ascii="宋体" w:hAnsi="宋体" w:cs="宋体"/>
          <w:b w:val="0"/>
          <w:bCs/>
          <w:color w:val="auto"/>
          <w:sz w:val="21"/>
          <w:szCs w:val="21"/>
          <w:highlight w:val="none"/>
          <w:shd w:val="clear" w:color="auto" w:fill="auto"/>
          <w:lang w:val="en-US" w:eastAsia="zh-CN"/>
        </w:rPr>
        <w:t>代理</w:t>
      </w:r>
      <w:r>
        <w:rPr>
          <w:rFonts w:hint="eastAsia" w:ascii="宋体" w:hAnsi="宋体" w:eastAsia="宋体" w:cs="宋体"/>
          <w:b w:val="0"/>
          <w:bCs/>
          <w:color w:val="auto"/>
          <w:sz w:val="21"/>
          <w:szCs w:val="21"/>
          <w:highlight w:val="none"/>
          <w:shd w:val="clear" w:color="auto" w:fill="auto"/>
          <w:lang w:val="zh-CN"/>
        </w:rPr>
        <w:t>机构不再另行通知，因供应商未及时关注所造或的一切后果由供应商自行承担：</w:t>
      </w:r>
    </w:p>
    <w:p w14:paraId="0852950A">
      <w:pPr>
        <w:keepNext w:val="0"/>
        <w:keepLines w:val="0"/>
        <w:pageBreakBefore w:val="0"/>
        <w:widowControl w:val="0"/>
        <w:kinsoku/>
        <w:wordWrap/>
        <w:overflowPunct/>
        <w:topLinePunct w:val="0"/>
        <w:autoSpaceDE w:val="0"/>
        <w:autoSpaceDN w:val="0"/>
        <w:bidi w:val="0"/>
        <w:adjustRightInd w:val="0"/>
        <w:spacing w:line="400" w:lineRule="exact"/>
        <w:ind w:left="0" w:leftChars="0" w:firstLine="420" w:firstLineChars="200"/>
        <w:textAlignment w:val="auto"/>
        <w:rPr>
          <w:rFonts w:hint="eastAsia" w:ascii="宋体" w:hAnsi="宋体" w:eastAsia="宋体" w:cs="宋体"/>
          <w:b w:val="0"/>
          <w:bCs/>
          <w:color w:val="auto"/>
          <w:sz w:val="21"/>
          <w:szCs w:val="21"/>
          <w:highlight w:val="none"/>
          <w:shd w:val="clear" w:color="auto" w:fill="auto"/>
          <w:lang w:val="zh-CN"/>
        </w:rPr>
      </w:pPr>
      <w:r>
        <w:rPr>
          <w:rFonts w:hint="eastAsia" w:ascii="宋体" w:hAnsi="宋体" w:eastAsia="宋体" w:cs="宋体"/>
          <w:b w:val="0"/>
          <w:bCs/>
          <w:color w:val="auto"/>
          <w:sz w:val="21"/>
          <w:szCs w:val="21"/>
          <w:highlight w:val="none"/>
          <w:shd w:val="clear" w:color="auto" w:fill="auto"/>
          <w:lang w:val="zh-CN"/>
        </w:rPr>
        <w:t>（1）[陕西省政府采购网(</w:t>
      </w:r>
      <w:r>
        <w:rPr>
          <w:rFonts w:hint="eastAsia" w:ascii="宋体" w:hAnsi="宋体" w:eastAsia="宋体" w:cs="宋体"/>
          <w:b w:val="0"/>
          <w:bCs/>
          <w:color w:val="auto"/>
          <w:sz w:val="21"/>
          <w:szCs w:val="21"/>
          <w:highlight w:val="none"/>
          <w:shd w:val="clear" w:color="auto" w:fill="auto"/>
          <w:lang w:val="zh-CN"/>
        </w:rPr>
        <w:fldChar w:fldCharType="begin"/>
      </w:r>
      <w:r>
        <w:rPr>
          <w:rFonts w:hint="eastAsia" w:ascii="宋体" w:hAnsi="宋体" w:eastAsia="宋体" w:cs="宋体"/>
          <w:b w:val="0"/>
          <w:bCs/>
          <w:color w:val="auto"/>
          <w:sz w:val="21"/>
          <w:szCs w:val="21"/>
          <w:highlight w:val="none"/>
          <w:shd w:val="clear" w:color="auto" w:fill="auto"/>
          <w:lang w:val="zh-CN"/>
        </w:rPr>
        <w:instrText xml:space="preserve"> HYPERLINK "https://www.ccgp-shaanxi.gov.cn" </w:instrText>
      </w:r>
      <w:r>
        <w:rPr>
          <w:rFonts w:hint="eastAsia" w:ascii="宋体" w:hAnsi="宋体" w:eastAsia="宋体" w:cs="宋体"/>
          <w:b w:val="0"/>
          <w:bCs/>
          <w:color w:val="auto"/>
          <w:sz w:val="21"/>
          <w:szCs w:val="21"/>
          <w:highlight w:val="none"/>
          <w:shd w:val="clear" w:color="auto" w:fill="auto"/>
          <w:lang w:val="zh-CN"/>
        </w:rPr>
        <w:fldChar w:fldCharType="separate"/>
      </w:r>
      <w:r>
        <w:rPr>
          <w:rFonts w:hint="eastAsia" w:ascii="宋体" w:hAnsi="宋体" w:eastAsia="宋体" w:cs="宋体"/>
          <w:b w:val="0"/>
          <w:bCs/>
          <w:color w:val="auto"/>
          <w:sz w:val="21"/>
          <w:szCs w:val="21"/>
          <w:highlight w:val="none"/>
          <w:shd w:val="clear" w:color="auto" w:fill="auto"/>
          <w:lang w:val="zh-CN"/>
        </w:rPr>
        <w:t>www.ccgp-shaanxi.gov.cn</w:t>
      </w:r>
      <w:r>
        <w:rPr>
          <w:rFonts w:hint="eastAsia" w:ascii="宋体" w:hAnsi="宋体" w:eastAsia="宋体" w:cs="宋体"/>
          <w:b w:val="0"/>
          <w:bCs/>
          <w:color w:val="auto"/>
          <w:sz w:val="21"/>
          <w:szCs w:val="21"/>
          <w:highlight w:val="none"/>
          <w:shd w:val="clear" w:color="auto" w:fill="auto"/>
          <w:lang w:val="zh-CN"/>
        </w:rPr>
        <w:fldChar w:fldCharType="end"/>
      </w:r>
      <w:r>
        <w:rPr>
          <w:rFonts w:hint="eastAsia" w:ascii="宋体" w:hAnsi="宋体" w:eastAsia="宋体" w:cs="宋体"/>
          <w:b w:val="0"/>
          <w:bCs/>
          <w:color w:val="auto"/>
          <w:sz w:val="21"/>
          <w:szCs w:val="21"/>
          <w:highlight w:val="none"/>
          <w:shd w:val="clear" w:color="auto" w:fill="auto"/>
          <w:lang w:val="zh-CN"/>
        </w:rPr>
        <w:t>)]中的[首页&gt;市县采购信息公告]；</w:t>
      </w:r>
    </w:p>
    <w:p w14:paraId="5E38C799">
      <w:pPr>
        <w:keepNext w:val="0"/>
        <w:keepLines w:val="0"/>
        <w:pageBreakBefore w:val="0"/>
        <w:widowControl w:val="0"/>
        <w:kinsoku/>
        <w:wordWrap/>
        <w:overflowPunct/>
        <w:topLinePunct w:val="0"/>
        <w:autoSpaceDE w:val="0"/>
        <w:autoSpaceDN w:val="0"/>
        <w:bidi w:val="0"/>
        <w:adjustRightInd w:val="0"/>
        <w:spacing w:line="400" w:lineRule="exact"/>
        <w:ind w:left="0" w:leftChars="0" w:firstLine="420" w:firstLineChars="200"/>
        <w:textAlignment w:val="auto"/>
        <w:rPr>
          <w:rFonts w:hint="default"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zh-CN"/>
        </w:rPr>
        <w:t>（2）[全国公共资源交易网（陕西省咸阳市)(xy.sxggzyjy.cn)]中的[首页&gt;交易大厅&gt; 政府采购]。</w:t>
      </w:r>
    </w:p>
    <w:p w14:paraId="55ABE4C6">
      <w:pPr>
        <w:keepLines w:val="0"/>
        <w:pageBreakBefore w:val="0"/>
        <w:widowControl w:val="0"/>
        <w:kinsoku/>
        <w:wordWrap/>
        <w:overflowPunct/>
        <w:topLinePunct w:val="0"/>
        <w:autoSpaceDE w:val="0"/>
        <w:autoSpaceDN w:val="0"/>
        <w:bidi w:val="0"/>
        <w:adjustRightInd w:val="0"/>
        <w:spacing w:line="400" w:lineRule="exact"/>
        <w:ind w:firstLine="422" w:firstLineChars="200"/>
        <w:textAlignment w:val="auto"/>
        <w:rPr>
          <w:rFonts w:hint="eastAsia" w:ascii="宋体" w:hAnsi="宋体" w:eastAsia="宋体" w:cs="宋体"/>
          <w:b/>
          <w:bCs w:val="0"/>
          <w:color w:val="auto"/>
          <w:sz w:val="21"/>
          <w:szCs w:val="21"/>
          <w:highlight w:val="none"/>
          <w:shd w:val="clear" w:color="auto" w:fill="auto"/>
          <w:lang w:val="zh-CN"/>
        </w:rPr>
      </w:pPr>
      <w:r>
        <w:rPr>
          <w:rFonts w:hint="eastAsia" w:ascii="宋体" w:hAnsi="宋体" w:eastAsia="宋体" w:cs="宋体"/>
          <w:b/>
          <w:bCs w:val="0"/>
          <w:color w:val="auto"/>
          <w:sz w:val="21"/>
          <w:szCs w:val="21"/>
          <w:highlight w:val="none"/>
          <w:shd w:val="clear" w:color="auto" w:fill="auto"/>
          <w:lang w:val="en-US" w:eastAsia="zh-CN"/>
        </w:rPr>
        <w:t>9、</w:t>
      </w:r>
      <w:r>
        <w:rPr>
          <w:rFonts w:hint="eastAsia" w:ascii="宋体" w:hAnsi="宋体" w:eastAsia="宋体" w:cs="宋体"/>
          <w:b/>
          <w:bCs w:val="0"/>
          <w:color w:val="auto"/>
          <w:sz w:val="21"/>
          <w:szCs w:val="21"/>
          <w:highlight w:val="none"/>
          <w:shd w:val="clear" w:color="auto" w:fill="auto"/>
          <w:lang w:val="zh-CN"/>
        </w:rPr>
        <w:t>备选磋商方案</w:t>
      </w:r>
    </w:p>
    <w:p w14:paraId="6D594623">
      <w:pPr>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b w:val="0"/>
          <w:bCs/>
          <w:color w:val="auto"/>
          <w:sz w:val="21"/>
          <w:szCs w:val="21"/>
          <w:highlight w:val="none"/>
          <w:shd w:val="clear" w:color="auto" w:fill="auto"/>
          <w:lang w:val="zh-CN"/>
        </w:rPr>
      </w:pPr>
      <w:r>
        <w:rPr>
          <w:rFonts w:hint="eastAsia" w:ascii="宋体" w:hAnsi="宋体" w:eastAsia="宋体" w:cs="宋体"/>
          <w:b w:val="0"/>
          <w:bCs/>
          <w:color w:val="auto"/>
          <w:sz w:val="21"/>
          <w:szCs w:val="21"/>
          <w:highlight w:val="none"/>
          <w:shd w:val="clear" w:color="auto" w:fill="auto"/>
          <w:lang w:val="zh-CN"/>
        </w:rPr>
        <w:t>本项目不得提供备选方案。</w:t>
      </w:r>
    </w:p>
    <w:p w14:paraId="4AA26396">
      <w:pPr>
        <w:pStyle w:val="2"/>
        <w:keepLines w:val="0"/>
        <w:pageBreakBefore w:val="0"/>
        <w:widowControl w:val="0"/>
        <w:kinsoku/>
        <w:wordWrap/>
        <w:overflowPunct/>
        <w:topLinePunct w:val="0"/>
        <w:bidi w:val="0"/>
        <w:spacing w:line="400" w:lineRule="exact"/>
        <w:textAlignment w:val="auto"/>
        <w:rPr>
          <w:rFonts w:hint="eastAsia" w:ascii="宋体" w:hAnsi="宋体" w:eastAsia="宋体" w:cs="宋体"/>
          <w:b/>
          <w:color w:val="auto"/>
          <w:sz w:val="28"/>
          <w:szCs w:val="28"/>
          <w:highlight w:val="none"/>
          <w:shd w:val="clear" w:color="auto" w:fill="auto"/>
          <w:lang w:val="zh-CN" w:eastAsia="zh-CN"/>
        </w:rPr>
      </w:pPr>
      <w:bookmarkStart w:id="10" w:name="_Toc25075"/>
      <w:bookmarkStart w:id="11" w:name="_Toc27170"/>
      <w:r>
        <w:rPr>
          <w:rFonts w:hint="eastAsia" w:ascii="宋体" w:hAnsi="宋体" w:eastAsia="宋体" w:cs="宋体"/>
          <w:b/>
          <w:color w:val="auto"/>
          <w:sz w:val="28"/>
          <w:szCs w:val="28"/>
          <w:highlight w:val="none"/>
          <w:shd w:val="clear" w:color="auto" w:fill="auto"/>
          <w:lang w:val="en-US" w:eastAsia="zh-CN"/>
        </w:rPr>
        <w:t>C、</w:t>
      </w:r>
      <w:r>
        <w:rPr>
          <w:rFonts w:hint="eastAsia" w:ascii="宋体" w:hAnsi="宋体" w:eastAsia="宋体" w:cs="宋体"/>
          <w:b/>
          <w:color w:val="auto"/>
          <w:sz w:val="28"/>
          <w:szCs w:val="28"/>
          <w:highlight w:val="none"/>
          <w:shd w:val="clear" w:color="auto" w:fill="auto"/>
          <w:lang w:val="zh-CN" w:eastAsia="zh-CN"/>
        </w:rPr>
        <w:t>竞争性磋商</w:t>
      </w:r>
      <w:r>
        <w:rPr>
          <w:rFonts w:hint="eastAsia" w:ascii="宋体" w:hAnsi="宋体" w:eastAsia="宋体" w:cs="宋体"/>
          <w:b/>
          <w:color w:val="auto"/>
          <w:sz w:val="28"/>
          <w:szCs w:val="28"/>
          <w:highlight w:val="none"/>
          <w:shd w:val="clear" w:color="auto" w:fill="auto"/>
          <w:lang w:val="en-US" w:eastAsia="zh-CN"/>
        </w:rPr>
        <w:t>响应</w:t>
      </w:r>
      <w:r>
        <w:rPr>
          <w:rFonts w:hint="eastAsia" w:ascii="宋体" w:hAnsi="宋体" w:eastAsia="宋体" w:cs="宋体"/>
          <w:b/>
          <w:color w:val="auto"/>
          <w:sz w:val="28"/>
          <w:szCs w:val="28"/>
          <w:highlight w:val="none"/>
          <w:shd w:val="clear" w:color="auto" w:fill="auto"/>
          <w:lang w:val="zh-CN" w:eastAsia="zh-CN"/>
        </w:rPr>
        <w:t>文件</w:t>
      </w:r>
      <w:bookmarkEnd w:id="10"/>
      <w:bookmarkEnd w:id="11"/>
    </w:p>
    <w:p w14:paraId="0042C7C4">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lang w:val="en-US" w:eastAsia="zh-CN"/>
        </w:rPr>
        <w:t>10、</w:t>
      </w:r>
      <w:r>
        <w:rPr>
          <w:rFonts w:hint="eastAsia" w:ascii="宋体" w:hAnsi="宋体" w:eastAsia="宋体" w:cs="宋体"/>
          <w:b/>
          <w:bCs w:val="0"/>
          <w:color w:val="auto"/>
          <w:sz w:val="21"/>
          <w:szCs w:val="21"/>
          <w:highlight w:val="none"/>
          <w:shd w:val="clear" w:color="auto" w:fill="auto"/>
          <w:lang w:val="zh-CN"/>
        </w:rPr>
        <w:t>磋商</w:t>
      </w:r>
      <w:r>
        <w:rPr>
          <w:rFonts w:hint="eastAsia" w:ascii="宋体" w:hAnsi="宋体" w:eastAsia="宋体" w:cs="宋体"/>
          <w:b/>
          <w:bCs w:val="0"/>
          <w:color w:val="auto"/>
          <w:sz w:val="21"/>
          <w:szCs w:val="21"/>
          <w:highlight w:val="none"/>
          <w:shd w:val="clear" w:color="auto" w:fill="auto"/>
          <w:lang w:val="en-US" w:eastAsia="zh-CN"/>
        </w:rPr>
        <w:t>响应文件编制的原则</w:t>
      </w:r>
    </w:p>
    <w:p w14:paraId="2924BEB1">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1"/>
          <w:szCs w:val="21"/>
          <w:highlight w:val="none"/>
          <w:shd w:val="clear" w:color="auto" w:fill="auto"/>
          <w:lang w:val="zh-CN"/>
        </w:rPr>
      </w:pPr>
      <w:r>
        <w:rPr>
          <w:rFonts w:hint="eastAsia" w:ascii="宋体" w:hAnsi="宋体" w:eastAsia="宋体" w:cs="宋体"/>
          <w:b w:val="0"/>
          <w:bCs/>
          <w:color w:val="auto"/>
          <w:sz w:val="21"/>
          <w:szCs w:val="21"/>
          <w:highlight w:val="none"/>
          <w:shd w:val="clear" w:color="auto" w:fill="auto"/>
          <w:lang w:val="en-US" w:eastAsia="zh-CN"/>
        </w:rPr>
        <w:t>10.1、供应商应在认真阅读磋商文件所有内容的基础上，按照磋商文件的要求编制完整的响应文件。</w:t>
      </w:r>
      <w:r>
        <w:rPr>
          <w:rFonts w:hint="eastAsia" w:ascii="宋体" w:hAnsi="宋体" w:eastAsia="宋体" w:cs="宋体"/>
          <w:b w:val="0"/>
          <w:bCs/>
          <w:color w:val="auto"/>
          <w:sz w:val="21"/>
          <w:szCs w:val="21"/>
          <w:highlight w:val="none"/>
          <w:shd w:val="clear" w:color="auto" w:fill="auto"/>
          <w:lang w:val="zh-CN"/>
        </w:rPr>
        <w:t>磋商响应文件参考给定格式编制，对磋商文件要求做出实质性响应。磋商供应商可根据情况自行扩展，但不得随意删减格式要求内容。</w:t>
      </w:r>
    </w:p>
    <w:p w14:paraId="5F953EAF">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10.2、供应商必须保证响应文件所提供的全部资料真实可靠，并接受对其中任何资料进一步审查的要求。</w:t>
      </w:r>
    </w:p>
    <w:p w14:paraId="5656B36A">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10.3、响应文件须对磋商文件中的内容做出实质性和完整的响应，否则其投标将被拒绝。</w:t>
      </w:r>
    </w:p>
    <w:p w14:paraId="0C450072">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lang w:val="en-US" w:eastAsia="zh-CN"/>
        </w:rPr>
        <w:t>11、</w:t>
      </w:r>
      <w:r>
        <w:rPr>
          <w:rFonts w:hint="eastAsia" w:ascii="宋体" w:hAnsi="宋体" w:eastAsia="宋体" w:cs="宋体"/>
          <w:b/>
          <w:bCs w:val="0"/>
          <w:color w:val="auto"/>
          <w:sz w:val="21"/>
          <w:szCs w:val="21"/>
          <w:highlight w:val="none"/>
          <w:lang w:val="en-US" w:eastAsia="zh-CN"/>
        </w:rPr>
        <w:t>磋商响应文件</w:t>
      </w:r>
      <w:r>
        <w:rPr>
          <w:rFonts w:hint="eastAsia" w:ascii="宋体" w:hAnsi="宋体" w:eastAsia="宋体" w:cs="宋体"/>
          <w:b/>
          <w:bCs w:val="0"/>
          <w:color w:val="auto"/>
          <w:sz w:val="21"/>
          <w:szCs w:val="21"/>
          <w:highlight w:val="none"/>
          <w:shd w:val="clear" w:color="auto" w:fill="auto"/>
          <w:lang w:val="en-US" w:eastAsia="zh-CN"/>
        </w:rPr>
        <w:t>的式样</w:t>
      </w:r>
    </w:p>
    <w:p w14:paraId="7005D71F">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11.1、语言</w:t>
      </w:r>
    </w:p>
    <w:p w14:paraId="12AFCC47">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招标活动的所有文件、资料、函电文字均使用简体中文，确需提交用其他语言形成的资料，必须翻译成简体中文，如有差异，以简体中文为准。</w:t>
      </w:r>
    </w:p>
    <w:p w14:paraId="4D55B9F4">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1"/>
          <w:szCs w:val="21"/>
          <w:highlight w:val="none"/>
          <w:shd w:val="clear" w:color="auto" w:fill="auto"/>
          <w:lang w:val="zh-CN" w:eastAsia="zh-CN"/>
        </w:rPr>
      </w:pPr>
      <w:r>
        <w:rPr>
          <w:rFonts w:hint="eastAsia" w:ascii="宋体" w:hAnsi="宋体" w:eastAsia="宋体" w:cs="宋体"/>
          <w:b w:val="0"/>
          <w:bCs/>
          <w:color w:val="auto"/>
          <w:sz w:val="21"/>
          <w:szCs w:val="21"/>
          <w:highlight w:val="none"/>
          <w:shd w:val="clear" w:color="auto" w:fill="auto"/>
          <w:lang w:val="en-US" w:eastAsia="zh-CN"/>
        </w:rPr>
        <w:t>11.2、</w:t>
      </w:r>
      <w:r>
        <w:rPr>
          <w:rFonts w:hint="eastAsia" w:ascii="宋体" w:hAnsi="宋体" w:eastAsia="宋体" w:cs="宋体"/>
          <w:b w:val="0"/>
          <w:bCs/>
          <w:color w:val="auto"/>
          <w:sz w:val="21"/>
          <w:szCs w:val="21"/>
          <w:highlight w:val="none"/>
          <w:shd w:val="clear" w:color="auto" w:fill="auto"/>
          <w:lang w:val="zh-CN" w:eastAsia="zh-CN"/>
        </w:rPr>
        <w:t>磋商响应文件计量单位</w:t>
      </w:r>
    </w:p>
    <w:p w14:paraId="7D2516E9">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1"/>
          <w:szCs w:val="21"/>
          <w:highlight w:val="none"/>
          <w:shd w:val="clear" w:color="auto" w:fill="auto"/>
          <w:lang w:val="zh-CN" w:eastAsia="zh-CN"/>
        </w:rPr>
      </w:pPr>
      <w:r>
        <w:rPr>
          <w:rFonts w:hint="eastAsia" w:ascii="宋体" w:hAnsi="宋体" w:eastAsia="宋体" w:cs="宋体"/>
          <w:b w:val="0"/>
          <w:bCs/>
          <w:color w:val="auto"/>
          <w:sz w:val="21"/>
          <w:szCs w:val="21"/>
          <w:highlight w:val="none"/>
          <w:shd w:val="clear" w:color="auto" w:fill="auto"/>
          <w:lang w:val="zh-CN" w:eastAsia="zh-CN"/>
        </w:rPr>
        <w:t>磋商响应文件中所使用的计量单位，除有特殊要求外，均采用国家法定计量单位。</w:t>
      </w:r>
    </w:p>
    <w:p w14:paraId="730E7699">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b/>
          <w:bCs w:val="0"/>
          <w:color w:val="auto"/>
          <w:sz w:val="21"/>
          <w:szCs w:val="21"/>
          <w:highlight w:val="none"/>
          <w:shd w:val="clear" w:color="auto" w:fill="auto"/>
          <w:lang w:val="zh-CN"/>
        </w:rPr>
      </w:pPr>
      <w:r>
        <w:rPr>
          <w:rFonts w:hint="eastAsia" w:ascii="宋体" w:hAnsi="宋体" w:eastAsia="宋体" w:cs="宋体"/>
          <w:b/>
          <w:bCs w:val="0"/>
          <w:color w:val="auto"/>
          <w:sz w:val="21"/>
          <w:szCs w:val="21"/>
          <w:highlight w:val="none"/>
          <w:shd w:val="clear" w:color="auto" w:fill="auto"/>
          <w:lang w:val="en-US" w:eastAsia="zh-CN"/>
        </w:rPr>
        <w:t>12、</w:t>
      </w:r>
      <w:r>
        <w:rPr>
          <w:rFonts w:hint="eastAsia" w:ascii="宋体" w:hAnsi="宋体" w:eastAsia="宋体" w:cs="宋体"/>
          <w:b/>
          <w:bCs w:val="0"/>
          <w:color w:val="auto"/>
          <w:sz w:val="21"/>
          <w:szCs w:val="21"/>
          <w:highlight w:val="none"/>
          <w:shd w:val="clear" w:color="auto" w:fill="auto"/>
          <w:lang w:val="zh-CN"/>
        </w:rPr>
        <w:t>磋商响应文件的组成</w:t>
      </w:r>
    </w:p>
    <w:p w14:paraId="243C1774">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12.1、格式内容：</w:t>
      </w:r>
    </w:p>
    <w:p w14:paraId="69F13D44">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（1）磋商响应函</w:t>
      </w:r>
    </w:p>
    <w:p w14:paraId="51119F31">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（2）第一次磋商报价表</w:t>
      </w:r>
    </w:p>
    <w:p w14:paraId="13F17DC6">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（3）已标价工程量清单</w:t>
      </w:r>
    </w:p>
    <w:p w14:paraId="649081B2">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（4）技术/商务条款偏差表</w:t>
      </w:r>
    </w:p>
    <w:p w14:paraId="574D16D9">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（5）磋商方案说明</w:t>
      </w:r>
    </w:p>
    <w:p w14:paraId="59D598EA">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（6）供应商承诺书</w:t>
      </w:r>
    </w:p>
    <w:p w14:paraId="0E8B4F9E">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（7）项目管理机构</w:t>
      </w:r>
    </w:p>
    <w:p w14:paraId="1342D4E1">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（8）供应商资质证明文件</w:t>
      </w:r>
    </w:p>
    <w:p w14:paraId="7FB7609B">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cs="宋体"/>
          <w:b w:val="0"/>
          <w:bCs/>
          <w:color w:val="auto"/>
          <w:sz w:val="21"/>
          <w:szCs w:val="21"/>
          <w:highlight w:val="none"/>
          <w:shd w:val="clear" w:color="auto" w:fill="auto"/>
          <w:lang w:val="en-US" w:eastAsia="zh-CN"/>
        </w:rPr>
        <w:t>（9）</w:t>
      </w:r>
      <w:r>
        <w:rPr>
          <w:rFonts w:hint="eastAsia" w:ascii="宋体" w:hAnsi="宋体" w:eastAsia="宋体" w:cs="宋体"/>
          <w:b w:val="0"/>
          <w:bCs/>
          <w:color w:val="auto"/>
          <w:sz w:val="21"/>
          <w:szCs w:val="21"/>
          <w:highlight w:val="none"/>
          <w:shd w:val="clear" w:color="auto" w:fill="auto"/>
          <w:lang w:val="en-US" w:eastAsia="zh-CN"/>
        </w:rPr>
        <w:t>其他资料</w:t>
      </w:r>
    </w:p>
    <w:p w14:paraId="593666B6">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1"/>
          <w:szCs w:val="21"/>
          <w:highlight w:val="none"/>
          <w:shd w:val="clear" w:color="auto" w:fill="auto"/>
          <w:lang w:val="zh-CN"/>
        </w:rPr>
      </w:pPr>
      <w:r>
        <w:rPr>
          <w:rFonts w:hint="eastAsia" w:ascii="宋体" w:hAnsi="宋体" w:eastAsia="宋体" w:cs="宋体"/>
          <w:b w:val="0"/>
          <w:bCs/>
          <w:color w:val="auto"/>
          <w:sz w:val="21"/>
          <w:szCs w:val="21"/>
          <w:highlight w:val="none"/>
          <w:shd w:val="clear" w:color="auto" w:fill="auto"/>
          <w:lang w:val="en-US" w:eastAsia="zh-CN"/>
        </w:rPr>
        <w:t>12.2、</w:t>
      </w:r>
      <w:r>
        <w:rPr>
          <w:rFonts w:hint="eastAsia" w:ascii="宋体" w:hAnsi="宋体" w:eastAsia="宋体" w:cs="宋体"/>
          <w:b w:val="0"/>
          <w:bCs/>
          <w:color w:val="auto"/>
          <w:sz w:val="21"/>
          <w:szCs w:val="21"/>
          <w:highlight w:val="none"/>
          <w:shd w:val="clear" w:color="auto" w:fill="auto"/>
          <w:lang w:val="zh-CN"/>
        </w:rPr>
        <w:t>本次磋商的最小单元为“包号”，供应商可根据自身的资质情况和经营范围对本次项目进行磋商，不得将其子目再行分解或只对本次项目中的品目进行不完全磋商，任何不完全的响应将会被拒绝。</w:t>
      </w:r>
    </w:p>
    <w:p w14:paraId="662E97E6">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13</w:t>
      </w:r>
      <w:r>
        <w:rPr>
          <w:rFonts w:hint="eastAsia" w:ascii="宋体" w:hAnsi="宋体" w:eastAsia="宋体" w:cs="宋体"/>
          <w:b/>
          <w:color w:val="auto"/>
          <w:sz w:val="21"/>
          <w:szCs w:val="21"/>
          <w:highlight w:val="none"/>
        </w:rPr>
        <w:t>、竞争性磋商响应文件格式</w:t>
      </w:r>
    </w:p>
    <w:p w14:paraId="3C60DD5E">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供应商应按照竞争性磋商文件中第</w:t>
      </w:r>
      <w:r>
        <w:rPr>
          <w:rFonts w:hint="eastAsia" w:ascii="宋体" w:hAnsi="宋体" w:eastAsia="宋体" w:cs="宋体"/>
          <w:b w:val="0"/>
          <w:bCs/>
          <w:color w:val="auto"/>
          <w:sz w:val="21"/>
          <w:szCs w:val="21"/>
          <w:highlight w:val="none"/>
          <w:lang w:val="en-US" w:eastAsia="zh-CN"/>
        </w:rPr>
        <w:t>八</w:t>
      </w:r>
      <w:r>
        <w:rPr>
          <w:rFonts w:hint="eastAsia" w:ascii="宋体" w:hAnsi="宋体" w:eastAsia="宋体" w:cs="宋体"/>
          <w:b w:val="0"/>
          <w:bCs/>
          <w:color w:val="auto"/>
          <w:sz w:val="21"/>
          <w:szCs w:val="21"/>
          <w:highlight w:val="none"/>
        </w:rPr>
        <w:t>章“响应文件格式”所提供的格式和要求制作竞争性磋商响应文件，明确表达磋商意愿，详细说明磋商方案、承诺及价格。</w:t>
      </w:r>
    </w:p>
    <w:p w14:paraId="26BB0BE7">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按竞争性磋商文件第</w:t>
      </w:r>
      <w:r>
        <w:rPr>
          <w:rFonts w:hint="eastAsia" w:ascii="宋体" w:hAnsi="宋体" w:eastAsia="宋体" w:cs="宋体"/>
          <w:b w:val="0"/>
          <w:bCs/>
          <w:color w:val="auto"/>
          <w:sz w:val="21"/>
          <w:szCs w:val="21"/>
          <w:highlight w:val="none"/>
          <w:lang w:val="en-US" w:eastAsia="zh-CN"/>
        </w:rPr>
        <w:t>五章</w:t>
      </w:r>
      <w:r>
        <w:rPr>
          <w:rFonts w:hint="eastAsia" w:ascii="宋体" w:hAnsi="宋体" w:eastAsia="宋体" w:cs="宋体"/>
          <w:color w:val="auto"/>
          <w:sz w:val="21"/>
          <w:szCs w:val="21"/>
          <w:highlight w:val="none"/>
          <w:lang w:val="en-US" w:eastAsia="zh-CN"/>
        </w:rPr>
        <w:t>施工内容及技术要求</w:t>
      </w:r>
      <w:r>
        <w:rPr>
          <w:rFonts w:hint="eastAsia" w:ascii="宋体" w:hAnsi="宋体" w:eastAsia="宋体" w:cs="宋体"/>
          <w:b w:val="0"/>
          <w:bCs/>
          <w:color w:val="auto"/>
          <w:sz w:val="21"/>
          <w:szCs w:val="21"/>
          <w:highlight w:val="none"/>
        </w:rPr>
        <w:t>及要求和第</w:t>
      </w:r>
      <w:r>
        <w:rPr>
          <w:rFonts w:hint="eastAsia" w:ascii="宋体" w:hAnsi="宋体" w:eastAsia="宋体" w:cs="宋体"/>
          <w:b w:val="0"/>
          <w:bCs/>
          <w:color w:val="auto"/>
          <w:sz w:val="21"/>
          <w:szCs w:val="21"/>
          <w:highlight w:val="none"/>
          <w:lang w:val="en-US" w:eastAsia="zh-CN"/>
        </w:rPr>
        <w:t>八</w:t>
      </w:r>
      <w:r>
        <w:rPr>
          <w:rFonts w:hint="eastAsia" w:ascii="宋体" w:hAnsi="宋体" w:eastAsia="宋体" w:cs="宋体"/>
          <w:b w:val="0"/>
          <w:bCs/>
          <w:color w:val="auto"/>
          <w:sz w:val="21"/>
          <w:szCs w:val="21"/>
          <w:highlight w:val="none"/>
        </w:rPr>
        <w:t>章提供的格式和要求编写其竞争性磋商响应文件，供应商不得缺少或留空任何竞争性磋商文件要求填写的表格或提交的资料。</w:t>
      </w:r>
    </w:p>
    <w:p w14:paraId="5AD310F7">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22" w:firstLineChars="200"/>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en-US" w:eastAsia="zh-CN"/>
        </w:rPr>
        <w:t>14、</w:t>
      </w:r>
      <w:r>
        <w:rPr>
          <w:rFonts w:hint="eastAsia" w:ascii="宋体" w:hAnsi="宋体" w:eastAsia="宋体" w:cs="宋体"/>
          <w:b/>
          <w:color w:val="auto"/>
          <w:sz w:val="21"/>
          <w:szCs w:val="21"/>
          <w:highlight w:val="none"/>
          <w:lang w:val="zh-CN"/>
        </w:rPr>
        <w:t>磋商报价：</w:t>
      </w:r>
    </w:p>
    <w:p w14:paraId="53F5645D">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14.1、</w:t>
      </w:r>
      <w:r>
        <w:rPr>
          <w:rFonts w:hint="eastAsia" w:ascii="宋体" w:hAnsi="宋体" w:eastAsia="宋体" w:cs="宋体"/>
          <w:b w:val="0"/>
          <w:bCs/>
          <w:color w:val="auto"/>
          <w:sz w:val="21"/>
          <w:szCs w:val="21"/>
          <w:highlight w:val="none"/>
        </w:rPr>
        <w:t>供应商要按报价表内容填写</w:t>
      </w:r>
      <w:r>
        <w:rPr>
          <w:rFonts w:hint="eastAsia" w:ascii="宋体" w:hAnsi="宋体" w:eastAsia="宋体" w:cs="宋体"/>
          <w:b w:val="0"/>
          <w:bCs/>
          <w:color w:val="auto"/>
          <w:sz w:val="21"/>
          <w:szCs w:val="21"/>
          <w:highlight w:val="none"/>
          <w:lang w:val="en-US" w:eastAsia="zh-CN"/>
        </w:rPr>
        <w:t>工期</w:t>
      </w:r>
      <w:r>
        <w:rPr>
          <w:rFonts w:hint="eastAsia" w:ascii="宋体" w:hAnsi="宋体" w:eastAsia="宋体" w:cs="宋体"/>
          <w:b w:val="0"/>
          <w:bCs/>
          <w:color w:val="auto"/>
          <w:sz w:val="21"/>
          <w:szCs w:val="21"/>
          <w:highlight w:val="none"/>
        </w:rPr>
        <w:t>、总价等内容。</w:t>
      </w:r>
    </w:p>
    <w:p w14:paraId="7933D358">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14.2、供应商磋商报价汇总表中的价格均包括完成该工程的分部分项工程费、措施费、其他项目费用、利润、成本、规费、税金和供应商必须的其他费用以及合同中明示或暗示的所有风险、责任和义务等全部费用。</w:t>
      </w:r>
    </w:p>
    <w:p w14:paraId="5FB7CFF6">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20" w:firstLineChars="200"/>
        <w:textAlignment w:val="auto"/>
        <w:rPr>
          <w:rFonts w:hint="eastAsia" w:ascii="宋体" w:hAnsi="宋体" w:eastAsia="宋体" w:cs="宋体"/>
          <w:b w:val="0"/>
          <w:bCs/>
          <w:color w:val="auto"/>
          <w:sz w:val="21"/>
          <w:szCs w:val="21"/>
          <w:highlight w:val="yellow"/>
          <w:lang w:val="en-US" w:eastAsia="zh-CN"/>
        </w:rPr>
      </w:pPr>
      <w:r>
        <w:rPr>
          <w:rFonts w:hint="eastAsia" w:ascii="宋体" w:hAnsi="宋体" w:eastAsia="宋体" w:cs="宋体"/>
          <w:b w:val="0"/>
          <w:bCs/>
          <w:color w:val="auto"/>
          <w:sz w:val="21"/>
          <w:szCs w:val="21"/>
          <w:highlight w:val="none"/>
          <w:lang w:val="en-US" w:eastAsia="zh-CN"/>
        </w:rPr>
        <w:t>14.3、本项目为固定总价，一次包死。交钥匙工程。</w:t>
      </w:r>
    </w:p>
    <w:p w14:paraId="54E0624E">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14.4、供应商可自行到工地踏勘，以充分了解施工现场地理位置、环境情况、道路、存储空间、装卸限制以及任何其他足以影响磋商报价的情况，任何因忽视或误解工地情况而导致的索赔或工期延长申请将不被批准。凡因供应商对磋商文件阅读疏忽或误解，或因对施工现场、施工环境、市场行情等了解不清而造成的后果和风险，由供应商负责。在施工期间，要协调施工现场周边社会关系，不得以协调不力而影响工程进度，所发生的一切费用应在报价时加以考虑。</w:t>
      </w:r>
    </w:p>
    <w:p w14:paraId="1C620510">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b w:val="0"/>
          <w:bCs/>
          <w:color w:val="auto"/>
          <w:sz w:val="21"/>
          <w:szCs w:val="21"/>
          <w:highlight w:val="none"/>
          <w:lang w:val="en-US" w:eastAsia="zh-CN"/>
        </w:rPr>
        <w:t>14.5、</w:t>
      </w:r>
      <w:r>
        <w:rPr>
          <w:rFonts w:hint="eastAsia" w:ascii="宋体" w:hAnsi="宋体" w:eastAsia="宋体" w:cs="宋体"/>
          <w:b w:val="0"/>
          <w:bCs/>
          <w:color w:val="auto"/>
          <w:sz w:val="21"/>
          <w:szCs w:val="21"/>
          <w:highlight w:val="none"/>
          <w:lang w:val="zh-CN"/>
        </w:rPr>
        <w:t>磋商报价不因市场因素、政府政策调整、费率调整和税收变化等而作任何调整，磋商单位应充分考虑到各种风险因素。</w:t>
      </w:r>
    </w:p>
    <w:p w14:paraId="700452D2">
      <w:pPr>
        <w:keepNext w:val="0"/>
        <w:keepLines w:val="0"/>
        <w:pageBreakBefore w:val="0"/>
        <w:widowControl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14.6</w:t>
      </w:r>
      <w:r>
        <w:rPr>
          <w:rFonts w:hint="eastAsia" w:ascii="宋体" w:hAnsi="宋体" w:eastAsia="宋体" w:cs="宋体"/>
          <w:color w:val="auto"/>
          <w:sz w:val="21"/>
          <w:szCs w:val="21"/>
          <w:highlight w:val="none"/>
          <w:lang w:val="zh-CN" w:eastAsia="zh-CN"/>
        </w:rPr>
        <w:t>、凡因供应商对采购文件阅读不深、</w:t>
      </w:r>
      <w:r>
        <w:rPr>
          <w:rFonts w:hint="eastAsia" w:ascii="宋体" w:hAnsi="宋体" w:eastAsia="宋体" w:cs="宋体"/>
          <w:color w:val="auto"/>
          <w:sz w:val="21"/>
          <w:szCs w:val="21"/>
          <w:highlight w:val="none"/>
          <w:lang w:val="en-US" w:eastAsia="zh-CN"/>
        </w:rPr>
        <w:t>理解不透、</w:t>
      </w:r>
      <w:r>
        <w:rPr>
          <w:rFonts w:hint="eastAsia" w:ascii="宋体" w:hAnsi="宋体" w:eastAsia="宋体" w:cs="宋体"/>
          <w:color w:val="auto"/>
          <w:sz w:val="21"/>
          <w:szCs w:val="21"/>
          <w:highlight w:val="none"/>
          <w:lang w:val="zh-CN" w:eastAsia="zh-CN"/>
        </w:rPr>
        <w:t>误解、疏漏、</w:t>
      </w:r>
      <w:r>
        <w:rPr>
          <w:rFonts w:hint="eastAsia" w:ascii="宋体" w:hAnsi="宋体" w:eastAsia="宋体" w:cs="宋体"/>
          <w:color w:val="auto"/>
          <w:sz w:val="21"/>
          <w:szCs w:val="21"/>
          <w:highlight w:val="none"/>
          <w:lang w:val="en-US" w:eastAsia="zh-CN"/>
        </w:rPr>
        <w:t>或因市场行情了解不清造成的后果和风险均由供应商自负。</w:t>
      </w:r>
    </w:p>
    <w:p w14:paraId="04615F18">
      <w:pPr>
        <w:keepNext w:val="0"/>
        <w:keepLines w:val="0"/>
        <w:pageBreakBefore w:val="0"/>
        <w:widowControl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14.7</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磋商报价货币：人民币，单位:元。</w:t>
      </w:r>
    </w:p>
    <w:p w14:paraId="75691748">
      <w:pPr>
        <w:keepNext w:val="0"/>
        <w:keepLines w:val="0"/>
        <w:pageBreakBefore w:val="0"/>
        <w:widowControl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bCs/>
          <w:color w:val="auto"/>
          <w:sz w:val="21"/>
          <w:szCs w:val="21"/>
          <w:highlight w:val="none"/>
          <w:lang w:val="zh-CN" w:eastAsia="zh-CN"/>
        </w:rPr>
      </w:pPr>
      <w:r>
        <w:rPr>
          <w:rFonts w:hint="eastAsia" w:ascii="宋体" w:hAnsi="宋体" w:eastAsia="宋体" w:cs="宋体"/>
          <w:b/>
          <w:bCs/>
          <w:color w:val="auto"/>
          <w:sz w:val="21"/>
          <w:szCs w:val="21"/>
          <w:highlight w:val="none"/>
          <w:lang w:val="en-US" w:eastAsia="zh-CN"/>
        </w:rPr>
        <w:t>14.8</w:t>
      </w:r>
      <w:r>
        <w:rPr>
          <w:rFonts w:hint="eastAsia" w:ascii="宋体" w:hAnsi="宋体" w:eastAsia="宋体" w:cs="宋体"/>
          <w:b/>
          <w:bCs/>
          <w:color w:val="auto"/>
          <w:sz w:val="21"/>
          <w:szCs w:val="21"/>
          <w:highlight w:val="none"/>
          <w:lang w:val="zh-CN" w:eastAsia="zh-CN"/>
        </w:rPr>
        <w:t>、</w:t>
      </w:r>
      <w:r>
        <w:rPr>
          <w:rFonts w:hint="eastAsia" w:ascii="宋体" w:hAnsi="宋体" w:eastAsia="宋体" w:cs="宋体"/>
          <w:b/>
          <w:bCs/>
          <w:color w:val="auto"/>
          <w:sz w:val="21"/>
          <w:szCs w:val="21"/>
          <w:highlight w:val="none"/>
          <w:lang w:val="en-US" w:eastAsia="zh-CN"/>
        </w:rPr>
        <w:t>本次磋商采取二次报价，即：磋商响应文件中的磋商总报价为第一次报价；在磋商供应商初审合格后，第一次报价为有效报价。通过初审的各供应商单位与磋商小组进行背靠背磋商后，在规定时间内，提交第二次报价，第二次报价即为最终报价。</w:t>
      </w:r>
    </w:p>
    <w:p w14:paraId="4B2CE9AE">
      <w:pPr>
        <w:keepNext w:val="0"/>
        <w:keepLines w:val="0"/>
        <w:pageBreakBefore w:val="0"/>
        <w:widowControl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14.9</w:t>
      </w:r>
      <w:r>
        <w:rPr>
          <w:rFonts w:hint="eastAsia" w:ascii="宋体" w:hAnsi="宋体" w:eastAsia="宋体" w:cs="宋体"/>
          <w:color w:val="auto"/>
          <w:sz w:val="21"/>
          <w:szCs w:val="21"/>
          <w:highlight w:val="none"/>
          <w:lang w:val="zh-CN" w:eastAsia="zh-CN"/>
        </w:rPr>
        <w:t>、磋商后所确定的成交价格，在合同执行过程中，不得以任何理由变更。</w:t>
      </w:r>
    </w:p>
    <w:p w14:paraId="7939D07F">
      <w:pPr>
        <w:keepNext w:val="0"/>
        <w:keepLines w:val="0"/>
        <w:pageBreakBefore w:val="0"/>
        <w:widowControl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14.10、</w:t>
      </w:r>
      <w:r>
        <w:rPr>
          <w:rFonts w:hint="eastAsia" w:ascii="宋体" w:hAnsi="宋体" w:eastAsia="宋体" w:cs="宋体"/>
          <w:color w:val="auto"/>
          <w:sz w:val="21"/>
          <w:szCs w:val="21"/>
          <w:highlight w:val="none"/>
          <w:lang w:val="zh-CN" w:eastAsia="zh-CN"/>
        </w:rPr>
        <w:t>供应商不得以低于成本的报价参加磋商。若磋商小组认为某个供应商的报价明显低于其他通过符合性审查的供应商的报价，有可能影响产品质量或者不能诚信履约的，应当要求其在磋商现场合理的时间内提供书面说明，必要时提交相关证明材料；供应商不能证明其报价合理性的，磋商小组应将其作为无效投标处理。</w:t>
      </w:r>
    </w:p>
    <w:p w14:paraId="6F2B2BE0">
      <w:pPr>
        <w:keepNext w:val="0"/>
        <w:keepLines w:val="0"/>
        <w:pageBreakBefore w:val="0"/>
        <w:widowControl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14.11</w:t>
      </w:r>
      <w:r>
        <w:rPr>
          <w:rFonts w:hint="eastAsia" w:ascii="宋体" w:hAnsi="宋体" w:eastAsia="宋体" w:cs="宋体"/>
          <w:color w:val="auto"/>
          <w:sz w:val="21"/>
          <w:szCs w:val="21"/>
          <w:highlight w:val="none"/>
          <w:lang w:val="zh-CN" w:eastAsia="zh-CN"/>
        </w:rPr>
        <w:t>、第一次报价超出采购预算的供应商不进入下一步磋商程序。</w:t>
      </w:r>
    </w:p>
    <w:p w14:paraId="5AC5A7D6">
      <w:pPr>
        <w:keepNext w:val="0"/>
        <w:keepLines w:val="0"/>
        <w:pageBreakBefore w:val="0"/>
        <w:widowControl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14.12</w:t>
      </w:r>
      <w:r>
        <w:rPr>
          <w:rFonts w:hint="eastAsia" w:ascii="宋体" w:hAnsi="宋体" w:eastAsia="宋体" w:cs="宋体"/>
          <w:color w:val="auto"/>
          <w:sz w:val="21"/>
          <w:szCs w:val="21"/>
          <w:highlight w:val="none"/>
          <w:lang w:val="zh-CN" w:eastAsia="zh-CN"/>
        </w:rPr>
        <w:t>、本项目不公开任何一次报价。</w:t>
      </w:r>
    </w:p>
    <w:p w14:paraId="1FF653EF">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22" w:firstLineChars="200"/>
        <w:textAlignment w:val="auto"/>
        <w:rPr>
          <w:rFonts w:hint="eastAsia" w:ascii="宋体" w:hAnsi="宋体" w:eastAsia="宋体" w:cs="宋体"/>
          <w:b/>
          <w:bCs/>
          <w:color w:val="auto"/>
          <w:sz w:val="21"/>
          <w:szCs w:val="21"/>
          <w:highlight w:val="none"/>
          <w:lang w:val="zh-CN" w:eastAsia="zh-CN"/>
        </w:rPr>
      </w:pPr>
      <w:r>
        <w:rPr>
          <w:rFonts w:hint="eastAsia" w:ascii="宋体" w:hAnsi="宋体" w:eastAsia="宋体" w:cs="宋体"/>
          <w:b/>
          <w:bCs/>
          <w:color w:val="auto"/>
          <w:sz w:val="21"/>
          <w:szCs w:val="21"/>
          <w:highlight w:val="none"/>
          <w:lang w:val="zh-CN" w:eastAsia="zh-CN"/>
        </w:rPr>
        <w:t>1</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zh-CN" w:eastAsia="zh-CN"/>
        </w:rPr>
        <w:t>、证明供应商合格的资格证明文件</w:t>
      </w:r>
    </w:p>
    <w:p w14:paraId="376CCD81">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供应商应按照竞争性磋商须知的要求，在竞争性磋商响应文件中提交合格的资格证明文件。如果资格证明文件不全或不合格的，其磋商响应文件将被作无效文件处理。</w:t>
      </w:r>
    </w:p>
    <w:p w14:paraId="43FCA50D">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b/>
          <w:bCs/>
          <w:color w:val="auto"/>
          <w:sz w:val="21"/>
          <w:szCs w:val="21"/>
          <w:highlight w:val="none"/>
          <w:lang w:val="zh-CN" w:eastAsia="zh-CN"/>
        </w:rPr>
      </w:pPr>
      <w:r>
        <w:rPr>
          <w:rFonts w:hint="eastAsia" w:ascii="宋体" w:hAnsi="宋体" w:eastAsia="宋体" w:cs="宋体"/>
          <w:b/>
          <w:bCs/>
          <w:color w:val="auto"/>
          <w:sz w:val="21"/>
          <w:szCs w:val="21"/>
          <w:highlight w:val="none"/>
          <w:lang w:val="zh-CN" w:eastAsia="zh-CN"/>
        </w:rPr>
        <w:t>1</w:t>
      </w: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zh-CN" w:eastAsia="zh-CN"/>
        </w:rPr>
        <w:t>保证金</w:t>
      </w:r>
    </w:p>
    <w:p w14:paraId="2A64CB29">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.1、磋商保证金：本项目</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lang w:val="zh-CN" w:eastAsia="zh-CN"/>
        </w:rPr>
        <w:t>磋商保证金。</w:t>
      </w:r>
    </w:p>
    <w:p w14:paraId="2568FF99">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.2、履约保证金：本项目</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lang w:val="zh-CN" w:eastAsia="zh-CN"/>
        </w:rPr>
        <w:t>履约保证金</w:t>
      </w:r>
      <w:r>
        <w:rPr>
          <w:rFonts w:hint="eastAsia" w:ascii="宋体" w:hAnsi="宋体" w:cs="宋体"/>
          <w:color w:val="auto"/>
          <w:sz w:val="21"/>
          <w:szCs w:val="21"/>
          <w:highlight w:val="none"/>
          <w:lang w:val="zh-CN" w:eastAsia="zh-CN"/>
        </w:rPr>
        <w:t>。</w:t>
      </w:r>
    </w:p>
    <w:p w14:paraId="7A87F341">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17</w:t>
      </w:r>
      <w:r>
        <w:rPr>
          <w:rFonts w:hint="eastAsia" w:ascii="宋体" w:hAnsi="宋体" w:eastAsia="宋体" w:cs="宋体"/>
          <w:b/>
          <w:color w:val="auto"/>
          <w:sz w:val="21"/>
          <w:szCs w:val="21"/>
          <w:highlight w:val="none"/>
          <w:lang w:val="zh-CN"/>
        </w:rPr>
        <w:t>、</w:t>
      </w:r>
      <w:r>
        <w:rPr>
          <w:rFonts w:hint="eastAsia" w:ascii="宋体" w:hAnsi="宋体" w:eastAsia="宋体" w:cs="宋体"/>
          <w:b/>
          <w:color w:val="auto"/>
          <w:sz w:val="21"/>
          <w:szCs w:val="21"/>
          <w:highlight w:val="none"/>
        </w:rPr>
        <w:t>磋商有效期</w:t>
      </w:r>
    </w:p>
    <w:p w14:paraId="26A933A3">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17.1、</w:t>
      </w:r>
      <w:r>
        <w:rPr>
          <w:rFonts w:hint="eastAsia" w:ascii="宋体" w:hAnsi="宋体" w:eastAsia="宋体" w:cs="宋体"/>
          <w:color w:val="auto"/>
          <w:sz w:val="21"/>
          <w:szCs w:val="21"/>
          <w:highlight w:val="none"/>
          <w:lang w:val="zh-CN"/>
        </w:rPr>
        <w:t>磋商有效期见</w:t>
      </w:r>
      <w:r>
        <w:rPr>
          <w:rFonts w:hint="eastAsia" w:ascii="宋体" w:hAnsi="宋体" w:eastAsia="宋体" w:cs="宋体"/>
          <w:color w:val="auto"/>
          <w:sz w:val="21"/>
          <w:szCs w:val="21"/>
          <w:highlight w:val="none"/>
          <w:lang w:val="en-US" w:eastAsia="zh-CN"/>
        </w:rPr>
        <w:t>竞争性磋商须知</w:t>
      </w:r>
      <w:r>
        <w:rPr>
          <w:rFonts w:hint="eastAsia" w:ascii="宋体" w:hAnsi="宋体" w:eastAsia="宋体" w:cs="宋体"/>
          <w:color w:val="auto"/>
          <w:sz w:val="21"/>
          <w:szCs w:val="21"/>
          <w:highlight w:val="none"/>
          <w:lang w:val="zh-CN"/>
        </w:rPr>
        <w:t>。磋商有效期短于此规定期限的磋商，将按无效磋商处理。</w:t>
      </w:r>
    </w:p>
    <w:p w14:paraId="4371CD32">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color w:val="auto"/>
          <w:sz w:val="21"/>
          <w:szCs w:val="21"/>
          <w:highlight w:val="none"/>
          <w:lang w:val="zh-CN"/>
        </w:rPr>
      </w:pPr>
      <w:r>
        <w:rPr>
          <w:rFonts w:hint="eastAsia" w:ascii="宋体" w:hAnsi="宋体" w:eastAsia="宋体" w:cs="宋体"/>
          <w:color w:val="auto"/>
          <w:sz w:val="21"/>
          <w:szCs w:val="21"/>
          <w:highlight w:val="none"/>
          <w:lang w:val="en-US" w:eastAsia="zh-CN"/>
        </w:rPr>
        <w:t>17.2、在特殊情况下，在原磋商有效期期满之前，采购代理机构可向供应商提出延长磋商有效期的要求。供应商可以拒绝采购代理机构的这种要求。同意延长的供应商既不能要求也不允许修改其竞争性磋商响应文件。</w:t>
      </w:r>
    </w:p>
    <w:p w14:paraId="49925C15">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
          <w:color w:val="auto"/>
          <w:sz w:val="21"/>
          <w:szCs w:val="21"/>
          <w:highlight w:val="none"/>
          <w:lang w:val="en-US" w:eastAsia="zh-CN"/>
        </w:rPr>
        <w:t>17.3、</w:t>
      </w:r>
      <w:r>
        <w:rPr>
          <w:rFonts w:hint="eastAsia" w:ascii="宋体" w:hAnsi="宋体" w:eastAsia="宋体" w:cs="宋体"/>
          <w:b/>
          <w:color w:val="auto"/>
          <w:sz w:val="21"/>
          <w:szCs w:val="21"/>
          <w:highlight w:val="none"/>
          <w:lang w:val="zh-CN"/>
        </w:rPr>
        <w:t>磋商响应文件有效期为自磋商截止日起90日历天，成交供应商的磋商响应文件有效期自动延长至合同执行完毕。</w:t>
      </w:r>
    </w:p>
    <w:p w14:paraId="796A7A30">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18</w:t>
      </w:r>
      <w:r>
        <w:rPr>
          <w:rFonts w:hint="eastAsia" w:ascii="宋体" w:hAnsi="宋体" w:eastAsia="宋体" w:cs="宋体"/>
          <w:b/>
          <w:color w:val="auto"/>
          <w:sz w:val="21"/>
          <w:szCs w:val="21"/>
          <w:highlight w:val="none"/>
          <w:lang w:val="zh-CN"/>
        </w:rPr>
        <w:t>、磋商响应文件</w:t>
      </w:r>
    </w:p>
    <w:p w14:paraId="29F69BEB">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18.1</w:t>
      </w:r>
      <w:r>
        <w:rPr>
          <w:rFonts w:hint="eastAsia" w:ascii="宋体" w:hAnsi="宋体" w:eastAsia="宋体" w:cs="宋体"/>
          <w:b/>
          <w:bCs/>
          <w:color w:val="auto"/>
          <w:sz w:val="21"/>
          <w:szCs w:val="21"/>
          <w:highlight w:val="none"/>
          <w:lang w:val="en-US" w:eastAsia="zh-CN"/>
        </w:rPr>
        <w:t>电子</w:t>
      </w:r>
      <w:r>
        <w:rPr>
          <w:rFonts w:hint="eastAsia" w:ascii="宋体" w:hAnsi="宋体" w:cs="宋体"/>
          <w:b/>
          <w:bCs/>
          <w:color w:val="auto"/>
          <w:sz w:val="21"/>
          <w:szCs w:val="21"/>
          <w:highlight w:val="none"/>
          <w:lang w:val="en-US" w:eastAsia="zh-CN"/>
        </w:rPr>
        <w:t>磋商响应</w:t>
      </w:r>
      <w:r>
        <w:rPr>
          <w:rFonts w:hint="eastAsia" w:ascii="宋体" w:hAnsi="宋体" w:eastAsia="宋体" w:cs="宋体"/>
          <w:b/>
          <w:bCs/>
          <w:color w:val="auto"/>
          <w:sz w:val="21"/>
          <w:szCs w:val="21"/>
          <w:highlight w:val="none"/>
          <w:lang w:val="en-US" w:eastAsia="zh-CN"/>
        </w:rPr>
        <w:t>文件</w:t>
      </w:r>
    </w:p>
    <w:p w14:paraId="26D7A2FE">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编制电子</w:t>
      </w:r>
      <w:r>
        <w:rPr>
          <w:rFonts w:hint="eastAsia" w:ascii="宋体" w:hAnsi="宋体" w:cs="宋体"/>
          <w:b w:val="0"/>
          <w:bCs w:val="0"/>
          <w:color w:val="auto"/>
          <w:sz w:val="21"/>
          <w:szCs w:val="21"/>
          <w:highlight w:val="none"/>
          <w:lang w:val="en-US" w:eastAsia="zh-CN"/>
        </w:rPr>
        <w:t>磋商响应</w:t>
      </w:r>
      <w:r>
        <w:rPr>
          <w:rFonts w:hint="eastAsia" w:ascii="宋体" w:hAnsi="宋体" w:eastAsia="宋体" w:cs="宋体"/>
          <w:color w:val="auto"/>
          <w:sz w:val="21"/>
          <w:szCs w:val="21"/>
          <w:highlight w:val="none"/>
          <w:lang w:val="en-US" w:eastAsia="zh-CN"/>
        </w:rPr>
        <w:t>文件时，应使用最新发布的电子招标文件及专用制作工具进行编制。并使用 CA（数字认证证书）对电子投标文件进行签章、加密、递交及开标时解密等投标相关操作</w:t>
      </w:r>
    </w:p>
    <w:p w14:paraId="2745C17E">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18.1.1 </w:t>
      </w:r>
      <w:r>
        <w:rPr>
          <w:rFonts w:hint="eastAsia" w:ascii="宋体" w:hAnsi="宋体" w:eastAsia="宋体" w:cs="宋体"/>
          <w:color w:val="auto"/>
          <w:sz w:val="21"/>
          <w:szCs w:val="21"/>
          <w:highlight w:val="none"/>
          <w:lang w:val="en-US" w:eastAsia="zh-CN"/>
        </w:rPr>
        <w:t>制作电子磋商响应文件。供应商须在“全国公共资源交易中心平台（陕西省）（</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http：</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"https://www.sxggzyjy.cn/"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www.sxggzyjy.cn/</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）”的“服务指南”栏目“下载专区”中，免费下载“陕西省公共资源交易 平台政府采购电子标书制作工具，并升级至最新版本，使用该客户端制作电子</w:t>
      </w:r>
      <w:r>
        <w:rPr>
          <w:rFonts w:hint="eastAsia" w:ascii="宋体" w:hAnsi="宋体" w:cs="宋体"/>
          <w:color w:val="auto"/>
          <w:sz w:val="21"/>
          <w:szCs w:val="21"/>
          <w:highlight w:val="none"/>
          <w:lang w:val="en-US" w:eastAsia="zh-CN"/>
        </w:rPr>
        <w:t>磋商响应</w:t>
      </w:r>
      <w:r>
        <w:rPr>
          <w:rFonts w:hint="eastAsia" w:ascii="宋体" w:hAnsi="宋体" w:eastAsia="宋体" w:cs="宋体"/>
          <w:color w:val="auto"/>
          <w:sz w:val="21"/>
          <w:szCs w:val="21"/>
          <w:highlight w:val="none"/>
          <w:lang w:val="en-US" w:eastAsia="zh-CN"/>
        </w:rPr>
        <w:t>文件，制作扩展名为“</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SXSTF”的电子投标文件。”</w:t>
      </w:r>
    </w:p>
    <w:p w14:paraId="3CEEB7D8">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18.1.2</w:t>
      </w:r>
      <w:r>
        <w:rPr>
          <w:rFonts w:hint="eastAsia" w:ascii="宋体" w:hAnsi="宋体" w:eastAsia="宋体" w:cs="宋体"/>
          <w:color w:val="auto"/>
          <w:sz w:val="21"/>
          <w:szCs w:val="21"/>
          <w:highlight w:val="none"/>
          <w:lang w:val="en-US" w:eastAsia="zh-CN"/>
        </w:rPr>
        <w:t>供应商应随时留意可能发布的变更公告，公告中如注明本项目有变更文件，则应从“项目流程·〉答疑文件下载”下载更新后的电子</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en-US" w:eastAsia="zh-CN"/>
        </w:rPr>
        <w:t>文件（*.SXSCF），使用旧版电子</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en-US" w:eastAsia="zh-CN"/>
        </w:rPr>
        <w:t>文件制作的电子</w:t>
      </w:r>
      <w:r>
        <w:rPr>
          <w:rFonts w:hint="eastAsia" w:ascii="宋体" w:hAnsi="宋体" w:cs="宋体"/>
          <w:color w:val="auto"/>
          <w:sz w:val="21"/>
          <w:szCs w:val="21"/>
          <w:highlight w:val="none"/>
          <w:lang w:val="en-US" w:eastAsia="zh-CN"/>
        </w:rPr>
        <w:t>磋商响应</w:t>
      </w:r>
      <w:r>
        <w:rPr>
          <w:rFonts w:hint="eastAsia" w:ascii="宋体" w:hAnsi="宋体" w:eastAsia="宋体" w:cs="宋体"/>
          <w:color w:val="auto"/>
          <w:sz w:val="21"/>
          <w:szCs w:val="21"/>
          <w:highlight w:val="none"/>
          <w:lang w:val="en-US" w:eastAsia="zh-CN"/>
        </w:rPr>
        <w:t>文件（*.SXSTF），系统将拒绝接收。</w:t>
      </w:r>
    </w:p>
    <w:p w14:paraId="7B7CC34B">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18.1.3 </w:t>
      </w:r>
      <w:r>
        <w:rPr>
          <w:rFonts w:hint="eastAsia" w:ascii="宋体" w:hAnsi="宋体" w:eastAsia="宋体" w:cs="宋体"/>
          <w:color w:val="auto"/>
          <w:sz w:val="21"/>
          <w:szCs w:val="21"/>
          <w:highlight w:val="none"/>
          <w:lang w:val="en-US" w:eastAsia="zh-CN"/>
        </w:rPr>
        <w:t>电子</w:t>
      </w:r>
      <w:r>
        <w:rPr>
          <w:rFonts w:hint="eastAsia" w:ascii="宋体" w:hAnsi="宋体" w:cs="宋体"/>
          <w:color w:val="auto"/>
          <w:sz w:val="21"/>
          <w:szCs w:val="21"/>
          <w:highlight w:val="none"/>
          <w:lang w:val="en-US" w:eastAsia="zh-CN"/>
        </w:rPr>
        <w:t>磋商响应</w:t>
      </w:r>
      <w:r>
        <w:rPr>
          <w:rFonts w:hint="eastAsia" w:ascii="宋体" w:hAnsi="宋体" w:eastAsia="宋体" w:cs="宋体"/>
          <w:color w:val="auto"/>
          <w:sz w:val="21"/>
          <w:szCs w:val="21"/>
          <w:highlight w:val="none"/>
          <w:lang w:val="en-US" w:eastAsia="zh-CN"/>
        </w:rPr>
        <w:t>文件中需要法定代表人签字或盖章的地方，请使用“法人 CA”进行签章；需要加盖供应商公章的地方，请使用“企业 CA”进行盖章。加密和解密应当使用同一CA</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否则将会导致解密失败。如因供应商自身原因（加密和解密使用的CA 锁不一致、沿用旧版</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en-US" w:eastAsia="zh-CN"/>
        </w:rPr>
        <w:t>文件编制</w:t>
      </w:r>
      <w:r>
        <w:rPr>
          <w:rFonts w:hint="eastAsia" w:ascii="宋体" w:hAnsi="宋体" w:cs="宋体"/>
          <w:color w:val="auto"/>
          <w:sz w:val="21"/>
          <w:szCs w:val="21"/>
          <w:highlight w:val="none"/>
          <w:lang w:val="en-US" w:eastAsia="zh-CN"/>
        </w:rPr>
        <w:t>磋商响应</w:t>
      </w:r>
      <w:r>
        <w:rPr>
          <w:rFonts w:hint="eastAsia" w:ascii="宋体" w:hAnsi="宋体" w:eastAsia="宋体" w:cs="宋体"/>
          <w:color w:val="auto"/>
          <w:sz w:val="21"/>
          <w:szCs w:val="21"/>
          <w:highlight w:val="none"/>
          <w:lang w:val="en-US" w:eastAsia="zh-CN"/>
        </w:rPr>
        <w:t>文件、供应商拒绝解密、逾期提交电子投标文件等） 造成无法解密</w:t>
      </w:r>
      <w:r>
        <w:rPr>
          <w:rFonts w:hint="eastAsia" w:ascii="宋体" w:hAnsi="宋体" w:cs="宋体"/>
          <w:color w:val="auto"/>
          <w:sz w:val="21"/>
          <w:szCs w:val="21"/>
          <w:highlight w:val="none"/>
          <w:lang w:val="en-US" w:eastAsia="zh-CN"/>
        </w:rPr>
        <w:t>磋商响应</w:t>
      </w:r>
      <w:r>
        <w:rPr>
          <w:rFonts w:hint="eastAsia" w:ascii="宋体" w:hAnsi="宋体" w:eastAsia="宋体" w:cs="宋体"/>
          <w:color w:val="auto"/>
          <w:sz w:val="21"/>
          <w:szCs w:val="21"/>
          <w:highlight w:val="none"/>
          <w:lang w:val="en-US" w:eastAsia="zh-CN"/>
        </w:rPr>
        <w:t>文件的；电子</w:t>
      </w:r>
      <w:r>
        <w:rPr>
          <w:rFonts w:hint="eastAsia" w:ascii="宋体" w:hAnsi="宋体" w:cs="宋体"/>
          <w:color w:val="auto"/>
          <w:sz w:val="21"/>
          <w:szCs w:val="21"/>
          <w:highlight w:val="none"/>
          <w:lang w:val="en-US" w:eastAsia="zh-CN"/>
        </w:rPr>
        <w:t>磋商响应</w:t>
      </w:r>
      <w:r>
        <w:rPr>
          <w:rFonts w:hint="eastAsia" w:ascii="宋体" w:hAnsi="宋体" w:eastAsia="宋体" w:cs="宋体"/>
          <w:color w:val="auto"/>
          <w:sz w:val="21"/>
          <w:szCs w:val="21"/>
          <w:highlight w:val="none"/>
          <w:lang w:val="en-US" w:eastAsia="zh-CN"/>
        </w:rPr>
        <w:t>文件无法打开的均按无效投标对待。</w:t>
      </w:r>
    </w:p>
    <w:p w14:paraId="37ABA6AA">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b/>
          <w:color w:val="auto"/>
          <w:kern w:val="1"/>
          <w:sz w:val="21"/>
          <w:szCs w:val="21"/>
          <w:highlight w:val="none"/>
        </w:rPr>
      </w:pPr>
      <w:r>
        <w:rPr>
          <w:rFonts w:hint="eastAsia" w:ascii="宋体" w:hAnsi="宋体" w:cs="宋体"/>
          <w:b/>
          <w:color w:val="auto"/>
          <w:kern w:val="1"/>
          <w:sz w:val="21"/>
          <w:szCs w:val="21"/>
          <w:highlight w:val="none"/>
          <w:lang w:val="en-US" w:eastAsia="zh-CN"/>
        </w:rPr>
        <w:t xml:space="preserve">18.2 </w:t>
      </w:r>
      <w:r>
        <w:rPr>
          <w:rFonts w:hint="eastAsia" w:ascii="宋体" w:hAnsi="宋体" w:eastAsia="宋体" w:cs="宋体"/>
          <w:b/>
          <w:color w:val="auto"/>
          <w:kern w:val="1"/>
          <w:sz w:val="21"/>
          <w:szCs w:val="21"/>
          <w:highlight w:val="none"/>
        </w:rPr>
        <w:t>纸质</w:t>
      </w:r>
      <w:r>
        <w:rPr>
          <w:rFonts w:hint="eastAsia" w:ascii="宋体" w:hAnsi="宋体" w:eastAsia="宋体" w:cs="宋体"/>
          <w:b/>
          <w:color w:val="auto"/>
          <w:kern w:val="1"/>
          <w:sz w:val="21"/>
          <w:szCs w:val="21"/>
          <w:highlight w:val="none"/>
          <w:lang w:val="en-US" w:eastAsia="zh-CN"/>
        </w:rPr>
        <w:t>磋商响应</w:t>
      </w:r>
      <w:r>
        <w:rPr>
          <w:rFonts w:hint="eastAsia" w:ascii="宋体" w:hAnsi="宋体" w:eastAsia="宋体" w:cs="宋体"/>
          <w:b/>
          <w:color w:val="auto"/>
          <w:kern w:val="1"/>
          <w:sz w:val="21"/>
          <w:szCs w:val="21"/>
          <w:highlight w:val="none"/>
        </w:rPr>
        <w:t>文件</w:t>
      </w:r>
    </w:p>
    <w:p w14:paraId="04E8E578">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18.</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lang w:val="zh-CN" w:eastAsia="zh-CN"/>
        </w:rPr>
        <w:t>磋商供应商应</w:t>
      </w:r>
      <w:r>
        <w:rPr>
          <w:rFonts w:hint="eastAsia" w:ascii="宋体" w:hAnsi="宋体" w:eastAsia="宋体" w:cs="宋体"/>
          <w:color w:val="auto"/>
          <w:sz w:val="21"/>
          <w:szCs w:val="21"/>
          <w:highlight w:val="none"/>
          <w:lang w:val="zh-CN"/>
        </w:rPr>
        <w:t>填写全称，同时加盖磋商供应商单位印章。</w:t>
      </w:r>
    </w:p>
    <w:p w14:paraId="4DC581E3">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18.2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磋商响应文件中需签字的地方按竞争性磋商文件要求签字，需盖章的地方按竞争性磋商文件要求盖章。</w:t>
      </w:r>
    </w:p>
    <w:p w14:paraId="597EA5B9">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18.</w:t>
      </w:r>
      <w:r>
        <w:rPr>
          <w:rFonts w:hint="eastAsia" w:ascii="宋体" w:hAnsi="宋体" w:cs="宋体"/>
          <w:color w:val="auto"/>
          <w:sz w:val="21"/>
          <w:szCs w:val="21"/>
          <w:highlight w:val="none"/>
          <w:lang w:val="en-US" w:eastAsia="zh-CN"/>
        </w:rPr>
        <w:t>2.3</w:t>
      </w:r>
      <w:r>
        <w:rPr>
          <w:rFonts w:hint="eastAsia" w:ascii="宋体" w:hAnsi="宋体" w:eastAsia="宋体" w:cs="宋体"/>
          <w:b/>
          <w:color w:val="auto"/>
          <w:kern w:val="1"/>
          <w:sz w:val="21"/>
          <w:szCs w:val="21"/>
          <w:highlight w:val="none"/>
        </w:rPr>
        <w:t>磋商响应文件（正本1份、副本</w:t>
      </w:r>
      <w:r>
        <w:rPr>
          <w:rFonts w:hint="eastAsia" w:ascii="宋体" w:hAnsi="宋体" w:eastAsia="宋体" w:cs="宋体"/>
          <w:b/>
          <w:color w:val="auto"/>
          <w:kern w:val="1"/>
          <w:sz w:val="21"/>
          <w:szCs w:val="21"/>
          <w:highlight w:val="none"/>
          <w:lang w:val="en-US" w:eastAsia="zh-CN"/>
        </w:rPr>
        <w:t>2</w:t>
      </w:r>
      <w:r>
        <w:rPr>
          <w:rFonts w:hint="eastAsia" w:ascii="宋体" w:hAnsi="宋体" w:eastAsia="宋体" w:cs="宋体"/>
          <w:b/>
          <w:color w:val="auto"/>
          <w:kern w:val="1"/>
          <w:sz w:val="21"/>
          <w:szCs w:val="21"/>
          <w:highlight w:val="none"/>
        </w:rPr>
        <w:t>份</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电子文件U盘</w:t>
      </w:r>
      <w:r>
        <w:rPr>
          <w:rFonts w:hint="eastAsia" w:ascii="宋体" w:hAnsi="宋体" w:cs="宋体"/>
          <w:b/>
          <w:color w:val="auto"/>
          <w:kern w:val="1"/>
          <w:sz w:val="21"/>
          <w:szCs w:val="21"/>
          <w:highlight w:val="none"/>
          <w:lang w:val="en-US" w:eastAsia="zh-CN"/>
        </w:rPr>
        <w:t>2</w:t>
      </w:r>
      <w:r>
        <w:rPr>
          <w:rFonts w:hint="eastAsia" w:ascii="宋体" w:hAnsi="宋体" w:eastAsia="宋体" w:cs="宋体"/>
          <w:b/>
          <w:color w:val="auto"/>
          <w:kern w:val="1"/>
          <w:sz w:val="21"/>
          <w:szCs w:val="21"/>
          <w:highlight w:val="none"/>
          <w:lang w:val="en-US" w:eastAsia="zh-CN"/>
        </w:rPr>
        <w:t>份</w:t>
      </w:r>
      <w:r>
        <w:rPr>
          <w:rFonts w:hint="eastAsia" w:ascii="宋体" w:hAnsi="宋体" w:eastAsia="宋体" w:cs="宋体"/>
          <w:b/>
          <w:color w:val="auto"/>
          <w:kern w:val="1"/>
          <w:sz w:val="21"/>
          <w:szCs w:val="21"/>
          <w:highlight w:val="none"/>
        </w:rPr>
        <w:t>）</w:t>
      </w:r>
      <w:r>
        <w:rPr>
          <w:rFonts w:hint="eastAsia" w:ascii="宋体" w:hAnsi="宋体" w:eastAsia="宋体" w:cs="宋体"/>
          <w:color w:val="auto"/>
          <w:kern w:val="1"/>
          <w:sz w:val="21"/>
          <w:szCs w:val="21"/>
          <w:highlight w:val="none"/>
        </w:rPr>
        <w:t>，正、副本须用A4幅面纸张打印或用不褪色的蓝（黑）墨水填写，并清楚标明“正本”“副本”字样，并各自装订成册。</w:t>
      </w:r>
    </w:p>
    <w:p w14:paraId="56B5EA54">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18.</w:t>
      </w:r>
      <w:r>
        <w:rPr>
          <w:rFonts w:hint="eastAsia" w:ascii="宋体" w:hAnsi="宋体" w:cs="宋体"/>
          <w:b/>
          <w:bCs/>
          <w:color w:val="auto"/>
          <w:sz w:val="21"/>
          <w:szCs w:val="21"/>
          <w:highlight w:val="none"/>
          <w:lang w:val="en-US" w:eastAsia="zh-CN"/>
        </w:rPr>
        <w:t>2.4</w:t>
      </w:r>
      <w:r>
        <w:rPr>
          <w:rFonts w:hint="eastAsia" w:ascii="宋体" w:hAnsi="宋体" w:eastAsia="宋体" w:cs="宋体"/>
          <w:b/>
          <w:bCs/>
          <w:color w:val="auto"/>
          <w:sz w:val="21"/>
          <w:szCs w:val="21"/>
          <w:highlight w:val="none"/>
          <w:lang w:val="zh-CN"/>
        </w:rPr>
        <w:t>电子文件</w:t>
      </w:r>
      <w:r>
        <w:rPr>
          <w:rFonts w:hint="eastAsia" w:ascii="宋体" w:hAnsi="宋体" w:eastAsia="宋体" w:cs="宋体"/>
          <w:b/>
          <w:bCs/>
          <w:color w:val="auto"/>
          <w:sz w:val="21"/>
          <w:szCs w:val="21"/>
          <w:highlight w:val="none"/>
          <w:lang w:val="zh-CN" w:eastAsia="zh-CN"/>
        </w:rPr>
        <w:t>包含广联达版</w:t>
      </w:r>
      <w:r>
        <w:rPr>
          <w:rFonts w:hint="eastAsia" w:ascii="宋体" w:hAnsi="宋体" w:eastAsia="宋体" w:cs="宋体"/>
          <w:b/>
          <w:bCs/>
          <w:color w:val="auto"/>
          <w:sz w:val="21"/>
          <w:szCs w:val="21"/>
          <w:highlight w:val="none"/>
          <w:lang w:val="en-US" w:eastAsia="zh-CN"/>
        </w:rPr>
        <w:t>投标报价文件</w:t>
      </w:r>
      <w:r>
        <w:rPr>
          <w:rFonts w:hint="eastAsia" w:ascii="宋体" w:hAnsi="宋体" w:eastAsia="宋体" w:cs="宋体"/>
          <w:b/>
          <w:bCs/>
          <w:color w:val="auto"/>
          <w:sz w:val="21"/>
          <w:szCs w:val="21"/>
          <w:highlight w:val="none"/>
          <w:lang w:val="zh-CN" w:eastAsia="zh-CN"/>
        </w:rPr>
        <w:t>、投标文件电子版；投标文件电子版</w:t>
      </w:r>
      <w:r>
        <w:rPr>
          <w:rFonts w:hint="eastAsia" w:ascii="宋体" w:hAnsi="宋体" w:eastAsia="宋体" w:cs="宋体"/>
          <w:b/>
          <w:bCs/>
          <w:color w:val="auto"/>
          <w:sz w:val="21"/>
          <w:szCs w:val="21"/>
          <w:highlight w:val="none"/>
          <w:lang w:val="zh-CN"/>
        </w:rPr>
        <w:t>制作要求，电子文件与纸质正本竞争性磋商响应文件的内容应保持一致，具有同等法律效力，包含PDF格式和WORD格式，采用PDF格式的，有盖章和签字的文字页、证件等扫描文件一起编辑到PDF格式文件中，尤其是有盖章和签字的页不能遗漏，采用U盘刻录。</w:t>
      </w:r>
    </w:p>
    <w:p w14:paraId="22233498">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18.</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zh-CN"/>
        </w:rPr>
        <w:t>磋商响应文件除各供应商对错处做必要修改外，不得行间插字、涂改和增删，如有修改错漏处，必须由供应商法定代表人（或其委托代理人）签字或盖章。</w:t>
      </w:r>
    </w:p>
    <w:p w14:paraId="603A0FC6">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18.</w:t>
      </w:r>
      <w:r>
        <w:rPr>
          <w:rFonts w:hint="eastAsia" w:ascii="宋体" w:hAnsi="宋体" w:cs="宋体"/>
          <w:color w:val="auto"/>
          <w:sz w:val="21"/>
          <w:szCs w:val="21"/>
          <w:highlight w:val="none"/>
          <w:lang w:val="en-US" w:eastAsia="zh-CN"/>
        </w:rPr>
        <w:t>2.6</w:t>
      </w:r>
      <w:r>
        <w:rPr>
          <w:rFonts w:hint="eastAsia" w:ascii="宋体" w:hAnsi="宋体" w:eastAsia="宋体" w:cs="宋体"/>
          <w:color w:val="auto"/>
          <w:sz w:val="21"/>
          <w:szCs w:val="21"/>
          <w:highlight w:val="none"/>
          <w:lang w:val="zh-CN"/>
        </w:rPr>
        <w:t>因字迹潦草或表达不清所引起的后果由磋商供应商负责。</w:t>
      </w:r>
    </w:p>
    <w:p w14:paraId="63696EB7">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19、踏勘和磋商预备会</w:t>
      </w:r>
    </w:p>
    <w:p w14:paraId="16967939">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19.1、本项目不组织统一踏勘。</w:t>
      </w:r>
    </w:p>
    <w:p w14:paraId="780AAA18">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1"/>
          <w:szCs w:val="21"/>
          <w:highlight w:val="none"/>
          <w:lang w:val="en-US" w:eastAsia="zh-CN"/>
        </w:rPr>
        <w:t>19.2、本项目不召开磋商预备会，磋商供应商如有疑问，请在规定时间内提交至代理机构。</w:t>
      </w:r>
    </w:p>
    <w:p w14:paraId="40A2572D">
      <w:pPr>
        <w:pStyle w:val="2"/>
        <w:keepLines w:val="0"/>
        <w:pageBreakBefore w:val="0"/>
        <w:widowControl w:val="0"/>
        <w:kinsoku/>
        <w:wordWrap/>
        <w:overflowPunct/>
        <w:topLinePunct w:val="0"/>
        <w:bidi w:val="0"/>
        <w:spacing w:line="400" w:lineRule="exact"/>
        <w:textAlignment w:val="auto"/>
        <w:rPr>
          <w:rFonts w:hint="eastAsia" w:ascii="宋体" w:hAnsi="宋体" w:eastAsia="宋体" w:cs="宋体"/>
          <w:b/>
          <w:color w:val="auto"/>
          <w:sz w:val="28"/>
          <w:szCs w:val="28"/>
          <w:highlight w:val="none"/>
          <w:lang w:val="zh-CN" w:eastAsia="zh-CN"/>
        </w:rPr>
      </w:pPr>
      <w:bookmarkStart w:id="12" w:name="_Toc24902"/>
      <w:bookmarkStart w:id="13" w:name="_Toc13486"/>
      <w:bookmarkStart w:id="14" w:name="_Toc392236633"/>
      <w:bookmarkStart w:id="15" w:name="_Toc7524491"/>
      <w:bookmarkStart w:id="16" w:name="_Toc29488"/>
      <w:bookmarkStart w:id="17" w:name="_Toc22633"/>
      <w:bookmarkStart w:id="18" w:name="_Toc386965846"/>
      <w:bookmarkStart w:id="19" w:name="_Toc17826"/>
      <w:bookmarkStart w:id="20" w:name="_Toc14243"/>
      <w:bookmarkStart w:id="21" w:name="_Toc5363"/>
      <w:bookmarkStart w:id="22" w:name="_Toc23618"/>
      <w:bookmarkStart w:id="23" w:name="_Toc10117"/>
      <w:bookmarkStart w:id="24" w:name="_Toc233435938"/>
      <w:r>
        <w:rPr>
          <w:rFonts w:hint="eastAsia" w:ascii="宋体" w:hAnsi="宋体" w:eastAsia="宋体" w:cs="宋体"/>
          <w:b/>
          <w:color w:val="auto"/>
          <w:sz w:val="28"/>
          <w:szCs w:val="28"/>
          <w:highlight w:val="none"/>
          <w:lang w:val="zh-CN" w:eastAsia="zh-CN"/>
        </w:rPr>
        <w:t>D、响应文件的递交</w:t>
      </w:r>
      <w:bookmarkEnd w:id="12"/>
      <w:bookmarkEnd w:id="13"/>
      <w:bookmarkEnd w:id="14"/>
      <w:bookmarkEnd w:id="15"/>
      <w:bookmarkEnd w:id="16"/>
      <w:bookmarkEnd w:id="17"/>
      <w:bookmarkEnd w:id="18"/>
      <w:bookmarkEnd w:id="19"/>
      <w:bookmarkEnd w:id="20"/>
      <w:bookmarkEnd w:id="21"/>
      <w:bookmarkEnd w:id="22"/>
      <w:bookmarkEnd w:id="23"/>
      <w:bookmarkEnd w:id="24"/>
    </w:p>
    <w:p w14:paraId="413F26E5">
      <w:pPr>
        <w:keepLines w:val="0"/>
        <w:pageBreakBefore w:val="0"/>
        <w:widowControl w:val="0"/>
        <w:kinsoku/>
        <w:wordWrap/>
        <w:overflowPunct/>
        <w:topLinePunct w:val="0"/>
        <w:autoSpaceDE w:val="0"/>
        <w:autoSpaceDN w:val="0"/>
        <w:bidi w:val="0"/>
        <w:adjustRightInd w:val="0"/>
        <w:spacing w:line="400" w:lineRule="exact"/>
        <w:ind w:firstLine="422" w:firstLineChars="200"/>
        <w:textAlignment w:val="auto"/>
        <w:rPr>
          <w:rFonts w:hint="eastAsia" w:ascii="宋体" w:hAnsi="宋体" w:eastAsia="宋体" w:cs="宋体"/>
          <w:b w:val="0"/>
          <w:bCs/>
          <w:color w:val="auto"/>
          <w:sz w:val="21"/>
          <w:szCs w:val="21"/>
          <w:highlight w:val="none"/>
          <w:lang w:val="zh-CN"/>
        </w:rPr>
      </w:pPr>
      <w:r>
        <w:rPr>
          <w:rFonts w:hint="eastAsia" w:ascii="宋体" w:hAnsi="宋体" w:eastAsia="宋体" w:cs="宋体"/>
          <w:b/>
          <w:color w:val="auto"/>
          <w:sz w:val="21"/>
          <w:szCs w:val="21"/>
          <w:highlight w:val="none"/>
          <w:lang w:val="en-US" w:eastAsia="zh-CN"/>
        </w:rPr>
        <w:t>20</w:t>
      </w:r>
      <w:r>
        <w:rPr>
          <w:rFonts w:hint="eastAsia" w:ascii="宋体" w:hAnsi="宋体" w:eastAsia="宋体" w:cs="宋体"/>
          <w:b/>
          <w:color w:val="auto"/>
          <w:sz w:val="21"/>
          <w:szCs w:val="21"/>
          <w:highlight w:val="none"/>
          <w:lang w:val="zh-CN"/>
        </w:rPr>
        <w:t>、</w:t>
      </w:r>
      <w:r>
        <w:rPr>
          <w:rFonts w:hint="eastAsia" w:ascii="宋体" w:hAnsi="宋体" w:eastAsia="宋体" w:cs="宋体"/>
          <w:b/>
          <w:bCs w:val="0"/>
          <w:color w:val="auto"/>
          <w:sz w:val="21"/>
          <w:szCs w:val="21"/>
          <w:highlight w:val="none"/>
          <w:lang w:val="zh-CN"/>
        </w:rPr>
        <w:t>磋商响应文件</w:t>
      </w:r>
      <w:r>
        <w:rPr>
          <w:rFonts w:hint="eastAsia" w:ascii="宋体" w:hAnsi="宋体" w:cs="宋体"/>
          <w:b/>
          <w:bCs w:val="0"/>
          <w:color w:val="auto"/>
          <w:sz w:val="21"/>
          <w:szCs w:val="21"/>
          <w:highlight w:val="none"/>
          <w:lang w:val="en-US" w:eastAsia="zh-CN"/>
        </w:rPr>
        <w:t>的</w:t>
      </w:r>
      <w:r>
        <w:rPr>
          <w:rFonts w:hint="eastAsia" w:ascii="宋体" w:hAnsi="宋体" w:eastAsia="宋体" w:cs="宋体"/>
          <w:b/>
          <w:bCs w:val="0"/>
          <w:color w:val="auto"/>
          <w:sz w:val="21"/>
          <w:szCs w:val="21"/>
          <w:highlight w:val="none"/>
          <w:lang w:val="zh-CN"/>
        </w:rPr>
        <w:t>递交</w:t>
      </w:r>
    </w:p>
    <w:p w14:paraId="4EEF66E2">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20.1</w:t>
      </w:r>
      <w:r>
        <w:rPr>
          <w:rFonts w:hint="eastAsia" w:ascii="宋体" w:hAnsi="宋体" w:eastAsia="宋体" w:cs="宋体"/>
          <w:color w:val="auto"/>
          <w:sz w:val="21"/>
          <w:szCs w:val="21"/>
          <w:highlight w:val="none"/>
          <w:lang w:val="en-US" w:eastAsia="zh-CN"/>
        </w:rPr>
        <w:t>递交电子</w:t>
      </w:r>
      <w:r>
        <w:rPr>
          <w:rFonts w:hint="eastAsia" w:ascii="宋体" w:hAnsi="宋体" w:cs="宋体"/>
          <w:color w:val="auto"/>
          <w:sz w:val="21"/>
          <w:szCs w:val="21"/>
          <w:highlight w:val="none"/>
          <w:lang w:val="en-US" w:eastAsia="zh-CN"/>
        </w:rPr>
        <w:t>磋商响应</w:t>
      </w:r>
      <w:r>
        <w:rPr>
          <w:rFonts w:hint="eastAsia" w:ascii="宋体" w:hAnsi="宋体" w:eastAsia="宋体" w:cs="宋体"/>
          <w:color w:val="auto"/>
          <w:sz w:val="21"/>
          <w:szCs w:val="21"/>
          <w:highlight w:val="none"/>
          <w:lang w:val="en-US" w:eastAsia="zh-CN"/>
        </w:rPr>
        <w:t>文件。登录全国公共资源交易中心平台（陕西省） （</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http：</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"https://www.sxggzyjy.cn/"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www.sxggzyjy.cn/</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），选择“电子交易平台—陕西公共资源交易系统—企业端”进行登录，登录后选择“交易中标供应商”身份进入，进入菜单“采购业务—我的项目——项目流程 ——上传响应文件”，上传加密的电子投标文件。上传成功后，电子化平台将予以记录。</w:t>
      </w:r>
    </w:p>
    <w:p w14:paraId="0A1901C8">
      <w:pPr>
        <w:keepLines w:val="0"/>
        <w:pageBreakBefore w:val="0"/>
        <w:widowControl w:val="0"/>
        <w:kinsoku/>
        <w:wordWrap/>
        <w:overflowPunct/>
        <w:topLinePunct w:val="0"/>
        <w:autoSpaceDE w:val="0"/>
        <w:autoSpaceDN w:val="0"/>
        <w:bidi w:val="0"/>
        <w:adjustRightInd w:val="0"/>
        <w:spacing w:line="40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21、磋商截止时间</w:t>
      </w:r>
    </w:p>
    <w:p w14:paraId="0E567A5B">
      <w:pPr>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21.1、所有响应文件都必须按“竞争性磋商公告”中规定的统一递交响应文件时间送达“竞争性磋商公告”中规定的递交地址。</w:t>
      </w:r>
    </w:p>
    <w:p w14:paraId="003933D9">
      <w:pPr>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21.2、出现因磋商文件的修改推迟投标截止日期时，则按修改通知规定的时间递交。</w:t>
      </w:r>
    </w:p>
    <w:p w14:paraId="294AB00A">
      <w:pPr>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21.3、在响应文件递交截止时间之后递交的任何响应文件及资料将被拒绝接收。</w:t>
      </w:r>
    </w:p>
    <w:p w14:paraId="5B05E2E3">
      <w:pPr>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21.4、拒绝接受以电报、电话、传真、电子邮件形式的投标。</w:t>
      </w:r>
    </w:p>
    <w:p w14:paraId="32BF636A">
      <w:pPr>
        <w:keepLines w:val="0"/>
        <w:pageBreakBefore w:val="0"/>
        <w:widowControl w:val="0"/>
        <w:kinsoku/>
        <w:wordWrap/>
        <w:overflowPunct/>
        <w:topLinePunct w:val="0"/>
        <w:autoSpaceDE w:val="0"/>
        <w:autoSpaceDN w:val="0"/>
        <w:bidi w:val="0"/>
        <w:adjustRightInd w:val="0"/>
        <w:spacing w:line="400" w:lineRule="exact"/>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22</w:t>
      </w:r>
      <w:r>
        <w:rPr>
          <w:rFonts w:hint="eastAsia" w:ascii="宋体" w:hAnsi="宋体" w:eastAsia="宋体" w:cs="宋体"/>
          <w:b/>
          <w:bCs/>
          <w:color w:val="auto"/>
          <w:sz w:val="21"/>
          <w:szCs w:val="21"/>
          <w:highlight w:val="none"/>
          <w:lang w:val="zh-CN"/>
        </w:rPr>
        <w:t>、</w:t>
      </w:r>
      <w:r>
        <w:rPr>
          <w:rFonts w:hint="eastAsia" w:ascii="宋体" w:hAnsi="宋体" w:eastAsia="宋体" w:cs="宋体"/>
          <w:b/>
          <w:color w:val="auto"/>
          <w:kern w:val="1"/>
          <w:sz w:val="21"/>
          <w:szCs w:val="21"/>
          <w:highlight w:val="none"/>
        </w:rPr>
        <w:t>磋商响应文件的修改</w:t>
      </w:r>
      <w:r>
        <w:rPr>
          <w:rFonts w:hint="eastAsia" w:ascii="宋体" w:hAnsi="宋体" w:eastAsia="宋体" w:cs="宋体"/>
          <w:b/>
          <w:color w:val="auto"/>
          <w:kern w:val="1"/>
          <w:sz w:val="21"/>
          <w:szCs w:val="21"/>
          <w:highlight w:val="none"/>
          <w:lang w:val="en-US" w:eastAsia="zh-CN"/>
        </w:rPr>
        <w:t>与</w:t>
      </w:r>
      <w:r>
        <w:rPr>
          <w:rFonts w:hint="eastAsia" w:ascii="宋体" w:hAnsi="宋体" w:eastAsia="宋体" w:cs="宋体"/>
          <w:b/>
          <w:color w:val="auto"/>
          <w:kern w:val="1"/>
          <w:sz w:val="21"/>
          <w:szCs w:val="21"/>
          <w:highlight w:val="none"/>
        </w:rPr>
        <w:t>撤回</w:t>
      </w:r>
    </w:p>
    <w:p w14:paraId="7418BE80">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22.1 磋商响应</w:t>
      </w:r>
      <w:r>
        <w:rPr>
          <w:rFonts w:hint="eastAsia" w:ascii="宋体" w:hAnsi="宋体" w:eastAsia="宋体" w:cs="宋体"/>
          <w:color w:val="auto"/>
          <w:sz w:val="21"/>
          <w:szCs w:val="21"/>
          <w:highlight w:val="none"/>
          <w:lang w:val="en-US" w:eastAsia="zh-CN"/>
        </w:rPr>
        <w:t>文件的撤回、补充和修改</w:t>
      </w:r>
    </w:p>
    <w:p w14:paraId="27A9ACFA">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供应商在递交</w:t>
      </w:r>
      <w:r>
        <w:rPr>
          <w:rFonts w:hint="eastAsia" w:ascii="宋体" w:hAnsi="宋体" w:cs="宋体"/>
          <w:color w:val="auto"/>
          <w:sz w:val="21"/>
          <w:szCs w:val="21"/>
          <w:highlight w:val="none"/>
          <w:lang w:val="en-US" w:eastAsia="zh-CN"/>
        </w:rPr>
        <w:t>磋商响应</w:t>
      </w:r>
      <w:r>
        <w:rPr>
          <w:rFonts w:hint="eastAsia" w:ascii="宋体" w:hAnsi="宋体" w:eastAsia="宋体" w:cs="宋体"/>
          <w:color w:val="auto"/>
          <w:sz w:val="21"/>
          <w:szCs w:val="21"/>
          <w:highlight w:val="none"/>
          <w:lang w:val="en-US" w:eastAsia="zh-CN"/>
        </w:rPr>
        <w:t>文件后，且在提交</w:t>
      </w:r>
      <w:r>
        <w:rPr>
          <w:rFonts w:hint="eastAsia" w:ascii="宋体" w:hAnsi="宋体" w:cs="宋体"/>
          <w:color w:val="auto"/>
          <w:sz w:val="21"/>
          <w:szCs w:val="21"/>
          <w:highlight w:val="none"/>
          <w:lang w:val="en-US" w:eastAsia="zh-CN"/>
        </w:rPr>
        <w:t>磋商响应</w:t>
      </w:r>
      <w:r>
        <w:rPr>
          <w:rFonts w:hint="eastAsia" w:ascii="宋体" w:hAnsi="宋体" w:eastAsia="宋体" w:cs="宋体"/>
          <w:color w:val="auto"/>
          <w:sz w:val="21"/>
          <w:szCs w:val="21"/>
          <w:highlight w:val="none"/>
          <w:lang w:val="en-US" w:eastAsia="zh-CN"/>
        </w:rPr>
        <w:t>文件截止时间前，可以对所提交的</w:t>
      </w:r>
      <w:r>
        <w:rPr>
          <w:rFonts w:hint="eastAsia" w:ascii="宋体" w:hAnsi="宋体" w:cs="宋体"/>
          <w:color w:val="auto"/>
          <w:sz w:val="21"/>
          <w:szCs w:val="21"/>
          <w:highlight w:val="none"/>
          <w:lang w:val="en-US" w:eastAsia="zh-CN"/>
        </w:rPr>
        <w:t>磋商响应</w:t>
      </w:r>
      <w:r>
        <w:rPr>
          <w:rFonts w:hint="eastAsia" w:ascii="宋体" w:hAnsi="宋体" w:eastAsia="宋体" w:cs="宋体"/>
          <w:color w:val="auto"/>
          <w:sz w:val="21"/>
          <w:szCs w:val="21"/>
          <w:highlight w:val="none"/>
          <w:lang w:val="en-US" w:eastAsia="zh-CN"/>
        </w:rPr>
        <w:t>文件进行撤回、补充或修改。对电子</w:t>
      </w:r>
      <w:r>
        <w:rPr>
          <w:rFonts w:hint="eastAsia" w:ascii="宋体" w:hAnsi="宋体" w:cs="宋体"/>
          <w:color w:val="auto"/>
          <w:sz w:val="21"/>
          <w:szCs w:val="21"/>
          <w:highlight w:val="none"/>
          <w:lang w:val="en-US" w:eastAsia="zh-CN"/>
        </w:rPr>
        <w:t>磋商响应</w:t>
      </w:r>
      <w:r>
        <w:rPr>
          <w:rFonts w:hint="eastAsia" w:ascii="宋体" w:hAnsi="宋体" w:eastAsia="宋体" w:cs="宋体"/>
          <w:color w:val="auto"/>
          <w:sz w:val="21"/>
          <w:szCs w:val="21"/>
          <w:highlight w:val="none"/>
          <w:lang w:val="en-US" w:eastAsia="zh-CN"/>
        </w:rPr>
        <w:t>文件进行补充、修改的，应先从电子交易平台上撤回旧版，再重新提交新版。</w:t>
      </w:r>
    </w:p>
    <w:p w14:paraId="209473CD">
      <w:pPr>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1"/>
          <w:szCs w:val="21"/>
          <w:highlight w:val="none"/>
          <w:lang w:val="en-US" w:eastAsia="zh-CN"/>
        </w:rPr>
        <w:t>22.</w:t>
      </w:r>
      <w:r>
        <w:rPr>
          <w:rFonts w:hint="eastAsia" w:ascii="宋体" w:hAnsi="宋体" w:cs="宋体"/>
          <w:color w:val="auto"/>
          <w:sz w:val="21"/>
          <w:szCs w:val="21"/>
          <w:highlight w:val="none"/>
          <w:lang w:val="en-US" w:eastAsia="zh-CN"/>
        </w:rPr>
        <w:t xml:space="preserve">2 </w:t>
      </w:r>
      <w:r>
        <w:rPr>
          <w:rFonts w:hint="eastAsia" w:ascii="宋体" w:hAnsi="宋体" w:eastAsia="宋体" w:cs="宋体"/>
          <w:color w:val="auto"/>
          <w:sz w:val="21"/>
          <w:szCs w:val="21"/>
          <w:highlight w:val="none"/>
          <w:lang w:val="zh-CN" w:eastAsia="zh-CN"/>
        </w:rPr>
        <w:t>在磋商截止时间之后，供应商不得对其磋商响应文件做任何修改或撤回。</w:t>
      </w:r>
    </w:p>
    <w:p w14:paraId="635ABA1B">
      <w:pPr>
        <w:pStyle w:val="2"/>
        <w:keepLines w:val="0"/>
        <w:pageBreakBefore w:val="0"/>
        <w:widowControl w:val="0"/>
        <w:kinsoku/>
        <w:wordWrap/>
        <w:overflowPunct/>
        <w:topLinePunct w:val="0"/>
        <w:bidi w:val="0"/>
        <w:spacing w:line="400" w:lineRule="exact"/>
        <w:textAlignment w:val="auto"/>
        <w:rPr>
          <w:rFonts w:hint="eastAsia" w:ascii="宋体" w:hAnsi="宋体" w:eastAsia="宋体" w:cs="宋体"/>
          <w:b/>
          <w:color w:val="auto"/>
          <w:sz w:val="28"/>
          <w:szCs w:val="28"/>
          <w:highlight w:val="none"/>
          <w:lang w:val="zh-CN" w:eastAsia="zh-CN"/>
        </w:rPr>
      </w:pPr>
      <w:bookmarkStart w:id="25" w:name="_Toc14052"/>
      <w:bookmarkStart w:id="26" w:name="_Toc30329"/>
      <w:r>
        <w:rPr>
          <w:rFonts w:hint="eastAsia" w:ascii="宋体" w:hAnsi="宋体" w:eastAsia="宋体" w:cs="宋体"/>
          <w:b/>
          <w:color w:val="auto"/>
          <w:sz w:val="28"/>
          <w:szCs w:val="28"/>
          <w:highlight w:val="none"/>
          <w:lang w:val="zh-CN" w:eastAsia="zh-CN"/>
        </w:rPr>
        <w:t>E、磋商及评审</w:t>
      </w:r>
      <w:bookmarkEnd w:id="25"/>
      <w:bookmarkEnd w:id="26"/>
    </w:p>
    <w:p w14:paraId="5C09F16D">
      <w:pPr>
        <w:keepLines w:val="0"/>
        <w:pageBreakBefore w:val="0"/>
        <w:widowControl w:val="0"/>
        <w:kinsoku/>
        <w:wordWrap/>
        <w:overflowPunct/>
        <w:topLinePunct w:val="0"/>
        <w:autoSpaceDE w:val="0"/>
        <w:autoSpaceDN w:val="0"/>
        <w:bidi w:val="0"/>
        <w:adjustRightInd w:val="0"/>
        <w:spacing w:line="40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23、磋商大会</w:t>
      </w:r>
    </w:p>
    <w:p w14:paraId="46EBC3FF">
      <w:pPr>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23.1、采购代理机构按竞争性磋商文件规定的时间、地点组织磋商。</w:t>
      </w:r>
    </w:p>
    <w:p w14:paraId="24BBF9FA">
      <w:pPr>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23.2、磋商大会由采购代理机构主持，采购人代表、磋商供应商等相关人员参加。</w:t>
      </w:r>
    </w:p>
    <w:p w14:paraId="02D84F96">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24、评审程序</w:t>
      </w:r>
    </w:p>
    <w:p w14:paraId="1AB71EB6">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按照竞争性磋商响应文件初审、澄清有关问题、分别磋商、二次报价、比较与评审、推荐成交候选人名单的工作程序进行评审。在上一步评审中被认定为无效磋商者，不进入下一步的评审。</w:t>
      </w:r>
    </w:p>
    <w:p w14:paraId="54E8377A">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25、评审组织及评审原则</w:t>
      </w:r>
    </w:p>
    <w:p w14:paraId="6C18114C">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25.1、按照《中华人民共和国政府采购法》及实施条例和关于印发《政府采购竞争性磋商采购方式管理暂行办法》的通知（财库【2014】214号），依法组建磋商小组。磋商小组由采购人代表和评审专家组成，成员人数应当为3人以上单数，其中采购人代表须持有授权书。磋商小组按照竞争性磋商文件规定的评审方法独立进行评审工作。</w:t>
      </w:r>
    </w:p>
    <w:p w14:paraId="53A6DE50">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25.2、竞争性磋商文件和竞争性磋商响应文件是评审的依据。在评审中，不得改变竞争性磋商文件中规定的评审标准、方法和成交条件。</w:t>
      </w:r>
    </w:p>
    <w:p w14:paraId="295502D6">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25.3、在评审期间，对竞争性磋商响应文件中含义不明确、同类问题表述不一致或者有明显文字和计算错误的内容，磋商小组可以（由磋商小组专家签字）要求供应商作出必要的澄清、说明或者纠正。供应商的澄清、说明或者补正不得超出竞争性磋商响应文件的范围或者改变竞争性磋商响应文件的实质性内容。</w:t>
      </w:r>
    </w:p>
    <w:p w14:paraId="06AC142C">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25.4、如果供应商在澄清规定期限内，未能答复或拒绝答复磋商小组提出的澄清要求，将由磋商小组根据其竞争性磋商响应文件按最大风险进行评审。</w:t>
      </w:r>
    </w:p>
    <w:p w14:paraId="40378AF7">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25.5、磋商过程中的实质性变动：</w:t>
      </w:r>
    </w:p>
    <w:p w14:paraId="3633FB24">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2F63B2B9">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（2）对竞争性磋商文件做出的实质性变动是磋商文件的有效组成部分，磋商小组应当及时通知所有参加磋商的供应商。</w:t>
      </w:r>
    </w:p>
    <w:p w14:paraId="23D558E8">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25.</w:t>
      </w: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en-US" w:eastAsia="zh-CN"/>
        </w:rPr>
        <w:t>、竞争性磋商响应文件的资格性审查</w:t>
      </w:r>
    </w:p>
    <w:p w14:paraId="4D40E09D">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开标结束后，采购人依据法律法规和磋商文件的规定，对响应文件中的供应商资格证明文件进行审查，以确定供应商是否具备磋商资格。</w:t>
      </w:r>
    </w:p>
    <w:p w14:paraId="09307A5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出现下列情形的，响应文件将被视为无效：</w:t>
      </w:r>
    </w:p>
    <w:p w14:paraId="5134AB5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（1）不具备磋商文件中规定的资格要求的；</w:t>
      </w:r>
    </w:p>
    <w:p w14:paraId="7D1F5C7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（2）未按磋商文件要求提供资格证明文件，或未按磋商文件要求加盖公章的；</w:t>
      </w:r>
    </w:p>
    <w:p w14:paraId="2808FDF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（3）监标人认为供应商的资格证明文件存在疑点，需提供更清晰有效的证明文件，供应商不能在规定时限内提供符合磋商文件要求的证明文件的。</w:t>
      </w:r>
    </w:p>
    <w:p w14:paraId="23D8392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资格审查结束后，监标人应当对审查结果进行签字确认，并告知有关供应商未通过审查的原因。</w:t>
      </w:r>
    </w:p>
    <w:p w14:paraId="21490EB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通过资格审查的供应商不足3家的，不得进行符合性审查，应予以废标。</w:t>
      </w:r>
    </w:p>
    <w:p w14:paraId="5FE3AAA8">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25.</w:t>
      </w: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关于信用记录的查询和使用</w:t>
      </w:r>
    </w:p>
    <w:p w14:paraId="5A6D8D5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供应商不得为列入信用中国(www.creditchina.gov.cn)的重大税收违法案件当事人名单记录或中国执行信息公开网（http://zxgk.court.gov.cn/shixin/）的失信被执行人名单记录或中国政府采购网(www.ccgp.gov.cn)的政府采购严重违法失信行为记录名单</w:t>
      </w:r>
      <w:r>
        <w:rPr>
          <w:rFonts w:hint="eastAsia" w:ascii="宋体" w:hAnsi="宋体" w:eastAsia="宋体" w:cs="宋体"/>
          <w:color w:val="auto"/>
          <w:sz w:val="21"/>
          <w:szCs w:val="21"/>
          <w:highlight w:val="none"/>
          <w:lang w:eastAsia="zh-CN"/>
        </w:rPr>
        <w:t>。</w:t>
      </w:r>
    </w:p>
    <w:p w14:paraId="7ABFE6B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（2）供应商在参加政府采购活动前3年内因违法经营被禁止在一定期限内参加政府采购活动，期限届满的，可以参加政府采购活动的，但供应商应提供相关证明材料。</w:t>
      </w:r>
    </w:p>
    <w:p w14:paraId="6D52535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（3）供应商信用记录及企业基本信息查询的时间段为“磋商公告发布之日（含当日）至提交响应文件截止之日（含当日）”。</w:t>
      </w:r>
    </w:p>
    <w:p w14:paraId="27A34C4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A1CE3B5">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注：若供应商在失信行为记录名单中，则其响应文件无效。采购代理机构将打印查询记录作为证据留存。</w:t>
      </w:r>
    </w:p>
    <w:p w14:paraId="3C76B789">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25.</w:t>
      </w: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val="en-US" w:eastAsia="zh-CN"/>
        </w:rPr>
        <w:t>、竞争性磋商响应文件的符合性审查</w:t>
      </w:r>
    </w:p>
    <w:p w14:paraId="5FAFFAD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磋商小组依据磋商文件的规定，对响应文件的有效性、完整性和对磋商文件的响应程度进行审查，以确定是否对磋商文件的全部实质性要求做出响应。</w:t>
      </w:r>
    </w:p>
    <w:p w14:paraId="41291C1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磋商小组要审查每份响应文件是否实质上响应了磋商文件的要求。实质上没有响应磋商文件要求的响应文件作无效响应处理，磋商小组应告知有关供应商未通过审查的原因。供应商不得通过修正或撤销不符之处而使其成为实质上响应。</w:t>
      </w:r>
    </w:p>
    <w:p w14:paraId="6A046CAC">
      <w:pPr>
        <w:keepNext w:val="0"/>
        <w:keepLines w:val="0"/>
        <w:pageBreakBefore w:val="0"/>
        <w:widowControl w:val="0"/>
        <w:kinsoku/>
        <w:wordWrap/>
        <w:overflowPunct/>
        <w:topLinePunct w:val="0"/>
        <w:autoSpaceDE w:val="0"/>
        <w:autoSpaceDN w:val="0"/>
        <w:bidi w:val="0"/>
        <w:adjustRightInd w:val="0"/>
        <w:snapToGrid w:val="0"/>
        <w:spacing w:line="400" w:lineRule="exact"/>
        <w:ind w:firstLine="422" w:firstLineChars="200"/>
        <w:textAlignment w:val="auto"/>
        <w:rPr>
          <w:rFonts w:hint="eastAsia" w:ascii="宋体" w:hAnsi="宋体" w:eastAsia="宋体" w:cs="宋体"/>
          <w:b/>
          <w:bCs/>
          <w:color w:val="auto"/>
          <w:sz w:val="21"/>
          <w:szCs w:val="21"/>
          <w:highlight w:val="none"/>
          <w:lang w:val="zh-CN" w:eastAsia="zh-CN"/>
        </w:rPr>
      </w:pPr>
      <w:r>
        <w:rPr>
          <w:rFonts w:hint="eastAsia" w:ascii="宋体" w:hAnsi="宋体" w:eastAsia="宋体" w:cs="宋体"/>
          <w:b/>
          <w:bCs/>
          <w:color w:val="auto"/>
          <w:sz w:val="21"/>
          <w:szCs w:val="21"/>
          <w:highlight w:val="none"/>
          <w:lang w:val="en-US" w:eastAsia="zh-CN"/>
        </w:rPr>
        <w:t>25.</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val="zh-CN" w:eastAsia="zh-CN"/>
        </w:rPr>
        <w:t>、</w:t>
      </w:r>
      <w:r>
        <w:rPr>
          <w:rFonts w:hint="eastAsia" w:ascii="宋体" w:hAnsi="宋体" w:eastAsia="宋体" w:cs="宋体"/>
          <w:b/>
          <w:bCs/>
          <w:color w:val="auto"/>
          <w:sz w:val="21"/>
          <w:szCs w:val="21"/>
          <w:highlight w:val="none"/>
          <w:lang w:val="en-US" w:eastAsia="zh-CN"/>
        </w:rPr>
        <w:t>评审中，</w:t>
      </w:r>
      <w:r>
        <w:rPr>
          <w:rFonts w:hint="eastAsia" w:ascii="宋体" w:hAnsi="宋体" w:eastAsia="宋体" w:cs="宋体"/>
          <w:b/>
          <w:bCs/>
          <w:color w:val="auto"/>
          <w:sz w:val="21"/>
          <w:szCs w:val="21"/>
          <w:highlight w:val="none"/>
          <w:lang w:val="zh-CN" w:eastAsia="zh-CN"/>
        </w:rPr>
        <w:t>磋商采购响应文件出现下列情况，修正原则为：</w:t>
      </w:r>
    </w:p>
    <w:p w14:paraId="051E3D21">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（1）磋商响应文件内容与第一次磋商报价表对应内容不一致的，以第一次磋商报价表为准；</w:t>
      </w:r>
    </w:p>
    <w:p w14:paraId="6F42CBEA">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报价的大写金额和小写金额不一致的，以大写金额为准；</w:t>
      </w:r>
    </w:p>
    <w:p w14:paraId="5D8EAE94">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总价金额与按单价汇总金额不一致的，以单价汇总金额为准；</w:t>
      </w:r>
    </w:p>
    <w:p w14:paraId="45BFA834">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eastAsia="zh-CN"/>
        </w:rPr>
        <w:t>单价金额小数点有明显错位的，以总价为准，并修改单价；</w:t>
      </w:r>
    </w:p>
    <w:p w14:paraId="108E3FB6">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磋商响应文件正本与副本不一致的，以正本为准；</w:t>
      </w:r>
    </w:p>
    <w:p w14:paraId="2ECED1E2">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多处内容交叉不符时，以磋商小组评审结果为准；</w:t>
      </w:r>
    </w:p>
    <w:p w14:paraId="64B2BEFF">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eastAsia="zh-CN"/>
        </w:rPr>
        <w:t>文字与图表不符时，以文字为准；</w:t>
      </w:r>
    </w:p>
    <w:p w14:paraId="37ED88C2">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磋商供应商不同意以上修正，则其投标将被拒绝。磋商供应商同意后，按上述规定修正后的报价对磋商供应商起约束作用。</w:t>
      </w:r>
    </w:p>
    <w:p w14:paraId="27BCFAC5">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25.1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在详细评审之前，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49DBCBF4">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凡审查、澄清、评价和比较投标的有关资料及被授标意见等内容，磋商小组成员均不得向磋商供应商及与评标无关的其他人透露。</w:t>
      </w:r>
    </w:p>
    <w:p w14:paraId="36D681F0">
      <w:pPr>
        <w:keepNext w:val="0"/>
        <w:keepLines w:val="0"/>
        <w:pageBreakBefore w:val="0"/>
        <w:widowControl w:val="0"/>
        <w:kinsoku/>
        <w:wordWrap/>
        <w:overflowPunct/>
        <w:topLinePunct w:val="0"/>
        <w:autoSpaceDE w:val="0"/>
        <w:autoSpaceDN w:val="0"/>
        <w:bidi w:val="0"/>
        <w:adjustRightInd w:val="0"/>
        <w:snapToGrid w:val="0"/>
        <w:spacing w:line="400" w:lineRule="exact"/>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26、竞争性磋商</w:t>
      </w:r>
      <w:r>
        <w:rPr>
          <w:rFonts w:hint="eastAsia" w:ascii="宋体" w:hAnsi="宋体" w:eastAsia="宋体" w:cs="宋体"/>
          <w:b/>
          <w:bCs/>
          <w:color w:val="auto"/>
          <w:sz w:val="21"/>
          <w:szCs w:val="21"/>
          <w:highlight w:val="none"/>
          <w:lang w:val="zh-CN"/>
        </w:rPr>
        <w:t>响应文件的详细审查</w:t>
      </w:r>
    </w:p>
    <w:p w14:paraId="45E4FAE5">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26</w:t>
      </w:r>
      <w:r>
        <w:rPr>
          <w:rFonts w:hint="eastAsia" w:ascii="宋体" w:hAnsi="宋体" w:eastAsia="宋体" w:cs="宋体"/>
          <w:color w:val="auto"/>
          <w:sz w:val="21"/>
          <w:szCs w:val="21"/>
          <w:highlight w:val="none"/>
          <w:lang w:val="zh-CN"/>
        </w:rPr>
        <w:t>.1、经磋商确定最终采购需求和提交最后报价的供应商后，磋商小组采用综合评分法对提交最后报价的供应商的响应文件和最后报价进行综合评分。</w:t>
      </w:r>
    </w:p>
    <w:p w14:paraId="4128D126">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26</w:t>
      </w:r>
      <w:r>
        <w:rPr>
          <w:rFonts w:hint="eastAsia" w:ascii="宋体" w:hAnsi="宋体" w:eastAsia="宋体" w:cs="宋体"/>
          <w:color w:val="auto"/>
          <w:sz w:val="21"/>
          <w:szCs w:val="21"/>
          <w:highlight w:val="none"/>
          <w:lang w:val="zh-CN"/>
        </w:rPr>
        <w:t>.2、综合评分法是指响应文件满足磋商文件全部实质性要求且按评审因素的量化指标评审得分最高的供应商为成交候选供应商的评审方法。磋商文件中没有规定的评审标准不得作为评审依据。</w:t>
      </w:r>
    </w:p>
    <w:p w14:paraId="00410A17">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26</w:t>
      </w:r>
      <w:r>
        <w:rPr>
          <w:rFonts w:hint="eastAsia" w:ascii="宋体" w:hAnsi="宋体" w:eastAsia="宋体" w:cs="宋体"/>
          <w:color w:val="auto"/>
          <w:sz w:val="21"/>
          <w:szCs w:val="21"/>
          <w:highlight w:val="none"/>
          <w:lang w:val="zh-CN"/>
        </w:rPr>
        <w:t>.3、磋商小组各成员应独立对每个有效响应文件进行评价、打分，然后汇总每个供应商每项评分因素的得分，并根据综合评分情况，按照评审得分由高到低顺序推荐成交候选供应商，并编写评审报告。评审得分相同的，按照最后报价由低到高的顺序推荐。评审得分且最后报价相同的，按照技术方案得分由高到低顺序推荐。</w:t>
      </w:r>
    </w:p>
    <w:p w14:paraId="3116D1FD">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26</w:t>
      </w:r>
      <w:r>
        <w:rPr>
          <w:rFonts w:hint="eastAsia" w:ascii="宋体" w:hAnsi="宋体" w:eastAsia="宋体" w:cs="宋体"/>
          <w:color w:val="auto"/>
          <w:sz w:val="21"/>
          <w:szCs w:val="21"/>
          <w:highlight w:val="none"/>
          <w:lang w:val="zh-CN"/>
        </w:rPr>
        <w:t>.4、评审报告应当由磋商小组全体人员签字认可。对评审报告有异议的磋商小组成员，应当在报告上签署不同意见并说明理由，由磋商小组记录相关情况。磋商小组成员拒绝在报告上签字又不说明其不同意见和理由的，视为同意评审报告。</w:t>
      </w:r>
    </w:p>
    <w:p w14:paraId="35D4D61F">
      <w:pPr>
        <w:keepNext w:val="0"/>
        <w:keepLines w:val="0"/>
        <w:pageBreakBefore w:val="0"/>
        <w:widowControl w:val="0"/>
        <w:kinsoku/>
        <w:wordWrap/>
        <w:overflowPunct/>
        <w:topLinePunct w:val="0"/>
        <w:autoSpaceDE w:val="0"/>
        <w:autoSpaceDN w:val="0"/>
        <w:bidi w:val="0"/>
        <w:adjustRightInd w:val="0"/>
        <w:snapToGrid w:val="0"/>
        <w:spacing w:line="400" w:lineRule="exact"/>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27、</w:t>
      </w:r>
      <w:r>
        <w:rPr>
          <w:rFonts w:hint="eastAsia" w:ascii="宋体" w:hAnsi="宋体" w:eastAsia="宋体" w:cs="宋体"/>
          <w:b/>
          <w:bCs/>
          <w:color w:val="auto"/>
          <w:sz w:val="21"/>
          <w:szCs w:val="21"/>
          <w:highlight w:val="none"/>
          <w:lang w:val="zh-CN"/>
        </w:rPr>
        <w:t>评审过程的保密</w:t>
      </w:r>
    </w:p>
    <w:p w14:paraId="5D0E57AD">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磋商小组成员和与评审活动有关的工作人员不得泄露有关竞争性磋商响应文件的评审和比较、成交候选人的推荐以及与评审有关的其他情况。</w:t>
      </w:r>
    </w:p>
    <w:p w14:paraId="78AA409C">
      <w:pPr>
        <w:keepNext w:val="0"/>
        <w:keepLines w:val="0"/>
        <w:pageBreakBefore w:val="0"/>
        <w:widowControl w:val="0"/>
        <w:kinsoku/>
        <w:wordWrap/>
        <w:overflowPunct/>
        <w:topLinePunct w:val="0"/>
        <w:autoSpaceDE w:val="0"/>
        <w:autoSpaceDN w:val="0"/>
        <w:bidi w:val="0"/>
        <w:adjustRightInd w:val="0"/>
        <w:snapToGrid w:val="0"/>
        <w:spacing w:line="400" w:lineRule="exact"/>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28、</w:t>
      </w:r>
      <w:r>
        <w:rPr>
          <w:rFonts w:hint="eastAsia" w:ascii="宋体" w:hAnsi="宋体" w:eastAsia="宋体" w:cs="宋体"/>
          <w:b/>
          <w:bCs/>
          <w:color w:val="auto"/>
          <w:sz w:val="21"/>
          <w:szCs w:val="21"/>
          <w:highlight w:val="none"/>
          <w:lang w:val="zh-CN"/>
        </w:rPr>
        <w:t>评审方法</w:t>
      </w:r>
    </w:p>
    <w:p w14:paraId="66AB6D93">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按照《中华人民共和国政府采购法》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w:t>
      </w:r>
      <w:r>
        <w:rPr>
          <w:rFonts w:hint="eastAsia" w:ascii="宋体" w:hAnsi="宋体" w:eastAsia="宋体" w:cs="宋体"/>
          <w:color w:val="auto"/>
          <w:sz w:val="21"/>
          <w:szCs w:val="21"/>
          <w:highlight w:val="none"/>
          <w:lang w:val="en-US" w:eastAsia="zh-CN"/>
        </w:rPr>
        <w:t>推荐前三名</w:t>
      </w:r>
      <w:r>
        <w:rPr>
          <w:rFonts w:hint="eastAsia" w:ascii="宋体" w:hAnsi="宋体" w:eastAsia="宋体" w:cs="宋体"/>
          <w:color w:val="auto"/>
          <w:sz w:val="21"/>
          <w:szCs w:val="21"/>
          <w:highlight w:val="none"/>
          <w:lang w:val="zh-CN"/>
        </w:rPr>
        <w:t>成交候选人。</w:t>
      </w:r>
    </w:p>
    <w:p w14:paraId="3BDB9303">
      <w:pPr>
        <w:keepNext w:val="0"/>
        <w:keepLines w:val="0"/>
        <w:pageBreakBefore w:val="0"/>
        <w:widowControl w:val="0"/>
        <w:kinsoku/>
        <w:wordWrap/>
        <w:overflowPunct/>
        <w:topLinePunct w:val="0"/>
        <w:autoSpaceDE w:val="0"/>
        <w:autoSpaceDN w:val="0"/>
        <w:bidi w:val="0"/>
        <w:adjustRightInd w:val="0"/>
        <w:spacing w:line="400" w:lineRule="exact"/>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29</w:t>
      </w:r>
      <w:r>
        <w:rPr>
          <w:rFonts w:hint="eastAsia" w:ascii="宋体" w:hAnsi="宋体" w:eastAsia="宋体" w:cs="宋体"/>
          <w:b/>
          <w:bCs/>
          <w:color w:val="auto"/>
          <w:sz w:val="21"/>
          <w:szCs w:val="21"/>
          <w:highlight w:val="none"/>
          <w:lang w:val="zh-CN"/>
        </w:rPr>
        <w:t>、磋商小组组成及职责</w:t>
      </w:r>
    </w:p>
    <w:p w14:paraId="3BDAF725">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29.</w:t>
      </w:r>
      <w:r>
        <w:rPr>
          <w:rFonts w:hint="eastAsia" w:ascii="宋体" w:hAnsi="宋体" w:eastAsia="宋体" w:cs="宋体"/>
          <w:color w:val="auto"/>
          <w:sz w:val="21"/>
          <w:szCs w:val="21"/>
          <w:highlight w:val="none"/>
          <w:lang w:val="zh-CN"/>
        </w:rPr>
        <w:t>1、为确保评标工作公开、公平、公正，依法成立磋商小组。磋商小组由采购人</w:t>
      </w:r>
      <w:r>
        <w:rPr>
          <w:rFonts w:hint="eastAsia" w:ascii="宋体" w:hAnsi="宋体" w:eastAsia="宋体" w:cs="宋体"/>
          <w:color w:val="auto"/>
          <w:sz w:val="21"/>
          <w:szCs w:val="21"/>
          <w:highlight w:val="none"/>
          <w:lang w:val="en-US" w:eastAsia="zh-CN"/>
        </w:rPr>
        <w:t>代表</w:t>
      </w:r>
      <w:r>
        <w:rPr>
          <w:rFonts w:hint="eastAsia" w:ascii="宋体" w:hAnsi="宋体" w:eastAsia="宋体" w:cs="宋体"/>
          <w:color w:val="auto"/>
          <w:sz w:val="21"/>
          <w:szCs w:val="21"/>
          <w:highlight w:val="none"/>
          <w:lang w:val="zh-CN"/>
        </w:rPr>
        <w:t>及和评审专家共3人以上单数组成，其中评审专家人数不得不少于磋商小组成员总数的三分之二，评审专家在陕西省</w:t>
      </w:r>
      <w:r>
        <w:rPr>
          <w:rFonts w:hint="eastAsia" w:ascii="宋体" w:hAnsi="宋体" w:eastAsia="宋体" w:cs="宋体"/>
          <w:color w:val="auto"/>
          <w:sz w:val="21"/>
          <w:szCs w:val="21"/>
          <w:highlight w:val="none"/>
          <w:lang w:val="en-US" w:eastAsia="zh-CN"/>
        </w:rPr>
        <w:t>政府采购</w:t>
      </w:r>
      <w:r>
        <w:rPr>
          <w:rFonts w:hint="eastAsia" w:ascii="宋体" w:hAnsi="宋体" w:eastAsia="宋体" w:cs="宋体"/>
          <w:color w:val="auto"/>
          <w:sz w:val="21"/>
          <w:szCs w:val="21"/>
          <w:highlight w:val="none"/>
          <w:lang w:val="zh-CN"/>
        </w:rPr>
        <w:t>专家库中随机抽取产生。</w:t>
      </w:r>
    </w:p>
    <w:p w14:paraId="11B17C88">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29.</w:t>
      </w:r>
      <w:r>
        <w:rPr>
          <w:rFonts w:hint="eastAsia" w:ascii="宋体" w:hAnsi="宋体" w:eastAsia="宋体" w:cs="宋体"/>
          <w:color w:val="auto"/>
          <w:sz w:val="21"/>
          <w:szCs w:val="21"/>
          <w:highlight w:val="none"/>
          <w:lang w:val="zh-CN"/>
        </w:rPr>
        <w:t>2、磋商小组负责具体评审事务，并独立履行下列职责：</w:t>
      </w:r>
    </w:p>
    <w:p w14:paraId="1FE3F00E">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遵纪守法，客观、公正、廉洁地履行职责，审查磋商响应文件是否符合竞争性磋商文件的要求，并做出评价；</w:t>
      </w:r>
    </w:p>
    <w:p w14:paraId="194F626E">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要求供应商对磋商响应文件有关事项作出解释或者澄清；</w:t>
      </w:r>
    </w:p>
    <w:p w14:paraId="3BD66395">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按照竞争性磋商文件的要求和磋商办法进行评审，推荐成交候选单位名单，对评审意见承担个人责任；</w:t>
      </w:r>
    </w:p>
    <w:p w14:paraId="7BFA27B6">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对评审过程和结果以及供应商的商业秘密保密；</w:t>
      </w:r>
    </w:p>
    <w:p w14:paraId="2951E35B">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参与磋商结果报告的起草；</w:t>
      </w:r>
    </w:p>
    <w:p w14:paraId="00AD34D8">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配合采购代理机构答复供应商提出的质疑；</w:t>
      </w:r>
    </w:p>
    <w:p w14:paraId="376C04A1">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rPr>
        <w:t>配合财政部门的投诉处理工作；</w:t>
      </w:r>
    </w:p>
    <w:p w14:paraId="17DF4340">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zh-CN"/>
        </w:rPr>
        <w:t>依据政府采购法有关精神，有权对磋商过程中出现的一切问题做出处理决定。</w:t>
      </w:r>
    </w:p>
    <w:p w14:paraId="42369969">
      <w:pPr>
        <w:keepNext w:val="0"/>
        <w:keepLines w:val="0"/>
        <w:pageBreakBefore w:val="0"/>
        <w:widowControl w:val="0"/>
        <w:shd w:val="clear"/>
        <w:kinsoku/>
        <w:wordWrap/>
        <w:overflowPunct/>
        <w:topLinePunct w:val="0"/>
        <w:bidi w:val="0"/>
        <w:snapToGrid/>
        <w:spacing w:line="400" w:lineRule="exact"/>
        <w:ind w:firstLine="420" w:firstLineChars="200"/>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val="en-US" w:eastAsia="zh-CN"/>
        </w:rPr>
        <w:t>29.</w:t>
      </w:r>
      <w:r>
        <w:rPr>
          <w:rFonts w:hint="eastAsia" w:ascii="宋体" w:hAnsi="宋体" w:eastAsia="宋体" w:cs="宋体"/>
          <w:color w:val="auto"/>
          <w:kern w:val="1"/>
          <w:sz w:val="21"/>
          <w:szCs w:val="21"/>
          <w:highlight w:val="none"/>
          <w:lang w:val="en-US" w:eastAsia="zh-CN"/>
        </w:rPr>
        <w:t>3、</w:t>
      </w:r>
      <w:r>
        <w:rPr>
          <w:rFonts w:hint="eastAsia" w:ascii="宋体" w:hAnsi="宋体" w:eastAsia="宋体" w:cs="宋体"/>
          <w:color w:val="auto"/>
          <w:kern w:val="1"/>
          <w:sz w:val="21"/>
          <w:szCs w:val="21"/>
          <w:highlight w:val="none"/>
        </w:rPr>
        <w:t>磋商小组在评审过程中发现供应商有行贿、提供虚假材料或者串通等违法行为的，应当及时向财政部门报告。</w:t>
      </w:r>
    </w:p>
    <w:p w14:paraId="7096580A">
      <w:pPr>
        <w:keepNext w:val="0"/>
        <w:keepLines w:val="0"/>
        <w:pageBreakBefore w:val="0"/>
        <w:widowControl w:val="0"/>
        <w:shd w:val="clear"/>
        <w:kinsoku/>
        <w:wordWrap/>
        <w:overflowPunct/>
        <w:topLinePunct w:val="0"/>
        <w:bidi w:val="0"/>
        <w:snapToGrid/>
        <w:spacing w:line="400" w:lineRule="exact"/>
        <w:ind w:firstLine="420" w:firstLineChars="200"/>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val="en-US" w:eastAsia="zh-CN"/>
        </w:rPr>
        <w:t>29.</w:t>
      </w:r>
      <w:r>
        <w:rPr>
          <w:rFonts w:hint="eastAsia" w:ascii="宋体" w:hAnsi="宋体" w:eastAsia="宋体" w:cs="宋体"/>
          <w:color w:val="auto"/>
          <w:kern w:val="1"/>
          <w:sz w:val="21"/>
          <w:szCs w:val="21"/>
          <w:highlight w:val="none"/>
          <w:lang w:val="en-US" w:eastAsia="zh-CN"/>
        </w:rPr>
        <w:t>4、</w:t>
      </w:r>
      <w:r>
        <w:rPr>
          <w:rFonts w:hint="eastAsia" w:ascii="宋体" w:hAnsi="宋体" w:eastAsia="宋体" w:cs="宋体"/>
          <w:color w:val="auto"/>
          <w:kern w:val="1"/>
          <w:sz w:val="21"/>
          <w:szCs w:val="21"/>
          <w:highlight w:val="none"/>
        </w:rPr>
        <w:t>磋商小组在评审过程中收到非法干涉的，应当及时向财政、监察等部门举报。</w:t>
      </w:r>
    </w:p>
    <w:p w14:paraId="4C9C9BD2">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29.5、磋商小组成员应当按照客观、公正、审慎的原则，根据磋商文件规定的评审程序、评审方法和评审标准进行独立评审。</w:t>
      </w:r>
    </w:p>
    <w:p w14:paraId="34850ED4">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b/>
          <w:bCs/>
          <w:color w:val="auto"/>
          <w:sz w:val="21"/>
          <w:szCs w:val="21"/>
          <w:highlight w:val="none"/>
          <w:lang w:val="zh-CN" w:eastAsia="zh-CN"/>
        </w:rPr>
      </w:pPr>
      <w:r>
        <w:rPr>
          <w:rFonts w:hint="eastAsia" w:ascii="宋体" w:hAnsi="宋体" w:eastAsia="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lang w:val="zh-CN" w:eastAsia="zh-CN"/>
        </w:rPr>
        <w:t>、磋商小组的职能</w:t>
      </w:r>
    </w:p>
    <w:p w14:paraId="6E349513">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lang w:val="zh-CN" w:eastAsia="zh-CN"/>
        </w:rPr>
        <w:t>1、对供应商响应文件进行审查；</w:t>
      </w:r>
    </w:p>
    <w:p w14:paraId="1E9C7770">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lang w:val="zh-CN" w:eastAsia="zh-CN"/>
        </w:rPr>
        <w:t>2、与各供应商就磋商采购响应文件（含澄清、说明或补正的内容）中的磋商报价、技术方案、业绩</w:t>
      </w:r>
      <w:r>
        <w:rPr>
          <w:rFonts w:hint="eastAsia" w:ascii="宋体" w:hAnsi="宋体" w:eastAsia="宋体" w:cs="宋体"/>
          <w:color w:val="auto"/>
          <w:sz w:val="21"/>
          <w:szCs w:val="21"/>
          <w:highlight w:val="none"/>
          <w:lang w:val="en-US" w:eastAsia="zh-CN"/>
        </w:rPr>
        <w:t>及履约能力</w:t>
      </w:r>
      <w:r>
        <w:rPr>
          <w:rFonts w:hint="eastAsia" w:ascii="宋体" w:hAnsi="宋体" w:eastAsia="宋体" w:cs="宋体"/>
          <w:color w:val="auto"/>
          <w:sz w:val="21"/>
          <w:szCs w:val="21"/>
          <w:highlight w:val="none"/>
          <w:lang w:val="zh-CN" w:eastAsia="zh-CN"/>
        </w:rPr>
        <w:t>等进行磋商；</w:t>
      </w:r>
    </w:p>
    <w:p w14:paraId="7306828C">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lang w:val="zh-CN"/>
        </w:rPr>
        <w:t>3、依据采购文件，并视磋商情况，确定进入最终评审的供应商；</w:t>
      </w:r>
    </w:p>
    <w:p w14:paraId="09BCDEFD">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lang w:val="zh-CN"/>
        </w:rPr>
        <w:t>4、排序推荐侯选成交供应商；</w:t>
      </w:r>
    </w:p>
    <w:p w14:paraId="32AB57B8">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lang w:val="zh-CN"/>
        </w:rPr>
        <w:t>5、协商处理磋商过程中出现的其它相关问题。</w:t>
      </w:r>
    </w:p>
    <w:p w14:paraId="08987211">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31</w:t>
      </w:r>
      <w:r>
        <w:rPr>
          <w:rFonts w:hint="eastAsia" w:ascii="宋体" w:hAnsi="宋体" w:eastAsia="宋体" w:cs="宋体"/>
          <w:b/>
          <w:bCs/>
          <w:color w:val="auto"/>
          <w:sz w:val="21"/>
          <w:szCs w:val="21"/>
          <w:highlight w:val="none"/>
          <w:lang w:val="zh-CN"/>
        </w:rPr>
        <w:t>、磋商小组及其成员不得有下列行为</w:t>
      </w:r>
    </w:p>
    <w:p w14:paraId="3EE70F1B">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31.1、</w:t>
      </w:r>
      <w:r>
        <w:rPr>
          <w:rFonts w:hint="eastAsia" w:ascii="宋体" w:hAnsi="宋体" w:eastAsia="宋体" w:cs="宋体"/>
          <w:color w:val="auto"/>
          <w:sz w:val="21"/>
          <w:szCs w:val="21"/>
          <w:highlight w:val="none"/>
          <w:lang w:val="zh-CN"/>
        </w:rPr>
        <w:t>确定参与评审至评审结束前私自接触供应商；</w:t>
      </w:r>
    </w:p>
    <w:p w14:paraId="3F041510">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31.2、</w:t>
      </w:r>
      <w:r>
        <w:rPr>
          <w:rFonts w:hint="eastAsia" w:ascii="宋体" w:hAnsi="宋体" w:eastAsia="宋体" w:cs="宋体"/>
          <w:color w:val="auto"/>
          <w:sz w:val="21"/>
          <w:szCs w:val="21"/>
          <w:highlight w:val="none"/>
          <w:lang w:val="zh-CN"/>
        </w:rPr>
        <w:t>接受供应商提出的与响应文件不一致的澄清或者说明，财政部第87号令第五十一条规定的情形除外；</w:t>
      </w:r>
    </w:p>
    <w:p w14:paraId="4B8E782A">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31.3、</w:t>
      </w:r>
      <w:r>
        <w:rPr>
          <w:rFonts w:hint="eastAsia" w:ascii="宋体" w:hAnsi="宋体" w:eastAsia="宋体" w:cs="宋体"/>
          <w:color w:val="auto"/>
          <w:sz w:val="21"/>
          <w:szCs w:val="21"/>
          <w:highlight w:val="none"/>
          <w:lang w:val="zh-CN"/>
        </w:rPr>
        <w:t>违反评审纪律发表倾向性意见或者征询采购人的倾向性意见；</w:t>
      </w:r>
    </w:p>
    <w:p w14:paraId="0714A97F">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31.4、</w:t>
      </w:r>
      <w:r>
        <w:rPr>
          <w:rFonts w:hint="eastAsia" w:ascii="宋体" w:hAnsi="宋体" w:eastAsia="宋体" w:cs="宋体"/>
          <w:color w:val="auto"/>
          <w:sz w:val="21"/>
          <w:szCs w:val="21"/>
          <w:highlight w:val="none"/>
          <w:lang w:val="zh-CN"/>
        </w:rPr>
        <w:t>对需要专业判断的主观评审因素协商评分；</w:t>
      </w:r>
    </w:p>
    <w:p w14:paraId="300768A3">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31.5、</w:t>
      </w:r>
      <w:r>
        <w:rPr>
          <w:rFonts w:hint="eastAsia" w:ascii="宋体" w:hAnsi="宋体" w:eastAsia="宋体" w:cs="宋体"/>
          <w:color w:val="auto"/>
          <w:sz w:val="21"/>
          <w:szCs w:val="21"/>
          <w:highlight w:val="none"/>
          <w:lang w:val="zh-CN"/>
        </w:rPr>
        <w:t>在评审过程中擅离职守，影响评审程序正常进行的；</w:t>
      </w:r>
    </w:p>
    <w:p w14:paraId="41BDD9B9">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31.6、</w:t>
      </w:r>
      <w:r>
        <w:rPr>
          <w:rFonts w:hint="eastAsia" w:ascii="宋体" w:hAnsi="宋体" w:eastAsia="宋体" w:cs="宋体"/>
          <w:color w:val="auto"/>
          <w:sz w:val="21"/>
          <w:szCs w:val="21"/>
          <w:highlight w:val="none"/>
          <w:lang w:val="zh-CN"/>
        </w:rPr>
        <w:t>记录、复制或者带走任何评审资料；</w:t>
      </w:r>
    </w:p>
    <w:p w14:paraId="78572D62">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31.7、</w:t>
      </w:r>
      <w:r>
        <w:rPr>
          <w:rFonts w:hint="eastAsia" w:ascii="宋体" w:hAnsi="宋体" w:eastAsia="宋体" w:cs="宋体"/>
          <w:color w:val="auto"/>
          <w:sz w:val="21"/>
          <w:szCs w:val="21"/>
          <w:highlight w:val="none"/>
          <w:lang w:val="zh-CN" w:eastAsia="zh-CN"/>
        </w:rPr>
        <w:t>其他不遵守评审纪律的行为。</w:t>
      </w:r>
    </w:p>
    <w:p w14:paraId="09E452DD">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磋商小组成员有前五项行为之一的，其评审意见无效，并不得获取评审劳务报酬和报销异地评审差旅费。</w:t>
      </w:r>
    </w:p>
    <w:p w14:paraId="63A2257E">
      <w:pPr>
        <w:pStyle w:val="2"/>
        <w:keepLines w:val="0"/>
        <w:pageBreakBefore w:val="0"/>
        <w:widowControl w:val="0"/>
        <w:kinsoku/>
        <w:wordWrap/>
        <w:overflowPunct/>
        <w:topLinePunct w:val="0"/>
        <w:bidi w:val="0"/>
        <w:spacing w:line="400" w:lineRule="exact"/>
        <w:ind w:firstLine="562" w:firstLineChars="200"/>
        <w:textAlignment w:val="auto"/>
        <w:rPr>
          <w:rFonts w:hint="eastAsia" w:ascii="宋体" w:hAnsi="宋体" w:eastAsia="宋体" w:cs="宋体"/>
          <w:b/>
          <w:color w:val="auto"/>
          <w:sz w:val="28"/>
          <w:szCs w:val="28"/>
          <w:highlight w:val="none"/>
          <w:lang w:val="zh-CN" w:eastAsia="zh-CN"/>
        </w:rPr>
      </w:pPr>
      <w:bookmarkStart w:id="27" w:name="_Toc2468"/>
      <w:bookmarkStart w:id="28" w:name="_Toc27212"/>
      <w:bookmarkStart w:id="29" w:name="_Toc5977"/>
      <w:bookmarkStart w:id="30" w:name="_Toc26534"/>
      <w:bookmarkStart w:id="31" w:name="_Toc386965858"/>
      <w:bookmarkStart w:id="32" w:name="_Toc24411"/>
      <w:bookmarkStart w:id="33" w:name="_Toc7524503"/>
      <w:bookmarkStart w:id="34" w:name="_Toc392236645"/>
      <w:bookmarkStart w:id="35" w:name="_Toc233435947"/>
      <w:bookmarkStart w:id="36" w:name="_Toc29664"/>
      <w:bookmarkStart w:id="37" w:name="_Toc2781"/>
      <w:bookmarkStart w:id="38" w:name="_Toc17502"/>
      <w:bookmarkStart w:id="39" w:name="_Toc18739"/>
      <w:r>
        <w:rPr>
          <w:rFonts w:hint="eastAsia" w:ascii="宋体" w:hAnsi="宋体" w:eastAsia="宋体" w:cs="宋体"/>
          <w:b/>
          <w:color w:val="auto"/>
          <w:sz w:val="28"/>
          <w:szCs w:val="28"/>
          <w:highlight w:val="none"/>
          <w:lang w:val="zh-CN" w:eastAsia="zh-CN"/>
        </w:rPr>
        <w:t>F</w:t>
      </w:r>
      <w:bookmarkStart w:id="40" w:name="_Hlt491765714"/>
      <w:bookmarkEnd w:id="40"/>
      <w:bookmarkStart w:id="41" w:name="_Hlt497547134"/>
      <w:bookmarkEnd w:id="41"/>
      <w:r>
        <w:rPr>
          <w:rFonts w:hint="eastAsia" w:ascii="宋体" w:hAnsi="宋体" w:eastAsia="宋体" w:cs="宋体"/>
          <w:b/>
          <w:color w:val="auto"/>
          <w:sz w:val="28"/>
          <w:szCs w:val="28"/>
          <w:highlight w:val="none"/>
          <w:lang w:val="zh-CN" w:eastAsia="zh-CN"/>
        </w:rPr>
        <w:t>、</w:t>
      </w:r>
      <w:bookmarkEnd w:id="27"/>
      <w:bookmarkEnd w:id="28"/>
      <w:bookmarkEnd w:id="29"/>
      <w:bookmarkEnd w:id="30"/>
      <w:bookmarkEnd w:id="31"/>
      <w:bookmarkEnd w:id="32"/>
      <w:bookmarkEnd w:id="33"/>
      <w:bookmarkEnd w:id="34"/>
      <w:bookmarkEnd w:id="35"/>
      <w:bookmarkEnd w:id="36"/>
      <w:bookmarkEnd w:id="37"/>
      <w:r>
        <w:rPr>
          <w:rFonts w:hint="eastAsia" w:ascii="宋体" w:hAnsi="宋体" w:eastAsia="宋体" w:cs="宋体"/>
          <w:b/>
          <w:color w:val="auto"/>
          <w:sz w:val="28"/>
          <w:szCs w:val="28"/>
          <w:highlight w:val="none"/>
          <w:lang w:val="en-US" w:eastAsia="zh-CN"/>
        </w:rPr>
        <w:t>确定中标</w:t>
      </w:r>
      <w:bookmarkEnd w:id="38"/>
      <w:bookmarkEnd w:id="39"/>
    </w:p>
    <w:p w14:paraId="29265DE1">
      <w:pPr>
        <w:keepNext w:val="0"/>
        <w:keepLines w:val="0"/>
        <w:pageBreakBefore w:val="0"/>
        <w:widowControl w:val="0"/>
        <w:kinsoku/>
        <w:wordWrap/>
        <w:overflowPunct/>
        <w:topLinePunct w:val="0"/>
        <w:autoSpaceDE w:val="0"/>
        <w:autoSpaceDN w:val="0"/>
        <w:bidi w:val="0"/>
        <w:adjustRightInd w:val="0"/>
        <w:snapToGrid w:val="0"/>
        <w:spacing w:line="400" w:lineRule="exact"/>
        <w:ind w:firstLine="422" w:firstLineChars="200"/>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en-US" w:eastAsia="zh-CN"/>
        </w:rPr>
        <w:t>32</w:t>
      </w:r>
      <w:r>
        <w:rPr>
          <w:rFonts w:hint="eastAsia" w:ascii="宋体" w:hAnsi="宋体" w:eastAsia="宋体" w:cs="宋体"/>
          <w:b/>
          <w:color w:val="auto"/>
          <w:sz w:val="21"/>
          <w:szCs w:val="21"/>
          <w:highlight w:val="none"/>
          <w:lang w:val="zh-CN"/>
        </w:rPr>
        <w:t>、成交程序</w:t>
      </w:r>
    </w:p>
    <w:p w14:paraId="652A25B4">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lang w:val="zh-CN"/>
        </w:rPr>
        <w:t>.1、磋商小组根据评审方法的规定对供应商进行评审排序，推荐</w:t>
      </w:r>
      <w:r>
        <w:rPr>
          <w:rFonts w:hint="eastAsia" w:ascii="宋体" w:hAnsi="宋体" w:eastAsia="宋体" w:cs="宋体"/>
          <w:color w:val="auto"/>
          <w:sz w:val="21"/>
          <w:szCs w:val="21"/>
          <w:highlight w:val="none"/>
          <w:lang w:val="en-US" w:eastAsia="zh-CN"/>
        </w:rPr>
        <w:t>前三名</w:t>
      </w:r>
      <w:r>
        <w:rPr>
          <w:rFonts w:hint="eastAsia" w:ascii="宋体" w:hAnsi="宋体" w:eastAsia="宋体" w:cs="宋体"/>
          <w:color w:val="auto"/>
          <w:sz w:val="21"/>
          <w:szCs w:val="21"/>
          <w:highlight w:val="none"/>
          <w:lang w:val="zh-CN"/>
        </w:rPr>
        <w:t>成交候选人，作为评审结果。评审结果由全体磋商小组成员签字确认。</w:t>
      </w:r>
    </w:p>
    <w:p w14:paraId="2F4B2B6C">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lang w:val="zh-CN"/>
        </w:rPr>
        <w:t>.2、</w:t>
      </w:r>
      <w:r>
        <w:rPr>
          <w:rFonts w:hint="eastAsia" w:ascii="宋体" w:hAnsi="宋体" w:eastAsia="宋体" w:cs="宋体"/>
          <w:color w:val="auto"/>
          <w:highlight w:val="none"/>
          <w:lang w:val="en-US" w:eastAsia="zh-CN"/>
        </w:rPr>
        <w:t>采购代理机构应当在评审结束后2个工作日内将评审报告送采购人确认。采购人应当在收到评审报告后5个工作日内，</w:t>
      </w:r>
      <w:r>
        <w:rPr>
          <w:rFonts w:hint="eastAsia" w:ascii="宋体" w:hAnsi="宋体" w:eastAsia="宋体" w:cs="宋体"/>
          <w:color w:val="auto"/>
          <w:sz w:val="21"/>
          <w:szCs w:val="21"/>
          <w:highlight w:val="none"/>
          <w:lang w:val="zh-CN"/>
        </w:rPr>
        <w:t>根据磋商报告中推荐的成交候选人排列顺序，确定排名第一的为成交供应商。</w:t>
      </w:r>
    </w:p>
    <w:p w14:paraId="7F5A974C">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lang w:val="zh-CN"/>
        </w:rPr>
        <w:t>.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21270BB4">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32</w:t>
      </w:r>
      <w:r>
        <w:rPr>
          <w:rFonts w:hint="eastAsia" w:ascii="宋体" w:hAnsi="宋体" w:eastAsia="宋体" w:cs="宋体"/>
          <w:color w:val="auto"/>
          <w:sz w:val="21"/>
          <w:szCs w:val="21"/>
          <w:highlight w:val="none"/>
          <w:lang w:val="zh-CN"/>
        </w:rPr>
        <w:t>.4、采购人也可以授权磋商小组评审后直接确定成交供应商。</w:t>
      </w:r>
    </w:p>
    <w:p w14:paraId="118B6137">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lang w:val="zh-CN"/>
        </w:rPr>
        <w:t>.5、采购代理机构应当在成交供应商确定后2个工作日内，在省级以上财政部门指定的政府采购信息发布媒体上公告成交结果，同时向成交供应商发出成交通知书，并将磋商文件随成交结果同时公告。</w:t>
      </w:r>
    </w:p>
    <w:p w14:paraId="6E0AAC1D">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lang w:val="zh-CN"/>
        </w:rPr>
        <w:t>.6、供应商或者其他利害关系人对评审结果有异议的，应当在法律规定的时间内提出。</w:t>
      </w:r>
    </w:p>
    <w:p w14:paraId="7BB6737E">
      <w:pPr>
        <w:keepNext w:val="0"/>
        <w:keepLines w:val="0"/>
        <w:pageBreakBefore w:val="0"/>
        <w:widowControl w:val="0"/>
        <w:kinsoku/>
        <w:wordWrap/>
        <w:overflowPunct/>
        <w:topLinePunct w:val="0"/>
        <w:autoSpaceDE w:val="0"/>
        <w:autoSpaceDN w:val="0"/>
        <w:bidi w:val="0"/>
        <w:adjustRightInd w:val="0"/>
        <w:snapToGrid w:val="0"/>
        <w:spacing w:line="400" w:lineRule="exact"/>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33、</w:t>
      </w:r>
      <w:r>
        <w:rPr>
          <w:rFonts w:hint="eastAsia" w:ascii="宋体" w:hAnsi="宋体" w:eastAsia="宋体" w:cs="宋体"/>
          <w:b/>
          <w:color w:val="auto"/>
          <w:sz w:val="21"/>
          <w:szCs w:val="21"/>
          <w:highlight w:val="none"/>
          <w:lang w:val="zh-CN"/>
        </w:rPr>
        <w:t>成交</w:t>
      </w:r>
      <w:r>
        <w:rPr>
          <w:rFonts w:hint="eastAsia" w:ascii="宋体" w:hAnsi="宋体" w:eastAsia="宋体" w:cs="宋体"/>
          <w:b/>
          <w:color w:val="auto"/>
          <w:sz w:val="21"/>
          <w:szCs w:val="21"/>
          <w:highlight w:val="none"/>
          <w:lang w:val="en-US" w:eastAsia="zh-CN"/>
        </w:rPr>
        <w:t>通知</w:t>
      </w:r>
    </w:p>
    <w:p w14:paraId="0E416C34">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33.1、采购代理机构向成交供应商发出《成交通知书》。</w:t>
      </w:r>
      <w:r>
        <w:rPr>
          <w:rFonts w:hint="eastAsia" w:ascii="宋体" w:hAnsi="宋体" w:eastAsia="宋体" w:cs="宋体"/>
          <w:b/>
          <w:bCs/>
          <w:color w:val="auto"/>
          <w:sz w:val="21"/>
          <w:szCs w:val="21"/>
          <w:highlight w:val="none"/>
          <w:lang w:val="en-US" w:eastAsia="zh-CN"/>
        </w:rPr>
        <w:t>成交供应商领取成交通知书时须携带法定代表人授权书及加盖单位公章的被授权人身份证复印件。</w:t>
      </w:r>
    </w:p>
    <w:p w14:paraId="2AA54133">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33.2、成交通知书对采购人和成交供应商具有同等法律效力。成交通知书发出之后，采购人改变成交结果，或者成交供应商放弃成交，应当承担相应的法律责任。</w:t>
      </w:r>
    </w:p>
    <w:p w14:paraId="3DBC3B4F">
      <w:pPr>
        <w:keepNext w:val="0"/>
        <w:keepLines w:val="0"/>
        <w:pageBreakBefore w:val="0"/>
        <w:widowControl w:val="0"/>
        <w:kinsoku/>
        <w:wordWrap/>
        <w:overflowPunct/>
        <w:topLinePunct w:val="0"/>
        <w:autoSpaceDE w:val="0"/>
        <w:autoSpaceDN w:val="0"/>
        <w:bidi w:val="0"/>
        <w:adjustRightInd w:val="0"/>
        <w:snapToGrid w:val="0"/>
        <w:spacing w:line="40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34</w:t>
      </w:r>
      <w:r>
        <w:rPr>
          <w:rFonts w:hint="eastAsia" w:ascii="宋体" w:hAnsi="宋体" w:eastAsia="宋体" w:cs="宋体"/>
          <w:b/>
          <w:bCs/>
          <w:color w:val="auto"/>
          <w:sz w:val="21"/>
          <w:szCs w:val="21"/>
          <w:highlight w:val="none"/>
          <w:lang w:val="zh-CN" w:eastAsia="zh-CN"/>
        </w:rPr>
        <w:t>、</w:t>
      </w:r>
      <w:r>
        <w:rPr>
          <w:rFonts w:hint="eastAsia" w:ascii="宋体" w:hAnsi="宋体" w:eastAsia="宋体" w:cs="宋体"/>
          <w:b/>
          <w:bCs/>
          <w:color w:val="auto"/>
          <w:sz w:val="21"/>
          <w:szCs w:val="21"/>
          <w:highlight w:val="none"/>
          <w:lang w:val="en-US" w:eastAsia="zh-CN"/>
        </w:rPr>
        <w:t>采购</w:t>
      </w:r>
      <w:r>
        <w:rPr>
          <w:rFonts w:hint="eastAsia" w:ascii="宋体" w:hAnsi="宋体" w:eastAsia="宋体" w:cs="宋体"/>
          <w:b/>
          <w:bCs/>
          <w:color w:val="auto"/>
          <w:sz w:val="21"/>
          <w:szCs w:val="21"/>
          <w:highlight w:val="none"/>
          <w:lang w:val="zh-CN" w:eastAsia="zh-CN"/>
        </w:rPr>
        <w:t>合同</w:t>
      </w:r>
      <w:r>
        <w:rPr>
          <w:rFonts w:hint="eastAsia" w:ascii="宋体" w:hAnsi="宋体" w:eastAsia="宋体" w:cs="宋体"/>
          <w:b/>
          <w:bCs/>
          <w:color w:val="auto"/>
          <w:sz w:val="21"/>
          <w:szCs w:val="21"/>
          <w:highlight w:val="none"/>
          <w:lang w:val="en-US" w:eastAsia="zh-CN"/>
        </w:rPr>
        <w:t>的签订</w:t>
      </w:r>
    </w:p>
    <w:p w14:paraId="70A6F617">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34.1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2FE2419D">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34.2、采购人自采购合同签订之日起七个工作日内，将采购合同副本报同级人民政府财政部门备案。</w:t>
      </w:r>
    </w:p>
    <w:p w14:paraId="22BD6F23">
      <w:pPr>
        <w:keepNext w:val="0"/>
        <w:keepLines w:val="0"/>
        <w:pageBreakBefore w:val="0"/>
        <w:widowControl w:val="0"/>
        <w:kinsoku/>
        <w:wordWrap/>
        <w:overflowPunct/>
        <w:topLinePunct w:val="0"/>
        <w:autoSpaceDE w:val="0"/>
        <w:autoSpaceDN w:val="0"/>
        <w:bidi w:val="0"/>
        <w:adjustRightInd w:val="0"/>
        <w:snapToGrid w:val="0"/>
        <w:spacing w:line="400" w:lineRule="exact"/>
        <w:ind w:firstLine="422" w:firstLineChars="200"/>
        <w:textAlignment w:val="auto"/>
        <w:rPr>
          <w:rFonts w:hint="default" w:ascii="宋体" w:hAnsi="宋体" w:eastAsia="宋体" w:cs="宋体"/>
          <w:b/>
          <w:bCs/>
          <w:color w:val="auto"/>
          <w:sz w:val="21"/>
          <w:szCs w:val="21"/>
          <w:highlight w:val="none"/>
          <w:lang w:val="en-US" w:eastAsia="zh-CN"/>
        </w:rPr>
      </w:pPr>
      <w:bookmarkStart w:id="42" w:name="_Toc17542"/>
      <w:r>
        <w:rPr>
          <w:rFonts w:hint="eastAsia" w:ascii="宋体" w:hAnsi="宋体" w:eastAsia="宋体" w:cs="宋体"/>
          <w:b/>
          <w:bCs/>
          <w:color w:val="auto"/>
          <w:sz w:val="21"/>
          <w:szCs w:val="21"/>
          <w:highlight w:val="none"/>
          <w:lang w:val="en-US" w:eastAsia="zh-CN"/>
        </w:rPr>
        <w:t>35、</w:t>
      </w:r>
      <w:r>
        <w:rPr>
          <w:rFonts w:hint="eastAsia" w:ascii="宋体" w:hAnsi="宋体" w:eastAsia="宋体" w:cs="宋体"/>
          <w:b/>
          <w:bCs/>
          <w:color w:val="auto"/>
          <w:sz w:val="21"/>
          <w:szCs w:val="21"/>
          <w:highlight w:val="none"/>
          <w:lang w:val="zh-CN" w:eastAsia="zh-CN"/>
        </w:rPr>
        <w:t>本项目不收取招标代理服务费。</w:t>
      </w:r>
    </w:p>
    <w:p w14:paraId="5A25A793">
      <w:pPr>
        <w:pStyle w:val="2"/>
        <w:keepLines w:val="0"/>
        <w:pageBreakBefore w:val="0"/>
        <w:widowControl w:val="0"/>
        <w:kinsoku/>
        <w:wordWrap/>
        <w:overflowPunct/>
        <w:topLinePunct w:val="0"/>
        <w:bidi w:val="0"/>
        <w:spacing w:line="400" w:lineRule="exact"/>
        <w:textAlignment w:val="auto"/>
        <w:rPr>
          <w:rFonts w:hint="eastAsia" w:ascii="宋体" w:hAnsi="宋体" w:eastAsia="宋体" w:cs="宋体"/>
          <w:b/>
          <w:color w:val="auto"/>
          <w:sz w:val="28"/>
          <w:szCs w:val="28"/>
          <w:highlight w:val="none"/>
          <w:lang w:val="zh-CN" w:eastAsia="zh-CN"/>
        </w:rPr>
      </w:pPr>
      <w:bookmarkStart w:id="43" w:name="_Toc29347"/>
      <w:r>
        <w:rPr>
          <w:rFonts w:hint="eastAsia" w:ascii="宋体" w:hAnsi="宋体" w:eastAsia="宋体" w:cs="宋体"/>
          <w:b/>
          <w:color w:val="auto"/>
          <w:sz w:val="28"/>
          <w:szCs w:val="28"/>
          <w:highlight w:val="none"/>
          <w:lang w:val="en-US" w:eastAsia="zh-CN"/>
        </w:rPr>
        <w:t>G</w:t>
      </w:r>
      <w:r>
        <w:rPr>
          <w:rFonts w:hint="eastAsia" w:ascii="宋体" w:hAnsi="宋体" w:eastAsia="宋体" w:cs="宋体"/>
          <w:b/>
          <w:color w:val="auto"/>
          <w:sz w:val="28"/>
          <w:szCs w:val="28"/>
          <w:highlight w:val="none"/>
          <w:lang w:val="zh-CN" w:eastAsia="zh-CN"/>
        </w:rPr>
        <w:t>、其它</w:t>
      </w:r>
      <w:bookmarkEnd w:id="42"/>
      <w:bookmarkEnd w:id="43"/>
    </w:p>
    <w:p w14:paraId="7D3673DB">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firstLine="422" w:firstLineChars="200"/>
        <w:textAlignment w:val="auto"/>
        <w:rPr>
          <w:rFonts w:hint="eastAsia" w:ascii="宋体" w:hAnsi="宋体" w:eastAsia="宋体" w:cs="宋体"/>
          <w:b/>
          <w:bCs w:val="0"/>
          <w:color w:val="auto"/>
          <w:sz w:val="21"/>
          <w:szCs w:val="21"/>
          <w:highlight w:val="none"/>
          <w:lang w:val="zh-CN"/>
        </w:rPr>
      </w:pPr>
      <w:r>
        <w:rPr>
          <w:rFonts w:hint="eastAsia" w:ascii="宋体" w:hAnsi="宋体" w:eastAsia="宋体" w:cs="宋体"/>
          <w:b/>
          <w:bCs w:val="0"/>
          <w:color w:val="auto"/>
          <w:sz w:val="21"/>
          <w:szCs w:val="21"/>
          <w:highlight w:val="none"/>
          <w:lang w:val="en-US" w:eastAsia="zh-CN"/>
        </w:rPr>
        <w:t>36</w:t>
      </w:r>
      <w:r>
        <w:rPr>
          <w:rFonts w:hint="eastAsia" w:ascii="宋体" w:hAnsi="宋体" w:eastAsia="宋体" w:cs="宋体"/>
          <w:b/>
          <w:bCs w:val="0"/>
          <w:color w:val="auto"/>
          <w:sz w:val="21"/>
          <w:szCs w:val="21"/>
          <w:highlight w:val="none"/>
          <w:lang w:val="zh-CN"/>
        </w:rPr>
        <w:t>、</w:t>
      </w:r>
      <w:r>
        <w:rPr>
          <w:rFonts w:hint="eastAsia" w:ascii="宋体" w:hAnsi="宋体" w:eastAsia="宋体" w:cs="宋体"/>
          <w:b/>
          <w:bCs w:val="0"/>
          <w:color w:val="auto"/>
          <w:sz w:val="21"/>
          <w:szCs w:val="21"/>
          <w:highlight w:val="none"/>
          <w:lang w:val="en-US" w:eastAsia="zh-CN"/>
        </w:rPr>
        <w:t>磋商开始后，出现下列情形之一的，采购代理机构将终止竞争性磋商采购活动，发布项目终止公告并说明原因，重新开展采购活动</w:t>
      </w:r>
    </w:p>
    <w:p w14:paraId="0F1BADC7">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en-US" w:eastAsia="zh-CN"/>
        </w:rPr>
        <w:t>36.1、</w:t>
      </w:r>
      <w:r>
        <w:rPr>
          <w:rFonts w:hint="eastAsia" w:ascii="宋体" w:hAnsi="宋体" w:eastAsia="宋体" w:cs="宋体"/>
          <w:b w:val="0"/>
          <w:bCs/>
          <w:color w:val="auto"/>
          <w:sz w:val="21"/>
          <w:szCs w:val="21"/>
          <w:highlight w:val="none"/>
          <w:lang w:val="zh-CN"/>
        </w:rPr>
        <w:t>因情况变化，不再符合规定的竞争性磋商采购方式适用情形的；</w:t>
      </w:r>
    </w:p>
    <w:p w14:paraId="08C79A7C">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en-US" w:eastAsia="zh-CN"/>
        </w:rPr>
        <w:t>36.2、</w:t>
      </w:r>
      <w:r>
        <w:rPr>
          <w:rFonts w:hint="eastAsia" w:ascii="宋体" w:hAnsi="宋体" w:eastAsia="宋体" w:cs="宋体"/>
          <w:b w:val="0"/>
          <w:bCs/>
          <w:color w:val="auto"/>
          <w:sz w:val="21"/>
          <w:szCs w:val="21"/>
          <w:highlight w:val="none"/>
          <w:lang w:val="zh-CN"/>
        </w:rPr>
        <w:t>出现影响采购公正的违法、违规行为的；</w:t>
      </w:r>
    </w:p>
    <w:p w14:paraId="43436F5D">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en-US" w:eastAsia="zh-CN"/>
        </w:rPr>
        <w:t>36.3、</w:t>
      </w:r>
      <w:r>
        <w:rPr>
          <w:rFonts w:hint="eastAsia" w:ascii="宋体" w:hAnsi="宋体" w:eastAsia="宋体" w:cs="宋体"/>
          <w:b w:val="0"/>
          <w:bCs/>
          <w:color w:val="auto"/>
          <w:sz w:val="21"/>
          <w:szCs w:val="21"/>
          <w:highlight w:val="none"/>
          <w:lang w:val="zh-CN"/>
        </w:rPr>
        <w:t>在采购过程中符合要求的供应商不足3家的；</w:t>
      </w:r>
    </w:p>
    <w:p w14:paraId="144E4D62">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en-US" w:eastAsia="zh-CN"/>
        </w:rPr>
        <w:t>36.4、</w:t>
      </w:r>
      <w:r>
        <w:rPr>
          <w:rFonts w:hint="eastAsia" w:ascii="宋体" w:hAnsi="宋体" w:eastAsia="宋体" w:cs="宋体"/>
          <w:b w:val="0"/>
          <w:bCs/>
          <w:color w:val="auto"/>
          <w:sz w:val="21"/>
          <w:szCs w:val="21"/>
          <w:highlight w:val="none"/>
          <w:lang w:val="zh-CN"/>
        </w:rPr>
        <w:t>报价未超过采购预算的供应商不足3家的。</w:t>
      </w:r>
    </w:p>
    <w:p w14:paraId="771DF5B1">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废标后，采购代理机构应在财政部门指定采购网上公告，并公告废标的详细理由。</w:t>
      </w:r>
    </w:p>
    <w:p w14:paraId="143EE673">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firstLine="422" w:firstLineChars="200"/>
        <w:textAlignment w:val="auto"/>
        <w:rPr>
          <w:rFonts w:hint="eastAsia" w:ascii="宋体" w:hAnsi="宋体" w:eastAsia="宋体" w:cs="宋体"/>
          <w:b/>
          <w:bCs w:val="0"/>
          <w:color w:val="auto"/>
          <w:sz w:val="21"/>
          <w:szCs w:val="21"/>
          <w:highlight w:val="none"/>
          <w:lang w:val="zh-CN"/>
        </w:rPr>
      </w:pPr>
      <w:r>
        <w:rPr>
          <w:rFonts w:hint="eastAsia" w:ascii="宋体" w:hAnsi="宋体" w:eastAsia="宋体" w:cs="宋体"/>
          <w:b/>
          <w:bCs w:val="0"/>
          <w:color w:val="auto"/>
          <w:sz w:val="21"/>
          <w:szCs w:val="21"/>
          <w:highlight w:val="none"/>
          <w:lang w:val="en-US" w:eastAsia="zh-CN"/>
        </w:rPr>
        <w:t>37、提交最后报价的供应商为2家时，可以继续进行磋商的情形</w:t>
      </w:r>
    </w:p>
    <w:p w14:paraId="47FE7E10">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37.1、市场竞争不充分的科研项目，以及需要扶持的科技成果转化项目；</w:t>
      </w:r>
    </w:p>
    <w:p w14:paraId="49928F45">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37.2、根据陕西省财政厅陕财办采资（2016）53号文件第十八条，在采购过程中符合要求的供应商（社会资本）只有2家的。</w:t>
      </w:r>
    </w:p>
    <w:p w14:paraId="02777173">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firstLine="422"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en-US" w:eastAsia="zh-CN"/>
        </w:rPr>
        <w:t>38、</w:t>
      </w:r>
      <w:r>
        <w:rPr>
          <w:rFonts w:hint="eastAsia" w:ascii="宋体" w:hAnsi="宋体" w:eastAsia="宋体" w:cs="宋体"/>
          <w:color w:val="auto"/>
          <w:sz w:val="21"/>
          <w:szCs w:val="21"/>
          <w:highlight w:val="none"/>
          <w:lang w:val="zh-CN"/>
        </w:rPr>
        <w:t>磋商开始到成交供应商确定前，磋商小组、采购人及有关人员要严格遵循保密原则，任何一方不得向与评审无关的单位和人员透露与磋商有关的其它供应商的技术资料、价格及其它信息。否则，按《中华人民共和国政府采购法》、《中华人民共和国政府采购法实施条例》及有关法律、法规的法律规定进行相应的处罚。</w:t>
      </w:r>
    </w:p>
    <w:p w14:paraId="5A2092D2">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firstLine="422"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en-US" w:eastAsia="zh-CN"/>
        </w:rPr>
        <w:t>39</w:t>
      </w:r>
      <w:r>
        <w:rPr>
          <w:rFonts w:hint="eastAsia" w:ascii="宋体" w:hAnsi="宋体" w:eastAsia="宋体" w:cs="宋体"/>
          <w:b/>
          <w:bCs/>
          <w:color w:val="auto"/>
          <w:sz w:val="21"/>
          <w:szCs w:val="21"/>
          <w:highlight w:val="none"/>
          <w:lang w:val="zh-CN"/>
        </w:rPr>
        <w:t>、</w:t>
      </w:r>
      <w:r>
        <w:rPr>
          <w:rFonts w:hint="eastAsia" w:ascii="宋体" w:hAnsi="宋体" w:eastAsia="宋体" w:cs="宋体"/>
          <w:color w:val="auto"/>
          <w:sz w:val="21"/>
          <w:szCs w:val="21"/>
          <w:highlight w:val="none"/>
          <w:lang w:val="zh-CN"/>
        </w:rPr>
        <w:t>成交供应商确定后，成交供应商无正当理由拖延或拒签合同的，或未能按照规定的时间提供履约担保，采购人有权取消其成交资格，并按评审顺序重新确定成交供应商。同时报请监督机构予以通报，禁止其进入政府采购市场。给采购人造成损失巨大的，供应商还应当对超过部分予以赔偿，并依法承担相应法律责任。</w:t>
      </w:r>
    </w:p>
    <w:p w14:paraId="321E1666">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40、履约验收</w:t>
      </w:r>
    </w:p>
    <w:p w14:paraId="0FC6DADA">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40.1、采购合同的履行、违约责任和解决争议的方法等适用《民法典》。采购人按照政府采购合同规定的技术、服务、安全标准组织对供应商履约情况进行验收，并出具验收书。</w:t>
      </w:r>
    </w:p>
    <w:p w14:paraId="5498AD09">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40.2、履约验收的费用及要求详见“供应商须知前附表”。</w:t>
      </w:r>
    </w:p>
    <w:p w14:paraId="2C72DC4E">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firstLine="422" w:firstLineChars="200"/>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en-US" w:eastAsia="zh-CN"/>
        </w:rPr>
        <w:t>41</w:t>
      </w:r>
      <w:r>
        <w:rPr>
          <w:rFonts w:hint="eastAsia" w:ascii="宋体" w:hAnsi="宋体" w:eastAsia="宋体" w:cs="宋体"/>
          <w:b/>
          <w:color w:val="auto"/>
          <w:sz w:val="21"/>
          <w:szCs w:val="21"/>
          <w:highlight w:val="none"/>
          <w:lang w:val="zh-CN"/>
        </w:rPr>
        <w:t>、关于询问、质疑和投诉</w:t>
      </w:r>
    </w:p>
    <w:p w14:paraId="5435B004">
      <w:pPr>
        <w:keepNext w:val="0"/>
        <w:keepLines w:val="0"/>
        <w:pageBreakBefore w:val="0"/>
        <w:widowControl w:val="0"/>
        <w:kinsoku/>
        <w:wordWrap/>
        <w:overflowPunct/>
        <w:topLinePunct w:val="0"/>
        <w:autoSpaceDE w:val="0"/>
        <w:autoSpaceDN w:val="0"/>
        <w:bidi w:val="0"/>
        <w:adjustRightInd w:val="0"/>
        <w:snapToGrid w:val="0"/>
        <w:spacing w:line="36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41.1、询问</w:t>
      </w:r>
    </w:p>
    <w:p w14:paraId="404C8152">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供应商对政府采购活动事项有疑问的，可以向采购人或采购代理机构提出询问。采购人或采购代理机构将在3个工作日内对供应商依法提出的询问作出答复。</w:t>
      </w:r>
    </w:p>
    <w:p w14:paraId="6D794235">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根据采购人和采购代理机构签订的《招标代理合同》，针对采购需求（包括采购内容、技术或服务要求、商务要求、合同条款、供应商资格条件）的询问请向采购人提出。</w:t>
      </w:r>
    </w:p>
    <w:p w14:paraId="7D3805FB">
      <w:pPr>
        <w:keepNext w:val="0"/>
        <w:keepLines w:val="0"/>
        <w:pageBreakBefore w:val="0"/>
        <w:widowControl w:val="0"/>
        <w:kinsoku/>
        <w:wordWrap/>
        <w:overflowPunct/>
        <w:topLinePunct w:val="0"/>
        <w:autoSpaceDE w:val="0"/>
        <w:autoSpaceDN w:val="0"/>
        <w:bidi w:val="0"/>
        <w:adjustRightInd w:val="0"/>
        <w:snapToGrid w:val="0"/>
        <w:spacing w:line="36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41</w:t>
      </w:r>
      <w:r>
        <w:rPr>
          <w:rFonts w:hint="eastAsia" w:ascii="宋体" w:hAnsi="宋体" w:eastAsia="宋体" w:cs="宋体"/>
          <w:b/>
          <w:bCs/>
          <w:color w:val="auto"/>
          <w:sz w:val="21"/>
          <w:szCs w:val="21"/>
          <w:lang w:val="zh-CN"/>
        </w:rPr>
        <w:t>.</w:t>
      </w: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lang w:val="zh-CN"/>
        </w:rPr>
        <w:t>、</w:t>
      </w:r>
      <w:r>
        <w:rPr>
          <w:rFonts w:hint="eastAsia" w:ascii="宋体" w:hAnsi="宋体" w:eastAsia="宋体" w:cs="宋体"/>
          <w:b/>
          <w:bCs/>
          <w:color w:val="auto"/>
          <w:sz w:val="21"/>
          <w:szCs w:val="21"/>
          <w:lang w:val="en-US" w:eastAsia="zh-CN"/>
        </w:rPr>
        <w:t>质疑</w:t>
      </w:r>
    </w:p>
    <w:p w14:paraId="72F24BB7">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供应商认为招标文件、采购过程、成交结果使自己的权益受到损害的，可以在知道或者应知其权益受到损害之日起7个工作日内，以书面形式向采购人、采购代理机构提出质疑。</w:t>
      </w:r>
    </w:p>
    <w:p w14:paraId="7B588D5A">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供应商必须在法定质疑期内一次性提出针对同一采购程序环节的质疑。</w:t>
      </w:r>
    </w:p>
    <w:p w14:paraId="08A12F35">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rPr>
        <w:t>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EF58DB7">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以联合体形式参加政府采购活动的，其质疑应当由组成联合体的所有供应商共同提出。</w:t>
      </w:r>
    </w:p>
    <w:p w14:paraId="659DD02F">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供应商提出质疑应当提交质疑函和必要的证明材料。质疑函应当包括下列内容：</w:t>
      </w:r>
    </w:p>
    <w:p w14:paraId="0D4F3F15">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A.</w:t>
      </w:r>
      <w:r>
        <w:rPr>
          <w:rFonts w:hint="eastAsia" w:ascii="宋体" w:hAnsi="宋体" w:eastAsia="宋体" w:cs="宋体"/>
          <w:color w:val="auto"/>
          <w:sz w:val="21"/>
          <w:szCs w:val="21"/>
          <w:lang w:val="zh-CN"/>
        </w:rPr>
        <w:t>供应商的姓名或者名称、地址、邮编、联系人及联系电话；</w:t>
      </w:r>
    </w:p>
    <w:p w14:paraId="0D0A239B">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B.</w:t>
      </w:r>
      <w:r>
        <w:rPr>
          <w:rFonts w:hint="eastAsia" w:ascii="宋体" w:hAnsi="宋体" w:eastAsia="宋体" w:cs="宋体"/>
          <w:color w:val="auto"/>
          <w:sz w:val="21"/>
          <w:szCs w:val="21"/>
          <w:lang w:val="zh-CN"/>
        </w:rPr>
        <w:t>质疑项目的名称、编号；</w:t>
      </w:r>
    </w:p>
    <w:p w14:paraId="3480CA94">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C.</w:t>
      </w:r>
      <w:r>
        <w:rPr>
          <w:rFonts w:hint="eastAsia" w:ascii="宋体" w:hAnsi="宋体" w:eastAsia="宋体" w:cs="宋体"/>
          <w:color w:val="auto"/>
          <w:sz w:val="21"/>
          <w:szCs w:val="21"/>
          <w:lang w:val="zh-CN"/>
        </w:rPr>
        <w:t>具体、明确的质疑事项和与质疑事项相关的请求；</w:t>
      </w:r>
    </w:p>
    <w:p w14:paraId="1A7FC23A">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D.</w:t>
      </w:r>
      <w:r>
        <w:rPr>
          <w:rFonts w:hint="eastAsia" w:ascii="宋体" w:hAnsi="宋体" w:eastAsia="宋体" w:cs="宋体"/>
          <w:color w:val="auto"/>
          <w:sz w:val="21"/>
          <w:szCs w:val="21"/>
          <w:lang w:val="zh-CN"/>
        </w:rPr>
        <w:t>事实依据；</w:t>
      </w:r>
    </w:p>
    <w:p w14:paraId="1D96589F">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E.</w:t>
      </w:r>
      <w:r>
        <w:rPr>
          <w:rFonts w:hint="eastAsia" w:ascii="宋体" w:hAnsi="宋体" w:eastAsia="宋体" w:cs="宋体"/>
          <w:color w:val="auto"/>
          <w:sz w:val="21"/>
          <w:szCs w:val="21"/>
          <w:lang w:val="zh-CN"/>
        </w:rPr>
        <w:t>必要的法律依据；</w:t>
      </w:r>
    </w:p>
    <w:p w14:paraId="25D156FA">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F.</w:t>
      </w:r>
      <w:r>
        <w:rPr>
          <w:rFonts w:hint="eastAsia" w:ascii="宋体" w:hAnsi="宋体" w:eastAsia="宋体" w:cs="宋体"/>
          <w:color w:val="auto"/>
          <w:sz w:val="21"/>
          <w:szCs w:val="21"/>
          <w:lang w:val="zh-CN"/>
        </w:rPr>
        <w:t>提出质疑的日期。</w:t>
      </w:r>
    </w:p>
    <w:p w14:paraId="0FCE71DE">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zh-CN"/>
        </w:rPr>
        <w:t>有下列情形之一的，属于无效质疑，采购代理机构和采购人不予受理：</w:t>
      </w:r>
    </w:p>
    <w:p w14:paraId="5DCE3B0A">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A.</w:t>
      </w:r>
      <w:r>
        <w:rPr>
          <w:rFonts w:hint="eastAsia" w:ascii="宋体" w:hAnsi="宋体" w:eastAsia="宋体" w:cs="宋体"/>
          <w:color w:val="auto"/>
          <w:sz w:val="21"/>
          <w:szCs w:val="21"/>
          <w:lang w:val="zh-CN"/>
        </w:rPr>
        <w:t>质疑供应商不是参与本次政府采购项目的供应商；</w:t>
      </w:r>
    </w:p>
    <w:p w14:paraId="5560DB73">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B.</w:t>
      </w:r>
      <w:r>
        <w:rPr>
          <w:rFonts w:hint="eastAsia" w:ascii="宋体" w:hAnsi="宋体" w:eastAsia="宋体" w:cs="宋体"/>
          <w:color w:val="auto"/>
          <w:sz w:val="21"/>
          <w:szCs w:val="21"/>
          <w:lang w:val="zh-CN"/>
        </w:rPr>
        <w:t>质疑供应商与质疑事项不存在利害关系的；</w:t>
      </w:r>
    </w:p>
    <w:p w14:paraId="58567B00">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C.</w:t>
      </w:r>
      <w:r>
        <w:rPr>
          <w:rFonts w:hint="eastAsia" w:ascii="宋体" w:hAnsi="宋体" w:eastAsia="宋体" w:cs="宋体"/>
          <w:color w:val="auto"/>
          <w:sz w:val="21"/>
          <w:szCs w:val="21"/>
          <w:lang w:val="zh-CN"/>
        </w:rPr>
        <w:t>未在法定期限内提出质疑的；</w:t>
      </w:r>
    </w:p>
    <w:p w14:paraId="034376FC">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D.</w:t>
      </w:r>
      <w:r>
        <w:rPr>
          <w:rFonts w:hint="eastAsia" w:ascii="宋体" w:hAnsi="宋体" w:eastAsia="宋体" w:cs="宋体"/>
          <w:color w:val="auto"/>
          <w:sz w:val="21"/>
          <w:szCs w:val="21"/>
          <w:lang w:val="zh-CN"/>
        </w:rPr>
        <w:t>质疑未以书面形式提出，或质疑函主要内容构成不完整的；</w:t>
      </w:r>
    </w:p>
    <w:p w14:paraId="5E89233D">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E.</w:t>
      </w:r>
      <w:r>
        <w:rPr>
          <w:rFonts w:hint="eastAsia" w:ascii="宋体" w:hAnsi="宋体" w:eastAsia="宋体" w:cs="宋体"/>
          <w:color w:val="auto"/>
          <w:sz w:val="21"/>
          <w:szCs w:val="21"/>
          <w:lang w:val="zh-CN"/>
        </w:rPr>
        <w:t>应当提交授权书而未提交的；</w:t>
      </w:r>
    </w:p>
    <w:p w14:paraId="0F7A1B5A">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F.</w:t>
      </w:r>
      <w:r>
        <w:rPr>
          <w:rFonts w:hint="eastAsia" w:ascii="宋体" w:hAnsi="宋体" w:eastAsia="宋体" w:cs="宋体"/>
          <w:color w:val="auto"/>
          <w:sz w:val="21"/>
          <w:szCs w:val="21"/>
          <w:lang w:val="zh-CN"/>
        </w:rPr>
        <w:t>以非法手段取得证据、材料的；</w:t>
      </w:r>
    </w:p>
    <w:p w14:paraId="3DD3B4CD">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G.</w:t>
      </w:r>
      <w:r>
        <w:rPr>
          <w:rFonts w:hint="eastAsia" w:ascii="宋体" w:hAnsi="宋体" w:eastAsia="宋体" w:cs="宋体"/>
          <w:color w:val="auto"/>
          <w:sz w:val="21"/>
          <w:szCs w:val="21"/>
          <w:lang w:val="zh-CN"/>
        </w:rPr>
        <w:t>质疑答复后，同一质疑人就同一事项或同一采购程序环节再次提出质疑的；</w:t>
      </w:r>
    </w:p>
    <w:p w14:paraId="701DA13E">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H.</w:t>
      </w:r>
      <w:r>
        <w:rPr>
          <w:rFonts w:hint="eastAsia" w:ascii="宋体" w:hAnsi="宋体" w:eastAsia="宋体" w:cs="宋体"/>
          <w:color w:val="auto"/>
          <w:sz w:val="21"/>
          <w:szCs w:val="21"/>
          <w:lang w:val="zh-CN"/>
        </w:rPr>
        <w:t>不符合法律、法规、规章和政府采购监管机构规定的其他条件的。</w:t>
      </w:r>
    </w:p>
    <w:p w14:paraId="585AE459">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质疑答复</w:t>
      </w:r>
    </w:p>
    <w:p w14:paraId="5D8FBBBB">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A.</w:t>
      </w:r>
      <w:r>
        <w:rPr>
          <w:rFonts w:hint="eastAsia" w:ascii="宋体" w:hAnsi="宋体" w:eastAsia="宋体" w:cs="宋体"/>
          <w:color w:val="auto"/>
          <w:sz w:val="21"/>
          <w:szCs w:val="21"/>
          <w:lang w:val="zh-CN"/>
        </w:rPr>
        <w:t>采购人或采购代理机构在收到质疑函后7个工作日内作出答复，并以书面形式通知质疑供应商和其他有关供应商。</w:t>
      </w:r>
    </w:p>
    <w:p w14:paraId="24A51200">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B.</w:t>
      </w:r>
      <w:r>
        <w:rPr>
          <w:rFonts w:hint="eastAsia" w:ascii="宋体" w:hAnsi="宋体" w:eastAsia="宋体" w:cs="宋体"/>
          <w:color w:val="auto"/>
          <w:sz w:val="21"/>
          <w:szCs w:val="21"/>
          <w:lang w:val="zh-CN"/>
        </w:rPr>
        <w:t>质疑供应商对采购人、采购代理机构的答复不满意，或者采购人、采购代理机构未在规定时间内作出答复的，可以在答复期满后15个工作日内向同级人民政府财政部门提起投诉。</w:t>
      </w:r>
    </w:p>
    <w:p w14:paraId="0E2DB841">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lang w:val="zh-CN"/>
        </w:rPr>
        <w:t>其他需要说明的事项</w:t>
      </w:r>
    </w:p>
    <w:p w14:paraId="3443A5A7">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A.</w:t>
      </w:r>
      <w:r>
        <w:rPr>
          <w:rFonts w:hint="eastAsia" w:ascii="宋体" w:hAnsi="宋体" w:eastAsia="宋体" w:cs="宋体"/>
          <w:color w:val="auto"/>
          <w:sz w:val="21"/>
          <w:szCs w:val="21"/>
          <w:lang w:val="zh-CN"/>
        </w:rPr>
        <w:t>质疑函须按财政部《质疑函范本》给定的格式进行填写，范本下载详见〔财政部国库司（gks.mof.gov.cn）〕网站〖首页·政府采购管理〗栏目中的《政府采购供应商质疑函范本》。《政府采购供应商质疑函范本》链接地址：</w:t>
      </w:r>
    </w:p>
    <w:p w14:paraId="1CAE1DAF">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http://gks.mof.gov.cn/ztztz/zhengfucaigouguanli/201802/t20180201_2804589.htm</w:t>
      </w:r>
    </w:p>
    <w:p w14:paraId="4D1C0686">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B.</w:t>
      </w:r>
      <w:r>
        <w:rPr>
          <w:rFonts w:hint="eastAsia" w:ascii="宋体" w:hAnsi="宋体" w:eastAsia="宋体" w:cs="宋体"/>
          <w:color w:val="auto"/>
          <w:sz w:val="21"/>
          <w:szCs w:val="21"/>
          <w:lang w:val="zh-CN"/>
        </w:rPr>
        <w:t>接收质疑函的方式：书面形式</w:t>
      </w:r>
    </w:p>
    <w:p w14:paraId="2A399E85">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w:t>
      </w:r>
      <w:r>
        <w:rPr>
          <w:rFonts w:hint="eastAsia" w:ascii="宋体" w:hAnsi="宋体" w:eastAsia="宋体" w:cs="宋体"/>
          <w:color w:val="auto"/>
          <w:sz w:val="21"/>
          <w:szCs w:val="21"/>
          <w:lang w:val="zh-CN"/>
        </w:rPr>
        <w:t>联系部门：</w:t>
      </w:r>
      <w:r>
        <w:rPr>
          <w:rFonts w:hint="eastAsia" w:ascii="宋体" w:hAnsi="宋体" w:eastAsia="宋体" w:cs="宋体"/>
          <w:color w:val="auto"/>
          <w:sz w:val="21"/>
          <w:szCs w:val="21"/>
          <w:lang w:val="en-US" w:eastAsia="zh-CN"/>
        </w:rPr>
        <w:t>泾阳县政府采购中心</w:t>
      </w:r>
    </w:p>
    <w:p w14:paraId="3A3D48ED">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D.</w:t>
      </w:r>
      <w:r>
        <w:rPr>
          <w:rFonts w:hint="eastAsia" w:ascii="宋体" w:hAnsi="宋体" w:eastAsia="宋体" w:cs="宋体"/>
          <w:color w:val="auto"/>
          <w:sz w:val="21"/>
          <w:szCs w:val="21"/>
          <w:lang w:val="zh-CN"/>
        </w:rPr>
        <w:t>联系电话：见供应商须知前附表</w:t>
      </w:r>
    </w:p>
    <w:p w14:paraId="4EDB07D0">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E.</w:t>
      </w:r>
      <w:r>
        <w:rPr>
          <w:rFonts w:hint="eastAsia" w:ascii="宋体" w:hAnsi="宋体" w:eastAsia="宋体" w:cs="宋体"/>
          <w:color w:val="auto"/>
          <w:sz w:val="21"/>
          <w:szCs w:val="21"/>
          <w:lang w:val="zh-CN"/>
        </w:rPr>
        <w:t>通讯地址：咸阳市泾阳县中心街402号</w:t>
      </w:r>
    </w:p>
    <w:p w14:paraId="2B4F0C21">
      <w:pPr>
        <w:keepNext w:val="0"/>
        <w:keepLines w:val="0"/>
        <w:pageBreakBefore w:val="0"/>
        <w:widowControl w:val="0"/>
        <w:kinsoku/>
        <w:wordWrap/>
        <w:overflowPunct/>
        <w:topLinePunct w:val="0"/>
        <w:autoSpaceDE w:val="0"/>
        <w:autoSpaceDN w:val="0"/>
        <w:bidi w:val="0"/>
        <w:adjustRightInd w:val="0"/>
        <w:snapToGrid w:val="0"/>
        <w:spacing w:line="36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41</w:t>
      </w:r>
      <w:r>
        <w:rPr>
          <w:rFonts w:hint="eastAsia" w:ascii="宋体" w:hAnsi="宋体" w:eastAsia="宋体" w:cs="宋体"/>
          <w:b/>
          <w:bCs/>
          <w:color w:val="auto"/>
          <w:sz w:val="21"/>
          <w:szCs w:val="21"/>
          <w:lang w:val="zh-CN"/>
        </w:rPr>
        <w:t>.</w:t>
      </w: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lang w:val="zh-CN"/>
        </w:rPr>
        <w:t>、投诉</w:t>
      </w:r>
    </w:p>
    <w:p w14:paraId="7BB52F6D">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1）质疑人对代理机构或采购人的答复不满意，以及代理机构或采购人未在规定时间内做出答复的，可以在答复期满后15个工作日内向监管机构提出投诉。</w:t>
      </w:r>
    </w:p>
    <w:p w14:paraId="65D44EAC">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2）供应商投诉的事项不得超出已质疑事项的范围。供应商提出投诉时，应当提交投诉书和必要的证明材料，并按财政部《投诉书范本》给定的格式进行填写。</w:t>
      </w:r>
    </w:p>
    <w:p w14:paraId="34C97936">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投诉书范本地址：http://download.ccgp.gov.cn/2018/tousushufanben.zip</w:t>
      </w:r>
    </w:p>
    <w:p w14:paraId="469EEA58">
      <w:pPr>
        <w:keepNext w:val="0"/>
        <w:keepLines w:val="0"/>
        <w:pageBreakBefore w:val="0"/>
        <w:widowControl w:val="0"/>
        <w:kinsoku/>
        <w:wordWrap/>
        <w:overflowPunct/>
        <w:topLinePunct w:val="0"/>
        <w:autoSpaceDE w:val="0"/>
        <w:autoSpaceDN w:val="0"/>
        <w:bidi w:val="0"/>
        <w:adjustRightInd w:val="0"/>
        <w:snapToGrid w:val="0"/>
        <w:spacing w:line="36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42、恶意质疑、投诉的法律后果</w:t>
      </w:r>
    </w:p>
    <w:p w14:paraId="5DC07739">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1）对捏造事实、提供虚假材料进行质疑、投诉的行为予以严肃处理：</w:t>
      </w:r>
    </w:p>
    <w:p w14:paraId="415E48A9">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依据《中华人民共和国政府采购法》及其实施条例、《中华人民共和国招标投标法》及其实施条例、《政府采购供应商投诉处理办法》等法律法规的规定，供应商质疑、投诉应当有明确的请求和必要的证明材料。对于捏造事实、提供虚假材料或者以非法手段取得证明材料进行投诉的，财政部门应当予以驳回，并将其列入不良行为记录名单，禁止其一至三年内参加政府采购活动。</w:t>
      </w:r>
    </w:p>
    <w:p w14:paraId="5B8BC49C">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2）对捏造事实诬告陷害他人、诽谤他人的法律适用：</w:t>
      </w:r>
    </w:p>
    <w:p w14:paraId="24632E1B">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《中华人民共和国刑法》第243条【诬告陷害罪】捏造事实诬告陷害他人，意图使他人受刑事追究，情节严重的，处三年以下有期徒刑、拘役或者管制；造成严重后果的，处三年以上十年以下有期徒刑。</w:t>
      </w:r>
    </w:p>
    <w:p w14:paraId="30683DEE">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《中华人民共和国刑法》第246条【侮辱罪、诽谤罪】以暴力或者其他方法公然侮辱他人或者捏造事实诽谤他人，情节严重的，处三年以下有期徒刑、拘役、管制或者剥夺政治权。</w:t>
      </w:r>
    </w:p>
    <w:p w14:paraId="3B219404">
      <w:pPr>
        <w:keepNext w:val="0"/>
        <w:keepLines w:val="0"/>
        <w:pageBreakBefore w:val="0"/>
        <w:widowControl w:val="0"/>
        <w:kinsoku/>
        <w:wordWrap/>
        <w:overflowPunct/>
        <w:topLinePunct w:val="0"/>
        <w:autoSpaceDE w:val="0"/>
        <w:autoSpaceDN w:val="0"/>
        <w:bidi w:val="0"/>
        <w:adjustRightInd w:val="0"/>
        <w:snapToGrid w:val="0"/>
        <w:spacing w:line="360" w:lineRule="exact"/>
        <w:ind w:firstLine="422" w:firstLineChars="200"/>
        <w:textAlignment w:val="auto"/>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en-US" w:eastAsia="zh-CN"/>
        </w:rPr>
        <w:t>43、</w:t>
      </w:r>
      <w:r>
        <w:rPr>
          <w:rFonts w:hint="eastAsia" w:ascii="宋体" w:hAnsi="宋体" w:eastAsia="宋体" w:cs="宋体"/>
          <w:b/>
          <w:bCs/>
          <w:color w:val="auto"/>
          <w:sz w:val="21"/>
          <w:szCs w:val="21"/>
          <w:lang w:val="zh-CN"/>
        </w:rPr>
        <w:t>其他</w:t>
      </w:r>
    </w:p>
    <w:p w14:paraId="4DCB271E">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43</w:t>
      </w:r>
      <w:r>
        <w:rPr>
          <w:rFonts w:hint="eastAsia" w:ascii="宋体" w:hAnsi="宋体" w:eastAsia="宋体" w:cs="宋体"/>
          <w:color w:val="auto"/>
          <w:sz w:val="21"/>
          <w:szCs w:val="21"/>
          <w:lang w:val="zh-CN"/>
        </w:rPr>
        <w:t>.1、</w:t>
      </w:r>
      <w:r>
        <w:rPr>
          <w:rFonts w:hint="eastAsia" w:ascii="宋体" w:hAnsi="宋体" w:eastAsia="宋体" w:cs="宋体"/>
          <w:color w:val="auto"/>
          <w:sz w:val="21"/>
          <w:szCs w:val="21"/>
          <w:lang w:val="en-US" w:eastAsia="zh-CN"/>
        </w:rPr>
        <w:t>评审</w:t>
      </w:r>
      <w:r>
        <w:rPr>
          <w:rFonts w:hint="eastAsia" w:ascii="宋体" w:hAnsi="宋体" w:eastAsia="宋体" w:cs="宋体"/>
          <w:color w:val="auto"/>
          <w:sz w:val="21"/>
          <w:szCs w:val="21"/>
          <w:lang w:val="zh-CN"/>
        </w:rPr>
        <w:t>步骤为：初步评审---综合评审推荐</w:t>
      </w:r>
      <w:r>
        <w:rPr>
          <w:rFonts w:hint="eastAsia" w:ascii="宋体" w:hAnsi="宋体" w:eastAsia="宋体" w:cs="宋体"/>
          <w:color w:val="auto"/>
          <w:sz w:val="21"/>
          <w:szCs w:val="21"/>
          <w:lang w:val="en-US" w:eastAsia="zh-CN"/>
        </w:rPr>
        <w:t>中标</w:t>
      </w:r>
      <w:r>
        <w:rPr>
          <w:rFonts w:hint="eastAsia" w:ascii="宋体" w:hAnsi="宋体" w:eastAsia="宋体" w:cs="宋体"/>
          <w:color w:val="auto"/>
          <w:sz w:val="21"/>
          <w:szCs w:val="21"/>
          <w:lang w:val="zh-CN"/>
        </w:rPr>
        <w:t>候选人。</w:t>
      </w:r>
    </w:p>
    <w:p w14:paraId="3A9F6FB8">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43</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zh-CN" w:eastAsia="zh-CN"/>
        </w:rPr>
        <w:t>根据《政府采购法》第三十六条规定，在招标采购中，出现下列情形之一的，本项目按废标处理：出现影响采购公正的违法、违规行为的；供应商的报价均超过了采购预算，采购人不能支付的；因重大变故，采购任务取消的。废标后，除采购任务取消外，本项目将重新组织招标。</w:t>
      </w:r>
    </w:p>
    <w:p w14:paraId="643DDCEF">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43</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zh-CN"/>
        </w:rPr>
        <w:t>投标截止后投标人不足三家或者通过资格审查或符合性审查的投标人不足三家的，除采购任务取消情形外，按照以下方式处理：招标文件存在不合理条款或者招标程序不符合规定的，采购人、采购代理机构改正后依法重新招标；招标文件没有不合理条款、招标程序符合规定，需要采用其他采购方式采购的，采购人应当依法报财政部门批准。中标人拒绝与采购人签订合同的，采购人可以按照</w:t>
      </w:r>
      <w:r>
        <w:rPr>
          <w:rFonts w:hint="eastAsia" w:ascii="宋体" w:hAnsi="宋体" w:eastAsia="宋体" w:cs="宋体"/>
          <w:color w:val="auto"/>
          <w:sz w:val="21"/>
          <w:szCs w:val="21"/>
          <w:lang w:val="zh-CN" w:eastAsia="zh-CN"/>
        </w:rPr>
        <w:t>评标结果</w:t>
      </w:r>
      <w:r>
        <w:rPr>
          <w:rFonts w:hint="eastAsia" w:ascii="宋体" w:hAnsi="宋体" w:eastAsia="宋体" w:cs="宋体"/>
          <w:color w:val="auto"/>
          <w:sz w:val="21"/>
          <w:szCs w:val="21"/>
          <w:lang w:val="zh-CN"/>
        </w:rPr>
        <w:t>报告推荐的中标候选人名单排序，确定下一候选人为中标</w:t>
      </w:r>
      <w:r>
        <w:rPr>
          <w:rFonts w:hint="eastAsia" w:ascii="宋体" w:hAnsi="宋体" w:eastAsia="宋体" w:cs="宋体"/>
          <w:color w:val="auto"/>
          <w:sz w:val="21"/>
          <w:szCs w:val="21"/>
          <w:lang w:val="zh-CN" w:eastAsia="zh-CN"/>
        </w:rPr>
        <w:t>供应商</w:t>
      </w:r>
      <w:r>
        <w:rPr>
          <w:rFonts w:hint="eastAsia" w:ascii="宋体" w:hAnsi="宋体" w:eastAsia="宋体" w:cs="宋体"/>
          <w:color w:val="auto"/>
          <w:sz w:val="21"/>
          <w:szCs w:val="21"/>
          <w:lang w:val="zh-CN"/>
        </w:rPr>
        <w:t>，也可以重新开展政府采购活动。</w:t>
      </w:r>
    </w:p>
    <w:p w14:paraId="74E68CF7">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43</w:t>
      </w:r>
      <w:r>
        <w:rPr>
          <w:rFonts w:hint="eastAsia" w:ascii="宋体" w:hAnsi="宋体" w:eastAsia="宋体" w:cs="宋体"/>
          <w:color w:val="auto"/>
          <w:sz w:val="21"/>
          <w:szCs w:val="21"/>
          <w:lang w:val="zh-CN"/>
        </w:rPr>
        <w:t>.4、</w:t>
      </w:r>
      <w:r>
        <w:rPr>
          <w:rFonts w:hint="eastAsia" w:ascii="宋体" w:hAnsi="宋体" w:eastAsia="宋体" w:cs="宋体"/>
          <w:color w:val="auto"/>
          <w:sz w:val="21"/>
          <w:szCs w:val="21"/>
          <w:lang w:val="en-US" w:eastAsia="zh-CN"/>
        </w:rPr>
        <w:t>中标人</w:t>
      </w:r>
      <w:r>
        <w:rPr>
          <w:rFonts w:hint="eastAsia" w:ascii="宋体" w:hAnsi="宋体" w:eastAsia="宋体" w:cs="宋体"/>
          <w:color w:val="auto"/>
          <w:sz w:val="21"/>
          <w:szCs w:val="21"/>
          <w:lang w:val="zh-CN"/>
        </w:rPr>
        <w:t>确定后，</w:t>
      </w:r>
      <w:r>
        <w:rPr>
          <w:rFonts w:hint="eastAsia" w:ascii="宋体" w:hAnsi="宋体" w:eastAsia="宋体" w:cs="宋体"/>
          <w:color w:val="auto"/>
          <w:sz w:val="21"/>
          <w:szCs w:val="21"/>
          <w:lang w:val="en-US" w:eastAsia="zh-CN"/>
        </w:rPr>
        <w:t>中标人</w:t>
      </w:r>
      <w:r>
        <w:rPr>
          <w:rFonts w:hint="eastAsia" w:ascii="宋体" w:hAnsi="宋体" w:eastAsia="宋体" w:cs="宋体"/>
          <w:color w:val="auto"/>
          <w:sz w:val="21"/>
          <w:szCs w:val="21"/>
          <w:lang w:val="zh-CN"/>
        </w:rPr>
        <w:t>无正当理由拖延或拒签合同的，或未能按照规定的时间提供履约保证金，采购人有权取消其</w:t>
      </w:r>
      <w:r>
        <w:rPr>
          <w:rFonts w:hint="eastAsia" w:ascii="宋体" w:hAnsi="宋体" w:eastAsia="宋体" w:cs="宋体"/>
          <w:color w:val="auto"/>
          <w:sz w:val="21"/>
          <w:szCs w:val="21"/>
          <w:lang w:val="en-US" w:eastAsia="zh-CN"/>
        </w:rPr>
        <w:t>中标</w:t>
      </w:r>
      <w:r>
        <w:rPr>
          <w:rFonts w:hint="eastAsia" w:ascii="宋体" w:hAnsi="宋体" w:eastAsia="宋体" w:cs="宋体"/>
          <w:color w:val="auto"/>
          <w:sz w:val="21"/>
          <w:szCs w:val="21"/>
          <w:lang w:val="zh-CN"/>
        </w:rPr>
        <w:t>资格，并按评审顺序重新确定</w:t>
      </w:r>
      <w:r>
        <w:rPr>
          <w:rFonts w:hint="eastAsia" w:ascii="宋体" w:hAnsi="宋体" w:eastAsia="宋体" w:cs="宋体"/>
          <w:color w:val="auto"/>
          <w:sz w:val="21"/>
          <w:szCs w:val="21"/>
          <w:lang w:val="en-US" w:eastAsia="zh-CN"/>
        </w:rPr>
        <w:t>中标</w:t>
      </w:r>
      <w:r>
        <w:rPr>
          <w:rFonts w:hint="eastAsia" w:ascii="宋体" w:hAnsi="宋体" w:eastAsia="宋体" w:cs="宋体"/>
          <w:color w:val="auto"/>
          <w:sz w:val="21"/>
          <w:szCs w:val="21"/>
          <w:lang w:val="zh-CN"/>
        </w:rPr>
        <w:t>供应商。给采购人造成损失的，应当承担赔偿责任，并依法承担相应法律责任。</w:t>
      </w:r>
    </w:p>
    <w:p w14:paraId="62DB9A65">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43</w:t>
      </w:r>
      <w:r>
        <w:rPr>
          <w:rFonts w:hint="eastAsia" w:ascii="宋体" w:hAnsi="宋体" w:eastAsia="宋体" w:cs="宋体"/>
          <w:color w:val="auto"/>
          <w:sz w:val="21"/>
          <w:szCs w:val="21"/>
          <w:lang w:val="zh-CN"/>
        </w:rPr>
        <w:t>.5、</w:t>
      </w:r>
      <w:r>
        <w:rPr>
          <w:rFonts w:hint="eastAsia" w:ascii="宋体" w:hAnsi="宋体" w:eastAsia="宋体" w:cs="宋体"/>
          <w:color w:val="auto"/>
          <w:sz w:val="21"/>
          <w:szCs w:val="21"/>
          <w:lang w:val="en-US" w:eastAsia="zh-CN"/>
        </w:rPr>
        <w:t>评审</w:t>
      </w:r>
      <w:r>
        <w:rPr>
          <w:rFonts w:hint="eastAsia" w:ascii="宋体" w:hAnsi="宋体" w:eastAsia="宋体" w:cs="宋体"/>
          <w:color w:val="auto"/>
          <w:sz w:val="21"/>
          <w:szCs w:val="21"/>
          <w:lang w:val="zh-CN"/>
        </w:rPr>
        <w:t>开始到</w:t>
      </w:r>
      <w:r>
        <w:rPr>
          <w:rFonts w:hint="eastAsia" w:ascii="宋体" w:hAnsi="宋体" w:eastAsia="宋体" w:cs="宋体"/>
          <w:color w:val="auto"/>
          <w:sz w:val="21"/>
          <w:szCs w:val="21"/>
          <w:lang w:val="en-US" w:eastAsia="zh-CN"/>
        </w:rPr>
        <w:t>中标人</w:t>
      </w:r>
      <w:r>
        <w:rPr>
          <w:rFonts w:hint="eastAsia" w:ascii="宋体" w:hAnsi="宋体" w:eastAsia="宋体" w:cs="宋体"/>
          <w:color w:val="auto"/>
          <w:sz w:val="21"/>
          <w:szCs w:val="21"/>
          <w:lang w:val="zh-CN"/>
        </w:rPr>
        <w:t>确定前，评标委员会、采购人及有关人员要严格遵循保密原则，任何一方不得向与评审无关的单位和人员透露与</w:t>
      </w:r>
      <w:r>
        <w:rPr>
          <w:rFonts w:hint="eastAsia" w:ascii="宋体" w:hAnsi="宋体" w:eastAsia="宋体" w:cs="宋体"/>
          <w:color w:val="auto"/>
          <w:sz w:val="21"/>
          <w:szCs w:val="21"/>
          <w:lang w:val="en-US" w:eastAsia="zh-CN"/>
        </w:rPr>
        <w:t>评审</w:t>
      </w:r>
      <w:r>
        <w:rPr>
          <w:rFonts w:hint="eastAsia" w:ascii="宋体" w:hAnsi="宋体" w:eastAsia="宋体" w:cs="宋体"/>
          <w:color w:val="auto"/>
          <w:sz w:val="21"/>
          <w:szCs w:val="21"/>
          <w:lang w:val="zh-CN"/>
        </w:rPr>
        <w:t>有关的其它供应商的技术资料、价格及其它信息。否则，按《中华人民共和国政府采购法》、《中华人民共和国政府采购法实施条例》及有关法律、法规的法律规定进行相应的处罚。</w:t>
      </w:r>
    </w:p>
    <w:p w14:paraId="600C0859">
      <w:pPr>
        <w:keepNext w:val="0"/>
        <w:keepLines w:val="0"/>
        <w:pageBreakBefore w:val="0"/>
        <w:widowControl w:val="0"/>
        <w:kinsoku/>
        <w:wordWrap/>
        <w:overflowPunct/>
        <w:topLinePunct w:val="0"/>
        <w:autoSpaceDE w:val="0"/>
        <w:autoSpaceDN w:val="0"/>
        <w:bidi w:val="0"/>
        <w:adjustRightInd w:val="0"/>
        <w:snapToGrid w:val="0"/>
        <w:spacing w:line="360" w:lineRule="exact"/>
        <w:ind w:firstLine="422" w:firstLineChars="200"/>
        <w:textAlignment w:val="auto"/>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en-US" w:eastAsia="zh-CN"/>
        </w:rPr>
        <w:t>44、</w:t>
      </w:r>
      <w:r>
        <w:rPr>
          <w:rFonts w:hint="eastAsia" w:ascii="宋体" w:hAnsi="宋体" w:eastAsia="宋体" w:cs="宋体"/>
          <w:b/>
          <w:bCs/>
          <w:color w:val="auto"/>
          <w:sz w:val="21"/>
          <w:szCs w:val="21"/>
          <w:lang w:val="zh-CN"/>
        </w:rPr>
        <w:t>信用担保及信用融资</w:t>
      </w:r>
    </w:p>
    <w:p w14:paraId="2D0C37A9">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44</w:t>
      </w:r>
      <w:r>
        <w:rPr>
          <w:rFonts w:hint="eastAsia" w:ascii="宋体" w:hAnsi="宋体" w:eastAsia="宋体" w:cs="宋体"/>
          <w:color w:val="auto"/>
          <w:sz w:val="21"/>
          <w:szCs w:val="21"/>
          <w:lang w:val="zh-CN"/>
        </w:rPr>
        <w:t>.1、陕西省政府采购信用担保及信用融资政策：</w:t>
      </w:r>
    </w:p>
    <w:p w14:paraId="7BDDE7D4">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44.1.1、</w:t>
      </w:r>
      <w:r>
        <w:rPr>
          <w:rFonts w:hint="eastAsia" w:ascii="宋体" w:hAnsi="宋体" w:eastAsia="宋体" w:cs="宋体"/>
          <w:color w:val="auto"/>
          <w:sz w:val="21"/>
          <w:szCs w:val="21"/>
          <w:lang w:val="zh-CN"/>
        </w:rPr>
        <w:t>为支持和促进中小企业发展，进一步发挥政府采购政策功能作用，有效缓解中小企业融资难等问题，根据财政部财库〔2011〕124号文件的精神，陕西省财政厅制订了《陕西省政府采购信用担保试点工作实施方案（试行）》，为参与陕西省政府采购项目的供应商提供政府采购信用担保，并按照程序确定了合作的担保机构。供应商在缴纳投标保证金及中标供应商缴纳履约保证金时可自愿选择通过担保机构保函的形式缴纳。</w:t>
      </w:r>
    </w:p>
    <w:p w14:paraId="59FCEFBC">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44.1.2、</w:t>
      </w:r>
      <w:r>
        <w:rPr>
          <w:rFonts w:hint="eastAsia" w:ascii="宋体" w:hAnsi="宋体" w:eastAsia="宋体" w:cs="宋体"/>
          <w:color w:val="auto"/>
          <w:sz w:val="21"/>
          <w:szCs w:val="21"/>
          <w:lang w:val="zh-CN"/>
        </w:rPr>
        <w:t>根据陕西省财政厅关于印发《陕西省中小企业政府采购信用融资办法》（陕财办采〔2018〕23号）和《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14:paraId="582C5B4C">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lang w:val="en-US" w:eastAsia="zh-CN"/>
        </w:rPr>
        <w:t>44</w:t>
      </w:r>
      <w:r>
        <w:rPr>
          <w:rFonts w:hint="eastAsia" w:ascii="宋体" w:hAnsi="宋体" w:eastAsia="宋体" w:cs="宋体"/>
          <w:color w:val="auto"/>
          <w:sz w:val="21"/>
          <w:szCs w:val="21"/>
          <w:lang w:val="zh-CN"/>
        </w:rPr>
        <w:t>.2、成交人如果需要融资贷款服务需求的，可凭成交通知书、政府采购合同等相关资料，按照文件规定的相关政策、业务流程申请办理，具体规定可登陆陕西省政府采购信用融资平台（http://www.ccgp-shaanxi.gov.cn/zcdservice/zcd/shanxi/）查询了解。</w:t>
      </w:r>
    </w:p>
    <w:p w14:paraId="7696B5CF">
      <w:pPr>
        <w:pStyle w:val="20"/>
        <w:keepNext w:val="0"/>
        <w:keepLines w:val="0"/>
        <w:pageBreakBefore w:val="0"/>
        <w:widowControl w:val="0"/>
        <w:kinsoku/>
        <w:wordWrap/>
        <w:overflowPunct/>
        <w:topLinePunct w:val="0"/>
        <w:bidi w:val="0"/>
        <w:spacing w:line="400" w:lineRule="exact"/>
        <w:ind w:firstLine="422" w:firstLineChars="200"/>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 xml:space="preserve">45、特殊情形下的应急处置 </w:t>
      </w:r>
    </w:p>
    <w:p w14:paraId="30039660">
      <w:pPr>
        <w:pStyle w:val="20"/>
        <w:keepNext w:val="0"/>
        <w:keepLines w:val="0"/>
        <w:pageBreakBefore w:val="0"/>
        <w:widowControl w:val="0"/>
        <w:kinsoku/>
        <w:wordWrap/>
        <w:overflowPunct/>
        <w:topLinePunct w:val="0"/>
        <w:bidi w:val="0"/>
        <w:spacing w:line="400" w:lineRule="exact"/>
        <w:ind w:firstLine="420" w:firstLineChars="200"/>
        <w:textAlignment w:val="auto"/>
        <w:rPr>
          <w:rFonts w:hint="eastAsia" w:ascii="宋体" w:hAnsi="宋体" w:eastAsia="宋体" w:cs="宋体"/>
          <w:color w:val="auto"/>
          <w:kern w:val="2"/>
          <w:sz w:val="21"/>
          <w:szCs w:val="21"/>
          <w:lang w:val="en-US" w:eastAsia="zh-CN" w:bidi="ar-SA"/>
        </w:rPr>
      </w:pPr>
      <w:r>
        <w:rPr>
          <w:rFonts w:hint="eastAsia" w:hAnsi="宋体" w:cs="宋体"/>
          <w:color w:val="auto"/>
          <w:kern w:val="2"/>
          <w:sz w:val="21"/>
          <w:szCs w:val="21"/>
          <w:lang w:val="en-US" w:eastAsia="zh-CN" w:bidi="ar-SA"/>
        </w:rPr>
        <w:t>45</w:t>
      </w:r>
      <w:r>
        <w:rPr>
          <w:rFonts w:hint="eastAsia" w:ascii="宋体" w:hAnsi="宋体" w:eastAsia="宋体" w:cs="宋体"/>
          <w:color w:val="auto"/>
          <w:kern w:val="2"/>
          <w:sz w:val="21"/>
          <w:szCs w:val="21"/>
          <w:lang w:val="en-US" w:eastAsia="zh-CN" w:bidi="ar-SA"/>
        </w:rPr>
        <w:t xml:space="preserve">.1  在开启、评审过程中，如因停电、断网、电子化系统故障等特殊原因导致电子化开、评审无法正常进行时，将视响应文件解密情况特殊处理。 </w:t>
      </w:r>
    </w:p>
    <w:p w14:paraId="19451E4B">
      <w:pPr>
        <w:pStyle w:val="20"/>
        <w:keepNext w:val="0"/>
        <w:keepLines w:val="0"/>
        <w:pageBreakBefore w:val="0"/>
        <w:widowControl w:val="0"/>
        <w:kinsoku/>
        <w:wordWrap/>
        <w:overflowPunct/>
        <w:topLinePunct w:val="0"/>
        <w:bidi w:val="0"/>
        <w:spacing w:line="400" w:lineRule="exact"/>
        <w:ind w:firstLine="420" w:firstLineChars="200"/>
        <w:textAlignment w:val="auto"/>
        <w:rPr>
          <w:rFonts w:hint="eastAsia" w:ascii="宋体" w:hAnsi="宋体" w:eastAsia="宋体" w:cs="宋体"/>
          <w:color w:val="auto"/>
          <w:kern w:val="2"/>
          <w:sz w:val="21"/>
          <w:szCs w:val="21"/>
          <w:lang w:val="en-US" w:eastAsia="zh-CN" w:bidi="ar-SA"/>
        </w:rPr>
      </w:pPr>
      <w:r>
        <w:rPr>
          <w:rFonts w:hint="eastAsia" w:hAnsi="宋体" w:cs="宋体"/>
          <w:color w:val="auto"/>
          <w:kern w:val="2"/>
          <w:sz w:val="21"/>
          <w:szCs w:val="21"/>
          <w:lang w:val="en-US" w:eastAsia="zh-CN" w:bidi="ar-SA"/>
        </w:rPr>
        <w:t>45</w:t>
      </w:r>
      <w:r>
        <w:rPr>
          <w:rFonts w:hint="eastAsia" w:ascii="宋体" w:hAnsi="宋体" w:eastAsia="宋体" w:cs="宋体"/>
          <w:color w:val="auto"/>
          <w:kern w:val="2"/>
          <w:sz w:val="21"/>
          <w:szCs w:val="21"/>
          <w:lang w:val="en-US" w:eastAsia="zh-CN" w:bidi="ar-SA"/>
        </w:rPr>
        <w:t xml:space="preserve">.2  开启时响应文件未解密的，将另行确定时间继续完成开启程序； </w:t>
      </w:r>
    </w:p>
    <w:p w14:paraId="17B9E7C4">
      <w:pPr>
        <w:pStyle w:val="20"/>
        <w:keepNext w:val="0"/>
        <w:keepLines w:val="0"/>
        <w:pageBreakBefore w:val="0"/>
        <w:widowControl w:val="0"/>
        <w:kinsoku/>
        <w:wordWrap/>
        <w:overflowPunct/>
        <w:topLinePunct w:val="0"/>
        <w:bidi w:val="0"/>
        <w:spacing w:line="400" w:lineRule="exact"/>
        <w:ind w:firstLine="420" w:firstLineChars="200"/>
        <w:textAlignment w:val="auto"/>
        <w:rPr>
          <w:rFonts w:hint="eastAsia" w:ascii="宋体" w:hAnsi="宋体" w:eastAsia="宋体" w:cs="宋体"/>
          <w:color w:val="auto"/>
          <w:kern w:val="2"/>
          <w:sz w:val="21"/>
          <w:szCs w:val="21"/>
          <w:lang w:val="en-US" w:eastAsia="zh-CN" w:bidi="ar-SA"/>
        </w:rPr>
      </w:pPr>
      <w:r>
        <w:rPr>
          <w:rFonts w:hint="eastAsia" w:hAnsi="宋体" w:cs="宋体"/>
          <w:color w:val="auto"/>
          <w:kern w:val="2"/>
          <w:sz w:val="21"/>
          <w:szCs w:val="21"/>
          <w:lang w:val="en-US" w:eastAsia="zh-CN" w:bidi="ar-SA"/>
        </w:rPr>
        <w:t>45</w:t>
      </w:r>
      <w:r>
        <w:rPr>
          <w:rFonts w:hint="eastAsia" w:ascii="宋体" w:hAnsi="宋体" w:eastAsia="宋体" w:cs="宋体"/>
          <w:color w:val="auto"/>
          <w:kern w:val="2"/>
          <w:sz w:val="21"/>
          <w:szCs w:val="21"/>
          <w:lang w:val="en-US" w:eastAsia="zh-CN" w:bidi="ar-SA"/>
        </w:rPr>
        <w:t xml:space="preserve">.3  开启后响应文件已解密但评审结论未形成的，按相关主管部门要求执行； </w:t>
      </w:r>
    </w:p>
    <w:p w14:paraId="52019C2D">
      <w:pPr>
        <w:pStyle w:val="20"/>
        <w:keepNext w:val="0"/>
        <w:keepLines w:val="0"/>
        <w:pageBreakBefore w:val="0"/>
        <w:widowControl w:val="0"/>
        <w:kinsoku/>
        <w:wordWrap/>
        <w:overflowPunct/>
        <w:topLinePunct w:val="0"/>
        <w:bidi w:val="0"/>
        <w:spacing w:line="400" w:lineRule="exact"/>
        <w:ind w:firstLine="420" w:firstLineChars="200"/>
        <w:textAlignment w:val="auto"/>
        <w:rPr>
          <w:rFonts w:hint="eastAsia" w:ascii="宋体" w:hAnsi="宋体" w:eastAsia="宋体" w:cs="宋体"/>
          <w:color w:val="auto"/>
          <w:kern w:val="2"/>
          <w:sz w:val="21"/>
          <w:szCs w:val="21"/>
          <w:lang w:val="en-US" w:eastAsia="zh-CN" w:bidi="ar-SA"/>
        </w:rPr>
      </w:pPr>
      <w:r>
        <w:rPr>
          <w:rFonts w:hint="eastAsia" w:hAnsi="宋体" w:cs="宋体"/>
          <w:color w:val="auto"/>
          <w:kern w:val="2"/>
          <w:sz w:val="21"/>
          <w:szCs w:val="21"/>
          <w:lang w:val="en-US" w:eastAsia="zh-CN" w:bidi="ar-SA"/>
        </w:rPr>
        <w:t>45</w:t>
      </w:r>
      <w:r>
        <w:rPr>
          <w:rFonts w:hint="eastAsia" w:ascii="宋体" w:hAnsi="宋体" w:eastAsia="宋体" w:cs="宋体"/>
          <w:color w:val="auto"/>
          <w:kern w:val="2"/>
          <w:sz w:val="21"/>
          <w:szCs w:val="21"/>
          <w:lang w:val="en-US" w:eastAsia="zh-CN" w:bidi="ar-SA"/>
        </w:rPr>
        <w:t>.4  开启后响应文件已解密且评审结论已形成的，待特殊情况排除后，继续完成评审活动。</w:t>
      </w:r>
    </w:p>
    <w:p w14:paraId="011FA42C">
      <w:pPr>
        <w:rPr>
          <w:rFonts w:hint="default" w:ascii="宋体" w:hAnsi="宋体" w:eastAsia="宋体" w:cs="宋体"/>
          <w:color w:val="auto"/>
          <w:kern w:val="2"/>
          <w:sz w:val="21"/>
          <w:szCs w:val="21"/>
          <w:lang w:val="en-US" w:eastAsia="zh-CN" w:bidi="ar-SA"/>
        </w:rPr>
        <w:sectPr>
          <w:footerReference r:id="rId16" w:type="first"/>
          <w:headerReference r:id="rId14" w:type="default"/>
          <w:footerReference r:id="rId15" w:type="default"/>
          <w:pgSz w:w="11906" w:h="16838"/>
          <w:pgMar w:top="1417" w:right="1418" w:bottom="1417" w:left="1417" w:header="851" w:footer="992" w:gutter="0"/>
          <w:pgNumType w:fmt="decimal"/>
          <w:cols w:space="720" w:num="1"/>
          <w:docGrid w:type="lines" w:linePitch="312" w:charSpace="0"/>
        </w:sectPr>
      </w:pPr>
    </w:p>
    <w:p w14:paraId="6B7CAA92">
      <w:pPr>
        <w:pStyle w:val="2"/>
        <w:keepNext/>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36"/>
          <w:szCs w:val="36"/>
          <w:highlight w:val="none"/>
          <w:lang w:val="en-US" w:eastAsia="zh-CN"/>
        </w:rPr>
      </w:pPr>
      <w:bookmarkStart w:id="44" w:name="_Toc7854"/>
      <w:r>
        <w:rPr>
          <w:rFonts w:hint="eastAsia" w:ascii="宋体" w:hAnsi="宋体" w:eastAsia="宋体" w:cs="宋体"/>
          <w:b/>
          <w:bCs/>
          <w:color w:val="auto"/>
          <w:sz w:val="36"/>
          <w:szCs w:val="36"/>
          <w:highlight w:val="none"/>
          <w:lang w:val="en-US" w:eastAsia="zh-CN"/>
        </w:rPr>
        <w:t>第四章 评审办法</w:t>
      </w:r>
      <w:bookmarkEnd w:id="44"/>
    </w:p>
    <w:p w14:paraId="5539B864">
      <w:pPr>
        <w:keepNext w:val="0"/>
        <w:keepLines w:val="0"/>
        <w:pageBreakBefore w:val="0"/>
        <w:widowControl w:val="0"/>
        <w:kinsoku/>
        <w:wordWrap/>
        <w:overflowPunct/>
        <w:topLinePunct w:val="0"/>
        <w:bidi w:val="0"/>
        <w:spacing w:line="360" w:lineRule="exact"/>
        <w:ind w:firstLine="422" w:firstLineChars="200"/>
        <w:textAlignment w:val="auto"/>
        <w:rPr>
          <w:rFonts w:hint="eastAsia" w:ascii="宋体" w:hAnsi="宋体" w:eastAsia="宋体" w:cs="宋体"/>
          <w:b/>
          <w:color w:val="auto"/>
          <w:sz w:val="21"/>
          <w:szCs w:val="21"/>
          <w:highlight w:val="none"/>
        </w:rPr>
      </w:pPr>
      <w:bookmarkStart w:id="45" w:name="_Toc492476967"/>
      <w:r>
        <w:rPr>
          <w:rFonts w:hint="eastAsia" w:ascii="宋体" w:hAnsi="宋体" w:eastAsia="宋体" w:cs="宋体"/>
          <w:b/>
          <w:color w:val="auto"/>
          <w:sz w:val="21"/>
          <w:szCs w:val="21"/>
          <w:highlight w:val="none"/>
        </w:rPr>
        <w:t>1、评审方法</w:t>
      </w:r>
    </w:p>
    <w:p w14:paraId="33648103">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z w:val="21"/>
          <w:szCs w:val="21"/>
          <w:highlight w:val="none"/>
        </w:rPr>
        <w:t>按照《中华人民共和国政府采购法》及实施条例和关于印发《政府采购竞争性磋商采购方式管理暂行办法》的通知（财库〔2014〕214号）</w:t>
      </w:r>
      <w:r>
        <w:rPr>
          <w:rFonts w:hint="eastAsia" w:ascii="宋体" w:hAnsi="宋体" w:eastAsia="宋体" w:cs="宋体"/>
          <w:color w:val="auto"/>
          <w:spacing w:val="4"/>
          <w:sz w:val="21"/>
          <w:szCs w:val="21"/>
          <w:highlight w:val="none"/>
        </w:rPr>
        <w:t>的规定，本次评标采用综合评分法，即在最大限度地满足</w:t>
      </w:r>
      <w:r>
        <w:rPr>
          <w:rFonts w:hint="eastAsia" w:ascii="宋体" w:hAnsi="宋体" w:eastAsia="宋体" w:cs="宋体"/>
          <w:color w:val="auto"/>
          <w:spacing w:val="4"/>
          <w:sz w:val="21"/>
          <w:szCs w:val="21"/>
          <w:highlight w:val="none"/>
          <w:lang w:eastAsia="zh-CN"/>
        </w:rPr>
        <w:t>竞争性磋商文件</w:t>
      </w:r>
      <w:r>
        <w:rPr>
          <w:rFonts w:hint="eastAsia" w:ascii="宋体" w:hAnsi="宋体" w:eastAsia="宋体" w:cs="宋体"/>
          <w:color w:val="auto"/>
          <w:spacing w:val="4"/>
          <w:sz w:val="21"/>
          <w:szCs w:val="21"/>
          <w:highlight w:val="none"/>
        </w:rPr>
        <w:t>实质性要求前提下，按照</w:t>
      </w:r>
      <w:r>
        <w:rPr>
          <w:rFonts w:hint="eastAsia" w:ascii="宋体" w:hAnsi="宋体" w:eastAsia="宋体" w:cs="宋体"/>
          <w:color w:val="auto"/>
          <w:spacing w:val="4"/>
          <w:sz w:val="21"/>
          <w:szCs w:val="21"/>
          <w:highlight w:val="none"/>
          <w:lang w:eastAsia="zh-CN"/>
        </w:rPr>
        <w:t>竞争性磋商文件</w:t>
      </w:r>
      <w:r>
        <w:rPr>
          <w:rFonts w:hint="eastAsia" w:ascii="宋体" w:hAnsi="宋体" w:eastAsia="宋体" w:cs="宋体"/>
          <w:color w:val="auto"/>
          <w:spacing w:val="4"/>
          <w:sz w:val="21"/>
          <w:szCs w:val="21"/>
          <w:highlight w:val="none"/>
        </w:rPr>
        <w:t>中规定的各项因素和相应的权重分值进行综合评审后，以总得分最高的供应商作为成交候选人并依次排序（最低报价不是成交的唯一标准）。</w:t>
      </w:r>
    </w:p>
    <w:p w14:paraId="09176E36">
      <w:pPr>
        <w:keepNext w:val="0"/>
        <w:keepLines w:val="0"/>
        <w:pageBreakBefore w:val="0"/>
        <w:widowControl w:val="0"/>
        <w:kinsoku/>
        <w:wordWrap/>
        <w:overflowPunct/>
        <w:topLinePunct w:val="0"/>
        <w:bidi w:val="0"/>
        <w:spacing w:line="36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2、评审标准</w:t>
      </w:r>
    </w:p>
    <w:p w14:paraId="1821C878">
      <w:pPr>
        <w:keepNext w:val="0"/>
        <w:keepLines w:val="0"/>
        <w:pageBreakBefore w:val="0"/>
        <w:widowControl w:val="0"/>
        <w:tabs>
          <w:tab w:val="left" w:pos="0"/>
        </w:tabs>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2.1、初步评审标准</w:t>
      </w:r>
    </w:p>
    <w:p w14:paraId="0A54FC02">
      <w:pPr>
        <w:keepNext w:val="0"/>
        <w:keepLines w:val="0"/>
        <w:pageBreakBefore w:val="0"/>
        <w:widowControl w:val="0"/>
        <w:tabs>
          <w:tab w:val="left" w:pos="0"/>
        </w:tabs>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资格性审查标准：见附件1〖资格性审查表〗</w:t>
      </w:r>
    </w:p>
    <w:p w14:paraId="1121277F">
      <w:pPr>
        <w:keepNext w:val="0"/>
        <w:keepLines w:val="0"/>
        <w:pageBreakBefore w:val="0"/>
        <w:widowControl w:val="0"/>
        <w:tabs>
          <w:tab w:val="left" w:pos="0"/>
        </w:tabs>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符合性审查标准：见附件</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〖符合性审查表〗</w:t>
      </w:r>
    </w:p>
    <w:p w14:paraId="0CEE1F2B">
      <w:pPr>
        <w:keepNext w:val="0"/>
        <w:keepLines w:val="0"/>
        <w:pageBreakBefore w:val="0"/>
        <w:widowControl w:val="0"/>
        <w:tabs>
          <w:tab w:val="left" w:pos="0"/>
        </w:tabs>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2.2、分值构成与评分标准</w:t>
      </w:r>
    </w:p>
    <w:p w14:paraId="48F3BC93">
      <w:pPr>
        <w:keepNext w:val="0"/>
        <w:keepLines w:val="0"/>
        <w:pageBreakBefore w:val="0"/>
        <w:widowControl w:val="0"/>
        <w:tabs>
          <w:tab w:val="left" w:pos="0"/>
        </w:tabs>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磋商</w:t>
      </w:r>
      <w:r>
        <w:rPr>
          <w:rFonts w:hint="eastAsia" w:ascii="宋体" w:hAnsi="宋体" w:eastAsia="宋体" w:cs="宋体"/>
          <w:bCs/>
          <w:color w:val="auto"/>
          <w:sz w:val="21"/>
          <w:szCs w:val="21"/>
          <w:highlight w:val="none"/>
        </w:rPr>
        <w:t>价格：见附件</w:t>
      </w:r>
      <w:r>
        <w:rPr>
          <w:rFonts w:hint="eastAsia" w:ascii="宋体" w:hAnsi="宋体" w:eastAsia="宋体" w:cs="宋体"/>
          <w:bCs/>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评标因素及权重分值表</w:t>
      </w:r>
      <w:r>
        <w:rPr>
          <w:rFonts w:hint="eastAsia" w:ascii="宋体" w:hAnsi="宋体" w:eastAsia="宋体" w:cs="宋体"/>
          <w:color w:val="auto"/>
          <w:sz w:val="21"/>
          <w:szCs w:val="21"/>
          <w:highlight w:val="none"/>
        </w:rPr>
        <w:t>〗</w:t>
      </w:r>
    </w:p>
    <w:p w14:paraId="3E2CEFB7">
      <w:pPr>
        <w:keepNext w:val="0"/>
        <w:keepLines w:val="0"/>
        <w:pageBreakBefore w:val="0"/>
        <w:widowControl w:val="0"/>
        <w:tabs>
          <w:tab w:val="left" w:pos="0"/>
        </w:tabs>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技术</w:t>
      </w:r>
      <w:r>
        <w:rPr>
          <w:rFonts w:hint="eastAsia" w:ascii="宋体" w:hAnsi="宋体" w:eastAsia="宋体" w:cs="宋体"/>
          <w:bCs/>
          <w:color w:val="auto"/>
          <w:sz w:val="21"/>
          <w:szCs w:val="21"/>
          <w:highlight w:val="none"/>
        </w:rPr>
        <w:t>方案：见附件</w:t>
      </w:r>
      <w:r>
        <w:rPr>
          <w:rFonts w:hint="eastAsia" w:ascii="宋体" w:hAnsi="宋体" w:eastAsia="宋体" w:cs="宋体"/>
          <w:bCs/>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评标因素及权重分值表</w:t>
      </w:r>
      <w:r>
        <w:rPr>
          <w:rFonts w:hint="eastAsia" w:ascii="宋体" w:hAnsi="宋体" w:eastAsia="宋体" w:cs="宋体"/>
          <w:color w:val="auto"/>
          <w:sz w:val="21"/>
          <w:szCs w:val="21"/>
          <w:highlight w:val="none"/>
        </w:rPr>
        <w:t>〗</w:t>
      </w:r>
    </w:p>
    <w:p w14:paraId="4BD430C7">
      <w:pPr>
        <w:keepNext w:val="0"/>
        <w:keepLines w:val="0"/>
        <w:pageBreakBefore w:val="0"/>
        <w:widowControl w:val="0"/>
        <w:tabs>
          <w:tab w:val="left" w:pos="0"/>
        </w:tabs>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（3）业绩及履约能力</w:t>
      </w:r>
      <w:r>
        <w:rPr>
          <w:rFonts w:hint="eastAsia" w:ascii="宋体" w:hAnsi="宋体" w:eastAsia="宋体" w:cs="宋体"/>
          <w:bCs/>
          <w:color w:val="auto"/>
          <w:sz w:val="21"/>
          <w:szCs w:val="21"/>
          <w:highlight w:val="none"/>
        </w:rPr>
        <w:t>：见附件</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〖评标因素及权重分值表〗</w:t>
      </w:r>
    </w:p>
    <w:p w14:paraId="2FF05BC3">
      <w:pPr>
        <w:keepNext w:val="0"/>
        <w:keepLines w:val="0"/>
        <w:pageBreakBefore w:val="0"/>
        <w:widowControl w:val="0"/>
        <w:kinsoku/>
        <w:wordWrap/>
        <w:overflowPunct/>
        <w:topLinePunct w:val="0"/>
        <w:bidi w:val="0"/>
        <w:spacing w:line="360" w:lineRule="exact"/>
        <w:ind w:firstLine="438" w:firstLineChars="200"/>
        <w:textAlignment w:val="auto"/>
        <w:rPr>
          <w:rFonts w:hint="eastAsia" w:ascii="宋体" w:hAnsi="宋体" w:eastAsia="宋体" w:cs="宋体"/>
          <w:b/>
          <w:color w:val="auto"/>
          <w:spacing w:val="4"/>
          <w:sz w:val="21"/>
          <w:szCs w:val="21"/>
          <w:highlight w:val="none"/>
        </w:rPr>
      </w:pPr>
      <w:r>
        <w:rPr>
          <w:rFonts w:hint="eastAsia" w:ascii="宋体" w:hAnsi="宋体" w:eastAsia="宋体" w:cs="宋体"/>
          <w:b/>
          <w:color w:val="auto"/>
          <w:spacing w:val="4"/>
          <w:sz w:val="21"/>
          <w:szCs w:val="21"/>
          <w:highlight w:val="none"/>
        </w:rPr>
        <w:t>3、评审程序</w:t>
      </w:r>
    </w:p>
    <w:p w14:paraId="474B1816">
      <w:pPr>
        <w:pStyle w:val="28"/>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初审、澄清有关问题、分别磋商、二次报价、比较与评审、推荐成交候选人名单。在上一步评审中被认定为无效磋商者，不进入下一步的评审。</w:t>
      </w:r>
    </w:p>
    <w:p w14:paraId="7A3562C5">
      <w:pPr>
        <w:keepNext w:val="0"/>
        <w:keepLines w:val="0"/>
        <w:pageBreakBefore w:val="0"/>
        <w:widowControl w:val="0"/>
        <w:kinsoku/>
        <w:wordWrap/>
        <w:overflowPunct/>
        <w:topLinePunct w:val="0"/>
        <w:bidi w:val="0"/>
        <w:spacing w:line="360" w:lineRule="exact"/>
        <w:ind w:firstLine="438" w:firstLineChars="200"/>
        <w:textAlignment w:val="auto"/>
        <w:rPr>
          <w:rFonts w:hint="eastAsia" w:ascii="宋体" w:hAnsi="宋体" w:eastAsia="宋体" w:cs="宋体"/>
          <w:b/>
          <w:bCs/>
          <w:color w:val="auto"/>
          <w:spacing w:val="4"/>
          <w:sz w:val="21"/>
          <w:szCs w:val="21"/>
          <w:highlight w:val="none"/>
        </w:rPr>
      </w:pPr>
      <w:r>
        <w:rPr>
          <w:rFonts w:hint="eastAsia" w:ascii="宋体" w:hAnsi="宋体" w:eastAsia="宋体" w:cs="宋体"/>
          <w:b/>
          <w:bCs/>
          <w:color w:val="auto"/>
          <w:spacing w:val="4"/>
          <w:sz w:val="21"/>
          <w:szCs w:val="21"/>
          <w:highlight w:val="none"/>
        </w:rPr>
        <w:t>3.1、对</w:t>
      </w:r>
      <w:r>
        <w:rPr>
          <w:rFonts w:hint="eastAsia" w:ascii="宋体" w:hAnsi="宋体" w:eastAsia="宋体" w:cs="宋体"/>
          <w:b/>
          <w:bCs/>
          <w:color w:val="auto"/>
          <w:spacing w:val="4"/>
          <w:sz w:val="21"/>
          <w:szCs w:val="21"/>
          <w:highlight w:val="none"/>
          <w:lang w:eastAsia="zh-CN"/>
        </w:rPr>
        <w:t>竞争性磋商响应文件</w:t>
      </w:r>
      <w:r>
        <w:rPr>
          <w:rFonts w:hint="eastAsia" w:ascii="宋体" w:hAnsi="宋体" w:eastAsia="宋体" w:cs="宋体"/>
          <w:b/>
          <w:bCs/>
          <w:color w:val="auto"/>
          <w:spacing w:val="4"/>
          <w:sz w:val="21"/>
          <w:szCs w:val="21"/>
          <w:highlight w:val="none"/>
        </w:rPr>
        <w:t>的初审</w:t>
      </w:r>
    </w:p>
    <w:p w14:paraId="7D81B517">
      <w:pPr>
        <w:keepNext w:val="0"/>
        <w:keepLines w:val="0"/>
        <w:pageBreakBefore w:val="0"/>
        <w:widowControl w:val="0"/>
        <w:tabs>
          <w:tab w:val="left" w:pos="0"/>
        </w:tabs>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color w:val="auto"/>
          <w:sz w:val="21"/>
          <w:szCs w:val="21"/>
          <w:highlight w:val="none"/>
        </w:rPr>
        <w:t>资格性审查：采购人将依据本章附件1规定的评审标准对</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进行资格性审查。有一项不符合评审标准的，将被视为未实质性响应</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，其</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将按无效文件处理。</w:t>
      </w:r>
    </w:p>
    <w:p w14:paraId="070624B8">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color w:val="auto"/>
          <w:sz w:val="21"/>
          <w:szCs w:val="21"/>
          <w:highlight w:val="none"/>
        </w:rPr>
        <w:t>符合性审查：磋商小组根据本章附件</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规定的评审标准对</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进行符合性评审。有一项不符合评审标准的，将被视为未实质性响应</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，其</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将按无效文件处理。</w:t>
      </w:r>
    </w:p>
    <w:p w14:paraId="6035EDF2">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在资格性审查阶段，不符合</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要求的，不得进入符合性审查，在符合性审查时未通过的，不得进入后续评审环节。</w:t>
      </w:r>
    </w:p>
    <w:p w14:paraId="5FD1D790">
      <w:pPr>
        <w:keepNext w:val="0"/>
        <w:keepLines w:val="0"/>
        <w:pageBreakBefore w:val="0"/>
        <w:widowControl w:val="0"/>
        <w:kinsoku/>
        <w:wordWrap/>
        <w:overflowPunct/>
        <w:topLinePunct w:val="0"/>
        <w:bidi w:val="0"/>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3.2、</w:t>
      </w:r>
      <w:r>
        <w:rPr>
          <w:rFonts w:hint="eastAsia" w:ascii="宋体" w:hAnsi="宋体" w:eastAsia="宋体" w:cs="宋体"/>
          <w:b/>
          <w:bCs/>
          <w:color w:val="auto"/>
          <w:sz w:val="21"/>
          <w:szCs w:val="21"/>
          <w:highlight w:val="none"/>
          <w:lang w:eastAsia="zh-CN"/>
        </w:rPr>
        <w:t>竞争性磋商响应文件</w:t>
      </w:r>
      <w:r>
        <w:rPr>
          <w:rFonts w:hint="eastAsia" w:ascii="宋体" w:hAnsi="宋体" w:eastAsia="宋体" w:cs="宋体"/>
          <w:b/>
          <w:bCs/>
          <w:color w:val="auto"/>
          <w:sz w:val="21"/>
          <w:szCs w:val="21"/>
          <w:highlight w:val="none"/>
        </w:rPr>
        <w:t>的澄清</w:t>
      </w:r>
    </w:p>
    <w:p w14:paraId="4A08AEE6">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rPr>
        <w:t>（1）</w:t>
      </w:r>
      <w:r>
        <w:rPr>
          <w:rFonts w:hint="eastAsia" w:ascii="宋体" w:hAnsi="宋体" w:eastAsia="宋体" w:cs="宋体"/>
          <w:color w:val="auto"/>
          <w:sz w:val="21"/>
          <w:szCs w:val="21"/>
          <w:highlight w:val="none"/>
          <w:lang w:val="zh-CN"/>
        </w:rPr>
        <w:t>在评审期间,根据磋商小组的需要，要求供应商对其竞争性磋商响应文件进行澄清，有关澄清的要求和答复不得寻求、提供或允许对磋商价格等实质性内容做任何更改。</w:t>
      </w:r>
    </w:p>
    <w:p w14:paraId="448ED920">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rPr>
        <w:t>（2）</w:t>
      </w:r>
      <w:r>
        <w:rPr>
          <w:rFonts w:hint="eastAsia" w:ascii="宋体" w:hAnsi="宋体" w:eastAsia="宋体" w:cs="宋体"/>
          <w:color w:val="auto"/>
          <w:sz w:val="21"/>
          <w:szCs w:val="21"/>
          <w:highlight w:val="none"/>
          <w:lang w:val="zh-CN"/>
        </w:rPr>
        <w:t>供应商应进行澄清或说明不得超出竞争性磋商响应文件的范围或改变竞争性磋商响应文件的实质性内容。</w:t>
      </w:r>
    </w:p>
    <w:p w14:paraId="09C18D44">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zh-CN"/>
        </w:rPr>
        <w:t>磋商小组所有成员集中与单一供应商分别进行磋商，并给予参加磋商的供应商平等的磋商机会。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通知所有参加磋商的供应商。</w:t>
      </w:r>
    </w:p>
    <w:p w14:paraId="619FE890">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3.3</w:t>
      </w:r>
      <w:r>
        <w:rPr>
          <w:rFonts w:hint="eastAsia" w:ascii="宋体" w:hAnsi="宋体" w:eastAsia="宋体" w:cs="宋体"/>
          <w:b/>
          <w:color w:val="auto"/>
          <w:sz w:val="21"/>
          <w:szCs w:val="21"/>
        </w:rPr>
        <w:t>、出现下列情况之一者（但不限于），按无效文件处理：</w:t>
      </w:r>
    </w:p>
    <w:p w14:paraId="478212F0">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供应商没有经过正常渠道</w:t>
      </w:r>
      <w:r>
        <w:rPr>
          <w:rFonts w:hint="eastAsia" w:ascii="宋体" w:hAnsi="宋体" w:eastAsia="宋体" w:cs="宋体"/>
          <w:color w:val="auto"/>
          <w:sz w:val="21"/>
          <w:szCs w:val="21"/>
          <w:highlight w:val="none"/>
          <w:lang w:val="en-US" w:eastAsia="zh-CN"/>
        </w:rPr>
        <w:t>获取采购</w:t>
      </w:r>
      <w:r>
        <w:rPr>
          <w:rFonts w:hint="eastAsia" w:ascii="宋体" w:hAnsi="宋体" w:eastAsia="宋体" w:cs="宋体"/>
          <w:color w:val="auto"/>
          <w:sz w:val="21"/>
          <w:szCs w:val="21"/>
          <w:highlight w:val="none"/>
          <w:lang w:val="zh-CN" w:eastAsia="zh-CN"/>
        </w:rPr>
        <w:t>文件，或供应商的名称与报名</w:t>
      </w:r>
      <w:r>
        <w:rPr>
          <w:rFonts w:hint="eastAsia" w:ascii="宋体" w:hAnsi="宋体" w:eastAsia="宋体" w:cs="宋体"/>
          <w:color w:val="auto"/>
          <w:sz w:val="21"/>
          <w:szCs w:val="21"/>
          <w:highlight w:val="none"/>
          <w:lang w:val="en-US" w:eastAsia="zh-CN"/>
        </w:rPr>
        <w:t>时登记的</w:t>
      </w:r>
      <w:r>
        <w:rPr>
          <w:rFonts w:hint="eastAsia" w:ascii="宋体" w:hAnsi="宋体" w:eastAsia="宋体" w:cs="宋体"/>
          <w:color w:val="auto"/>
          <w:sz w:val="21"/>
          <w:szCs w:val="21"/>
          <w:highlight w:val="none"/>
          <w:lang w:val="zh-CN" w:eastAsia="zh-CN"/>
        </w:rPr>
        <w:t>供应商单位名称不符；</w:t>
      </w:r>
    </w:p>
    <w:p w14:paraId="71C6E4E0">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（2）供应商磋商响应文件的有效性和符合性不符合竞争性磋商文件要求的；</w:t>
      </w:r>
    </w:p>
    <w:p w14:paraId="3767F03B">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（3）供应商有串通投标、弄虚作假（包括但不限于虚假资质、虚假证明、虚假应答等）、行贿等违法行为的；</w:t>
      </w:r>
    </w:p>
    <w:p w14:paraId="740D97A9">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（4）响应文件附加了采购人难以接受的条件或条款的；</w:t>
      </w:r>
    </w:p>
    <w:p w14:paraId="1D28C622">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（5）在政府采购或其他重大项目履约过程中有不良记录，未能按期履约的；</w:t>
      </w:r>
    </w:p>
    <w:p w14:paraId="00FD77B3">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（6）磋商报价与市场价格偏离较大、低于成本、形成不正当竞争的；</w:t>
      </w:r>
    </w:p>
    <w:p w14:paraId="0FA76FEE">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（7）磋商报价子目出现漏项或报价数量与要求不符的；</w:t>
      </w:r>
    </w:p>
    <w:p w14:paraId="1E264748">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（8）提供虚假技术性能指标的。</w:t>
      </w:r>
    </w:p>
    <w:p w14:paraId="4A73A0D9">
      <w:pPr>
        <w:pStyle w:val="20"/>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hAnsi="宋体" w:cs="宋体"/>
          <w:color w:val="auto"/>
          <w:kern w:val="2"/>
          <w:sz w:val="21"/>
          <w:szCs w:val="21"/>
          <w:highlight w:val="none"/>
          <w:lang w:val="en-US" w:eastAsia="zh-CN" w:bidi="ar-SA"/>
        </w:rPr>
        <w:t>（9）</w:t>
      </w:r>
      <w:r>
        <w:rPr>
          <w:rFonts w:hint="eastAsia" w:ascii="宋体" w:hAnsi="宋体" w:eastAsia="宋体" w:cs="宋体"/>
          <w:color w:val="auto"/>
          <w:kern w:val="2"/>
          <w:sz w:val="21"/>
          <w:szCs w:val="21"/>
          <w:highlight w:val="none"/>
          <w:lang w:val="en-US" w:eastAsia="zh-CN" w:bidi="ar-SA"/>
        </w:rPr>
        <w:t xml:space="preserve">供应商拒绝对电子响应文件进行解密的； </w:t>
      </w:r>
    </w:p>
    <w:p w14:paraId="484D9DBA">
      <w:pPr>
        <w:pStyle w:val="20"/>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hAnsi="宋体" w:cs="宋体"/>
          <w:color w:val="auto"/>
          <w:kern w:val="2"/>
          <w:sz w:val="21"/>
          <w:szCs w:val="21"/>
          <w:highlight w:val="none"/>
          <w:lang w:val="en-US" w:eastAsia="zh-CN" w:bidi="ar-SA"/>
        </w:rPr>
        <w:t>（10）</w:t>
      </w:r>
      <w:r>
        <w:rPr>
          <w:rFonts w:hint="eastAsia" w:ascii="宋体" w:hAnsi="宋体" w:eastAsia="宋体" w:cs="宋体"/>
          <w:color w:val="auto"/>
          <w:kern w:val="2"/>
          <w:sz w:val="21"/>
          <w:szCs w:val="21"/>
          <w:highlight w:val="none"/>
          <w:lang w:val="en-US" w:eastAsia="zh-CN" w:bidi="ar-SA"/>
        </w:rPr>
        <w:t xml:space="preserve">因供应商自身原因（如解密时使用的 CA 锁与制作电子响应文件使用的 CA 锁不一致、或沿用旧版竞争性磋商文件编制响应文件等情形），导致在规定时间内无法解密响应文件的； </w:t>
      </w:r>
    </w:p>
    <w:p w14:paraId="7D54C57F">
      <w:pPr>
        <w:pStyle w:val="20"/>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hAnsi="宋体" w:cs="宋体"/>
          <w:color w:val="auto"/>
          <w:kern w:val="2"/>
          <w:sz w:val="21"/>
          <w:szCs w:val="21"/>
          <w:highlight w:val="none"/>
          <w:lang w:val="en-US" w:eastAsia="zh-CN" w:bidi="ar-SA"/>
        </w:rPr>
        <w:t>（11）</w:t>
      </w:r>
      <w:r>
        <w:rPr>
          <w:rFonts w:hint="eastAsia" w:ascii="宋体" w:hAnsi="宋体" w:eastAsia="宋体" w:cs="宋体"/>
          <w:color w:val="auto"/>
          <w:kern w:val="2"/>
          <w:sz w:val="21"/>
          <w:szCs w:val="21"/>
          <w:highlight w:val="none"/>
          <w:lang w:val="en-US" w:eastAsia="zh-CN" w:bidi="ar-SA"/>
        </w:rPr>
        <w:t xml:space="preserve">上传的电子响应文件无法打开的； </w:t>
      </w:r>
    </w:p>
    <w:p w14:paraId="22118D68">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（12）</w:t>
      </w:r>
      <w:r>
        <w:rPr>
          <w:rFonts w:hint="eastAsia" w:ascii="宋体" w:hAnsi="宋体" w:eastAsia="宋体" w:cs="宋体"/>
          <w:color w:val="auto"/>
          <w:kern w:val="2"/>
          <w:sz w:val="21"/>
          <w:szCs w:val="21"/>
          <w:highlight w:val="none"/>
          <w:lang w:val="en-US" w:eastAsia="zh-CN" w:bidi="ar-SA"/>
        </w:rPr>
        <w:t>政府采购法律法规规定的其他无效情形。</w:t>
      </w:r>
    </w:p>
    <w:p w14:paraId="305EBAB1">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4、有下列情形之一的，视为</w:t>
      </w:r>
      <w:r>
        <w:rPr>
          <w:rFonts w:hint="eastAsia" w:ascii="宋体" w:hAns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rPr>
        <w:t>串通投标，</w:t>
      </w:r>
      <w:r>
        <w:rPr>
          <w:rFonts w:hint="eastAsia" w:ascii="宋体" w:hAnsi="宋体" w:eastAsia="宋体" w:cs="宋体"/>
          <w:b/>
          <w:color w:val="auto"/>
          <w:sz w:val="21"/>
          <w:szCs w:val="21"/>
          <w:highlight w:val="none"/>
          <w:lang w:val="en-US" w:eastAsia="zh-CN"/>
        </w:rPr>
        <w:t>磋商小组</w:t>
      </w:r>
      <w:r>
        <w:rPr>
          <w:rFonts w:hint="eastAsia" w:ascii="宋体" w:hAnsi="宋体" w:eastAsia="宋体" w:cs="宋体"/>
          <w:b/>
          <w:color w:val="auto"/>
          <w:sz w:val="21"/>
          <w:szCs w:val="21"/>
          <w:highlight w:val="none"/>
        </w:rPr>
        <w:t>应当认定其投标无效：</w:t>
      </w:r>
    </w:p>
    <w:p w14:paraId="0C4A2EA2">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不同</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文件由同一单位或者个人编制；</w:t>
      </w:r>
    </w:p>
    <w:p w14:paraId="11C2AA71">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）不同</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委托同一单位或者个人办理投标事宜；</w:t>
      </w:r>
    </w:p>
    <w:p w14:paraId="13DD7409">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不同</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文件载明的项目管理成员或者联系人员为同一人；</w:t>
      </w:r>
    </w:p>
    <w:p w14:paraId="1DBD8DAA">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）不同</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文件异常一致或者</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lang w:eastAsia="zh-CN"/>
        </w:rPr>
        <w:t>报价呈规律性差异；</w:t>
      </w:r>
    </w:p>
    <w:p w14:paraId="6039FDB0">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）不同</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文件相互混装。</w:t>
      </w:r>
    </w:p>
    <w:p w14:paraId="099E50CF">
      <w:pPr>
        <w:keepNext w:val="0"/>
        <w:keepLines w:val="0"/>
        <w:pageBreakBefore w:val="0"/>
        <w:widowControl w:val="0"/>
        <w:kinsoku/>
        <w:wordWrap/>
        <w:overflowPunct/>
        <w:topLinePunct w:val="0"/>
        <w:bidi w:val="0"/>
        <w:spacing w:line="36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3.5、有下列情形之一的，属于不合格供应商，其投标或成交资格将被取消：</w:t>
      </w:r>
    </w:p>
    <w:p w14:paraId="28321041">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（1）提供虚假材料谋取成交；</w:t>
      </w:r>
    </w:p>
    <w:p w14:paraId="635EC492">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（2）采取不正当手段诋毁、排挤其他</w:t>
      </w:r>
      <w:r>
        <w:rPr>
          <w:rFonts w:hint="eastAsia" w:ascii="宋体" w:hAnsi="宋体" w:eastAsia="宋体" w:cs="宋体"/>
          <w:color w:val="auto"/>
          <w:sz w:val="21"/>
          <w:szCs w:val="21"/>
          <w:highlight w:val="none"/>
          <w:lang w:val="zh-CN"/>
        </w:rPr>
        <w:t>供应商</w:t>
      </w:r>
      <w:r>
        <w:rPr>
          <w:rFonts w:hint="eastAsia" w:ascii="宋体" w:hAnsi="宋体" w:eastAsia="宋体" w:cs="宋体"/>
          <w:color w:val="auto"/>
          <w:sz w:val="21"/>
          <w:szCs w:val="21"/>
          <w:highlight w:val="none"/>
          <w:lang w:val="en-US" w:eastAsia="zh-CN"/>
        </w:rPr>
        <w:t>；</w:t>
      </w:r>
    </w:p>
    <w:p w14:paraId="254C991C">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（3）与采购人、采购代理机构、其他</w:t>
      </w:r>
      <w:r>
        <w:rPr>
          <w:rFonts w:hint="eastAsia" w:ascii="宋体" w:hAnsi="宋体" w:eastAsia="宋体" w:cs="宋体"/>
          <w:color w:val="auto"/>
          <w:sz w:val="21"/>
          <w:szCs w:val="21"/>
          <w:highlight w:val="none"/>
          <w:lang w:val="zh-CN"/>
        </w:rPr>
        <w:t>供应商</w:t>
      </w:r>
      <w:r>
        <w:rPr>
          <w:rFonts w:hint="eastAsia" w:ascii="宋体" w:hAnsi="宋体" w:eastAsia="宋体" w:cs="宋体"/>
          <w:color w:val="auto"/>
          <w:sz w:val="21"/>
          <w:szCs w:val="21"/>
          <w:highlight w:val="none"/>
          <w:lang w:val="en-US" w:eastAsia="zh-CN"/>
        </w:rPr>
        <w:t>恶意串通；</w:t>
      </w:r>
    </w:p>
    <w:p w14:paraId="574815EF">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（4）向采购人、采购代理机构、磋商小组成员行贿或者提供其他不正当利益；</w:t>
      </w:r>
    </w:p>
    <w:p w14:paraId="1DE23E87">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（5）在招标过程中与采购人、采购代理机构进行协商投标；</w:t>
      </w:r>
    </w:p>
    <w:p w14:paraId="2C2E7FC5">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（6）拒绝有关部门的监督检查或者向监督检查部门提供虚假情况。</w:t>
      </w:r>
    </w:p>
    <w:p w14:paraId="7638F61E">
      <w:pPr>
        <w:keepNext w:val="0"/>
        <w:keepLines w:val="0"/>
        <w:pageBreakBefore w:val="0"/>
        <w:widowControl w:val="0"/>
        <w:kinsoku/>
        <w:wordWrap/>
        <w:overflowPunct/>
        <w:topLinePunct w:val="0"/>
        <w:bidi w:val="0"/>
        <w:spacing w:line="36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4、磋商：</w:t>
      </w:r>
      <w:r>
        <w:rPr>
          <w:rFonts w:hint="eastAsia" w:ascii="宋体" w:hAnsi="宋体" w:eastAsia="宋体" w:cs="宋体"/>
          <w:color w:val="auto"/>
          <w:sz w:val="21"/>
          <w:szCs w:val="21"/>
          <w:highlight w:val="none"/>
        </w:rPr>
        <w:t>磋商小组所有成员集中与单一供应商分别进行磋商，并要求供应商在规定的时间内提交最后报价。在磋商过程中，磋商小组可以根据</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和磋商情况实质性变动采购需求中的技术、服务要求以及合同草案条款，但不得变动</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中的其它内容。实质性变动得内容，需经采购人代表确认。</w:t>
      </w:r>
    </w:p>
    <w:p w14:paraId="415EEA1D">
      <w:pPr>
        <w:keepNext w:val="0"/>
        <w:keepLines w:val="0"/>
        <w:pageBreakBefore w:val="0"/>
        <w:widowControl w:val="0"/>
        <w:kinsoku/>
        <w:wordWrap/>
        <w:overflowPunct/>
        <w:topLinePunct w:val="0"/>
        <w:bidi w:val="0"/>
        <w:spacing w:line="36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5、综合评审：</w:t>
      </w:r>
      <w:r>
        <w:rPr>
          <w:rFonts w:hint="eastAsia" w:ascii="宋体" w:hAnsi="宋体" w:eastAsia="宋体" w:cs="宋体"/>
          <w:color w:val="auto"/>
          <w:sz w:val="21"/>
          <w:szCs w:val="21"/>
          <w:highlight w:val="none"/>
        </w:rPr>
        <w:t>对于经初审合格的所有供应商，由磋商小组各成员依据</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和最终报价，按照下列《</w:t>
      </w:r>
      <w:r>
        <w:rPr>
          <w:rFonts w:hint="eastAsia" w:ascii="宋体" w:hAnsi="宋体" w:eastAsia="宋体" w:cs="宋体"/>
          <w:bCs/>
          <w:color w:val="auto"/>
          <w:sz w:val="21"/>
          <w:szCs w:val="21"/>
          <w:highlight w:val="none"/>
        </w:rPr>
        <w:t>评标因素及权重分值表</w:t>
      </w:r>
      <w:r>
        <w:rPr>
          <w:rFonts w:hint="eastAsia" w:ascii="宋体" w:hAnsi="宋体" w:eastAsia="宋体" w:cs="宋体"/>
          <w:color w:val="auto"/>
          <w:sz w:val="21"/>
          <w:szCs w:val="21"/>
          <w:highlight w:val="none"/>
        </w:rPr>
        <w:t>》规定的内容独立进行综合评价、比较打分，然后汇总每个供应商的得分，从高到低依次排序，推荐成交候选人。</w:t>
      </w:r>
    </w:p>
    <w:p w14:paraId="278A1C46">
      <w:pPr>
        <w:keepNext w:val="0"/>
        <w:keepLines w:val="0"/>
        <w:pageBreakBefore w:val="0"/>
        <w:widowControl w:val="0"/>
        <w:kinsoku/>
        <w:wordWrap/>
        <w:overflowPunct/>
        <w:topLinePunct w:val="0"/>
        <w:autoSpaceDE w:val="0"/>
        <w:autoSpaceDN w:val="0"/>
        <w:bidi w:val="0"/>
        <w:adjustRightInd w:val="0"/>
        <w:snapToGrid w:val="0"/>
        <w:spacing w:line="360" w:lineRule="exact"/>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6、</w:t>
      </w:r>
      <w:r>
        <w:rPr>
          <w:rFonts w:hint="eastAsia" w:ascii="宋体" w:hAnsi="宋体" w:eastAsia="宋体" w:cs="宋体"/>
          <w:b/>
          <w:bCs/>
          <w:color w:val="auto"/>
          <w:sz w:val="21"/>
          <w:szCs w:val="21"/>
          <w:highlight w:val="none"/>
          <w:lang w:val="zh-CN"/>
        </w:rPr>
        <w:t>评审内容、原则及标准（满分100分）</w:t>
      </w:r>
    </w:p>
    <w:p w14:paraId="1B66361D">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zh-CN"/>
        </w:rPr>
        <w:t>.1、磋商小组将遵循公开、公平、公正和择优的原则，对所有供应商的竞争性磋商响应文件评审，都采用相同的程序和标准。</w:t>
      </w:r>
    </w:p>
    <w:p w14:paraId="649BED38">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zh-CN"/>
        </w:rPr>
        <w:t>.2、评审过程的保密：在竞争性磋商响应文件的评审、比较、成交候选单位推荐以及授予合同的过程中，供应商向采购人和磋商小组施加影响的任何行为，都将会导致其报价被拒绝。</w:t>
      </w:r>
    </w:p>
    <w:p w14:paraId="45F2231C">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zh-CN"/>
        </w:rPr>
        <w:t>.3、评审原则和办法：</w:t>
      </w:r>
    </w:p>
    <w:p w14:paraId="50DD90EA">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rPr>
        <w:t>（1）</w:t>
      </w:r>
      <w:r>
        <w:rPr>
          <w:rFonts w:hint="eastAsia" w:ascii="宋体" w:hAnsi="宋体" w:eastAsia="宋体" w:cs="宋体"/>
          <w:color w:val="auto"/>
          <w:sz w:val="21"/>
          <w:szCs w:val="21"/>
          <w:highlight w:val="none"/>
          <w:lang w:val="zh-CN"/>
        </w:rPr>
        <w:t>综合评分法：即在最大限度地满足竞争性磋商文件实质性要求前提下，按照竞争性磋商文件中规定的各项因素进行综合评审后，以评审总得分顺序推荐成交候选单位。</w:t>
      </w:r>
    </w:p>
    <w:p w14:paraId="39F84F3A">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lang w:val="zh-CN"/>
        </w:rPr>
        <w:t>磋商小组各专家独立评分，按评审后综合得分由高到低顺序排列，推荐成交候选单位。得分相同的，按磋商报价由低到高顺序排列，得分且磋商报价相同的，比较技术指标得分，此技术得分高者排在前。</w:t>
      </w:r>
    </w:p>
    <w:p w14:paraId="03FF9BE8">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lang w:val="zh-CN"/>
        </w:rPr>
        <w:t>专家评分超过得分界限或未按照本办法规定时，该专家的该项评分作废，不计入汇总；计算采用插入法，数字均保留二位小数，第三位“四舍五入”；评审过程中，若出现本办法以外的特殊情况时，将暂停评审，有关情况待磋商小组确定后，再行评定。</w:t>
      </w:r>
    </w:p>
    <w:p w14:paraId="3E9663C4">
      <w:pPr>
        <w:keepNext w:val="0"/>
        <w:keepLines w:val="0"/>
        <w:pageBreakBefore w:val="0"/>
        <w:widowControl w:val="0"/>
        <w:kinsoku/>
        <w:wordWrap/>
        <w:overflowPunct/>
        <w:topLinePunct w:val="0"/>
        <w:autoSpaceDE w:val="0"/>
        <w:autoSpaceDN w:val="0"/>
        <w:bidi w:val="0"/>
        <w:adjustRightInd w:val="0"/>
        <w:snapToGrid w:val="0"/>
        <w:spacing w:line="360" w:lineRule="exact"/>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7、</w:t>
      </w:r>
      <w:r>
        <w:rPr>
          <w:rFonts w:hint="eastAsia" w:ascii="宋体" w:hAnsi="宋体" w:eastAsia="宋体" w:cs="宋体"/>
          <w:b/>
          <w:bCs/>
          <w:color w:val="auto"/>
          <w:sz w:val="21"/>
          <w:szCs w:val="21"/>
          <w:highlight w:val="none"/>
          <w:lang w:val="zh-CN"/>
        </w:rPr>
        <w:t>需要落实的政府采购政策</w:t>
      </w:r>
    </w:p>
    <w:p w14:paraId="4701B05D">
      <w:pPr>
        <w:keepNext w:val="0"/>
        <w:keepLines w:val="0"/>
        <w:pageBreakBefore w:val="0"/>
        <w:widowControl w:val="0"/>
        <w:kinsoku/>
        <w:wordWrap/>
        <w:overflowPunct/>
        <w:topLinePunct w:val="0"/>
        <w:bidi w:val="0"/>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7.1、关于印发《政府采购促进中小企业发展管理办法》的通知--（财库〔2020〕46号）</w:t>
      </w:r>
    </w:p>
    <w:p w14:paraId="455F59F4">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根据《政府采购促进中小企业发展管理办法》（财库〔2020〕46 号）的有关规定，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w:t>
      </w:r>
      <w:r>
        <w:rPr>
          <w:rFonts w:hint="eastAsia" w:ascii="宋体" w:hAnsi="宋体" w:eastAsia="宋体" w:cs="宋体"/>
          <w:color w:val="auto"/>
          <w:sz w:val="21"/>
          <w:szCs w:val="21"/>
          <w:highlight w:val="none"/>
          <w:lang w:val="en-US" w:eastAsia="zh-CN"/>
        </w:rPr>
        <w:t>民法典</w:t>
      </w:r>
      <w:r>
        <w:rPr>
          <w:rFonts w:hint="eastAsia" w:ascii="宋体" w:hAnsi="宋体" w:eastAsia="宋体" w:cs="宋体"/>
          <w:color w:val="auto"/>
          <w:sz w:val="21"/>
          <w:szCs w:val="21"/>
          <w:highlight w:val="none"/>
        </w:rPr>
        <w:t>》订立劳动合同的从业人员。</w:t>
      </w:r>
    </w:p>
    <w:p w14:paraId="265F562F">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在货物采购项目中，供应商提供的货物既有中小企业制造货物，也有大型企业制造货物的，不享受本办法规定的中小企业扶持政策。</w:t>
      </w:r>
    </w:p>
    <w:p w14:paraId="629846B6">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以联合体形式参加政府采购活动，联合体各方均为中小企业的，联合体视同中小企业。其中，联合体各方均为小微企业的，联合体视同小微企业。</w:t>
      </w:r>
    </w:p>
    <w:p w14:paraId="3DD0A5EA">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参加政府采购活动的中小企业应提供《中小企业声明函》原件。否则不得享受相关中小企业扶持政策。</w:t>
      </w:r>
    </w:p>
    <w:p w14:paraId="124D9B41">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7.2、财政部司法部关于政府采购支持监狱企业发展有关问题的通知--（财库〔2014〕68号）</w:t>
      </w:r>
    </w:p>
    <w:p w14:paraId="54E0498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政府采购支持监狱企业发展有关问题的通知》（财库（2014）68号）规定，在政府采购活动中，监狱企业视同小型、微型企业，享受政府采购促进中小企业发展的政府采购政策。监狱企业参加政府采购活动时，应当提供由省级以上监狱管理局、戒毒管理局（含新疆生产建设兵团）出具的属于监狱企业的证明文件。</w:t>
      </w:r>
    </w:p>
    <w:p w14:paraId="61DA7CDC">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7.3、《关于促进残疾人就业政府采购政策的通知》（财库〔2017〕141 号）</w:t>
      </w:r>
    </w:p>
    <w:p w14:paraId="036061B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财政部、民政部、中国残疾人联合会下发的《关于促进残疾人就业政府采购政策的通知》（财库〔2017〕141号）的规定，残疾人福利性单位提供本单位制造的货物、承担的服务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4E44015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参加政府采购活动的残疾人单位应提供《残疾人福利性单位声明函》原件。未提供上述声明函原件，不能享受</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规定的价格扣除，但不影响</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的有效性。</w:t>
      </w:r>
    </w:p>
    <w:p w14:paraId="132DD592">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7.4、《国务院办公厅关于建立政府强制采购节能产品制度的通知》--（国办发〔2007〕51号）</w:t>
      </w:r>
    </w:p>
    <w:p w14:paraId="3D50060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各级政府机构使用财政性资金进行政府采购活动时，在技术、服务等指标满足采购需求的前提下，要优先采购节能产品，对部分节能效果、性能等达到要求的产品，实行强制采购。</w:t>
      </w:r>
    </w:p>
    <w:p w14:paraId="160E79FE">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7.5、《节能产品政府采购实施意见》--（财库[2004]185号） </w:t>
      </w:r>
    </w:p>
    <w:p w14:paraId="686EB20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根据《节能产品政府采购实施意见》--（财库[2004]185号）规定，采购人采购的产品在品目清单中并具有认证证书的，在技术、服务等指标同等条件下，应当优先采购节能清单所列的节能产品。</w:t>
      </w:r>
    </w:p>
    <w:p w14:paraId="6815C22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属于品目清单范围中实施政府强制采购的，需提供依据国家确定的认证机构出具的、处于有效期之内的节能产品认证证书，属于品目清单范围中实施政府优先采购的，依据提供的品目清单和认证证书实施政府优先采购。</w:t>
      </w:r>
    </w:p>
    <w:p w14:paraId="403721E5">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7.6、《环境标志产品政府采购实施的意见》--（财库[2006]90号）</w:t>
      </w:r>
    </w:p>
    <w:p w14:paraId="47D8260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根据《环境标志产品政府采购实施的意见》--</w:t>
      </w:r>
      <w:r>
        <w:rPr>
          <w:rFonts w:hint="eastAsia" w:ascii="宋体" w:hAnsi="宋体" w:eastAsia="宋体" w:cs="宋体"/>
          <w:b w:val="0"/>
          <w:bCs w:val="0"/>
          <w:color w:val="auto"/>
          <w:sz w:val="21"/>
          <w:szCs w:val="21"/>
          <w:highlight w:val="none"/>
        </w:rPr>
        <w:t>（财库[2006]90号）</w:t>
      </w:r>
      <w:r>
        <w:rPr>
          <w:rFonts w:hint="eastAsia" w:ascii="宋体" w:hAnsi="宋体" w:eastAsia="宋体" w:cs="宋体"/>
          <w:color w:val="auto"/>
          <w:sz w:val="21"/>
          <w:szCs w:val="21"/>
          <w:highlight w:val="none"/>
        </w:rPr>
        <w:t>规定，采购人采购的产品在品目清单中并具有认证证书的，在性能、技术、服务等指标同等条件下，应当优先采购清单中的产品。</w:t>
      </w:r>
    </w:p>
    <w:p w14:paraId="2457DC0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属于品目清单范围中实施政府强制采购的，需提供依据国家确定的认证机构出具的、处于有效期之内的环境标志产品认证证书，属于品目清单范围中实施政府优先采购的，依据提供的品目清单和认证证书实施政府优先采购。</w:t>
      </w:r>
    </w:p>
    <w:p w14:paraId="22339CD6">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7.7、《关于调整优化节能产品、环境标志产品政府采购执行机制的通知》（财库〔2019〕9号）</w:t>
      </w:r>
    </w:p>
    <w:p w14:paraId="6C22A0E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根据财政部、国家发改委、生态环境部、市场监管总局联合印发《关于调整优化节能产品、环境标志产品政府采购执行机制的通知》（财库〔2019〕9 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72EEDAEE">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7.8、《关于印发环境标志产品政府采购品目清单的通知》（财库〔2019〕18号）</w:t>
      </w:r>
    </w:p>
    <w:p w14:paraId="0318F1CC">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7.9、《关于印发节能产品政府采购品目清单的通知》（财库〔2019〕19号）</w:t>
      </w:r>
    </w:p>
    <w:p w14:paraId="2AB85820">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7.10、《关于运用政府采购政策支持乡村产业振兴的通知》（财库〔2021〕19号）</w:t>
      </w:r>
    </w:p>
    <w:p w14:paraId="779B1610">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7.11、《陕西省中小企业政府采购信用融资办法》（陕财办采〔2018〕23号）</w:t>
      </w:r>
    </w:p>
    <w:p w14:paraId="34CB5A97">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7.12、《陕西省财政厅关于加快推进我省中小企业政府采购信用融资工作的通知》（陕财办采〔2020〕15号）</w:t>
      </w:r>
    </w:p>
    <w:p w14:paraId="656112B6">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7.13、《财政部关于在政府采购活动中查询及使用信用记录有关问题的通知》（财库〔2016〕125号）</w:t>
      </w:r>
    </w:p>
    <w:p w14:paraId="12F1ECA4">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7.14、《财政部关于进一步加大政府采购支持中小企业力度的通知》（财库〔2022〕19号）；</w:t>
      </w:r>
    </w:p>
    <w:p w14:paraId="47445DE3">
      <w:pPr>
        <w:keepNext w:val="0"/>
        <w:keepLines w:val="0"/>
        <w:pageBreakBefore w:val="0"/>
        <w:widowControl w:val="0"/>
        <w:kinsoku/>
        <w:wordWrap/>
        <w:overflowPunct/>
        <w:topLinePunct w:val="0"/>
        <w:autoSpaceDE/>
        <w:autoSpaceDN/>
        <w:bidi w:val="0"/>
        <w:adjustRightInd/>
        <w:snapToGrid/>
        <w:spacing w:line="360" w:lineRule="exact"/>
        <w:ind w:lef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8、政策性扣减</w:t>
      </w:r>
    </w:p>
    <w:p w14:paraId="56DEB482">
      <w:pPr>
        <w:keepLines w:val="0"/>
        <w:pageBreakBefore w:val="0"/>
        <w:widowControl w:val="0"/>
        <w:kinsoku/>
        <w:wordWrap/>
        <w:overflowPunct/>
        <w:topLinePunct w:val="0"/>
        <w:bidi w:val="0"/>
        <w:spacing w:line="36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8</w:t>
      </w:r>
      <w:r>
        <w:rPr>
          <w:rFonts w:hint="eastAsia" w:ascii="宋体" w:hAnsi="宋体" w:eastAsia="宋体" w:cs="宋体"/>
          <w:b/>
          <w:bCs/>
          <w:color w:val="auto"/>
          <w:sz w:val="21"/>
          <w:szCs w:val="21"/>
        </w:rPr>
        <w:t>.1、</w:t>
      </w:r>
      <w:r>
        <w:rPr>
          <w:rFonts w:hint="eastAsia" w:ascii="宋体" w:hAnsi="宋体" w:cs="宋体"/>
          <w:b/>
          <w:bCs/>
          <w:color w:val="auto"/>
          <w:sz w:val="21"/>
          <w:szCs w:val="21"/>
          <w:lang w:val="en-US" w:eastAsia="zh-CN"/>
        </w:rPr>
        <w:t>中小</w:t>
      </w:r>
      <w:r>
        <w:rPr>
          <w:rFonts w:hint="eastAsia" w:ascii="宋体" w:hAnsi="宋体" w:eastAsia="宋体" w:cs="宋体"/>
          <w:b/>
          <w:bCs/>
          <w:color w:val="auto"/>
          <w:sz w:val="21"/>
          <w:szCs w:val="21"/>
        </w:rPr>
        <w:t>企业</w:t>
      </w:r>
    </w:p>
    <w:p w14:paraId="53888BF8">
      <w:pPr>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依照&lt;关于印发《政府采购促进中小企业发展管理办法》（财库〔2020〕46号）</w:t>
      </w:r>
      <w:r>
        <w:rPr>
          <w:rFonts w:hint="eastAsia" w:ascii="宋体" w:hAnsi="宋体" w:eastAsia="宋体" w:cs="宋体"/>
          <w:color w:val="auto"/>
          <w:sz w:val="21"/>
          <w:szCs w:val="21"/>
          <w:lang w:val="en-US" w:eastAsia="zh-CN"/>
        </w:rPr>
        <w:t>&gt;</w:t>
      </w:r>
      <w:r>
        <w:rPr>
          <w:rFonts w:hint="eastAsia" w:ascii="宋体" w:hAnsi="宋体" w:eastAsia="宋体" w:cs="宋体"/>
          <w:color w:val="auto"/>
          <w:sz w:val="21"/>
          <w:szCs w:val="21"/>
        </w:rPr>
        <w:t>的规定，中小企业参加政府采购活动，应当出具本办法规定的《中小企业声明函》，否则，按照有关规定予以处理。任何单位和个人不得要求供应商提供《中小企业声明函》之外的中小企业身份证明文件。供应商提供的《中小企业声明函》资料必须真实。</w:t>
      </w:r>
    </w:p>
    <w:p w14:paraId="1AE45341">
      <w:pPr>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专门面向中小企业采购项目不享受优惠政策；</w:t>
      </w:r>
    </w:p>
    <w:p w14:paraId="317C619D">
      <w:pPr>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非专门面向中小企业采购项目(价格扣除)：对小型和微型企业的价格给予</w:t>
      </w:r>
      <w:r>
        <w:rPr>
          <w:rFonts w:hint="eastAsia" w:ascii="宋体" w:hAnsi="宋体" w:eastAsia="宋体" w:cs="宋体"/>
          <w:color w:val="auto"/>
          <w:sz w:val="21"/>
          <w:szCs w:val="21"/>
          <w:lang w:val="en-US" w:eastAsia="zh-CN"/>
        </w:rPr>
        <w:t>3%～5%</w:t>
      </w:r>
      <w:r>
        <w:rPr>
          <w:rFonts w:hint="eastAsia" w:ascii="宋体" w:hAnsi="宋体" w:eastAsia="宋体" w:cs="宋体"/>
          <w:color w:val="auto"/>
          <w:sz w:val="21"/>
          <w:szCs w:val="21"/>
        </w:rPr>
        <w:t>的扣除，用扣除后的价格参与</w:t>
      </w:r>
      <w:r>
        <w:rPr>
          <w:rFonts w:hint="eastAsia" w:ascii="宋体" w:hAnsi="宋体" w:eastAsia="宋体" w:cs="宋体"/>
          <w:color w:val="auto"/>
          <w:sz w:val="21"/>
          <w:szCs w:val="21"/>
          <w:lang w:eastAsia="zh-CN"/>
        </w:rPr>
        <w:t>评标</w:t>
      </w:r>
      <w:r>
        <w:rPr>
          <w:rFonts w:hint="eastAsia" w:ascii="宋体" w:hAnsi="宋体" w:eastAsia="宋体" w:cs="宋体"/>
          <w:color w:val="auto"/>
          <w:sz w:val="21"/>
          <w:szCs w:val="21"/>
        </w:rPr>
        <w:t>。本项目的扣除比例为：小型企业扣除</w:t>
      </w:r>
      <w:r>
        <w:rPr>
          <w:rFonts w:hint="eastAsia" w:ascii="宋体" w:hAnsi="宋体" w:eastAsia="宋体" w:cs="宋体"/>
          <w:color w:val="auto"/>
          <w:sz w:val="21"/>
          <w:szCs w:val="21"/>
          <w:u w:val="single"/>
          <w:lang w:val="en-US" w:eastAsia="zh-CN"/>
        </w:rPr>
        <w:t>3</w:t>
      </w:r>
      <w:r>
        <w:rPr>
          <w:rFonts w:hint="eastAsia" w:ascii="宋体" w:hAnsi="宋体" w:eastAsia="宋体" w:cs="宋体"/>
          <w:color w:val="auto"/>
          <w:sz w:val="21"/>
          <w:szCs w:val="21"/>
        </w:rPr>
        <w:t>%，微型企业扣除</w:t>
      </w:r>
      <w:r>
        <w:rPr>
          <w:rFonts w:hint="eastAsia" w:ascii="宋体" w:hAnsi="宋体" w:eastAsia="宋体" w:cs="宋体"/>
          <w:color w:val="auto"/>
          <w:sz w:val="21"/>
          <w:szCs w:val="21"/>
          <w:u w:val="single"/>
          <w:lang w:val="en-US" w:eastAsia="zh-CN"/>
        </w:rPr>
        <w:t>3</w:t>
      </w:r>
      <w:r>
        <w:rPr>
          <w:rFonts w:hint="eastAsia" w:ascii="宋体" w:hAnsi="宋体" w:eastAsia="宋体" w:cs="宋体"/>
          <w:color w:val="auto"/>
          <w:sz w:val="21"/>
          <w:szCs w:val="21"/>
        </w:rPr>
        <w:t>%。</w:t>
      </w:r>
    </w:p>
    <w:p w14:paraId="27C73F61">
      <w:pPr>
        <w:keepLines w:val="0"/>
        <w:pageBreakBefore w:val="0"/>
        <w:widowControl w:val="0"/>
        <w:kinsoku/>
        <w:wordWrap/>
        <w:overflowPunct/>
        <w:topLinePunct w:val="0"/>
        <w:bidi w:val="0"/>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8</w:t>
      </w:r>
      <w:r>
        <w:rPr>
          <w:rFonts w:hint="eastAsia" w:ascii="宋体" w:hAnsi="宋体" w:eastAsia="宋体" w:cs="宋体"/>
          <w:b/>
          <w:bCs/>
          <w:color w:val="auto"/>
          <w:sz w:val="21"/>
          <w:szCs w:val="21"/>
        </w:rPr>
        <w:t>.2、支持监狱企业</w:t>
      </w:r>
    </w:p>
    <w:p w14:paraId="38EF22F2">
      <w:pPr>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非专门面向监狱采购项目(价格扣除)：监狱企业可视同小微企业在价格评审时给予</w:t>
      </w:r>
      <w:r>
        <w:rPr>
          <w:rFonts w:hint="eastAsia" w:ascii="宋体" w:hAnsi="宋体" w:eastAsia="宋体" w:cs="宋体"/>
          <w:color w:val="auto"/>
          <w:sz w:val="21"/>
          <w:szCs w:val="21"/>
          <w:lang w:val="en-US" w:eastAsia="zh-CN"/>
        </w:rPr>
        <w:t>3%～5%</w:t>
      </w:r>
      <w:r>
        <w:rPr>
          <w:rFonts w:hint="eastAsia" w:ascii="宋体" w:hAnsi="宋体" w:eastAsia="宋体" w:cs="宋体"/>
          <w:color w:val="auto"/>
          <w:sz w:val="21"/>
          <w:szCs w:val="21"/>
        </w:rPr>
        <w:t>的扣除，用扣除后的价格参与</w:t>
      </w:r>
      <w:r>
        <w:rPr>
          <w:rFonts w:hint="eastAsia" w:ascii="宋体" w:hAnsi="宋体" w:eastAsia="宋体" w:cs="宋体"/>
          <w:color w:val="auto"/>
          <w:sz w:val="21"/>
          <w:szCs w:val="21"/>
          <w:lang w:eastAsia="zh-CN"/>
        </w:rPr>
        <w:t>评标</w:t>
      </w:r>
      <w:r>
        <w:rPr>
          <w:rFonts w:hint="eastAsia" w:ascii="宋体" w:hAnsi="宋体" w:eastAsia="宋体" w:cs="宋体"/>
          <w:color w:val="auto"/>
          <w:sz w:val="21"/>
          <w:szCs w:val="21"/>
        </w:rPr>
        <w:t>。本项目的扣除比例为：扣除</w:t>
      </w:r>
      <w:r>
        <w:rPr>
          <w:rFonts w:hint="eastAsia" w:ascii="宋体" w:hAnsi="宋体" w:eastAsia="宋体" w:cs="宋体"/>
          <w:color w:val="auto"/>
          <w:sz w:val="21"/>
          <w:szCs w:val="21"/>
          <w:u w:val="single"/>
          <w:lang w:val="en-US" w:eastAsia="zh-CN"/>
        </w:rPr>
        <w:t>3</w:t>
      </w:r>
      <w:r>
        <w:rPr>
          <w:rFonts w:hint="eastAsia" w:ascii="宋体" w:hAnsi="宋体" w:eastAsia="宋体" w:cs="宋体"/>
          <w:color w:val="auto"/>
          <w:sz w:val="21"/>
          <w:szCs w:val="21"/>
        </w:rPr>
        <w:t>%。</w:t>
      </w:r>
    </w:p>
    <w:p w14:paraId="7CD9BCDA">
      <w:pPr>
        <w:keepLines w:val="0"/>
        <w:pageBreakBefore w:val="0"/>
        <w:widowControl w:val="0"/>
        <w:kinsoku/>
        <w:wordWrap/>
        <w:overflowPunct/>
        <w:topLinePunct w:val="0"/>
        <w:bidi w:val="0"/>
        <w:spacing w:line="36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8</w:t>
      </w:r>
      <w:r>
        <w:rPr>
          <w:rFonts w:hint="eastAsia" w:ascii="宋体" w:hAnsi="宋体" w:eastAsia="宋体" w:cs="宋体"/>
          <w:b/>
          <w:bCs/>
          <w:color w:val="auto"/>
          <w:sz w:val="21"/>
          <w:szCs w:val="21"/>
        </w:rPr>
        <w:t>.3、其他法律法规强制性规定或扶持政策</w:t>
      </w:r>
    </w:p>
    <w:p w14:paraId="4CB54D82">
      <w:pPr>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残疾人福利性单位可视同小微企业在价格评审时给予</w:t>
      </w: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的扣除，用扣除后的价格参与评审</w:t>
      </w:r>
      <w:r>
        <w:rPr>
          <w:rFonts w:hint="eastAsia" w:ascii="宋体" w:hAnsi="宋体" w:eastAsia="宋体" w:cs="宋体"/>
          <w:color w:val="auto"/>
          <w:sz w:val="21"/>
          <w:szCs w:val="21"/>
        </w:rPr>
        <w:t>。</w:t>
      </w:r>
    </w:p>
    <w:p w14:paraId="4567F7E9">
      <w:pPr>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本项目的扣除比例为：扣除</w:t>
      </w:r>
      <w:r>
        <w:rPr>
          <w:rFonts w:hint="eastAsia" w:ascii="宋体" w:hAnsi="宋体" w:eastAsia="宋体" w:cs="宋体"/>
          <w:color w:val="auto"/>
          <w:sz w:val="21"/>
          <w:szCs w:val="21"/>
          <w:u w:val="single"/>
          <w:lang w:val="en-US" w:eastAsia="zh-CN"/>
        </w:rPr>
        <w:t>3</w:t>
      </w:r>
      <w:r>
        <w:rPr>
          <w:rFonts w:hint="eastAsia" w:ascii="宋体" w:hAnsi="宋体" w:eastAsia="宋体" w:cs="宋体"/>
          <w:color w:val="auto"/>
          <w:sz w:val="21"/>
          <w:szCs w:val="21"/>
        </w:rPr>
        <w:t>%；但应满足下列条件：</w:t>
      </w:r>
    </w:p>
    <w:p w14:paraId="46C7708D">
      <w:pPr>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残疾人福利性单位应符合《财政部、民政部、中国残疾人联合会关于促进残疾人就业政府采购政策的通知》（财库[2017]141号）文件规定，并提供《残疾人福利性单位声明函》，并对声明的真实性负责。</w:t>
      </w:r>
    </w:p>
    <w:p w14:paraId="7E40C43D">
      <w:pPr>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残疾人福利性单位属于小型、微型企业的，不重复享受政策。</w:t>
      </w:r>
    </w:p>
    <w:p w14:paraId="5BBF60F6">
      <w:pPr>
        <w:keepNext w:val="0"/>
        <w:keepLines w:val="0"/>
        <w:pageBreakBefore w:val="0"/>
        <w:widowControl w:val="0"/>
        <w:shd w:val="clear"/>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8.4、</w:t>
      </w:r>
      <w:r>
        <w:rPr>
          <w:rFonts w:hint="eastAsia" w:ascii="宋体" w:hAnsi="宋体" w:eastAsia="宋体" w:cs="宋体"/>
          <w:color w:val="auto"/>
          <w:sz w:val="21"/>
          <w:szCs w:val="21"/>
          <w:lang w:val="en-US" w:eastAsia="zh-CN"/>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1%～2%的扣除，本项目的扣除比例为：扣除1%；组成联合体或者接受分包的小微企业与联合体内其他企业、分包企业之间存在直接控股、管理关系的，不享受价格扣除优惠政策。享受扶持政策获得政府采购合同的，小微企业不得将合同分包给大中型企业，中型企业不得将合同分包给大型企业</w:t>
      </w:r>
      <w:r>
        <w:rPr>
          <w:rFonts w:hint="eastAsia" w:ascii="宋体" w:hAnsi="宋体" w:eastAsia="宋体" w:cs="宋体"/>
          <w:color w:val="auto"/>
          <w:sz w:val="21"/>
          <w:szCs w:val="21"/>
        </w:rPr>
        <w:t>。</w:t>
      </w:r>
    </w:p>
    <w:p w14:paraId="0CC127D6">
      <w:pPr>
        <w:keepLines w:val="0"/>
        <w:pageBreakBefore w:val="0"/>
        <w:widowControl w:val="0"/>
        <w:kinsoku/>
        <w:wordWrap/>
        <w:overflowPunct/>
        <w:topLinePunct w:val="0"/>
        <w:bidi w:val="0"/>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8</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5</w:t>
      </w:r>
      <w:r>
        <w:rPr>
          <w:rFonts w:hint="eastAsia" w:ascii="宋体" w:hAnsi="宋体" w:eastAsia="宋体" w:cs="宋体"/>
          <w:b/>
          <w:bCs/>
          <w:color w:val="auto"/>
          <w:sz w:val="21"/>
          <w:szCs w:val="21"/>
        </w:rPr>
        <w:t>、</w:t>
      </w:r>
      <w:r>
        <w:rPr>
          <w:rFonts w:hint="eastAsia" w:ascii="宋体" w:hAnsi="宋体" w:eastAsia="宋体" w:cs="宋体"/>
          <w:color w:val="auto"/>
          <w:sz w:val="21"/>
          <w:szCs w:val="21"/>
        </w:rPr>
        <w:t>采购人拟采购产品属于优先采购节能、环境标志产品范围的，应当优先采购节能、环境标志产品；拟采购产品符合政府采购强制采购政策的，实行强制采购。</w:t>
      </w:r>
    </w:p>
    <w:p w14:paraId="263C909E">
      <w:pPr>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（1）采购人依据节能产品、环境标志产品品目清单和节能、环境标志产品认证证书实施政府优先采购和强制采购。</w:t>
      </w:r>
    </w:p>
    <w:p w14:paraId="71B2D1B7">
      <w:pPr>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采购人拟采购的产品属于品目清单范围的，采购人及其委托的采购代理机构将依据国家确定的认证机构出具的、处于有效期之内的节能、环境标志产品认证证书，对获得证书的产品实施政府优先采购或强制采购。</w:t>
      </w:r>
    </w:p>
    <w:p w14:paraId="4981EFB0">
      <w:pPr>
        <w:keepLines w:val="0"/>
        <w:pageBreakBefore w:val="0"/>
        <w:widowControl w:val="0"/>
        <w:kinsoku/>
        <w:wordWrap/>
        <w:overflowPunct/>
        <w:topLinePunct w:val="0"/>
        <w:bidi w:val="0"/>
        <w:spacing w:line="360" w:lineRule="exact"/>
        <w:ind w:firstLine="422" w:firstLineChars="200"/>
        <w:textAlignment w:val="auto"/>
        <w:rPr>
          <w:rFonts w:hint="eastAsia" w:ascii="宋体" w:hAnsi="宋体" w:eastAsia="宋体" w:cs="宋体"/>
          <w:b/>
          <w:bCs/>
          <w:color w:val="auto"/>
          <w:sz w:val="21"/>
          <w:szCs w:val="21"/>
          <w:highlight w:val="yellow"/>
          <w:lang w:eastAsia="zh-CN"/>
        </w:rPr>
        <w:sectPr>
          <w:headerReference r:id="rId17" w:type="default"/>
          <w:footerReference r:id="rId18" w:type="default"/>
          <w:pgSz w:w="11906" w:h="16838"/>
          <w:pgMar w:top="1440" w:right="1080" w:bottom="1440" w:left="1080" w:header="851" w:footer="992" w:gutter="0"/>
          <w:pgNumType w:fmt="decimal"/>
          <w:cols w:space="425" w:num="1"/>
          <w:docGrid w:linePitch="312" w:charSpace="0"/>
        </w:sectPr>
      </w:pPr>
      <w:r>
        <w:rPr>
          <w:rFonts w:hint="eastAsia" w:ascii="宋体" w:hAnsi="宋体" w:eastAsia="宋体" w:cs="宋体"/>
          <w:b/>
          <w:bCs/>
          <w:color w:val="auto"/>
          <w:sz w:val="21"/>
          <w:szCs w:val="21"/>
          <w:lang w:val="en-US" w:eastAsia="zh-CN"/>
        </w:rPr>
        <w:t>8</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6</w:t>
      </w:r>
      <w:r>
        <w:rPr>
          <w:rFonts w:hint="eastAsia" w:ascii="宋体" w:hAnsi="宋体" w:eastAsia="宋体" w:cs="宋体"/>
          <w:b/>
          <w:bCs/>
          <w:color w:val="auto"/>
          <w:sz w:val="21"/>
          <w:szCs w:val="21"/>
        </w:rPr>
        <w:t>、</w:t>
      </w:r>
      <w:r>
        <w:rPr>
          <w:rFonts w:hint="eastAsia" w:ascii="宋体" w:hAnsi="宋体" w:eastAsia="宋体" w:cs="宋体"/>
          <w:color w:val="auto"/>
          <w:sz w:val="21"/>
          <w:szCs w:val="21"/>
        </w:rPr>
        <w:t>供应商享受支持中小型企业发展政策优惠的，可以同时享受节能、环境标志产品优先采购政策</w:t>
      </w:r>
      <w:r>
        <w:rPr>
          <w:rFonts w:hint="eastAsia" w:ascii="宋体" w:hAnsi="宋体" w:eastAsia="宋体" w:cs="宋体"/>
          <w:color w:val="auto"/>
          <w:sz w:val="21"/>
          <w:szCs w:val="21"/>
          <w:lang w:eastAsia="zh-CN"/>
        </w:rPr>
        <w:t>。</w:t>
      </w:r>
    </w:p>
    <w:p w14:paraId="1FE5977B">
      <w:pPr>
        <w:pStyle w:val="1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附件1：</w:t>
      </w:r>
    </w:p>
    <w:p w14:paraId="04C15EB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〖资格性审查表〗</w:t>
      </w:r>
    </w:p>
    <w:tbl>
      <w:tblPr>
        <w:tblStyle w:val="37"/>
        <w:tblW w:w="10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517"/>
        <w:gridCol w:w="783"/>
        <w:gridCol w:w="8395"/>
      </w:tblGrid>
      <w:tr w14:paraId="4A79C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26" w:type="dxa"/>
            <w:gridSpan w:val="2"/>
            <w:vAlign w:val="center"/>
          </w:tcPr>
          <w:p w14:paraId="0980EAB6">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条款号</w:t>
            </w:r>
          </w:p>
        </w:tc>
        <w:tc>
          <w:tcPr>
            <w:tcW w:w="783" w:type="dxa"/>
            <w:vAlign w:val="center"/>
          </w:tcPr>
          <w:p w14:paraId="2EFA8B87">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评标</w:t>
            </w:r>
            <w:r>
              <w:rPr>
                <w:rFonts w:hint="eastAsia" w:ascii="宋体" w:hAnsi="宋体" w:eastAsia="宋体" w:cs="宋体"/>
                <w:bCs/>
                <w:color w:val="auto"/>
                <w:sz w:val="21"/>
                <w:szCs w:val="21"/>
                <w:highlight w:val="none"/>
              </w:rPr>
              <w:t>因素</w:t>
            </w:r>
          </w:p>
        </w:tc>
        <w:tc>
          <w:tcPr>
            <w:tcW w:w="8395" w:type="dxa"/>
            <w:vAlign w:val="center"/>
          </w:tcPr>
          <w:p w14:paraId="72CC2A7B">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评标</w:t>
            </w:r>
            <w:r>
              <w:rPr>
                <w:rFonts w:hint="eastAsia" w:ascii="宋体" w:hAnsi="宋体" w:eastAsia="宋体" w:cs="宋体"/>
                <w:bCs/>
                <w:color w:val="auto"/>
                <w:sz w:val="21"/>
                <w:szCs w:val="21"/>
                <w:highlight w:val="none"/>
              </w:rPr>
              <w:t>标准</w:t>
            </w:r>
          </w:p>
        </w:tc>
      </w:tr>
      <w:tr w14:paraId="063E4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509" w:type="dxa"/>
            <w:vMerge w:val="restart"/>
            <w:vAlign w:val="center"/>
          </w:tcPr>
          <w:p w14:paraId="0CB5F671">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2.1.1</w:t>
            </w:r>
          </w:p>
        </w:tc>
        <w:tc>
          <w:tcPr>
            <w:tcW w:w="517" w:type="dxa"/>
            <w:vMerge w:val="restart"/>
            <w:vAlign w:val="center"/>
          </w:tcPr>
          <w:p w14:paraId="2492FE2C">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资格</w:t>
            </w:r>
            <w:r>
              <w:rPr>
                <w:rFonts w:hint="eastAsia" w:ascii="宋体" w:hAnsi="宋体" w:eastAsia="宋体" w:cs="宋体"/>
                <w:bCs/>
                <w:color w:val="auto"/>
                <w:sz w:val="21"/>
                <w:szCs w:val="21"/>
                <w:highlight w:val="none"/>
                <w:lang w:eastAsia="zh-CN"/>
              </w:rPr>
              <w:t>评标</w:t>
            </w:r>
          </w:p>
          <w:p w14:paraId="6784CDA0">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标准</w:t>
            </w:r>
          </w:p>
        </w:tc>
        <w:tc>
          <w:tcPr>
            <w:tcW w:w="783" w:type="dxa"/>
            <w:vMerge w:val="restart"/>
            <w:vAlign w:val="center"/>
          </w:tcPr>
          <w:p w14:paraId="214C0F32">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基本资格条件</w:t>
            </w:r>
          </w:p>
        </w:tc>
        <w:tc>
          <w:tcPr>
            <w:tcW w:w="8395" w:type="dxa"/>
            <w:vAlign w:val="center"/>
          </w:tcPr>
          <w:p w14:paraId="0102CE0C">
            <w:pPr>
              <w:keepNext w:val="0"/>
              <w:keepLines w:val="0"/>
              <w:pageBreakBefore w:val="0"/>
              <w:tabs>
                <w:tab w:val="left" w:pos="0"/>
              </w:tab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lang w:val="zh-CN"/>
              </w:rPr>
              <w:t>具有独立承担民事责任能力的法人、其他组织或自然人，并出具合法有效的营业执照或事业单位法人证书等国家规定的相关证明，自然人参与的提供其身份证明；</w:t>
            </w:r>
          </w:p>
        </w:tc>
      </w:tr>
      <w:tr w14:paraId="3F6C2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509" w:type="dxa"/>
            <w:vMerge w:val="continue"/>
            <w:vAlign w:val="center"/>
          </w:tcPr>
          <w:p w14:paraId="03B2692B">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517" w:type="dxa"/>
            <w:vMerge w:val="continue"/>
            <w:vAlign w:val="center"/>
          </w:tcPr>
          <w:p w14:paraId="50E1BEEB">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783" w:type="dxa"/>
            <w:vMerge w:val="continue"/>
            <w:vAlign w:val="center"/>
          </w:tcPr>
          <w:p w14:paraId="696AC703">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8395" w:type="dxa"/>
            <w:vAlign w:val="center"/>
          </w:tcPr>
          <w:p w14:paraId="2959321A">
            <w:pPr>
              <w:keepNext w:val="0"/>
              <w:keepLines w:val="0"/>
              <w:pageBreakBefore w:val="0"/>
              <w:tabs>
                <w:tab w:val="left" w:pos="0"/>
              </w:tab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lang w:val="zh-CN"/>
              </w:rPr>
              <w:t>供应商须提供具有财务审计资质单位出具的2023年-2024年任意一年年度财务报告（包括资产负债表、利润表、现金流量表及会计报表附注，成立时间至开标时间不足一年的可提供成立后任意时段的资产负债表）或开标前六个月内其基本账户银行出具的资信证明（附开户许可证或基本存款账户信息）或政府采购信用担保机构出具的投标担保函；</w:t>
            </w:r>
          </w:p>
        </w:tc>
      </w:tr>
      <w:tr w14:paraId="2C2CD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509" w:type="dxa"/>
            <w:vMerge w:val="continue"/>
            <w:vAlign w:val="center"/>
          </w:tcPr>
          <w:p w14:paraId="73CF9DA8">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517" w:type="dxa"/>
            <w:vMerge w:val="continue"/>
            <w:vAlign w:val="center"/>
          </w:tcPr>
          <w:p w14:paraId="0C420460">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783" w:type="dxa"/>
            <w:vMerge w:val="continue"/>
            <w:vAlign w:val="center"/>
          </w:tcPr>
          <w:p w14:paraId="6FA03EAD">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shd w:val="clear" w:color="auto" w:fill="FFFFFF"/>
              </w:rPr>
            </w:pPr>
          </w:p>
        </w:tc>
        <w:tc>
          <w:tcPr>
            <w:tcW w:w="8395" w:type="dxa"/>
            <w:vAlign w:val="center"/>
          </w:tcPr>
          <w:p w14:paraId="0EE88C7C">
            <w:pPr>
              <w:keepNext w:val="0"/>
              <w:keepLines w:val="0"/>
              <w:pageBreakBefore w:val="0"/>
              <w:tabs>
                <w:tab w:val="left" w:pos="0"/>
              </w:tab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rPr>
              <w:t>供应商须提供2024年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zh-CN"/>
              </w:rPr>
              <w:t xml:space="preserve">月至今任意一个月已缴纳完税凭证或税务机关开具的完税证明，依法免税或无须缴纳税收的供应商应提供相关文件证明； </w:t>
            </w:r>
          </w:p>
        </w:tc>
      </w:tr>
      <w:tr w14:paraId="55789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509" w:type="dxa"/>
            <w:vMerge w:val="continue"/>
            <w:vAlign w:val="center"/>
          </w:tcPr>
          <w:p w14:paraId="137AC14E">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517" w:type="dxa"/>
            <w:vMerge w:val="continue"/>
            <w:vAlign w:val="center"/>
          </w:tcPr>
          <w:p w14:paraId="25D82B65">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783" w:type="dxa"/>
            <w:vMerge w:val="continue"/>
            <w:vAlign w:val="center"/>
          </w:tcPr>
          <w:p w14:paraId="552E11D1">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8395" w:type="dxa"/>
            <w:vAlign w:val="center"/>
          </w:tcPr>
          <w:p w14:paraId="7CDD3B1C">
            <w:pPr>
              <w:keepNext w:val="0"/>
              <w:keepLines w:val="0"/>
              <w:pageBreakBefore w:val="0"/>
              <w:tabs>
                <w:tab w:val="left" w:pos="0"/>
              </w:tab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lang w:val="zh-CN"/>
              </w:rPr>
              <w:t>供应商须提供2024年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zh-CN"/>
              </w:rPr>
              <w:t>月至今任意一个月已缴纳的社会保障资金缴存单据或社保机构开具的社会保险参保缴费情况证明，依法不需要缴纳社会保障资金的供应商应提供相关证明；</w:t>
            </w:r>
          </w:p>
        </w:tc>
      </w:tr>
      <w:tr w14:paraId="3CBB3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509" w:type="dxa"/>
            <w:vMerge w:val="continue"/>
            <w:vAlign w:val="center"/>
          </w:tcPr>
          <w:p w14:paraId="5243D789">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517" w:type="dxa"/>
            <w:vMerge w:val="continue"/>
            <w:vAlign w:val="center"/>
          </w:tcPr>
          <w:p w14:paraId="64E464DB">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783" w:type="dxa"/>
            <w:vMerge w:val="continue"/>
            <w:vAlign w:val="center"/>
          </w:tcPr>
          <w:p w14:paraId="556DE280">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8395" w:type="dxa"/>
            <w:vAlign w:val="center"/>
          </w:tcPr>
          <w:p w14:paraId="0CA117FF">
            <w:pPr>
              <w:keepNext w:val="0"/>
              <w:keepLines w:val="0"/>
              <w:pageBreakBefore w:val="0"/>
              <w:tabs>
                <w:tab w:val="left" w:pos="0"/>
              </w:tab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zh-CN"/>
              </w:rPr>
              <w:t>具备履行合同所必需的设备和专业技术能力的证明材料(由供应商根据项目需求提供说明材料或者承诺)；</w:t>
            </w:r>
          </w:p>
        </w:tc>
      </w:tr>
      <w:tr w14:paraId="43441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9" w:type="dxa"/>
            <w:vMerge w:val="continue"/>
            <w:vAlign w:val="center"/>
          </w:tcPr>
          <w:p w14:paraId="7C98987C">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517" w:type="dxa"/>
            <w:vMerge w:val="continue"/>
            <w:vAlign w:val="center"/>
          </w:tcPr>
          <w:p w14:paraId="60A94BF8">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783" w:type="dxa"/>
            <w:vMerge w:val="continue"/>
            <w:vAlign w:val="center"/>
          </w:tcPr>
          <w:p w14:paraId="4FD296E0">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8395" w:type="dxa"/>
            <w:vAlign w:val="center"/>
          </w:tcPr>
          <w:p w14:paraId="72A36602">
            <w:pPr>
              <w:keepNext w:val="0"/>
              <w:keepLines w:val="0"/>
              <w:pageBreakBefore w:val="0"/>
              <w:tabs>
                <w:tab w:val="left" w:pos="0"/>
              </w:tab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zh-CN"/>
              </w:rPr>
              <w:t>提供参加政府采购活动前三年内在经营活动中没有重大违法记录的书面声明；</w:t>
            </w:r>
          </w:p>
        </w:tc>
      </w:tr>
      <w:tr w14:paraId="3FFD9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9" w:type="dxa"/>
            <w:vMerge w:val="continue"/>
            <w:vAlign w:val="center"/>
          </w:tcPr>
          <w:p w14:paraId="79BD2CEA">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517" w:type="dxa"/>
            <w:vMerge w:val="continue"/>
            <w:vAlign w:val="center"/>
          </w:tcPr>
          <w:p w14:paraId="78119B42">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783" w:type="dxa"/>
            <w:vAlign w:val="center"/>
          </w:tcPr>
          <w:p w14:paraId="221DF65D">
            <w:pPr>
              <w:keepNext w:val="0"/>
              <w:keepLines w:val="0"/>
              <w:pageBreakBefore w:val="0"/>
              <w:widowControl w:val="0"/>
              <w:tabs>
                <w:tab w:val="left" w:pos="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lang w:val="en-US" w:eastAsia="zh-CN"/>
              </w:rPr>
              <w:t>政府采购政策</w:t>
            </w:r>
          </w:p>
        </w:tc>
        <w:tc>
          <w:tcPr>
            <w:tcW w:w="8395" w:type="dxa"/>
            <w:vAlign w:val="center"/>
          </w:tcPr>
          <w:p w14:paraId="2FBD3C36">
            <w:pPr>
              <w:keepNext w:val="0"/>
              <w:keepLines w:val="0"/>
              <w:pageBreakBefore w:val="0"/>
              <w:kinsoku/>
              <w:wordWrap/>
              <w:overflowPunct/>
              <w:topLinePunct w:val="0"/>
              <w:autoSpaceDE/>
              <w:autoSpaceDN/>
              <w:bidi w:val="0"/>
              <w:adjustRightInd w:val="0"/>
              <w:spacing w:line="36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本项目专门面向中小企业采购。</w:t>
            </w:r>
          </w:p>
        </w:tc>
      </w:tr>
      <w:tr w14:paraId="5D99F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9" w:type="dxa"/>
            <w:vMerge w:val="continue"/>
            <w:vAlign w:val="center"/>
          </w:tcPr>
          <w:p w14:paraId="3C40B545">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517" w:type="dxa"/>
            <w:vMerge w:val="continue"/>
            <w:vAlign w:val="center"/>
          </w:tcPr>
          <w:p w14:paraId="40250580">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783" w:type="dxa"/>
            <w:vMerge w:val="restart"/>
            <w:vAlign w:val="center"/>
          </w:tcPr>
          <w:p w14:paraId="36DE13DD">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特定资格条件</w:t>
            </w:r>
          </w:p>
        </w:tc>
        <w:tc>
          <w:tcPr>
            <w:tcW w:w="8395" w:type="dxa"/>
            <w:vAlign w:val="center"/>
          </w:tcPr>
          <w:p w14:paraId="43506CFA">
            <w:pPr>
              <w:keepNext w:val="0"/>
              <w:keepLines w:val="0"/>
              <w:pageBreakBefore w:val="0"/>
              <w:tabs>
                <w:tab w:val="left" w:pos="0"/>
              </w:tab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供应商应授权合法的人员参加磋商全过程，其中法定代表人直接参加磋商的，须出具法定代表人身份证明及法人身份证原件及复印件；法定代表人授权代表参加磋商的，须出具法定代表人授权书及授权代表身份证原件及复印件；</w:t>
            </w:r>
          </w:p>
        </w:tc>
      </w:tr>
      <w:tr w14:paraId="13C27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509" w:type="dxa"/>
            <w:vMerge w:val="continue"/>
            <w:vAlign w:val="center"/>
          </w:tcPr>
          <w:p w14:paraId="7024E579">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517" w:type="dxa"/>
            <w:vMerge w:val="continue"/>
            <w:vAlign w:val="center"/>
          </w:tcPr>
          <w:p w14:paraId="63F02757">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783" w:type="dxa"/>
            <w:vMerge w:val="continue"/>
            <w:vAlign w:val="center"/>
          </w:tcPr>
          <w:p w14:paraId="3893FA42">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8395" w:type="dxa"/>
            <w:vAlign w:val="center"/>
          </w:tcPr>
          <w:p w14:paraId="5197BD72">
            <w:pPr>
              <w:keepNext w:val="0"/>
              <w:keepLines w:val="0"/>
              <w:pageBreakBefore w:val="0"/>
              <w:kinsoku/>
              <w:wordWrap/>
              <w:overflowPunct/>
              <w:topLinePunct w:val="0"/>
              <w:autoSpaceDE/>
              <w:autoSpaceDN/>
              <w:bidi w:val="0"/>
              <w:adjustRightInd w:val="0"/>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供应商须具备建筑工程施工总承包叁级（含叁级）以上资质，同时具备建设行政主管部门颁发有效的安全生产许可证；</w:t>
            </w:r>
          </w:p>
        </w:tc>
      </w:tr>
      <w:tr w14:paraId="59D4F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509" w:type="dxa"/>
            <w:vMerge w:val="continue"/>
            <w:vAlign w:val="center"/>
          </w:tcPr>
          <w:p w14:paraId="5ADA28DB">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517" w:type="dxa"/>
            <w:vMerge w:val="continue"/>
            <w:vAlign w:val="center"/>
          </w:tcPr>
          <w:p w14:paraId="73AD4F81">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783" w:type="dxa"/>
            <w:vMerge w:val="continue"/>
            <w:vAlign w:val="center"/>
          </w:tcPr>
          <w:p w14:paraId="2FDAB888">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8395" w:type="dxa"/>
            <w:vAlign w:val="center"/>
          </w:tcPr>
          <w:p w14:paraId="38A94722">
            <w:pPr>
              <w:keepNext w:val="0"/>
              <w:keepLines w:val="0"/>
              <w:pageBreakBefore w:val="0"/>
              <w:kinsoku/>
              <w:wordWrap/>
              <w:overflowPunct/>
              <w:topLinePunct w:val="0"/>
              <w:autoSpaceDE/>
              <w:autoSpaceDN/>
              <w:bidi w:val="0"/>
              <w:adjustRightInd w:val="0"/>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拟投入的项目经理须具备建筑工程专业贰级（含贰级）以上注册建造师执业资格和有效的安全生产考核B证，且未担任其他在建工程项目的项目经理（需提供企业书面承诺等证明材料）；</w:t>
            </w:r>
          </w:p>
        </w:tc>
      </w:tr>
      <w:tr w14:paraId="3335F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09" w:type="dxa"/>
            <w:vMerge w:val="continue"/>
            <w:vAlign w:val="center"/>
          </w:tcPr>
          <w:p w14:paraId="7210E8E9">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517" w:type="dxa"/>
            <w:vMerge w:val="continue"/>
            <w:vAlign w:val="center"/>
          </w:tcPr>
          <w:p w14:paraId="0EBC28F8">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783" w:type="dxa"/>
            <w:vMerge w:val="continue"/>
            <w:vAlign w:val="center"/>
          </w:tcPr>
          <w:p w14:paraId="697CC585">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8395" w:type="dxa"/>
            <w:vAlign w:val="center"/>
          </w:tcPr>
          <w:p w14:paraId="0D9EF4A7">
            <w:pPr>
              <w:keepNext w:val="0"/>
              <w:keepLines w:val="0"/>
              <w:pageBreakBefore w:val="0"/>
              <w:tabs>
                <w:tab w:val="left" w:pos="3001"/>
              </w:tabs>
              <w:kinsoku/>
              <w:wordWrap/>
              <w:overflowPunct/>
              <w:topLinePunct w:val="0"/>
              <w:autoSpaceDE/>
              <w:autoSpaceDN/>
              <w:bidi w:val="0"/>
              <w:adjustRightInd w:val="0"/>
              <w:spacing w:line="360" w:lineRule="exact"/>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shd w:val="clear" w:color="auto" w:fill="FFFFFF"/>
              </w:rPr>
              <w:t>供应商及其拟派项目经理须在“陕西省住房和城乡建设厅”官方网站可查询</w:t>
            </w:r>
          </w:p>
        </w:tc>
      </w:tr>
      <w:tr w14:paraId="642DC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509" w:type="dxa"/>
            <w:vMerge w:val="continue"/>
            <w:vAlign w:val="center"/>
          </w:tcPr>
          <w:p w14:paraId="36F431AA">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517" w:type="dxa"/>
            <w:vMerge w:val="continue"/>
            <w:vAlign w:val="center"/>
          </w:tcPr>
          <w:p w14:paraId="0C77E678">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783" w:type="dxa"/>
            <w:vMerge w:val="continue"/>
            <w:vAlign w:val="center"/>
          </w:tcPr>
          <w:p w14:paraId="5DAE2120">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8395" w:type="dxa"/>
            <w:vAlign w:val="center"/>
          </w:tcPr>
          <w:p w14:paraId="6EF4FFC7">
            <w:pPr>
              <w:keepNext w:val="0"/>
              <w:keepLines w:val="0"/>
              <w:pageBreakBefore w:val="0"/>
              <w:kinsoku/>
              <w:wordWrap/>
              <w:overflowPunct/>
              <w:topLinePunct w:val="0"/>
              <w:autoSpaceDE/>
              <w:autoSpaceDN/>
              <w:bidi w:val="0"/>
              <w:adjustRightInd w:val="0"/>
              <w:spacing w:line="36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rPr>
              <w:t>供应商不得为列入信用中国(www.creditchina.gov.cn)的重大税收违法案件当事人名单记录或中国执行信息公开网（http://zxgk.court.gov.cn/shixin/）的失信被执行人名单记录或中国政府采购网(www.ccgp.gov.cn)的政府采购严重违法失信行为记录名单；</w:t>
            </w:r>
          </w:p>
        </w:tc>
      </w:tr>
      <w:tr w14:paraId="4E806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9" w:type="dxa"/>
            <w:vMerge w:val="continue"/>
            <w:vAlign w:val="center"/>
          </w:tcPr>
          <w:p w14:paraId="042FA4BF">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517" w:type="dxa"/>
            <w:vMerge w:val="continue"/>
            <w:vAlign w:val="center"/>
          </w:tcPr>
          <w:p w14:paraId="0104A294">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783" w:type="dxa"/>
            <w:vMerge w:val="continue"/>
            <w:vAlign w:val="center"/>
          </w:tcPr>
          <w:p w14:paraId="283BB87D">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8395" w:type="dxa"/>
            <w:vAlign w:val="center"/>
          </w:tcPr>
          <w:p w14:paraId="292580C8">
            <w:pPr>
              <w:keepNext w:val="0"/>
              <w:keepLines w:val="0"/>
              <w:pageBreakBefore w:val="0"/>
              <w:kinsoku/>
              <w:wordWrap/>
              <w:overflowPunct/>
              <w:topLinePunct w:val="0"/>
              <w:autoSpaceDE/>
              <w:autoSpaceDN/>
              <w:bidi w:val="0"/>
              <w:adjustRightInd w:val="0"/>
              <w:spacing w:line="36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rPr>
              <w:t>与招标人存在利害关系可能影响招标公正性的单位，不得参加投标、单位负责人为同一人或存在控股、管理关系的不同单位，不得参加同一标段投标，否则，相关投标均无效；</w:t>
            </w:r>
          </w:p>
        </w:tc>
      </w:tr>
      <w:tr w14:paraId="0B8BF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09" w:type="dxa"/>
            <w:vMerge w:val="continue"/>
            <w:vAlign w:val="center"/>
          </w:tcPr>
          <w:p w14:paraId="355C04D4">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517" w:type="dxa"/>
            <w:vMerge w:val="continue"/>
            <w:vAlign w:val="center"/>
          </w:tcPr>
          <w:p w14:paraId="06E73346">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783" w:type="dxa"/>
            <w:vMerge w:val="continue"/>
            <w:vAlign w:val="center"/>
          </w:tcPr>
          <w:p w14:paraId="43B9AE49">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8395" w:type="dxa"/>
            <w:vAlign w:val="center"/>
          </w:tcPr>
          <w:p w14:paraId="0234A9B6">
            <w:pPr>
              <w:keepNext w:val="0"/>
              <w:keepLines w:val="0"/>
              <w:pageBreakBefore w:val="0"/>
              <w:kinsoku/>
              <w:wordWrap/>
              <w:overflowPunct/>
              <w:topLinePunct w:val="0"/>
              <w:autoSpaceDE/>
              <w:autoSpaceDN/>
              <w:bidi w:val="0"/>
              <w:adjustRightInd w:val="0"/>
              <w:spacing w:line="36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本项目不接受联合体磋商</w:t>
            </w:r>
            <w:r>
              <w:rPr>
                <w:rFonts w:hint="eastAsia" w:ascii="宋体" w:hAnsi="宋体" w:eastAsia="宋体" w:cs="宋体"/>
                <w:color w:val="auto"/>
                <w:sz w:val="21"/>
                <w:szCs w:val="21"/>
                <w:highlight w:val="none"/>
                <w:lang w:eastAsia="zh-CN"/>
              </w:rPr>
              <w:t>。</w:t>
            </w:r>
          </w:p>
        </w:tc>
      </w:tr>
    </w:tbl>
    <w:p w14:paraId="640C14DE">
      <w:pPr>
        <w:pStyle w:val="16"/>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highlight w:val="none"/>
        </w:rPr>
        <w:sectPr>
          <w:headerReference r:id="rId19" w:type="default"/>
          <w:footerReference r:id="rId20"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linePitch="312" w:charSpace="0"/>
        </w:sectPr>
      </w:pPr>
    </w:p>
    <w:p w14:paraId="667F9850">
      <w:pPr>
        <w:pStyle w:val="16"/>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p>
    <w:p w14:paraId="53C98FD7">
      <w:pPr>
        <w:keepNext/>
        <w:keepLines w:val="0"/>
        <w:pageBreakBefore w:val="0"/>
        <w:widowControl w:val="0"/>
        <w:kinsoku/>
        <w:wordWrap/>
        <w:overflowPunct/>
        <w:topLinePunct w:val="0"/>
        <w:autoSpaceDE/>
        <w:autoSpaceDN/>
        <w:bidi w:val="0"/>
        <w:adjustRightInd/>
        <w:snapToGrid/>
        <w:spacing w:line="360" w:lineRule="exact"/>
        <w:jc w:val="center"/>
        <w:textAlignment w:val="auto"/>
        <w:outlineLvl w:val="3"/>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〖符合性审查表〗</w:t>
      </w:r>
    </w:p>
    <w:tbl>
      <w:tblPr>
        <w:tblStyle w:val="37"/>
        <w:tblW w:w="989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393"/>
        <w:gridCol w:w="557"/>
        <w:gridCol w:w="2122"/>
        <w:gridCol w:w="6827"/>
      </w:tblGrid>
      <w:tr w14:paraId="277091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950" w:type="dxa"/>
            <w:gridSpan w:val="2"/>
            <w:tcBorders>
              <w:top w:val="single" w:color="auto" w:sz="2" w:space="0"/>
            </w:tcBorders>
            <w:vAlign w:val="center"/>
          </w:tcPr>
          <w:p w14:paraId="1441C43E">
            <w:pPr>
              <w:keepNext/>
              <w:keepLines w:val="0"/>
              <w:pageBreakBefore w:val="0"/>
              <w:widowControl w:val="0"/>
              <w:kinsoku/>
              <w:wordWrap/>
              <w:overflowPunct/>
              <w:topLinePunct w:val="0"/>
              <w:autoSpaceDE/>
              <w:autoSpaceDN/>
              <w:bidi w:val="0"/>
              <w:adjustRightInd/>
              <w:snapToGrid/>
              <w:spacing w:line="360" w:lineRule="exact"/>
              <w:jc w:val="center"/>
              <w:textAlignment w:val="auto"/>
              <w:outlineLvl w:val="3"/>
              <w:rPr>
                <w:rFonts w:hint="eastAsia" w:ascii="宋体" w:hAnsi="宋体" w:eastAsia="宋体" w:cs="宋体"/>
                <w:b w:val="0"/>
                <w:bCs/>
                <w:color w:val="auto"/>
                <w:sz w:val="21"/>
                <w:szCs w:val="21"/>
                <w:highlight w:val="none"/>
              </w:rPr>
            </w:pPr>
            <w:r>
              <w:rPr>
                <w:rFonts w:hint="eastAsia" w:ascii="宋体" w:hAnsi="宋体" w:eastAsia="宋体" w:cs="宋体"/>
                <w:bCs/>
                <w:color w:val="auto"/>
                <w:sz w:val="21"/>
                <w:szCs w:val="21"/>
                <w:highlight w:val="none"/>
              </w:rPr>
              <w:t>条款号</w:t>
            </w:r>
          </w:p>
        </w:tc>
        <w:tc>
          <w:tcPr>
            <w:tcW w:w="2122" w:type="dxa"/>
            <w:tcBorders>
              <w:top w:val="single" w:color="auto" w:sz="2" w:space="0"/>
            </w:tcBorders>
            <w:vAlign w:val="center"/>
          </w:tcPr>
          <w:p w14:paraId="15455413">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评标</w:t>
            </w:r>
            <w:r>
              <w:rPr>
                <w:rFonts w:hint="eastAsia" w:ascii="宋体" w:hAnsi="宋体" w:eastAsia="宋体" w:cs="宋体"/>
                <w:bCs/>
                <w:color w:val="auto"/>
                <w:sz w:val="21"/>
                <w:szCs w:val="21"/>
                <w:highlight w:val="none"/>
              </w:rPr>
              <w:t>因素</w:t>
            </w:r>
          </w:p>
        </w:tc>
        <w:tc>
          <w:tcPr>
            <w:tcW w:w="6827" w:type="dxa"/>
            <w:tcBorders>
              <w:top w:val="single" w:color="auto" w:sz="2" w:space="0"/>
            </w:tcBorders>
            <w:vAlign w:val="center"/>
          </w:tcPr>
          <w:p w14:paraId="121E919B">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评标</w:t>
            </w:r>
            <w:r>
              <w:rPr>
                <w:rFonts w:hint="eastAsia" w:ascii="宋体" w:hAnsi="宋体" w:eastAsia="宋体" w:cs="宋体"/>
                <w:bCs/>
                <w:color w:val="auto"/>
                <w:sz w:val="21"/>
                <w:szCs w:val="21"/>
                <w:highlight w:val="none"/>
              </w:rPr>
              <w:t>标准</w:t>
            </w:r>
          </w:p>
        </w:tc>
      </w:tr>
      <w:tr w14:paraId="6D88D1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8" w:hRule="atLeast"/>
          <w:jc w:val="center"/>
        </w:trPr>
        <w:tc>
          <w:tcPr>
            <w:tcW w:w="393" w:type="dxa"/>
            <w:vMerge w:val="restart"/>
            <w:tcBorders>
              <w:top w:val="single" w:color="auto" w:sz="2" w:space="0"/>
            </w:tcBorders>
            <w:vAlign w:val="center"/>
          </w:tcPr>
          <w:p w14:paraId="4E08D60C">
            <w:pPr>
              <w:pStyle w:val="1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360" w:lineRule="exact"/>
              <w:ind w:right="0" w:rightChars="0"/>
              <w:contextualSpacing w:val="0"/>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2.1.</w:t>
            </w:r>
            <w:r>
              <w:rPr>
                <w:rFonts w:hint="eastAsia" w:ascii="宋体" w:hAnsi="宋体" w:eastAsia="宋体" w:cs="宋体"/>
                <w:b w:val="0"/>
                <w:bCs/>
                <w:color w:val="auto"/>
                <w:sz w:val="21"/>
                <w:szCs w:val="21"/>
                <w:highlight w:val="none"/>
                <w:lang w:val="en-US" w:eastAsia="zh-CN"/>
              </w:rPr>
              <w:t>2</w:t>
            </w:r>
          </w:p>
        </w:tc>
        <w:tc>
          <w:tcPr>
            <w:tcW w:w="557" w:type="dxa"/>
            <w:vMerge w:val="restart"/>
            <w:tcBorders>
              <w:top w:val="single" w:color="auto" w:sz="2" w:space="0"/>
            </w:tcBorders>
            <w:vAlign w:val="center"/>
          </w:tcPr>
          <w:p w14:paraId="5682AB13">
            <w:pPr>
              <w:keepNext/>
              <w:keepLines w:val="0"/>
              <w:pageBreakBefore w:val="0"/>
              <w:widowControl w:val="0"/>
              <w:kinsoku/>
              <w:wordWrap/>
              <w:overflowPunct/>
              <w:topLinePunct w:val="0"/>
              <w:autoSpaceDE/>
              <w:autoSpaceDN/>
              <w:bidi w:val="0"/>
              <w:adjustRightInd/>
              <w:snapToGrid/>
              <w:spacing w:line="360" w:lineRule="exact"/>
              <w:jc w:val="center"/>
              <w:textAlignment w:val="auto"/>
              <w:outlineLvl w:val="3"/>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符合性审查表</w:t>
            </w:r>
          </w:p>
        </w:tc>
        <w:tc>
          <w:tcPr>
            <w:tcW w:w="2122" w:type="dxa"/>
            <w:tcBorders>
              <w:top w:val="single" w:color="auto" w:sz="2" w:space="0"/>
            </w:tcBorders>
            <w:vAlign w:val="center"/>
          </w:tcPr>
          <w:p w14:paraId="458676D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与项目的一致性</w:t>
            </w:r>
          </w:p>
        </w:tc>
        <w:tc>
          <w:tcPr>
            <w:tcW w:w="6827" w:type="dxa"/>
            <w:tcBorders>
              <w:top w:val="single" w:color="auto" w:sz="2" w:space="0"/>
            </w:tcBorders>
            <w:vAlign w:val="center"/>
          </w:tcPr>
          <w:p w14:paraId="286CC59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rPr>
              <w:t>供应商</w:t>
            </w:r>
            <w:r>
              <w:rPr>
                <w:rFonts w:hint="eastAsia" w:ascii="宋体" w:hAnsi="宋体" w:eastAsia="宋体" w:cs="宋体"/>
                <w:color w:val="auto"/>
                <w:sz w:val="21"/>
                <w:szCs w:val="21"/>
              </w:rPr>
              <w:t>名称是否与营业执照</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资质证书</w:t>
            </w:r>
            <w:r>
              <w:rPr>
                <w:rFonts w:hint="eastAsia" w:ascii="宋体" w:hAnsi="宋体" w:eastAsia="宋体" w:cs="宋体"/>
                <w:color w:val="auto"/>
                <w:sz w:val="21"/>
                <w:szCs w:val="21"/>
              </w:rPr>
              <w:t>一致</w:t>
            </w:r>
          </w:p>
        </w:tc>
      </w:tr>
      <w:tr w14:paraId="481C8C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24" w:hRule="atLeast"/>
          <w:jc w:val="center"/>
        </w:trPr>
        <w:tc>
          <w:tcPr>
            <w:tcW w:w="393" w:type="dxa"/>
            <w:vMerge w:val="continue"/>
            <w:vAlign w:val="center"/>
          </w:tcPr>
          <w:p w14:paraId="0A54E1EC">
            <w:pPr>
              <w:pStyle w:val="115"/>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firstLine="210" w:firstLineChars="100"/>
              <w:contextualSpacing w:val="0"/>
              <w:jc w:val="both"/>
              <w:textAlignment w:val="auto"/>
              <w:rPr>
                <w:rFonts w:hint="eastAsia" w:ascii="宋体" w:hAnsi="宋体" w:eastAsia="宋体" w:cs="宋体"/>
                <w:bCs/>
                <w:color w:val="auto"/>
                <w:sz w:val="21"/>
                <w:szCs w:val="21"/>
                <w:highlight w:val="none"/>
              </w:rPr>
            </w:pPr>
          </w:p>
        </w:tc>
        <w:tc>
          <w:tcPr>
            <w:tcW w:w="557" w:type="dxa"/>
            <w:vMerge w:val="continue"/>
            <w:vAlign w:val="center"/>
          </w:tcPr>
          <w:p w14:paraId="1A0FC32A">
            <w:pPr>
              <w:keepNext/>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center"/>
              <w:textAlignment w:val="auto"/>
              <w:outlineLvl w:val="3"/>
              <w:rPr>
                <w:rFonts w:hint="eastAsia" w:ascii="宋体" w:hAnsi="宋体" w:eastAsia="宋体" w:cs="宋体"/>
                <w:bCs/>
                <w:color w:val="auto"/>
                <w:sz w:val="21"/>
                <w:szCs w:val="21"/>
                <w:highlight w:val="none"/>
              </w:rPr>
            </w:pPr>
          </w:p>
        </w:tc>
        <w:tc>
          <w:tcPr>
            <w:tcW w:w="2122" w:type="dxa"/>
            <w:vAlign w:val="center"/>
          </w:tcPr>
          <w:p w14:paraId="0CAE55D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竞争性磋商响应文件</w:t>
            </w:r>
            <w:r>
              <w:rPr>
                <w:rFonts w:hint="eastAsia" w:ascii="宋体" w:hAnsi="宋体" w:eastAsia="宋体" w:cs="宋体"/>
                <w:bCs/>
                <w:color w:val="auto"/>
                <w:sz w:val="21"/>
                <w:szCs w:val="21"/>
                <w:highlight w:val="none"/>
              </w:rPr>
              <w:t>组成</w:t>
            </w:r>
          </w:p>
        </w:tc>
        <w:tc>
          <w:tcPr>
            <w:tcW w:w="6827" w:type="dxa"/>
            <w:vAlign w:val="center"/>
          </w:tcPr>
          <w:p w14:paraId="022E7B9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lef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en-US" w:eastAsia="zh-CN"/>
              </w:rPr>
              <w:t>竞争性磋商响应文件应包含以下部分：</w:t>
            </w:r>
          </w:p>
          <w:p w14:paraId="30E1BA2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第一部分 磋商响应函</w:t>
            </w:r>
          </w:p>
          <w:p w14:paraId="1C9C0D6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第二部分 第一次磋商报价表</w:t>
            </w:r>
          </w:p>
          <w:p w14:paraId="262B8E6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第三部分 已标价工程量清单</w:t>
            </w:r>
          </w:p>
          <w:p w14:paraId="15725C8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第四部分 技术/商务条款偏差表</w:t>
            </w:r>
          </w:p>
          <w:p w14:paraId="730FA13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第五部分 磋商方案说明</w:t>
            </w:r>
          </w:p>
          <w:p w14:paraId="5428B46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第六部分 供应商承诺书</w:t>
            </w:r>
          </w:p>
          <w:p w14:paraId="5A0EA7F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第七部分 项目管理机构</w:t>
            </w:r>
          </w:p>
          <w:p w14:paraId="2D08608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第八部分 供应商资质证明文件</w:t>
            </w:r>
          </w:p>
          <w:p w14:paraId="50E3A93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第九部分 其他资料</w:t>
            </w:r>
          </w:p>
        </w:tc>
      </w:tr>
      <w:tr w14:paraId="7039FD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393" w:type="dxa"/>
            <w:vMerge w:val="continue"/>
            <w:vAlign w:val="center"/>
          </w:tcPr>
          <w:p w14:paraId="636FC8B5">
            <w:pPr>
              <w:pStyle w:val="115"/>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firstLine="210" w:firstLineChars="100"/>
              <w:contextualSpacing w:val="0"/>
              <w:jc w:val="both"/>
              <w:textAlignment w:val="auto"/>
              <w:rPr>
                <w:rFonts w:hint="eastAsia" w:ascii="宋体" w:hAnsi="宋体" w:eastAsia="宋体" w:cs="宋体"/>
                <w:bCs/>
                <w:color w:val="auto"/>
                <w:sz w:val="21"/>
                <w:szCs w:val="21"/>
                <w:highlight w:val="none"/>
              </w:rPr>
            </w:pPr>
          </w:p>
        </w:tc>
        <w:tc>
          <w:tcPr>
            <w:tcW w:w="557" w:type="dxa"/>
            <w:vMerge w:val="continue"/>
            <w:vAlign w:val="center"/>
          </w:tcPr>
          <w:p w14:paraId="0021AA2E">
            <w:pPr>
              <w:keepNext/>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center"/>
              <w:textAlignment w:val="auto"/>
              <w:outlineLvl w:val="3"/>
              <w:rPr>
                <w:rFonts w:hint="eastAsia" w:ascii="宋体" w:hAnsi="宋体" w:eastAsia="宋体" w:cs="宋体"/>
                <w:bCs/>
                <w:color w:val="auto"/>
                <w:sz w:val="21"/>
                <w:szCs w:val="21"/>
                <w:highlight w:val="none"/>
              </w:rPr>
            </w:pPr>
          </w:p>
        </w:tc>
        <w:tc>
          <w:tcPr>
            <w:tcW w:w="2122" w:type="dxa"/>
            <w:vAlign w:val="center"/>
          </w:tcPr>
          <w:p w14:paraId="28FD808B">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文件份数</w:t>
            </w:r>
          </w:p>
        </w:tc>
        <w:tc>
          <w:tcPr>
            <w:tcW w:w="6827" w:type="dxa"/>
            <w:vAlign w:val="center"/>
          </w:tcPr>
          <w:p w14:paraId="21CF80CE">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应符合“供应商须知前附表”规定的正本、副本、电子文件数量。</w:t>
            </w:r>
          </w:p>
        </w:tc>
      </w:tr>
      <w:tr w14:paraId="0DDAB1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393" w:type="dxa"/>
            <w:vMerge w:val="continue"/>
            <w:vAlign w:val="center"/>
          </w:tcPr>
          <w:p w14:paraId="2F0CACD3">
            <w:pPr>
              <w:pStyle w:val="115"/>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firstLine="210" w:firstLineChars="100"/>
              <w:contextualSpacing w:val="0"/>
              <w:jc w:val="both"/>
              <w:textAlignment w:val="auto"/>
              <w:rPr>
                <w:rFonts w:hint="eastAsia" w:ascii="宋体" w:hAnsi="宋体" w:eastAsia="宋体" w:cs="宋体"/>
                <w:bCs/>
                <w:color w:val="auto"/>
                <w:sz w:val="21"/>
                <w:szCs w:val="21"/>
                <w:highlight w:val="none"/>
              </w:rPr>
            </w:pPr>
          </w:p>
        </w:tc>
        <w:tc>
          <w:tcPr>
            <w:tcW w:w="557" w:type="dxa"/>
            <w:vMerge w:val="continue"/>
            <w:vAlign w:val="center"/>
          </w:tcPr>
          <w:p w14:paraId="6430B323">
            <w:pPr>
              <w:keepNext/>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center"/>
              <w:textAlignment w:val="auto"/>
              <w:outlineLvl w:val="3"/>
              <w:rPr>
                <w:rFonts w:hint="eastAsia" w:ascii="宋体" w:hAnsi="宋体" w:eastAsia="宋体" w:cs="宋体"/>
                <w:bCs/>
                <w:color w:val="auto"/>
                <w:sz w:val="21"/>
                <w:szCs w:val="21"/>
                <w:highlight w:val="none"/>
              </w:rPr>
            </w:pPr>
          </w:p>
        </w:tc>
        <w:tc>
          <w:tcPr>
            <w:tcW w:w="2122" w:type="dxa"/>
            <w:vAlign w:val="center"/>
          </w:tcPr>
          <w:p w14:paraId="27484BF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签章</w:t>
            </w:r>
          </w:p>
        </w:tc>
        <w:tc>
          <w:tcPr>
            <w:tcW w:w="6827" w:type="dxa"/>
            <w:vAlign w:val="center"/>
          </w:tcPr>
          <w:p w14:paraId="0F33DA6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both"/>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签章均符合</w:t>
            </w:r>
            <w:r>
              <w:rPr>
                <w:rFonts w:hint="eastAsia" w:ascii="宋体" w:hAnsi="宋体" w:eastAsia="宋体" w:cs="宋体"/>
                <w:bCs/>
                <w:color w:val="auto"/>
                <w:sz w:val="21"/>
                <w:szCs w:val="21"/>
                <w:highlight w:val="none"/>
                <w:lang w:val="en-US" w:eastAsia="zh-CN"/>
              </w:rPr>
              <w:t>竞争性磋商文件</w:t>
            </w:r>
            <w:r>
              <w:rPr>
                <w:rFonts w:hint="eastAsia" w:ascii="宋体" w:hAnsi="宋体" w:eastAsia="宋体" w:cs="宋体"/>
                <w:color w:val="auto"/>
                <w:sz w:val="21"/>
                <w:szCs w:val="21"/>
                <w:highlight w:val="none"/>
              </w:rPr>
              <w:t>要求，且无遗漏。</w:t>
            </w:r>
          </w:p>
        </w:tc>
      </w:tr>
      <w:tr w14:paraId="35D472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393" w:type="dxa"/>
            <w:vMerge w:val="continue"/>
            <w:vAlign w:val="center"/>
          </w:tcPr>
          <w:p w14:paraId="4D4B9F9A">
            <w:pPr>
              <w:pStyle w:val="115"/>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firstLine="210" w:firstLineChars="100"/>
              <w:contextualSpacing w:val="0"/>
              <w:jc w:val="both"/>
              <w:textAlignment w:val="auto"/>
              <w:rPr>
                <w:rFonts w:hint="eastAsia" w:ascii="宋体" w:hAnsi="宋体" w:eastAsia="宋体" w:cs="宋体"/>
                <w:bCs/>
                <w:color w:val="auto"/>
                <w:sz w:val="21"/>
                <w:szCs w:val="21"/>
                <w:highlight w:val="none"/>
              </w:rPr>
            </w:pPr>
          </w:p>
        </w:tc>
        <w:tc>
          <w:tcPr>
            <w:tcW w:w="557" w:type="dxa"/>
            <w:vMerge w:val="continue"/>
            <w:vAlign w:val="center"/>
          </w:tcPr>
          <w:p w14:paraId="4498F7B5">
            <w:pPr>
              <w:keepNext/>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center"/>
              <w:textAlignment w:val="auto"/>
              <w:outlineLvl w:val="3"/>
              <w:rPr>
                <w:rFonts w:hint="eastAsia" w:ascii="宋体" w:hAnsi="宋体" w:eastAsia="宋体" w:cs="宋体"/>
                <w:bCs/>
                <w:color w:val="auto"/>
                <w:sz w:val="21"/>
                <w:szCs w:val="21"/>
                <w:highlight w:val="none"/>
              </w:rPr>
            </w:pPr>
          </w:p>
        </w:tc>
        <w:tc>
          <w:tcPr>
            <w:tcW w:w="2122" w:type="dxa"/>
            <w:vAlign w:val="center"/>
          </w:tcPr>
          <w:p w14:paraId="3945441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语言和计量单位</w:t>
            </w:r>
          </w:p>
        </w:tc>
        <w:tc>
          <w:tcPr>
            <w:tcW w:w="6827" w:type="dxa"/>
            <w:vAlign w:val="center"/>
          </w:tcPr>
          <w:p w14:paraId="7B94C92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的要求</w:t>
            </w:r>
            <w:r>
              <w:rPr>
                <w:rFonts w:hint="eastAsia" w:ascii="宋体" w:hAnsi="宋体" w:eastAsia="宋体" w:cs="宋体"/>
                <w:color w:val="auto"/>
                <w:sz w:val="21"/>
                <w:szCs w:val="21"/>
                <w:highlight w:val="none"/>
                <w:lang w:eastAsia="zh-CN"/>
              </w:rPr>
              <w:t>。</w:t>
            </w:r>
          </w:p>
        </w:tc>
      </w:tr>
      <w:tr w14:paraId="1E2F4E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93" w:type="dxa"/>
            <w:vMerge w:val="continue"/>
            <w:vAlign w:val="center"/>
          </w:tcPr>
          <w:p w14:paraId="39C828B3">
            <w:pPr>
              <w:pStyle w:val="115"/>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firstLine="210" w:firstLineChars="100"/>
              <w:contextualSpacing w:val="0"/>
              <w:jc w:val="both"/>
              <w:textAlignment w:val="auto"/>
              <w:rPr>
                <w:rFonts w:hint="eastAsia" w:ascii="宋体" w:hAnsi="宋体" w:eastAsia="宋体" w:cs="宋体"/>
                <w:bCs/>
                <w:color w:val="auto"/>
                <w:sz w:val="21"/>
                <w:szCs w:val="21"/>
                <w:highlight w:val="none"/>
              </w:rPr>
            </w:pPr>
          </w:p>
        </w:tc>
        <w:tc>
          <w:tcPr>
            <w:tcW w:w="557" w:type="dxa"/>
            <w:vMerge w:val="continue"/>
            <w:vAlign w:val="center"/>
          </w:tcPr>
          <w:p w14:paraId="5A020BD3">
            <w:pPr>
              <w:keepNext/>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center"/>
              <w:textAlignment w:val="auto"/>
              <w:outlineLvl w:val="3"/>
              <w:rPr>
                <w:rFonts w:hint="eastAsia" w:ascii="宋体" w:hAnsi="宋体" w:eastAsia="宋体" w:cs="宋体"/>
                <w:bCs/>
                <w:color w:val="auto"/>
                <w:sz w:val="21"/>
                <w:szCs w:val="21"/>
                <w:highlight w:val="none"/>
              </w:rPr>
            </w:pPr>
          </w:p>
        </w:tc>
        <w:tc>
          <w:tcPr>
            <w:tcW w:w="2122" w:type="dxa"/>
            <w:vAlign w:val="center"/>
          </w:tcPr>
          <w:p w14:paraId="6DA5A771">
            <w:pPr>
              <w:keepLines w:val="0"/>
              <w:pageBreakBefore w:val="0"/>
              <w:tabs>
                <w:tab w:val="left" w:pos="0"/>
              </w:tabs>
              <w:kinsoku/>
              <w:wordWrap/>
              <w:overflowPunct/>
              <w:topLinePunct w:val="0"/>
              <w:bidi w:val="0"/>
              <w:adjustRightInd w:val="0"/>
              <w:snapToGrid w:val="0"/>
              <w:spacing w:line="36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工期</w:t>
            </w:r>
          </w:p>
        </w:tc>
        <w:tc>
          <w:tcPr>
            <w:tcW w:w="6827" w:type="dxa"/>
            <w:vAlign w:val="center"/>
          </w:tcPr>
          <w:p w14:paraId="326C4B6D">
            <w:pPr>
              <w:keepLines w:val="0"/>
              <w:pageBreakBefore w:val="0"/>
              <w:tabs>
                <w:tab w:val="left" w:pos="0"/>
              </w:tabs>
              <w:kinsoku/>
              <w:wordWrap/>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应满足</w:t>
            </w:r>
            <w:r>
              <w:rPr>
                <w:rFonts w:hint="eastAsia" w:ascii="宋体" w:hAnsi="宋体" w:eastAsia="宋体" w:cs="宋体"/>
                <w:bCs/>
                <w:color w:val="auto"/>
                <w:sz w:val="21"/>
                <w:szCs w:val="21"/>
                <w:highlight w:val="none"/>
                <w:lang w:eastAsia="zh-CN"/>
              </w:rPr>
              <w:t>竞争性磋商文件</w:t>
            </w:r>
            <w:r>
              <w:rPr>
                <w:rFonts w:hint="eastAsia" w:ascii="宋体" w:hAnsi="宋体" w:eastAsia="宋体" w:cs="宋体"/>
                <w:bCs/>
                <w:color w:val="auto"/>
                <w:sz w:val="21"/>
                <w:szCs w:val="21"/>
                <w:highlight w:val="none"/>
              </w:rPr>
              <w:t>中要求</w:t>
            </w:r>
            <w:r>
              <w:rPr>
                <w:rFonts w:hint="eastAsia" w:ascii="宋体" w:hAnsi="宋体" w:eastAsia="宋体" w:cs="宋体"/>
                <w:bCs/>
                <w:color w:val="auto"/>
                <w:sz w:val="21"/>
                <w:szCs w:val="21"/>
                <w:highlight w:val="none"/>
                <w:lang w:eastAsia="zh-CN"/>
              </w:rPr>
              <w:t>的工期</w:t>
            </w:r>
            <w:r>
              <w:rPr>
                <w:rFonts w:hint="eastAsia" w:ascii="宋体" w:hAnsi="宋体" w:eastAsia="宋体" w:cs="宋体"/>
                <w:bCs/>
                <w:color w:val="auto"/>
                <w:sz w:val="21"/>
                <w:szCs w:val="21"/>
                <w:highlight w:val="none"/>
              </w:rPr>
              <w:t>。</w:t>
            </w:r>
          </w:p>
        </w:tc>
      </w:tr>
      <w:tr w14:paraId="689DC6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93" w:type="dxa"/>
            <w:vMerge w:val="continue"/>
            <w:vAlign w:val="center"/>
          </w:tcPr>
          <w:p w14:paraId="23EFF8CE">
            <w:pPr>
              <w:pStyle w:val="115"/>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firstLine="210" w:firstLineChars="100"/>
              <w:contextualSpacing w:val="0"/>
              <w:jc w:val="both"/>
              <w:textAlignment w:val="auto"/>
              <w:rPr>
                <w:rFonts w:hint="eastAsia" w:ascii="宋体" w:hAnsi="宋体" w:eastAsia="宋体" w:cs="宋体"/>
                <w:bCs/>
                <w:color w:val="auto"/>
                <w:sz w:val="21"/>
                <w:szCs w:val="21"/>
                <w:highlight w:val="none"/>
              </w:rPr>
            </w:pPr>
          </w:p>
        </w:tc>
        <w:tc>
          <w:tcPr>
            <w:tcW w:w="557" w:type="dxa"/>
            <w:vMerge w:val="continue"/>
            <w:vAlign w:val="center"/>
          </w:tcPr>
          <w:p w14:paraId="185A834B">
            <w:pPr>
              <w:keepNext/>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center"/>
              <w:textAlignment w:val="auto"/>
              <w:outlineLvl w:val="3"/>
              <w:rPr>
                <w:rFonts w:hint="eastAsia" w:ascii="宋体" w:hAnsi="宋体" w:eastAsia="宋体" w:cs="宋体"/>
                <w:bCs/>
                <w:color w:val="auto"/>
                <w:sz w:val="21"/>
                <w:szCs w:val="21"/>
                <w:highlight w:val="none"/>
              </w:rPr>
            </w:pPr>
          </w:p>
        </w:tc>
        <w:tc>
          <w:tcPr>
            <w:tcW w:w="2122" w:type="dxa"/>
            <w:vAlign w:val="center"/>
          </w:tcPr>
          <w:p w14:paraId="24CD35D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竞争性磋商响应文件</w:t>
            </w:r>
            <w:r>
              <w:rPr>
                <w:rFonts w:hint="eastAsia" w:ascii="宋体" w:hAnsi="宋体" w:eastAsia="宋体" w:cs="宋体"/>
                <w:bCs/>
                <w:color w:val="auto"/>
                <w:sz w:val="21"/>
                <w:szCs w:val="21"/>
                <w:highlight w:val="none"/>
              </w:rPr>
              <w:t>有效期</w:t>
            </w:r>
          </w:p>
        </w:tc>
        <w:tc>
          <w:tcPr>
            <w:tcW w:w="6827" w:type="dxa"/>
            <w:vAlign w:val="center"/>
          </w:tcPr>
          <w:p w14:paraId="59562BB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both"/>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bCs/>
                <w:color w:val="auto"/>
                <w:sz w:val="21"/>
                <w:szCs w:val="21"/>
                <w:highlight w:val="none"/>
                <w:lang w:val="en-US" w:eastAsia="zh-CN"/>
              </w:rPr>
              <w:t>竞争性磋商文件</w:t>
            </w:r>
            <w:r>
              <w:rPr>
                <w:rFonts w:hint="eastAsia" w:ascii="宋体" w:hAnsi="宋体" w:eastAsia="宋体" w:cs="宋体"/>
                <w:color w:val="auto"/>
                <w:sz w:val="21"/>
                <w:szCs w:val="21"/>
                <w:highlight w:val="none"/>
              </w:rPr>
              <w:t>的要求</w:t>
            </w:r>
            <w:r>
              <w:rPr>
                <w:rFonts w:hint="eastAsia" w:ascii="宋体" w:hAnsi="宋体" w:eastAsia="宋体" w:cs="宋体"/>
                <w:color w:val="auto"/>
                <w:sz w:val="21"/>
                <w:szCs w:val="21"/>
                <w:highlight w:val="none"/>
                <w:lang w:eastAsia="zh-CN"/>
              </w:rPr>
              <w:t>。</w:t>
            </w:r>
          </w:p>
        </w:tc>
      </w:tr>
      <w:tr w14:paraId="0BA21F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60" w:hRule="atLeast"/>
          <w:jc w:val="center"/>
        </w:trPr>
        <w:tc>
          <w:tcPr>
            <w:tcW w:w="393" w:type="dxa"/>
            <w:vMerge w:val="continue"/>
            <w:vAlign w:val="center"/>
          </w:tcPr>
          <w:p w14:paraId="178A25A2">
            <w:pPr>
              <w:pStyle w:val="115"/>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firstLine="210" w:firstLineChars="100"/>
              <w:contextualSpacing w:val="0"/>
              <w:jc w:val="both"/>
              <w:textAlignment w:val="auto"/>
              <w:rPr>
                <w:rFonts w:hint="eastAsia" w:ascii="宋体" w:hAnsi="宋体" w:eastAsia="宋体" w:cs="宋体"/>
                <w:bCs/>
                <w:color w:val="auto"/>
                <w:sz w:val="21"/>
                <w:szCs w:val="21"/>
                <w:highlight w:val="none"/>
              </w:rPr>
            </w:pPr>
          </w:p>
        </w:tc>
        <w:tc>
          <w:tcPr>
            <w:tcW w:w="557" w:type="dxa"/>
            <w:vMerge w:val="continue"/>
            <w:vAlign w:val="center"/>
          </w:tcPr>
          <w:p w14:paraId="02A7605B">
            <w:pPr>
              <w:keepNext/>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center"/>
              <w:textAlignment w:val="auto"/>
              <w:outlineLvl w:val="3"/>
              <w:rPr>
                <w:rFonts w:hint="eastAsia" w:ascii="宋体" w:hAnsi="宋体" w:eastAsia="宋体" w:cs="宋体"/>
                <w:bCs/>
                <w:color w:val="auto"/>
                <w:sz w:val="21"/>
                <w:szCs w:val="21"/>
                <w:highlight w:val="none"/>
              </w:rPr>
            </w:pPr>
          </w:p>
        </w:tc>
        <w:tc>
          <w:tcPr>
            <w:tcW w:w="2122" w:type="dxa"/>
            <w:vAlign w:val="center"/>
          </w:tcPr>
          <w:p w14:paraId="7605309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磋商</w:t>
            </w:r>
            <w:r>
              <w:rPr>
                <w:rFonts w:hint="eastAsia" w:ascii="宋体" w:hAnsi="宋体" w:eastAsia="宋体" w:cs="宋体"/>
                <w:bCs/>
                <w:color w:val="auto"/>
                <w:sz w:val="21"/>
                <w:szCs w:val="21"/>
                <w:highlight w:val="none"/>
              </w:rPr>
              <w:t>报价</w:t>
            </w:r>
          </w:p>
        </w:tc>
        <w:tc>
          <w:tcPr>
            <w:tcW w:w="6827" w:type="dxa"/>
            <w:vAlign w:val="center"/>
          </w:tcPr>
          <w:p w14:paraId="42C18B4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同时满足以下条款：</w:t>
            </w:r>
          </w:p>
          <w:p w14:paraId="31D9DB5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（1）货币单位符合</w:t>
            </w:r>
            <w:r>
              <w:rPr>
                <w:rFonts w:hint="eastAsia" w:ascii="宋体" w:hAnsi="宋体" w:eastAsia="宋体" w:cs="宋体"/>
                <w:bCs/>
                <w:color w:val="auto"/>
                <w:sz w:val="21"/>
                <w:szCs w:val="21"/>
                <w:highlight w:val="none"/>
                <w:lang w:val="en-US" w:eastAsia="zh-CN"/>
              </w:rPr>
              <w:t>竞争性磋商文件</w:t>
            </w:r>
            <w:r>
              <w:rPr>
                <w:rFonts w:hint="eastAsia" w:ascii="宋体" w:hAnsi="宋体" w:eastAsia="宋体" w:cs="宋体"/>
                <w:bCs/>
                <w:color w:val="auto"/>
                <w:sz w:val="21"/>
                <w:szCs w:val="21"/>
                <w:highlight w:val="none"/>
              </w:rPr>
              <w:t>要求</w:t>
            </w:r>
          </w:p>
          <w:p w14:paraId="6F98DC3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（2）报价符合唯一性要求</w:t>
            </w:r>
          </w:p>
          <w:p w14:paraId="6EFBE30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（3）未超出</w:t>
            </w:r>
            <w:r>
              <w:rPr>
                <w:rFonts w:hint="eastAsia" w:ascii="宋体" w:hAnsi="宋体" w:eastAsia="宋体" w:cs="宋体"/>
                <w:bCs/>
                <w:color w:val="auto"/>
                <w:sz w:val="21"/>
                <w:szCs w:val="21"/>
                <w:highlight w:val="none"/>
                <w:lang w:val="en-US" w:eastAsia="zh-CN"/>
              </w:rPr>
              <w:t>最高限价</w:t>
            </w:r>
          </w:p>
          <w:p w14:paraId="1FD55B8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（4）符合《</w:t>
            </w:r>
            <w:r>
              <w:rPr>
                <w:rFonts w:hint="eastAsia" w:ascii="宋体" w:hAnsi="宋体" w:eastAsia="宋体" w:cs="宋体"/>
                <w:bCs/>
                <w:color w:val="auto"/>
                <w:sz w:val="21"/>
                <w:szCs w:val="21"/>
                <w:highlight w:val="none"/>
                <w:lang w:val="zh-CN"/>
              </w:rPr>
              <w:t>第一次磋商报价表</w:t>
            </w:r>
            <w:r>
              <w:rPr>
                <w:rFonts w:hint="eastAsia" w:ascii="宋体" w:hAnsi="宋体" w:eastAsia="宋体" w:cs="宋体"/>
                <w:bCs/>
                <w:color w:val="auto"/>
                <w:sz w:val="21"/>
                <w:szCs w:val="21"/>
                <w:highlight w:val="none"/>
              </w:rPr>
              <w:t>》的填</w:t>
            </w:r>
            <w:r>
              <w:rPr>
                <w:rFonts w:hint="eastAsia" w:ascii="宋体" w:hAnsi="宋体" w:eastAsia="宋体" w:cs="宋体"/>
                <w:bCs/>
                <w:color w:val="auto"/>
                <w:sz w:val="21"/>
                <w:szCs w:val="21"/>
                <w:highlight w:val="none"/>
                <w:lang w:val="en-US" w:eastAsia="zh-CN"/>
              </w:rPr>
              <w:t>表</w:t>
            </w:r>
            <w:r>
              <w:rPr>
                <w:rFonts w:hint="eastAsia" w:ascii="宋体" w:hAnsi="宋体" w:eastAsia="宋体" w:cs="宋体"/>
                <w:bCs/>
                <w:color w:val="auto"/>
                <w:sz w:val="21"/>
                <w:szCs w:val="21"/>
                <w:highlight w:val="none"/>
              </w:rPr>
              <w:t>要求</w:t>
            </w:r>
          </w:p>
        </w:tc>
      </w:tr>
      <w:tr w14:paraId="2A563B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393" w:type="dxa"/>
            <w:vMerge w:val="continue"/>
            <w:vAlign w:val="center"/>
          </w:tcPr>
          <w:p w14:paraId="237FCD31">
            <w:pPr>
              <w:pStyle w:val="115"/>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firstLine="210" w:firstLineChars="100"/>
              <w:contextualSpacing w:val="0"/>
              <w:jc w:val="both"/>
              <w:textAlignment w:val="auto"/>
              <w:rPr>
                <w:rFonts w:hint="eastAsia" w:ascii="宋体" w:hAnsi="宋体" w:eastAsia="宋体" w:cs="宋体"/>
                <w:bCs/>
                <w:color w:val="auto"/>
                <w:sz w:val="21"/>
                <w:szCs w:val="21"/>
                <w:highlight w:val="none"/>
              </w:rPr>
            </w:pPr>
          </w:p>
        </w:tc>
        <w:tc>
          <w:tcPr>
            <w:tcW w:w="557" w:type="dxa"/>
            <w:vMerge w:val="continue"/>
            <w:vAlign w:val="center"/>
          </w:tcPr>
          <w:p w14:paraId="22C208C2">
            <w:pPr>
              <w:keepNext/>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center"/>
              <w:textAlignment w:val="auto"/>
              <w:outlineLvl w:val="3"/>
              <w:rPr>
                <w:rFonts w:hint="eastAsia" w:ascii="宋体" w:hAnsi="宋体" w:eastAsia="宋体" w:cs="宋体"/>
                <w:bCs/>
                <w:color w:val="auto"/>
                <w:sz w:val="21"/>
                <w:szCs w:val="21"/>
                <w:highlight w:val="none"/>
              </w:rPr>
            </w:pPr>
          </w:p>
        </w:tc>
        <w:tc>
          <w:tcPr>
            <w:tcW w:w="2122" w:type="dxa"/>
            <w:vAlign w:val="center"/>
          </w:tcPr>
          <w:p w14:paraId="4AABD4E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Cs/>
                <w:color w:val="auto"/>
                <w:sz w:val="21"/>
                <w:szCs w:val="21"/>
                <w:highlight w:val="yellow"/>
                <w:lang w:val="en-US" w:eastAsia="zh-CN"/>
              </w:rPr>
            </w:pPr>
            <w:r>
              <w:rPr>
                <w:rFonts w:hint="eastAsia" w:ascii="宋体" w:hAnsi="宋体" w:eastAsia="宋体" w:cs="宋体"/>
                <w:bCs/>
                <w:color w:val="auto"/>
                <w:sz w:val="21"/>
                <w:szCs w:val="21"/>
                <w:lang w:val="en-US" w:eastAsia="zh-CN"/>
              </w:rPr>
              <w:t>响应程度</w:t>
            </w:r>
          </w:p>
        </w:tc>
        <w:tc>
          <w:tcPr>
            <w:tcW w:w="6827" w:type="dxa"/>
            <w:vAlign w:val="center"/>
          </w:tcPr>
          <w:p w14:paraId="7347EEA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《第五章施工内容及技术要求》、实质性条款均不允许负偏离。</w:t>
            </w:r>
          </w:p>
        </w:tc>
      </w:tr>
      <w:tr w14:paraId="6131DE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393" w:type="dxa"/>
            <w:vMerge w:val="continue"/>
            <w:vAlign w:val="center"/>
          </w:tcPr>
          <w:p w14:paraId="0640355A">
            <w:pPr>
              <w:pStyle w:val="115"/>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firstLine="210" w:firstLineChars="100"/>
              <w:contextualSpacing w:val="0"/>
              <w:jc w:val="both"/>
              <w:textAlignment w:val="auto"/>
              <w:rPr>
                <w:rFonts w:hint="eastAsia" w:ascii="宋体" w:hAnsi="宋体" w:eastAsia="宋体" w:cs="宋体"/>
                <w:bCs/>
                <w:color w:val="auto"/>
                <w:sz w:val="21"/>
                <w:szCs w:val="21"/>
                <w:highlight w:val="none"/>
              </w:rPr>
            </w:pPr>
          </w:p>
        </w:tc>
        <w:tc>
          <w:tcPr>
            <w:tcW w:w="557" w:type="dxa"/>
            <w:vMerge w:val="continue"/>
            <w:vAlign w:val="center"/>
          </w:tcPr>
          <w:p w14:paraId="53B05806">
            <w:pPr>
              <w:keepNext/>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center"/>
              <w:textAlignment w:val="auto"/>
              <w:outlineLvl w:val="3"/>
              <w:rPr>
                <w:rFonts w:hint="eastAsia" w:ascii="宋体" w:hAnsi="宋体" w:eastAsia="宋体" w:cs="宋体"/>
                <w:bCs/>
                <w:color w:val="auto"/>
                <w:sz w:val="21"/>
                <w:szCs w:val="21"/>
                <w:highlight w:val="none"/>
              </w:rPr>
            </w:pPr>
          </w:p>
        </w:tc>
        <w:tc>
          <w:tcPr>
            <w:tcW w:w="2122" w:type="dxa"/>
            <w:vAlign w:val="center"/>
          </w:tcPr>
          <w:p w14:paraId="50B5820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rPr>
              <w:t>其他</w:t>
            </w:r>
          </w:p>
        </w:tc>
        <w:tc>
          <w:tcPr>
            <w:tcW w:w="6827" w:type="dxa"/>
            <w:vAlign w:val="center"/>
          </w:tcPr>
          <w:p w14:paraId="121D30D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rPr>
              <w:t>完全理解并接受法律法规和</w:t>
            </w:r>
            <w:r>
              <w:rPr>
                <w:rFonts w:hint="eastAsia" w:ascii="宋体" w:hAnsi="宋体" w:eastAsia="宋体" w:cs="宋体"/>
                <w:bCs/>
                <w:color w:val="auto"/>
                <w:sz w:val="21"/>
                <w:szCs w:val="21"/>
                <w:highlight w:val="none"/>
                <w:lang w:val="en-US" w:eastAsia="zh-CN"/>
              </w:rPr>
              <w:t>竞争性磋商文件</w:t>
            </w:r>
            <w:r>
              <w:rPr>
                <w:rFonts w:hint="eastAsia" w:ascii="宋体" w:hAnsi="宋体" w:eastAsia="宋体" w:cs="宋体"/>
                <w:color w:val="auto"/>
                <w:sz w:val="21"/>
                <w:szCs w:val="21"/>
                <w:highlight w:val="none"/>
              </w:rPr>
              <w:t>对供应商合法经营的各类规约和责任义务要求，没有出现法律法规或</w:t>
            </w:r>
            <w:r>
              <w:rPr>
                <w:rFonts w:hint="eastAsia" w:ascii="宋体" w:hAnsi="宋体" w:eastAsia="宋体" w:cs="宋体"/>
                <w:bCs/>
                <w:color w:val="auto"/>
                <w:sz w:val="21"/>
                <w:szCs w:val="21"/>
                <w:highlight w:val="none"/>
                <w:lang w:val="en-US" w:eastAsia="zh-CN"/>
              </w:rPr>
              <w:t>竞争性磋商文件</w:t>
            </w:r>
            <w:r>
              <w:rPr>
                <w:rFonts w:hint="eastAsia" w:ascii="宋体" w:hAnsi="宋体" w:eastAsia="宋体" w:cs="宋体"/>
                <w:color w:val="auto"/>
                <w:sz w:val="21"/>
                <w:szCs w:val="21"/>
                <w:highlight w:val="none"/>
              </w:rPr>
              <w:t>规定的其他无效情形。</w:t>
            </w:r>
          </w:p>
        </w:tc>
      </w:tr>
    </w:tbl>
    <w:p w14:paraId="66889D24">
      <w:pPr>
        <w:pStyle w:val="16"/>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bCs/>
          <w:color w:val="auto"/>
          <w:sz w:val="21"/>
          <w:szCs w:val="21"/>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linePitch="312" w:charSpace="0"/>
        </w:sectPr>
      </w:pPr>
    </w:p>
    <w:p w14:paraId="02D5447E">
      <w:pPr>
        <w:pStyle w:val="16"/>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附件3：</w:t>
      </w:r>
    </w:p>
    <w:p w14:paraId="71F4FC56">
      <w:pPr>
        <w:keepNext w:val="0"/>
        <w:keepLines w:val="0"/>
        <w:pageBreakBefore w:val="0"/>
        <w:widowControl w:val="0"/>
        <w:kinsoku/>
        <w:wordWrap/>
        <w:overflowPunct/>
        <w:topLinePunct w:val="0"/>
        <w:autoSpaceDE w:val="0"/>
        <w:autoSpaceDN w:val="0"/>
        <w:bidi w:val="0"/>
        <w:adjustRightInd w:val="0"/>
        <w:snapToGrid w:val="0"/>
        <w:spacing w:line="360" w:lineRule="exact"/>
        <w:ind w:firstLine="63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〖评标因素及权重分值表〗</w:t>
      </w:r>
    </w:p>
    <w:p w14:paraId="26C79A75">
      <w:pPr>
        <w:keepLines w:val="0"/>
        <w:pageBreakBefore w:val="0"/>
        <w:kinsoku/>
        <w:wordWrap/>
        <w:overflowPunct/>
        <w:topLinePunct w:val="0"/>
        <w:bidi w:val="0"/>
        <w:spacing w:line="360" w:lineRule="exact"/>
        <w:textAlignment w:val="auto"/>
        <w:rPr>
          <w:rFonts w:hint="eastAsia" w:ascii="宋体" w:hAnsi="宋体" w:eastAsia="宋体" w:cs="宋体"/>
          <w:color w:val="auto"/>
          <w:sz w:val="21"/>
          <w:szCs w:val="21"/>
          <w:highlight w:val="none"/>
          <w:lang w:val="zh-CN" w:eastAsia="zh-CN"/>
        </w:rPr>
      </w:pPr>
    </w:p>
    <w:tbl>
      <w:tblPr>
        <w:tblStyle w:val="37"/>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767"/>
        <w:gridCol w:w="8290"/>
      </w:tblGrid>
      <w:tr w14:paraId="6492F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1CDF3C67">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w:t>
            </w:r>
          </w:p>
          <w:p w14:paraId="55DB0F99">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因素</w:t>
            </w:r>
          </w:p>
        </w:tc>
        <w:tc>
          <w:tcPr>
            <w:tcW w:w="767" w:type="dxa"/>
            <w:tcBorders>
              <w:top w:val="single" w:color="auto" w:sz="4" w:space="0"/>
              <w:left w:val="single" w:color="auto" w:sz="4" w:space="0"/>
              <w:right w:val="single" w:color="auto" w:sz="4" w:space="0"/>
            </w:tcBorders>
            <w:vAlign w:val="center"/>
          </w:tcPr>
          <w:p w14:paraId="39C06B9E">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权值</w:t>
            </w:r>
          </w:p>
          <w:p w14:paraId="261F2D60">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8290" w:type="dxa"/>
            <w:tcBorders>
              <w:top w:val="single" w:color="auto" w:sz="4" w:space="0"/>
              <w:left w:val="single" w:color="auto" w:sz="4" w:space="0"/>
              <w:bottom w:val="single" w:color="auto" w:sz="4" w:space="0"/>
              <w:right w:val="single" w:color="auto" w:sz="4" w:space="0"/>
            </w:tcBorders>
            <w:vAlign w:val="center"/>
          </w:tcPr>
          <w:p w14:paraId="6436D8E7">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评价要素</w:t>
            </w:r>
          </w:p>
        </w:tc>
      </w:tr>
      <w:tr w14:paraId="62362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4065BE35">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w:t>
            </w:r>
          </w:p>
        </w:tc>
        <w:tc>
          <w:tcPr>
            <w:tcW w:w="767" w:type="dxa"/>
            <w:tcBorders>
              <w:top w:val="single" w:color="auto" w:sz="4" w:space="0"/>
              <w:left w:val="single" w:color="auto" w:sz="4" w:space="0"/>
              <w:bottom w:val="single" w:color="auto" w:sz="4" w:space="0"/>
              <w:right w:val="single" w:color="auto" w:sz="4" w:space="0"/>
            </w:tcBorders>
            <w:vAlign w:val="center"/>
          </w:tcPr>
          <w:p w14:paraId="0BB1C152">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8290" w:type="dxa"/>
            <w:tcBorders>
              <w:top w:val="single" w:color="auto" w:sz="4" w:space="0"/>
              <w:left w:val="single" w:color="auto" w:sz="4" w:space="0"/>
              <w:bottom w:val="single" w:color="auto" w:sz="4" w:space="0"/>
              <w:right w:val="single" w:color="auto" w:sz="4" w:space="0"/>
            </w:tcBorders>
            <w:vAlign w:val="center"/>
          </w:tcPr>
          <w:p w14:paraId="196447C8">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满足磋商文件要求且投标价格最低的磋商报价为磋商基准价，其价格分为满分。其他供应商的价格分统一按照下列公式计算：磋商报价得分=（磋商基准价/最后磋商报价）×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100。</w:t>
            </w:r>
          </w:p>
          <w:p w14:paraId="54DAC8B3">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eastAsia="zh-CN"/>
              </w:rPr>
              <w:t>注：本项目专门面向</w:t>
            </w:r>
            <w:r>
              <w:rPr>
                <w:rFonts w:hint="eastAsia" w:ascii="宋体" w:hAnsi="宋体" w:eastAsia="宋体" w:cs="宋体"/>
                <w:b/>
                <w:bCs/>
                <w:color w:val="auto"/>
                <w:sz w:val="21"/>
                <w:szCs w:val="21"/>
                <w:highlight w:val="none"/>
                <w:lang w:val="en-US" w:eastAsia="zh-CN"/>
              </w:rPr>
              <w:t>中小</w:t>
            </w:r>
            <w:r>
              <w:rPr>
                <w:rFonts w:hint="eastAsia" w:ascii="宋体" w:hAnsi="宋体" w:eastAsia="宋体" w:cs="宋体"/>
                <w:b/>
                <w:bCs/>
                <w:color w:val="auto"/>
                <w:sz w:val="21"/>
                <w:szCs w:val="21"/>
                <w:highlight w:val="none"/>
                <w:lang w:val="zh-CN" w:eastAsia="zh-CN"/>
              </w:rPr>
              <w:t>企业采购，不享受优惠政策。</w:t>
            </w:r>
          </w:p>
        </w:tc>
      </w:tr>
      <w:tr w14:paraId="30ED9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24F7EA55">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w:t>
            </w:r>
          </w:p>
          <w:p w14:paraId="55519FB1">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w:t>
            </w:r>
          </w:p>
        </w:tc>
        <w:tc>
          <w:tcPr>
            <w:tcW w:w="767" w:type="dxa"/>
            <w:tcBorders>
              <w:top w:val="single" w:color="auto" w:sz="4" w:space="0"/>
              <w:left w:val="single" w:color="auto" w:sz="4" w:space="0"/>
              <w:bottom w:val="single" w:color="auto" w:sz="4" w:space="0"/>
              <w:right w:val="single" w:color="auto" w:sz="4" w:space="0"/>
            </w:tcBorders>
            <w:vAlign w:val="center"/>
          </w:tcPr>
          <w:p w14:paraId="2C41B248">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w:t>
            </w:r>
          </w:p>
        </w:tc>
        <w:tc>
          <w:tcPr>
            <w:tcW w:w="8290" w:type="dxa"/>
            <w:tcBorders>
              <w:top w:val="single" w:color="auto" w:sz="4" w:space="0"/>
              <w:left w:val="single" w:color="auto" w:sz="4" w:space="0"/>
              <w:bottom w:val="single" w:color="auto" w:sz="4" w:space="0"/>
              <w:right w:val="single" w:color="auto" w:sz="4" w:space="0"/>
            </w:tcBorders>
            <w:vAlign w:val="center"/>
          </w:tcPr>
          <w:p w14:paraId="3679075B">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确保工程质量的技术组织措施，质量目标明确，满足采购人要求；有质保体系，责任明确；质保措施切合实际，满足质量目标要求。内容完备、科学、合理、针对性强得（5-7]分；内容合理、可行得（3-5]分；内容一般、基本可行得（0-3]分；未提供不得分。</w:t>
            </w:r>
          </w:p>
          <w:p w14:paraId="4D4B4743">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针对项目施工的重点、难点目标及施工环节，提出切实可行的专项施工方案（含主要施工方法、组织措施、检验手段等）及应急预案</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内容完备、科学、合理、针对性强得（5-7]分；内容合理、可行得（3-5]分；内容一般、基本可行得（0-3]分；未提供不得分。</w:t>
            </w:r>
          </w:p>
          <w:p w14:paraId="53AED55B">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确保安全生产的技术组织措施，安全目标明确，满足采购人要求；有安保体系，责任明确；安保措施切合实际，满足安全目标要求；有应对突发事件的应急措施</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内容完备、科学、合理、针对性强得（4-6]分；内容合理、可行得（2-4]分；内容一般、基本可行得（0-2]分；未提供不得分。</w:t>
            </w:r>
          </w:p>
          <w:p w14:paraId="0CBB60C2">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确保文明施工、环保施工、防尘降噪等技术保证措施。内容完备、科学、合理、针对性强得（4-6]分；内容合理、可行得（2-4]分；内容一般、基本可行得（0-2]分；未提供不得分。</w:t>
            </w:r>
          </w:p>
          <w:p w14:paraId="578DC5F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5.项目部组成人员，整个项目的实施组织机构、人员配置合理、责任明确。内容完备、科学、合理、针对性强得（5-7]分；内容合理、可行得（3-5]分；内容一般、基本可行得（0-3]分；未提供不得分。</w:t>
            </w:r>
          </w:p>
          <w:p w14:paraId="02749D3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6.确保工期的技术组织措施</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施工进度计划图示清晰、科学、合理；关键工序控制合理；工期保证措施合理，能够保证总工期</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内容完备、科学、合理、针对性强得（5-7]分；内容合理、可行得（3-5]分；内容一般、基本可行得（0-3]分；未提供不得分。</w:t>
            </w:r>
          </w:p>
          <w:p w14:paraId="62290F1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7.根据供应商拟用于本项目的主要施工设备和材料投入计划，按其响应程度赋分。内容完备、科学、合理、针对性强得（2-5]分；内容合理、可行得（1-2]分；内容一般、基本可行得（0-1]分；未提供不得分。</w:t>
            </w:r>
          </w:p>
          <w:p w14:paraId="55A7406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8.根据供应商新技术、新产品、新工艺、新材料应用，按其响应程度赋分。内容完备、科学、合理、针对性强得（2-5]分；内容合理、可行得（1-2]分；内容一般、基本可行得（0-1]分；未提供不得分。</w:t>
            </w:r>
          </w:p>
        </w:tc>
      </w:tr>
      <w:tr w14:paraId="2EF0A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72BAF520">
            <w:pPr>
              <w:keepNext w:val="0"/>
              <w:keepLines w:val="0"/>
              <w:pageBreakBefore w:val="0"/>
              <w:widowControl w:val="0"/>
              <w:kinsoku/>
              <w:wordWrap/>
              <w:overflowPunct/>
              <w:topLinePunct w:val="0"/>
              <w:autoSpaceDE/>
              <w:autoSpaceDN/>
              <w:bidi w:val="0"/>
              <w:snapToGrid w:val="0"/>
              <w:spacing w:line="360" w:lineRule="exact"/>
              <w:ind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业绩</w:t>
            </w:r>
          </w:p>
        </w:tc>
        <w:tc>
          <w:tcPr>
            <w:tcW w:w="767" w:type="dxa"/>
            <w:tcBorders>
              <w:top w:val="single" w:color="auto" w:sz="4" w:space="0"/>
              <w:left w:val="single" w:color="auto" w:sz="4" w:space="0"/>
              <w:bottom w:val="single" w:color="auto" w:sz="4" w:space="0"/>
              <w:right w:val="single" w:color="auto" w:sz="4" w:space="0"/>
            </w:tcBorders>
            <w:vAlign w:val="center"/>
          </w:tcPr>
          <w:p w14:paraId="2CA0C73A">
            <w:pPr>
              <w:keepNext w:val="0"/>
              <w:keepLines w:val="0"/>
              <w:pageBreakBefore w:val="0"/>
              <w:widowControl w:val="0"/>
              <w:kinsoku/>
              <w:wordWrap/>
              <w:overflowPunct/>
              <w:topLinePunct w:val="0"/>
              <w:autoSpaceDE/>
              <w:autoSpaceDN/>
              <w:bidi w:val="0"/>
              <w:snapToGrid w:val="0"/>
              <w:spacing w:line="360" w:lineRule="exact"/>
              <w:ind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8290" w:type="dxa"/>
            <w:tcBorders>
              <w:top w:val="single" w:color="auto" w:sz="4" w:space="0"/>
              <w:left w:val="single" w:color="auto" w:sz="4" w:space="0"/>
              <w:bottom w:val="single" w:color="auto" w:sz="4" w:space="0"/>
              <w:right w:val="single" w:color="auto" w:sz="4" w:space="0"/>
            </w:tcBorders>
            <w:vAlign w:val="center"/>
          </w:tcPr>
          <w:p w14:paraId="04706B7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eastAsia="zh-CN"/>
              </w:rPr>
              <w:t>2022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附</w:t>
            </w:r>
            <w:r>
              <w:rPr>
                <w:rFonts w:hint="eastAsia" w:ascii="宋体" w:hAnsi="宋体" w:eastAsia="宋体" w:cs="宋体"/>
                <w:color w:val="auto"/>
                <w:sz w:val="21"/>
                <w:szCs w:val="21"/>
                <w:highlight w:val="none"/>
              </w:rPr>
              <w:t>合同协议书</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中标通知书等相关证明材料</w:t>
            </w:r>
            <w:r>
              <w:rPr>
                <w:rFonts w:hint="eastAsia" w:ascii="宋体" w:hAnsi="宋体" w:eastAsia="宋体" w:cs="宋体"/>
                <w:color w:val="auto"/>
                <w:sz w:val="21"/>
                <w:szCs w:val="21"/>
                <w:highlight w:val="none"/>
                <w:lang w:eastAsia="zh-CN"/>
              </w:rPr>
              <w:t>；已合同签订日期为准</w:t>
            </w:r>
            <w:r>
              <w:rPr>
                <w:rFonts w:hint="eastAsia" w:ascii="宋体" w:hAnsi="宋体" w:eastAsia="宋体" w:cs="宋体"/>
                <w:color w:val="auto"/>
                <w:sz w:val="21"/>
                <w:szCs w:val="21"/>
                <w:highlight w:val="none"/>
              </w:rPr>
              <w:t>）至今</w:t>
            </w:r>
            <w:r>
              <w:rPr>
                <w:rFonts w:hint="eastAsia" w:ascii="宋体" w:hAnsi="宋体" w:eastAsia="宋体" w:cs="宋体"/>
                <w:color w:val="auto"/>
                <w:sz w:val="21"/>
                <w:szCs w:val="21"/>
                <w:highlight w:val="none"/>
                <w:lang w:val="en-US" w:eastAsia="zh-CN"/>
              </w:rPr>
              <w:t>同类</w:t>
            </w:r>
            <w:r>
              <w:rPr>
                <w:rFonts w:hint="eastAsia" w:ascii="宋体" w:hAnsi="宋体" w:eastAsia="宋体" w:cs="宋体"/>
                <w:color w:val="auto"/>
                <w:sz w:val="21"/>
                <w:szCs w:val="21"/>
                <w:highlight w:val="none"/>
              </w:rPr>
              <w:t>项目业绩，每提供1个得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r>
      <w:tr w14:paraId="55307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60F648F4">
            <w:pPr>
              <w:keepNext w:val="0"/>
              <w:keepLines w:val="0"/>
              <w:pageBreakBefore w:val="0"/>
              <w:widowControl w:val="0"/>
              <w:kinsoku/>
              <w:wordWrap/>
              <w:overflowPunct/>
              <w:topLinePunct w:val="0"/>
              <w:autoSpaceDE/>
              <w:autoSpaceDN/>
              <w:bidi w:val="0"/>
              <w:snapToGrid w:val="0"/>
              <w:spacing w:line="360" w:lineRule="exact"/>
              <w:ind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w:t>
            </w:r>
          </w:p>
          <w:p w14:paraId="7CD69EEE">
            <w:pPr>
              <w:keepNext w:val="0"/>
              <w:keepLines w:val="0"/>
              <w:pageBreakBefore w:val="0"/>
              <w:widowControl w:val="0"/>
              <w:kinsoku/>
              <w:wordWrap/>
              <w:overflowPunct/>
              <w:topLinePunct w:val="0"/>
              <w:autoSpaceDE/>
              <w:autoSpaceDN/>
              <w:bidi w:val="0"/>
              <w:snapToGrid w:val="0"/>
              <w:spacing w:line="360" w:lineRule="exact"/>
              <w:ind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能力</w:t>
            </w:r>
          </w:p>
        </w:tc>
        <w:tc>
          <w:tcPr>
            <w:tcW w:w="767" w:type="dxa"/>
            <w:tcBorders>
              <w:top w:val="single" w:color="auto" w:sz="4" w:space="0"/>
              <w:left w:val="single" w:color="auto" w:sz="4" w:space="0"/>
              <w:bottom w:val="single" w:color="auto" w:sz="4" w:space="0"/>
              <w:right w:val="single" w:color="auto" w:sz="4" w:space="0"/>
            </w:tcBorders>
            <w:vAlign w:val="center"/>
          </w:tcPr>
          <w:p w14:paraId="3AF318A7">
            <w:pPr>
              <w:keepNext w:val="0"/>
              <w:keepLines w:val="0"/>
              <w:pageBreakBefore w:val="0"/>
              <w:widowControl w:val="0"/>
              <w:kinsoku/>
              <w:wordWrap/>
              <w:overflowPunct/>
              <w:topLinePunct w:val="0"/>
              <w:autoSpaceDE/>
              <w:autoSpaceDN/>
              <w:bidi w:val="0"/>
              <w:snapToGrid w:val="0"/>
              <w:spacing w:line="360" w:lineRule="exact"/>
              <w:ind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8290" w:type="dxa"/>
            <w:tcBorders>
              <w:top w:val="single" w:color="auto" w:sz="4" w:space="0"/>
              <w:left w:val="single" w:color="auto" w:sz="4" w:space="0"/>
              <w:bottom w:val="single" w:color="auto" w:sz="4" w:space="0"/>
              <w:right w:val="single" w:color="auto" w:sz="4" w:space="0"/>
            </w:tcBorders>
            <w:vAlign w:val="center"/>
          </w:tcPr>
          <w:p w14:paraId="7C71738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1.根据本项目实际需求，</w:t>
            </w:r>
            <w:r>
              <w:rPr>
                <w:rFonts w:hint="eastAsia" w:ascii="宋体" w:hAnsi="宋体" w:eastAsia="宋体" w:cs="宋体"/>
                <w:color w:val="auto"/>
                <w:sz w:val="21"/>
                <w:szCs w:val="21"/>
                <w:highlight w:val="none"/>
                <w:lang w:val="zh-CN" w:eastAsia="zh-CN"/>
              </w:rPr>
              <w:t>有详细的</w:t>
            </w:r>
            <w:r>
              <w:rPr>
                <w:rFonts w:hint="eastAsia" w:ascii="宋体" w:hAnsi="宋体" w:eastAsia="宋体" w:cs="宋体"/>
                <w:color w:val="auto"/>
                <w:sz w:val="21"/>
                <w:szCs w:val="21"/>
                <w:highlight w:val="none"/>
                <w:lang w:val="en-US" w:eastAsia="zh-CN"/>
              </w:rPr>
              <w:t>保修</w:t>
            </w:r>
            <w:r>
              <w:rPr>
                <w:rFonts w:hint="eastAsia" w:ascii="宋体" w:hAnsi="宋体" w:eastAsia="宋体" w:cs="宋体"/>
                <w:color w:val="auto"/>
                <w:sz w:val="21"/>
                <w:szCs w:val="21"/>
                <w:highlight w:val="none"/>
                <w:lang w:val="zh-CN" w:eastAsia="zh-CN"/>
              </w:rPr>
              <w:t>服务措施</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lang w:val="zh-CN" w:eastAsia="zh-CN"/>
              </w:rPr>
              <w:t>承诺，</w:t>
            </w:r>
            <w:r>
              <w:rPr>
                <w:rFonts w:hint="eastAsia" w:ascii="宋体" w:hAnsi="宋体" w:eastAsia="宋体" w:cs="宋体"/>
                <w:color w:val="auto"/>
                <w:sz w:val="21"/>
                <w:szCs w:val="21"/>
                <w:highlight w:val="none"/>
                <w:lang w:val="en-US" w:eastAsia="zh-CN"/>
              </w:rPr>
              <w:t>保修</w:t>
            </w:r>
            <w:r>
              <w:rPr>
                <w:rFonts w:hint="eastAsia" w:ascii="宋体" w:hAnsi="宋体" w:eastAsia="宋体" w:cs="宋体"/>
                <w:color w:val="auto"/>
                <w:sz w:val="21"/>
                <w:szCs w:val="21"/>
                <w:highlight w:val="none"/>
                <w:lang w:val="zh-CN" w:eastAsia="zh-CN"/>
              </w:rPr>
              <w:t>服务条款具体、可行。</w:t>
            </w:r>
            <w:r>
              <w:rPr>
                <w:rFonts w:hint="eastAsia" w:ascii="宋体" w:hAnsi="宋体" w:eastAsia="宋体" w:cs="宋体"/>
                <w:color w:val="auto"/>
                <w:sz w:val="21"/>
                <w:szCs w:val="21"/>
                <w:highlight w:val="none"/>
                <w:lang w:val="en-US" w:eastAsia="zh-CN"/>
              </w:rPr>
              <w:t>内容完备、科学、合理、针对性强得（5-7]分；内容合理、可行得（3-5]分；内容一般、基本可行得（0-3]分；未提供不得分。</w:t>
            </w:r>
          </w:p>
          <w:p w14:paraId="1B32411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2.针对本项目实际需求提供合理化建议，确有利于本次磋商</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内容完备、科学、合理、针对性强得（5-7]分；内容合理、可行得（3-5]分；内容一般、基本可行得（0-3]分；未提供不得分。</w:t>
            </w:r>
          </w:p>
        </w:tc>
      </w:tr>
    </w:tbl>
    <w:p w14:paraId="6E033735">
      <w:pPr>
        <w:keepLines w:val="0"/>
        <w:pageBreakBefore w:val="0"/>
        <w:kinsoku/>
        <w:wordWrap/>
        <w:overflowPunct/>
        <w:topLinePunct w:val="0"/>
        <w:bidi w:val="0"/>
        <w:spacing w:line="36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br w:type="page"/>
      </w:r>
    </w:p>
    <w:p w14:paraId="265A4258">
      <w:pPr>
        <w:pStyle w:val="2"/>
        <w:keepNext/>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36"/>
          <w:szCs w:val="36"/>
          <w:highlight w:val="none"/>
          <w:lang w:val="en-US" w:eastAsia="zh-CN"/>
        </w:rPr>
      </w:pPr>
      <w:bookmarkStart w:id="46" w:name="_Toc1326"/>
      <w:r>
        <w:rPr>
          <w:rFonts w:hint="eastAsia" w:ascii="宋体" w:hAnsi="宋体" w:eastAsia="宋体" w:cs="宋体"/>
          <w:b/>
          <w:bCs/>
          <w:color w:val="auto"/>
          <w:sz w:val="36"/>
          <w:szCs w:val="36"/>
          <w:highlight w:val="none"/>
          <w:lang w:val="en-US" w:eastAsia="zh-CN"/>
        </w:rPr>
        <w:t xml:space="preserve">第五章 </w:t>
      </w:r>
      <w:r>
        <w:rPr>
          <w:rFonts w:hint="eastAsia" w:ascii="宋体" w:hAnsi="宋体" w:eastAsia="宋体" w:cs="宋体"/>
          <w:b/>
          <w:bCs/>
          <w:color w:val="auto"/>
          <w:sz w:val="36"/>
          <w:szCs w:val="36"/>
          <w:highlight w:val="none"/>
          <w:lang w:val="zh-CN" w:eastAsia="zh-CN"/>
        </w:rPr>
        <w:t>施工内容及技术要求</w:t>
      </w:r>
      <w:bookmarkEnd w:id="46"/>
    </w:p>
    <w:p w14:paraId="78D470E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lang w:val="en-US" w:eastAsia="zh-CN"/>
        </w:rPr>
      </w:pPr>
      <w:bookmarkStart w:id="47" w:name="_Toc503268284"/>
      <w:bookmarkStart w:id="48" w:name="_Toc9211"/>
      <w:bookmarkStart w:id="49" w:name="_Toc503276971"/>
      <w:bookmarkStart w:id="50" w:name="_Toc503181530"/>
      <w:bookmarkStart w:id="51" w:name="_Toc507748766"/>
      <w:r>
        <w:rPr>
          <w:rFonts w:hint="eastAsia" w:ascii="宋体" w:hAnsi="宋体" w:eastAsia="宋体" w:cs="宋体"/>
          <w:b/>
          <w:bCs/>
          <w:color w:val="auto"/>
          <w:sz w:val="21"/>
          <w:szCs w:val="21"/>
          <w:highlight w:val="none"/>
          <w:lang w:val="en-US" w:eastAsia="zh-CN"/>
        </w:rPr>
        <w:t>1、项目概况</w:t>
      </w:r>
    </w:p>
    <w:bookmarkEnd w:id="47"/>
    <w:bookmarkEnd w:id="48"/>
    <w:bookmarkEnd w:id="49"/>
    <w:bookmarkEnd w:id="50"/>
    <w:bookmarkEnd w:id="51"/>
    <w:p w14:paraId="5269D67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color w:val="auto"/>
          <w:sz w:val="21"/>
          <w:szCs w:val="21"/>
          <w:highlight w:val="none"/>
          <w:lang w:val="en-US" w:eastAsia="zh-CN"/>
        </w:rPr>
      </w:pPr>
      <w:bookmarkStart w:id="52" w:name="_bookmark184"/>
      <w:bookmarkEnd w:id="52"/>
      <w:r>
        <w:rPr>
          <w:rFonts w:hint="eastAsia" w:ascii="宋体" w:hAnsi="宋体" w:cs="宋体"/>
          <w:b w:val="0"/>
          <w:bCs w:val="0"/>
          <w:color w:val="auto"/>
          <w:sz w:val="21"/>
          <w:szCs w:val="21"/>
          <w:highlight w:val="none"/>
          <w:lang w:val="en-US" w:eastAsia="zh-CN"/>
        </w:rPr>
        <w:t>本项</w:t>
      </w:r>
      <w:r>
        <w:rPr>
          <w:rFonts w:hint="eastAsia" w:ascii="宋体" w:hAnsi="宋体" w:eastAsia="宋体" w:cs="宋体"/>
          <w:color w:val="auto"/>
          <w:sz w:val="21"/>
          <w:szCs w:val="21"/>
          <w:highlight w:val="none"/>
          <w:lang w:val="en-US" w:eastAsia="zh-CN"/>
        </w:rPr>
        <w:t>目为泾阳县人民政府会议室改造项目，涉及改造范围包括建筑、结构、暖通、电气等专业配套内容。</w:t>
      </w:r>
    </w:p>
    <w:p w14:paraId="5127E19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2、工程目标和承诺</w:t>
      </w:r>
    </w:p>
    <w:p w14:paraId="7AF7DAC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2.1、工程质量目标：合格</w:t>
      </w:r>
    </w:p>
    <w:p w14:paraId="71E08548">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2.2、工期：自合同签订之日起60日历日</w:t>
      </w:r>
    </w:p>
    <w:p w14:paraId="7DB1E021">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2.3、质保期：自工程竣工验收合格之日起</w:t>
      </w:r>
      <w:r>
        <w:rPr>
          <w:rFonts w:hint="eastAsia" w:ascii="宋体" w:hAnsi="宋体" w:cs="宋体"/>
          <w:b/>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年</w:t>
      </w:r>
    </w:p>
    <w:p w14:paraId="3E94F3C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2.4、安全生产目标：无伤亡事故、无重大机械事故、无扬尘、无噪音扰民。</w:t>
      </w:r>
    </w:p>
    <w:p w14:paraId="11EE9CD4">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1"/>
        <w:rPr>
          <w:rFonts w:hint="eastAsia" w:ascii="宋体" w:hAnsi="宋体" w:eastAsia="宋体" w:cs="宋体"/>
          <w:b/>
          <w:bCs/>
          <w:color w:val="auto"/>
          <w:sz w:val="21"/>
          <w:szCs w:val="21"/>
          <w:highlight w:val="none"/>
          <w:lang w:val="en-US" w:eastAsia="zh-CN"/>
        </w:rPr>
      </w:pPr>
      <w:bookmarkStart w:id="53" w:name="_Toc23057"/>
      <w:r>
        <w:rPr>
          <w:rFonts w:hint="eastAsia" w:ascii="宋体" w:hAnsi="宋体" w:eastAsia="宋体" w:cs="宋体"/>
          <w:b/>
          <w:bCs/>
          <w:color w:val="auto"/>
          <w:sz w:val="21"/>
          <w:szCs w:val="21"/>
          <w:highlight w:val="none"/>
          <w:lang w:val="en-US" w:eastAsia="zh-CN"/>
        </w:rPr>
        <w:t>3、报价说明</w:t>
      </w:r>
      <w:bookmarkEnd w:id="53"/>
    </w:p>
    <w:p w14:paraId="75AECDD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bookmarkStart w:id="54" w:name="_Toc778"/>
      <w:r>
        <w:rPr>
          <w:rFonts w:hint="eastAsia" w:ascii="宋体" w:hAnsi="宋体" w:eastAsia="宋体" w:cs="宋体"/>
          <w:color w:val="auto"/>
          <w:sz w:val="21"/>
          <w:szCs w:val="21"/>
          <w:highlight w:val="none"/>
          <w:lang w:val="en-US" w:eastAsia="zh-CN"/>
        </w:rPr>
        <w:t>3.1、工程量清单为磋商文件的组成部分，一经成交且签订合同，即成为合同的组成部分。</w:t>
      </w:r>
    </w:p>
    <w:p w14:paraId="5DF0721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3.2、工程量清单中各项金额均以人民币（元）结算。</w:t>
      </w:r>
    </w:p>
    <w:p w14:paraId="6473A57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3.3、供应商不得随意改动工程量清单内容，评标时均按采购人所发的工程量清单进行检查和评审。</w:t>
      </w:r>
    </w:p>
    <w:p w14:paraId="5449817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3.4、磋商报价是依据本工程磋商文件的供应商须知、合同文件、工程建设标准、工程量清单和答疑纪要及其它有关文件进行编制。</w:t>
      </w:r>
    </w:p>
    <w:p w14:paraId="47B3AF2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3.5、磋商报价为完成本项目所发生的一切费用,包括施工及质量保修期间所有含税费用，如有遗漏，视为已包含在内。</w:t>
      </w:r>
    </w:p>
    <w:p w14:paraId="42A533E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3.6、本项目为固定总价，一次包死。交钥匙工程。</w:t>
      </w:r>
    </w:p>
    <w:p w14:paraId="423B2B3D">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4、安全要求</w:t>
      </w:r>
    </w:p>
    <w:p w14:paraId="760B23A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遵守工程建设安全生产有关管理规定，严格按安全标准组织施工，采取必要的安全生产措施，消除事故隐患。安全措施不力造成事故责任和发生的费用由成交供应商承担。</w:t>
      </w:r>
    </w:p>
    <w:p w14:paraId="547E0491">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5、工程施工基本要求</w:t>
      </w:r>
    </w:p>
    <w:p w14:paraId="2EC60E8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严格按国家有关规定做到文明施工，规范施工，严格把好各道施工工序的质量，确保工程质量，并按要求如期完成工程建设，编制施工组织设计方案，确保工程按时优质完成，编制总进度计划，合理安排劳动力、物力、财力，尽量做到综合平衡配套施工，确保工程顺利完成。</w:t>
      </w:r>
    </w:p>
    <w:p w14:paraId="2990D0E5">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6、验收标准</w:t>
      </w:r>
      <w:bookmarkEnd w:id="54"/>
    </w:p>
    <w:p w14:paraId="694F71E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1、工程竣工验收应具备的条件：</w:t>
      </w:r>
    </w:p>
    <w:p w14:paraId="7085A8C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工程全部完成并通过相关部门的预验收并完成全部清理工作。</w:t>
      </w:r>
    </w:p>
    <w:p w14:paraId="344B1A3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施工单位准备好全部验收资料。包括：交付验收基础资料、隐蔽工程验收资料、及工程竣工图，主要材料、设备、设施清单（品名、生产厂家、产地、产品质保书）预验收报告，质量评定等。</w:t>
      </w:r>
    </w:p>
    <w:p w14:paraId="029BFFE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2、工程竣工验收条件具备后，建设单位组织本工程的竣工验收。</w:t>
      </w:r>
    </w:p>
    <w:p w14:paraId="6D71FC7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3、工程的验收依据是：</w:t>
      </w:r>
    </w:p>
    <w:p w14:paraId="646257D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b w:val="0"/>
          <w:bCs w:val="0"/>
          <w:color w:val="auto"/>
          <w:kern w:val="2"/>
          <w:sz w:val="21"/>
          <w:szCs w:val="21"/>
          <w:highlight w:val="none"/>
          <w:lang w:val="zh-CN" w:eastAsia="zh-CN" w:bidi="ar-SA"/>
        </w:rPr>
        <w:t>合同</w:t>
      </w:r>
      <w:r>
        <w:rPr>
          <w:rFonts w:hint="eastAsia" w:ascii="宋体" w:hAnsi="宋体" w:eastAsia="宋体" w:cs="宋体"/>
          <w:color w:val="auto"/>
          <w:sz w:val="21"/>
          <w:szCs w:val="21"/>
          <w:highlight w:val="none"/>
        </w:rPr>
        <w:t>。</w:t>
      </w:r>
    </w:p>
    <w:p w14:paraId="21D402D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（2）磋商文</w:t>
      </w:r>
      <w:r>
        <w:rPr>
          <w:rFonts w:hint="eastAsia" w:ascii="宋体" w:hAnsi="宋体" w:eastAsia="宋体" w:cs="宋体"/>
          <w:color w:val="auto"/>
          <w:sz w:val="21"/>
          <w:szCs w:val="21"/>
          <w:highlight w:val="none"/>
        </w:rPr>
        <w:t>件。</w:t>
      </w:r>
    </w:p>
    <w:p w14:paraId="2006AFB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b w:val="0"/>
          <w:bCs w:val="0"/>
          <w:color w:val="auto"/>
          <w:kern w:val="2"/>
          <w:sz w:val="21"/>
          <w:szCs w:val="21"/>
          <w:highlight w:val="none"/>
          <w:lang w:val="en-US" w:eastAsia="zh-CN" w:bidi="ar-SA"/>
        </w:rPr>
        <w:t>响应</w:t>
      </w:r>
      <w:r>
        <w:rPr>
          <w:rFonts w:hint="eastAsia" w:ascii="宋体" w:hAnsi="宋体" w:eastAsia="宋体" w:cs="宋体"/>
          <w:b w:val="0"/>
          <w:bCs w:val="0"/>
          <w:color w:val="auto"/>
          <w:kern w:val="2"/>
          <w:sz w:val="21"/>
          <w:szCs w:val="21"/>
          <w:highlight w:val="none"/>
          <w:lang w:val="zh-CN" w:eastAsia="zh-CN" w:bidi="ar-SA"/>
        </w:rPr>
        <w:t>文件及承诺</w:t>
      </w:r>
      <w:r>
        <w:rPr>
          <w:rFonts w:hint="eastAsia" w:ascii="宋体" w:hAnsi="宋体" w:eastAsia="宋体" w:cs="宋体"/>
          <w:color w:val="auto"/>
          <w:sz w:val="21"/>
          <w:szCs w:val="21"/>
          <w:highlight w:val="none"/>
        </w:rPr>
        <w:t>。</w:t>
      </w:r>
    </w:p>
    <w:p w14:paraId="6A37984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b w:val="0"/>
          <w:bCs w:val="0"/>
          <w:color w:val="auto"/>
          <w:kern w:val="2"/>
          <w:sz w:val="21"/>
          <w:szCs w:val="21"/>
          <w:highlight w:val="none"/>
          <w:lang w:val="zh-CN" w:eastAsia="zh-CN" w:bidi="ar-SA"/>
        </w:rPr>
        <w:t>国家相关</w:t>
      </w:r>
      <w:r>
        <w:rPr>
          <w:rFonts w:hint="eastAsia" w:ascii="宋体" w:hAnsi="宋体" w:eastAsia="宋体" w:cs="宋体"/>
          <w:b w:val="0"/>
          <w:bCs w:val="0"/>
          <w:color w:val="auto"/>
          <w:kern w:val="2"/>
          <w:sz w:val="21"/>
          <w:szCs w:val="21"/>
          <w:highlight w:val="none"/>
          <w:lang w:val="en-US" w:eastAsia="zh-CN" w:bidi="ar-SA"/>
        </w:rPr>
        <w:t>标准、规范及有关技术文件</w:t>
      </w:r>
      <w:r>
        <w:rPr>
          <w:rFonts w:hint="eastAsia" w:ascii="宋体" w:hAnsi="宋体" w:eastAsia="宋体" w:cs="宋体"/>
          <w:color w:val="auto"/>
          <w:sz w:val="21"/>
          <w:szCs w:val="21"/>
          <w:highlight w:val="none"/>
        </w:rPr>
        <w:t>。</w:t>
      </w:r>
    </w:p>
    <w:p w14:paraId="0997320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6.4、工程验收后，施工单位有义务将其维护管理至正式移交。</w:t>
      </w:r>
    </w:p>
    <w:p w14:paraId="5F0BAE5F">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1"/>
        <w:rPr>
          <w:rFonts w:hint="eastAsia" w:ascii="宋体" w:hAnsi="宋体" w:eastAsia="宋体" w:cs="宋体"/>
          <w:b/>
          <w:bCs/>
          <w:color w:val="auto"/>
          <w:sz w:val="21"/>
          <w:szCs w:val="21"/>
          <w:highlight w:val="none"/>
          <w:lang w:val="en-US" w:eastAsia="zh-CN"/>
        </w:rPr>
      </w:pPr>
      <w:bookmarkStart w:id="55" w:name="_Toc30297"/>
      <w:r>
        <w:rPr>
          <w:rFonts w:hint="eastAsia" w:ascii="宋体" w:hAnsi="宋体" w:eastAsia="宋体" w:cs="宋体"/>
          <w:b/>
          <w:bCs/>
          <w:color w:val="auto"/>
          <w:sz w:val="21"/>
          <w:szCs w:val="21"/>
          <w:highlight w:val="none"/>
          <w:lang w:val="en-US" w:eastAsia="zh-CN"/>
        </w:rPr>
        <w:t>7、违约责任</w:t>
      </w:r>
      <w:bookmarkEnd w:id="55"/>
    </w:p>
    <w:p w14:paraId="2E26CF5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7.1、按《中华人民共和国民法典》中的相关条款执行。</w:t>
      </w:r>
    </w:p>
    <w:p w14:paraId="598ACDF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7.2、未按合同要求施工的，采购人有权终止合同，并对供应商的违约责任进行追究，同时按照《中华人民共和国政府采购法》的有关要求进行处罚。</w:t>
      </w:r>
    </w:p>
    <w:p w14:paraId="202A3A3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yellow"/>
          <w:lang w:val="en-US" w:eastAsia="zh-CN"/>
        </w:rPr>
      </w:pPr>
    </w:p>
    <w:p w14:paraId="55345A27">
      <w:pPr>
        <w:rPr>
          <w:rFonts w:hint="eastAsia" w:ascii="宋体" w:hAnsi="宋体" w:eastAsia="宋体" w:cs="宋体"/>
          <w:color w:val="auto"/>
          <w:sz w:val="21"/>
          <w:szCs w:val="21"/>
          <w:highlight w:val="yellow"/>
          <w:lang w:val="en-US" w:eastAsia="zh-CN"/>
        </w:rPr>
      </w:pPr>
      <w:r>
        <w:rPr>
          <w:rFonts w:hint="eastAsia" w:ascii="宋体" w:hAnsi="宋体" w:eastAsia="宋体" w:cs="宋体"/>
          <w:color w:val="auto"/>
          <w:sz w:val="21"/>
          <w:szCs w:val="21"/>
          <w:highlight w:val="yellow"/>
          <w:lang w:val="en-US" w:eastAsia="zh-CN"/>
        </w:rPr>
        <w:br w:type="page"/>
      </w:r>
    </w:p>
    <w:p w14:paraId="6822154D">
      <w:pPr>
        <w:pStyle w:val="2"/>
        <w:keepNext/>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36"/>
          <w:szCs w:val="36"/>
          <w:highlight w:val="none"/>
          <w:lang w:val="en-US" w:eastAsia="zh-CN"/>
        </w:rPr>
      </w:pPr>
      <w:bookmarkStart w:id="56" w:name="_Toc9271"/>
      <w:r>
        <w:rPr>
          <w:rFonts w:hint="eastAsia" w:ascii="宋体" w:hAnsi="宋体" w:eastAsia="宋体" w:cs="宋体"/>
          <w:b/>
          <w:bCs/>
          <w:color w:val="auto"/>
          <w:sz w:val="36"/>
          <w:szCs w:val="36"/>
          <w:highlight w:val="none"/>
          <w:lang w:val="zh-CN"/>
        </w:rPr>
        <w:t>第</w:t>
      </w:r>
      <w:r>
        <w:rPr>
          <w:rFonts w:hint="eastAsia" w:ascii="宋体" w:hAnsi="宋体" w:eastAsia="宋体" w:cs="宋体"/>
          <w:b/>
          <w:bCs/>
          <w:color w:val="auto"/>
          <w:sz w:val="36"/>
          <w:szCs w:val="36"/>
          <w:highlight w:val="none"/>
          <w:lang w:val="en-US" w:eastAsia="zh-CN"/>
        </w:rPr>
        <w:t>六</w:t>
      </w:r>
      <w:r>
        <w:rPr>
          <w:rFonts w:hint="eastAsia" w:ascii="宋体" w:hAnsi="宋体" w:eastAsia="宋体" w:cs="宋体"/>
          <w:b/>
          <w:bCs/>
          <w:color w:val="auto"/>
          <w:sz w:val="36"/>
          <w:szCs w:val="36"/>
          <w:highlight w:val="none"/>
          <w:lang w:val="zh-CN"/>
        </w:rPr>
        <w:t>章</w:t>
      </w:r>
      <w:r>
        <w:rPr>
          <w:rFonts w:hint="eastAsia" w:ascii="宋体" w:hAnsi="宋体" w:eastAsia="宋体" w:cs="宋体"/>
          <w:b/>
          <w:bCs/>
          <w:color w:val="auto"/>
          <w:sz w:val="36"/>
          <w:szCs w:val="36"/>
          <w:highlight w:val="none"/>
          <w:lang w:val="en-US" w:eastAsia="zh-CN"/>
        </w:rPr>
        <w:t xml:space="preserve"> 工程量清单</w:t>
      </w:r>
      <w:bookmarkEnd w:id="56"/>
    </w:p>
    <w:bookmarkEnd w:id="45"/>
    <w:p w14:paraId="3CBF2054">
      <w:pPr>
        <w:keepNext w:val="0"/>
        <w:keepLines w:val="0"/>
        <w:pageBreakBefore w:val="0"/>
        <w:widowControl w:val="0"/>
        <w:kinsoku/>
        <w:wordWrap/>
        <w:overflowPunct/>
        <w:topLinePunct w:val="0"/>
        <w:autoSpaceDE/>
        <w:autoSpaceDN/>
        <w:bidi w:val="0"/>
        <w:adjustRightInd/>
        <w:snapToGrid/>
        <w:spacing w:afterAutospacing="0" w:line="440" w:lineRule="exact"/>
        <w:ind w:firstLine="422" w:firstLineChars="200"/>
        <w:textAlignment w:val="auto"/>
        <w:rPr>
          <w:rFonts w:hint="eastAsia" w:ascii="宋体" w:hAnsi="宋体" w:eastAsia="宋体" w:cs="宋体"/>
          <w:b/>
          <w:color w:val="auto"/>
          <w:sz w:val="21"/>
          <w:szCs w:val="16"/>
          <w:highlight w:val="none"/>
        </w:rPr>
      </w:pPr>
      <w:r>
        <w:rPr>
          <w:rFonts w:hint="eastAsia" w:ascii="宋体" w:hAnsi="宋体" w:eastAsia="宋体" w:cs="宋体"/>
          <w:b/>
          <w:color w:val="auto"/>
          <w:sz w:val="21"/>
          <w:szCs w:val="16"/>
          <w:highlight w:val="none"/>
          <w:lang w:val="en-US" w:eastAsia="zh-CN"/>
        </w:rPr>
        <w:t>1</w:t>
      </w:r>
      <w:r>
        <w:rPr>
          <w:rFonts w:hint="eastAsia" w:ascii="宋体" w:hAnsi="宋体" w:eastAsia="宋体" w:cs="宋体"/>
          <w:b/>
          <w:color w:val="auto"/>
          <w:sz w:val="21"/>
          <w:szCs w:val="16"/>
          <w:highlight w:val="none"/>
        </w:rPr>
        <w:t>、编制依据</w:t>
      </w:r>
    </w:p>
    <w:p w14:paraId="607BC15D">
      <w:pPr>
        <w:keepNext w:val="0"/>
        <w:keepLines w:val="0"/>
        <w:pageBreakBefore w:val="0"/>
        <w:widowControl w:val="0"/>
        <w:kinsoku/>
        <w:wordWrap/>
        <w:overflowPunct/>
        <w:topLinePunct w:val="0"/>
        <w:autoSpaceDE/>
        <w:autoSpaceDN/>
        <w:bidi w:val="0"/>
        <w:adjustRightInd/>
        <w:snapToGrid/>
        <w:spacing w:afterAutospacing="0" w:line="440" w:lineRule="exact"/>
        <w:ind w:firstLine="420" w:firstLineChars="200"/>
        <w:textAlignment w:val="auto"/>
        <w:rPr>
          <w:rFonts w:hint="eastAsia" w:ascii="宋体" w:hAnsi="宋体" w:eastAsia="宋体" w:cs="宋体"/>
          <w:b w:val="0"/>
          <w:bCs/>
          <w:color w:val="auto"/>
          <w:sz w:val="21"/>
          <w:szCs w:val="16"/>
          <w:highlight w:val="none"/>
          <w:lang w:val="en-US" w:eastAsia="zh-CN"/>
        </w:rPr>
      </w:pPr>
      <w:r>
        <w:rPr>
          <w:rFonts w:hint="eastAsia" w:ascii="宋体" w:hAnsi="宋体" w:cs="宋体"/>
          <w:b w:val="0"/>
          <w:bCs/>
          <w:color w:val="auto"/>
          <w:sz w:val="21"/>
          <w:szCs w:val="16"/>
          <w:highlight w:val="none"/>
          <w:lang w:val="en-US" w:eastAsia="zh-CN"/>
        </w:rPr>
        <w:t>1.</w:t>
      </w:r>
      <w:r>
        <w:rPr>
          <w:rFonts w:hint="eastAsia" w:ascii="宋体" w:hAnsi="宋体" w:eastAsia="宋体" w:cs="宋体"/>
          <w:b w:val="0"/>
          <w:bCs/>
          <w:color w:val="auto"/>
          <w:sz w:val="21"/>
          <w:szCs w:val="16"/>
          <w:highlight w:val="none"/>
          <w:lang w:val="en-US" w:eastAsia="zh-CN"/>
        </w:rPr>
        <w:t>1、工程量依据</w:t>
      </w:r>
      <w:r>
        <w:rPr>
          <w:rFonts w:hint="eastAsia" w:ascii="宋体" w:hAnsi="宋体" w:cs="宋体"/>
          <w:b w:val="0"/>
          <w:bCs/>
          <w:color w:val="auto"/>
          <w:sz w:val="21"/>
          <w:szCs w:val="16"/>
          <w:highlight w:val="none"/>
          <w:lang w:val="en-US" w:eastAsia="zh-CN"/>
        </w:rPr>
        <w:t>泾阳县人民政府会议室改造项目</w:t>
      </w:r>
      <w:r>
        <w:rPr>
          <w:rFonts w:hint="eastAsia" w:ascii="宋体" w:hAnsi="宋体" w:eastAsia="宋体" w:cs="宋体"/>
          <w:b w:val="0"/>
          <w:bCs/>
          <w:color w:val="auto"/>
          <w:sz w:val="21"/>
          <w:szCs w:val="16"/>
          <w:highlight w:val="none"/>
          <w:lang w:val="en-US" w:eastAsia="zh-CN"/>
        </w:rPr>
        <w:t>图纸及相关工程建设规范、标准、图集等。</w:t>
      </w:r>
    </w:p>
    <w:p w14:paraId="4EE01AD0">
      <w:pPr>
        <w:keepNext w:val="0"/>
        <w:keepLines w:val="0"/>
        <w:pageBreakBefore w:val="0"/>
        <w:widowControl w:val="0"/>
        <w:kinsoku/>
        <w:wordWrap/>
        <w:overflowPunct/>
        <w:topLinePunct w:val="0"/>
        <w:autoSpaceDE/>
        <w:autoSpaceDN/>
        <w:bidi w:val="0"/>
        <w:adjustRightInd/>
        <w:snapToGrid/>
        <w:spacing w:afterAutospacing="0" w:line="440" w:lineRule="exact"/>
        <w:ind w:firstLine="420" w:firstLineChars="200"/>
        <w:textAlignment w:val="auto"/>
        <w:rPr>
          <w:rFonts w:hint="eastAsia" w:ascii="宋体" w:hAnsi="宋体" w:cs="宋体"/>
          <w:b w:val="0"/>
          <w:bCs/>
          <w:color w:val="auto"/>
          <w:sz w:val="21"/>
          <w:szCs w:val="16"/>
          <w:highlight w:val="none"/>
          <w:lang w:val="en-US" w:eastAsia="zh-CN"/>
        </w:rPr>
      </w:pPr>
      <w:r>
        <w:rPr>
          <w:rFonts w:hint="eastAsia" w:ascii="宋体" w:hAnsi="宋体" w:eastAsia="宋体" w:cs="宋体"/>
          <w:b w:val="0"/>
          <w:bCs/>
          <w:color w:val="auto"/>
          <w:sz w:val="21"/>
          <w:szCs w:val="16"/>
          <w:highlight w:val="none"/>
          <w:lang w:val="en-US" w:eastAsia="zh-CN"/>
        </w:rPr>
        <w:t>1.2、《陕西省住房和城乡建设厅关于印发 2025 陕西省建设工程费用规则等计价依据的通知》(陕建管发(2025)10号)文件</w:t>
      </w:r>
      <w:r>
        <w:rPr>
          <w:rFonts w:hint="eastAsia" w:ascii="宋体" w:hAnsi="宋体" w:cs="宋体"/>
          <w:b w:val="0"/>
          <w:bCs/>
          <w:color w:val="auto"/>
          <w:sz w:val="21"/>
          <w:szCs w:val="16"/>
          <w:highlight w:val="none"/>
          <w:lang w:val="en-US" w:eastAsia="zh-CN"/>
        </w:rPr>
        <w:t>。</w:t>
      </w:r>
    </w:p>
    <w:p w14:paraId="42233047">
      <w:pPr>
        <w:keepNext w:val="0"/>
        <w:keepLines w:val="0"/>
        <w:pageBreakBefore w:val="0"/>
        <w:widowControl w:val="0"/>
        <w:kinsoku/>
        <w:wordWrap/>
        <w:overflowPunct/>
        <w:topLinePunct w:val="0"/>
        <w:autoSpaceDE/>
        <w:autoSpaceDN/>
        <w:bidi w:val="0"/>
        <w:adjustRightInd/>
        <w:snapToGrid/>
        <w:spacing w:afterAutospacing="0" w:line="440" w:lineRule="exact"/>
        <w:ind w:firstLine="420" w:firstLineChars="200"/>
        <w:textAlignment w:val="auto"/>
        <w:rPr>
          <w:rFonts w:hint="eastAsia" w:ascii="宋体" w:hAnsi="宋体" w:eastAsia="宋体" w:cs="宋体"/>
          <w:b w:val="0"/>
          <w:bCs/>
          <w:color w:val="auto"/>
          <w:sz w:val="21"/>
          <w:szCs w:val="16"/>
          <w:highlight w:val="none"/>
          <w:lang w:val="en-US" w:eastAsia="zh-CN"/>
        </w:rPr>
      </w:pPr>
      <w:r>
        <w:rPr>
          <w:rFonts w:hint="eastAsia" w:ascii="宋体" w:hAnsi="宋体" w:eastAsia="宋体" w:cs="宋体"/>
          <w:b w:val="0"/>
          <w:bCs/>
          <w:color w:val="auto"/>
          <w:sz w:val="21"/>
          <w:szCs w:val="16"/>
          <w:highlight w:val="none"/>
          <w:lang w:val="en-US" w:eastAsia="zh-CN"/>
        </w:rPr>
        <w:t>1.3依据2025年《陕西省建设工程工程量清单计价规则》、2025 年《陕西省市政工程价目表》、2025 年《陕西省建筑工程施工机械台班价目表》、2025 年《陕西省建设工程工程量清单计价费率》等及其相关配套文件编制；</w:t>
      </w:r>
    </w:p>
    <w:p w14:paraId="0786D5A7">
      <w:pPr>
        <w:keepNext w:val="0"/>
        <w:keepLines w:val="0"/>
        <w:pageBreakBefore w:val="0"/>
        <w:widowControl w:val="0"/>
        <w:kinsoku/>
        <w:wordWrap/>
        <w:overflowPunct/>
        <w:topLinePunct w:val="0"/>
        <w:autoSpaceDE/>
        <w:autoSpaceDN/>
        <w:bidi w:val="0"/>
        <w:adjustRightInd/>
        <w:snapToGrid/>
        <w:spacing w:afterAutospacing="0" w:line="440" w:lineRule="exact"/>
        <w:ind w:firstLine="420" w:firstLineChars="200"/>
        <w:textAlignment w:val="auto"/>
        <w:rPr>
          <w:rFonts w:hint="eastAsia" w:ascii="宋体" w:hAnsi="宋体" w:eastAsia="宋体" w:cs="宋体"/>
          <w:b w:val="0"/>
          <w:bCs/>
          <w:color w:val="auto"/>
          <w:sz w:val="21"/>
          <w:szCs w:val="16"/>
          <w:highlight w:val="none"/>
          <w:lang w:val="en-US" w:eastAsia="zh-CN"/>
        </w:rPr>
      </w:pPr>
      <w:r>
        <w:rPr>
          <w:rFonts w:hint="eastAsia" w:ascii="宋体" w:hAnsi="宋体" w:cs="宋体"/>
          <w:b w:val="0"/>
          <w:bCs/>
          <w:color w:val="auto"/>
          <w:sz w:val="21"/>
          <w:szCs w:val="16"/>
          <w:highlight w:val="none"/>
          <w:lang w:val="en-US" w:eastAsia="zh-CN"/>
        </w:rPr>
        <w:t>1.4</w:t>
      </w:r>
      <w:r>
        <w:rPr>
          <w:rFonts w:hint="eastAsia" w:ascii="宋体" w:hAnsi="宋体" w:eastAsia="宋体" w:cs="宋体"/>
          <w:b w:val="0"/>
          <w:bCs/>
          <w:color w:val="auto"/>
          <w:sz w:val="21"/>
          <w:szCs w:val="16"/>
          <w:highlight w:val="none"/>
          <w:lang w:val="en-US" w:eastAsia="zh-CN"/>
        </w:rPr>
        <w:t>取费费率执行2025年《陕西省建设工程工程量清单计价费率》(2025)等相关文件中的相关规定费率；</w:t>
      </w:r>
    </w:p>
    <w:p w14:paraId="5F4732BA">
      <w:pPr>
        <w:keepNext w:val="0"/>
        <w:keepLines w:val="0"/>
        <w:pageBreakBefore w:val="0"/>
        <w:widowControl w:val="0"/>
        <w:kinsoku/>
        <w:wordWrap/>
        <w:overflowPunct/>
        <w:topLinePunct w:val="0"/>
        <w:autoSpaceDE/>
        <w:autoSpaceDN/>
        <w:bidi w:val="0"/>
        <w:adjustRightInd/>
        <w:snapToGrid/>
        <w:spacing w:afterAutospacing="0" w:line="440" w:lineRule="exact"/>
        <w:ind w:firstLine="420" w:firstLineChars="200"/>
        <w:textAlignment w:val="auto"/>
        <w:rPr>
          <w:rFonts w:hint="default" w:ascii="宋体" w:hAnsi="宋体" w:eastAsia="宋体" w:cs="宋体"/>
          <w:b w:val="0"/>
          <w:bCs/>
          <w:color w:val="auto"/>
          <w:sz w:val="21"/>
          <w:szCs w:val="16"/>
          <w:highlight w:val="none"/>
          <w:lang w:val="en-US" w:eastAsia="zh-CN"/>
        </w:rPr>
      </w:pPr>
      <w:r>
        <w:rPr>
          <w:rFonts w:hint="eastAsia" w:ascii="宋体" w:hAnsi="宋体" w:eastAsia="宋体" w:cs="宋体"/>
          <w:b w:val="0"/>
          <w:bCs/>
          <w:color w:val="auto"/>
          <w:sz w:val="21"/>
          <w:szCs w:val="16"/>
          <w:highlight w:val="none"/>
          <w:lang w:val="en-US" w:eastAsia="zh-CN"/>
        </w:rPr>
        <w:t>1.</w:t>
      </w:r>
      <w:r>
        <w:rPr>
          <w:rFonts w:hint="eastAsia" w:ascii="宋体" w:hAnsi="宋体" w:cs="宋体"/>
          <w:b w:val="0"/>
          <w:bCs/>
          <w:color w:val="auto"/>
          <w:sz w:val="21"/>
          <w:szCs w:val="16"/>
          <w:highlight w:val="none"/>
          <w:lang w:val="en-US" w:eastAsia="zh-CN"/>
        </w:rPr>
        <w:t>5</w:t>
      </w:r>
      <w:r>
        <w:rPr>
          <w:rFonts w:hint="eastAsia" w:ascii="宋体" w:hAnsi="宋体" w:eastAsia="宋体" w:cs="宋体"/>
          <w:b w:val="0"/>
          <w:bCs/>
          <w:color w:val="auto"/>
          <w:sz w:val="21"/>
          <w:szCs w:val="16"/>
          <w:highlight w:val="none"/>
          <w:lang w:val="en-US" w:eastAsia="zh-CN"/>
        </w:rPr>
        <w:t>主要材料价格依据《咸阳市2025年二季度信息价》及部分市场询价。</w:t>
      </w:r>
    </w:p>
    <w:p w14:paraId="24C85689">
      <w:pPr>
        <w:keepNext w:val="0"/>
        <w:keepLines w:val="0"/>
        <w:pageBreakBefore w:val="0"/>
        <w:widowControl w:val="0"/>
        <w:numPr>
          <w:ilvl w:val="0"/>
          <w:numId w:val="6"/>
        </w:numPr>
        <w:kinsoku/>
        <w:wordWrap/>
        <w:overflowPunct/>
        <w:topLinePunct w:val="0"/>
        <w:autoSpaceDE/>
        <w:autoSpaceDN/>
        <w:bidi w:val="0"/>
        <w:adjustRightInd/>
        <w:snapToGrid/>
        <w:spacing w:afterAutospacing="0" w:line="440" w:lineRule="exact"/>
        <w:ind w:firstLine="420" w:firstLineChars="200"/>
        <w:textAlignment w:val="auto"/>
        <w:rPr>
          <w:rFonts w:hint="eastAsia" w:ascii="宋体" w:hAnsi="宋体" w:eastAsia="宋体" w:cs="宋体"/>
          <w:b w:val="0"/>
          <w:bCs/>
          <w:color w:val="auto"/>
          <w:sz w:val="21"/>
          <w:szCs w:val="16"/>
          <w:highlight w:val="none"/>
          <w:lang w:val="en-US" w:eastAsia="zh-CN"/>
        </w:rPr>
      </w:pPr>
      <w:r>
        <w:rPr>
          <w:rFonts w:hint="eastAsia" w:ascii="宋体" w:hAnsi="宋体" w:cs="宋体"/>
          <w:b w:val="0"/>
          <w:bCs/>
          <w:color w:val="auto"/>
          <w:sz w:val="21"/>
          <w:szCs w:val="16"/>
          <w:highlight w:val="none"/>
          <w:lang w:val="en-US" w:eastAsia="zh-CN"/>
        </w:rPr>
        <w:t>其</w:t>
      </w:r>
      <w:r>
        <w:rPr>
          <w:rFonts w:hint="eastAsia" w:ascii="宋体" w:hAnsi="宋体" w:eastAsia="宋体" w:cs="宋体"/>
          <w:b w:val="0"/>
          <w:bCs/>
          <w:color w:val="auto"/>
          <w:sz w:val="21"/>
          <w:szCs w:val="16"/>
          <w:highlight w:val="none"/>
          <w:lang w:val="en-US" w:eastAsia="zh-CN"/>
        </w:rPr>
        <w:t>他说明：根据《陕西省住房和城乡建设厅关于印发 2025 陕西省建设工程费用规则等计价依据的通知》(陕建管发(2025)10 号)文件要求，自2025年7月1日起，新开工的建设工程执行新的计价依据，供应商须采用新的工程费用规则及计价依据，进行电子标书制作。</w:t>
      </w:r>
    </w:p>
    <w:p w14:paraId="30C412C3">
      <w:pPr>
        <w:keepNext w:val="0"/>
        <w:keepLines w:val="0"/>
        <w:pageBreakBefore w:val="0"/>
        <w:widowControl w:val="0"/>
        <w:numPr>
          <w:ilvl w:val="0"/>
          <w:numId w:val="0"/>
        </w:numPr>
        <w:kinsoku/>
        <w:wordWrap/>
        <w:overflowPunct/>
        <w:topLinePunct w:val="0"/>
        <w:autoSpaceDE/>
        <w:autoSpaceDN/>
        <w:bidi w:val="0"/>
        <w:adjustRightInd/>
        <w:snapToGrid/>
        <w:spacing w:afterAutospacing="0" w:line="440" w:lineRule="exact"/>
        <w:ind w:firstLine="422" w:firstLineChars="200"/>
        <w:textAlignment w:val="auto"/>
        <w:rPr>
          <w:rFonts w:hint="eastAsia" w:ascii="宋体" w:hAnsi="宋体" w:eastAsia="宋体" w:cs="宋体"/>
          <w:b w:val="0"/>
          <w:bCs/>
          <w:color w:val="auto"/>
          <w:sz w:val="21"/>
          <w:szCs w:val="16"/>
          <w:highlight w:val="none"/>
          <w:lang w:val="en-US" w:eastAsia="zh-CN"/>
        </w:rPr>
      </w:pPr>
      <w:r>
        <w:rPr>
          <w:rFonts w:hint="eastAsia" w:ascii="宋体" w:hAnsi="宋体" w:cs="宋体"/>
          <w:b/>
          <w:bCs w:val="0"/>
          <w:color w:val="auto"/>
          <w:sz w:val="21"/>
          <w:szCs w:val="16"/>
          <w:highlight w:val="none"/>
          <w:lang w:val="en-US" w:eastAsia="zh-CN"/>
        </w:rPr>
        <w:t>3、</w:t>
      </w:r>
      <w:r>
        <w:rPr>
          <w:rFonts w:hint="eastAsia" w:ascii="宋体" w:hAnsi="宋体" w:eastAsia="宋体" w:cs="宋体"/>
          <w:b/>
          <w:bCs w:val="0"/>
          <w:color w:val="auto"/>
          <w:sz w:val="21"/>
          <w:szCs w:val="16"/>
          <w:highlight w:val="none"/>
        </w:rPr>
        <w:t>软</w:t>
      </w:r>
      <w:r>
        <w:rPr>
          <w:rFonts w:hint="eastAsia" w:ascii="宋体" w:hAnsi="宋体" w:eastAsia="宋体" w:cs="宋体"/>
          <w:b/>
          <w:bCs w:val="0"/>
          <w:color w:val="auto"/>
          <w:sz w:val="21"/>
          <w:szCs w:val="16"/>
          <w:highlight w:val="none"/>
          <w:lang w:val="en-US" w:eastAsia="zh-CN"/>
        </w:rPr>
        <w:t>件说明：</w:t>
      </w:r>
      <w:r>
        <w:rPr>
          <w:rFonts w:hint="eastAsia" w:ascii="宋体" w:hAnsi="宋体" w:eastAsia="宋体" w:cs="宋体"/>
          <w:b w:val="0"/>
          <w:bCs/>
          <w:color w:val="auto"/>
          <w:sz w:val="21"/>
          <w:szCs w:val="16"/>
          <w:highlight w:val="none"/>
          <w:lang w:val="en-US" w:eastAsia="zh-CN"/>
        </w:rPr>
        <w:t>本工程采用广联达计价版本7.5000.23.1。</w:t>
      </w:r>
    </w:p>
    <w:p w14:paraId="1ED413C9">
      <w:pPr>
        <w:keepNext w:val="0"/>
        <w:keepLines w:val="0"/>
        <w:pageBreakBefore w:val="0"/>
        <w:widowControl w:val="0"/>
        <w:numPr>
          <w:ilvl w:val="0"/>
          <w:numId w:val="0"/>
        </w:numPr>
        <w:kinsoku/>
        <w:wordWrap/>
        <w:overflowPunct/>
        <w:topLinePunct w:val="0"/>
        <w:autoSpaceDE/>
        <w:autoSpaceDN/>
        <w:bidi w:val="0"/>
        <w:adjustRightInd/>
        <w:snapToGrid/>
        <w:spacing w:afterAutospacing="0" w:line="44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en-US" w:eastAsia="zh-CN"/>
        </w:rPr>
        <w:t>、工程量清单：</w:t>
      </w:r>
      <w:r>
        <w:rPr>
          <w:rFonts w:hint="eastAsia" w:ascii="宋体" w:hAnsi="宋体" w:cs="宋体"/>
          <w:b/>
          <w:bCs/>
          <w:color w:val="auto"/>
          <w:sz w:val="21"/>
          <w:szCs w:val="21"/>
          <w:highlight w:val="none"/>
          <w:lang w:val="en-US" w:eastAsia="zh-CN"/>
        </w:rPr>
        <w:t>（另附）</w:t>
      </w:r>
    </w:p>
    <w:p w14:paraId="06148739">
      <w:pPr>
        <w:rPr>
          <w:rFonts w:hint="eastAsia" w:ascii="宋体" w:hAnsi="宋体" w:eastAsia="宋体" w:cs="宋体"/>
          <w:b/>
          <w:bCs/>
          <w:color w:val="auto"/>
          <w:sz w:val="21"/>
          <w:szCs w:val="21"/>
          <w:highlight w:val="none"/>
          <w:lang w:val="en-US" w:eastAsia="zh-CN"/>
        </w:rPr>
      </w:pPr>
    </w:p>
    <w:p w14:paraId="58BC293B">
      <w:pPr>
        <w:rPr>
          <w:rFonts w:hint="eastAsia" w:ascii="宋体" w:hAnsi="宋体" w:eastAsia="宋体" w:cs="宋体"/>
          <w:b/>
          <w:bCs/>
          <w:color w:val="auto"/>
          <w:sz w:val="21"/>
          <w:szCs w:val="21"/>
          <w:highlight w:val="none"/>
          <w:lang w:val="en-US" w:eastAsia="zh-CN"/>
        </w:rPr>
      </w:pPr>
    </w:p>
    <w:p w14:paraId="3A73A392">
      <w:pPr>
        <w:rPr>
          <w:rFonts w:hint="eastAsia" w:ascii="宋体" w:hAnsi="宋体" w:eastAsia="宋体" w:cs="宋体"/>
          <w:b/>
          <w:bCs/>
          <w:color w:val="auto"/>
          <w:sz w:val="21"/>
          <w:szCs w:val="21"/>
          <w:highlight w:val="none"/>
          <w:lang w:val="en-US" w:eastAsia="zh-CN"/>
        </w:rPr>
        <w:sectPr>
          <w:headerReference r:id="rId21" w:type="default"/>
          <w:footerReference r:id="rId22" w:type="default"/>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3D809032">
      <w:pPr>
        <w:pStyle w:val="2"/>
        <w:keepLines w:val="0"/>
        <w:pageBreakBefore w:val="0"/>
        <w:kinsoku/>
        <w:bidi w:val="0"/>
        <w:spacing w:line="360" w:lineRule="auto"/>
        <w:jc w:val="center"/>
        <w:rPr>
          <w:rFonts w:hint="eastAsia" w:ascii="宋体" w:hAnsi="宋体" w:eastAsia="宋体" w:cs="宋体"/>
          <w:b/>
          <w:bCs/>
          <w:color w:val="auto"/>
          <w:sz w:val="36"/>
          <w:szCs w:val="36"/>
          <w:highlight w:val="none"/>
          <w:lang w:val="zh-CN"/>
        </w:rPr>
      </w:pPr>
      <w:bookmarkStart w:id="57" w:name="_Toc22572"/>
      <w:r>
        <w:rPr>
          <w:rFonts w:hint="eastAsia" w:ascii="宋体" w:hAnsi="宋体" w:eastAsia="宋体" w:cs="宋体"/>
          <w:b/>
          <w:bCs/>
          <w:color w:val="auto"/>
          <w:sz w:val="36"/>
          <w:szCs w:val="36"/>
          <w:highlight w:val="none"/>
          <w:lang w:val="zh-CN"/>
        </w:rPr>
        <w:t>第</w:t>
      </w:r>
      <w:r>
        <w:rPr>
          <w:rFonts w:hint="eastAsia" w:ascii="宋体" w:hAnsi="宋体" w:eastAsia="宋体" w:cs="宋体"/>
          <w:b/>
          <w:bCs/>
          <w:color w:val="auto"/>
          <w:sz w:val="36"/>
          <w:szCs w:val="36"/>
          <w:highlight w:val="none"/>
          <w:lang w:val="en-US" w:eastAsia="zh-CN"/>
        </w:rPr>
        <w:t>七</w:t>
      </w:r>
      <w:r>
        <w:rPr>
          <w:rFonts w:hint="eastAsia" w:ascii="宋体" w:hAnsi="宋体" w:eastAsia="宋体" w:cs="宋体"/>
          <w:b/>
          <w:bCs/>
          <w:color w:val="auto"/>
          <w:sz w:val="36"/>
          <w:szCs w:val="36"/>
          <w:highlight w:val="none"/>
          <w:lang w:val="zh-CN"/>
        </w:rPr>
        <w:t>章</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lang w:val="zh-CN"/>
        </w:rPr>
        <w:t>合同协议书</w:t>
      </w:r>
      <w:bookmarkEnd w:id="57"/>
      <w:bookmarkStart w:id="58" w:name="_Toc8194597"/>
      <w:bookmarkStart w:id="59" w:name="_Toc389553742"/>
    </w:p>
    <w:p w14:paraId="3C8B95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8"/>
          <w:szCs w:val="28"/>
          <w:highlight w:val="none"/>
          <w:lang w:val="en-US" w:eastAsia="zh-CN"/>
        </w:rPr>
      </w:pPr>
    </w:p>
    <w:p w14:paraId="0D6B16E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cs="宋体"/>
          <w:b/>
          <w:color w:val="auto"/>
          <w:sz w:val="28"/>
          <w:szCs w:val="28"/>
          <w:highlight w:val="none"/>
          <w:lang w:val="en-US" w:eastAsia="zh-CN"/>
        </w:rPr>
      </w:pPr>
    </w:p>
    <w:p w14:paraId="60E9D48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（合同模板仅供参考，具体以实际签订合同为准）</w:t>
      </w:r>
    </w:p>
    <w:p w14:paraId="7BC1D32B">
      <w:pPr>
        <w:keepNext w:val="0"/>
        <w:keepLines w:val="0"/>
        <w:pageBreakBefore w:val="0"/>
        <w:kinsoku/>
        <w:wordWrap/>
        <w:overflowPunct/>
        <w:topLinePunct w:val="0"/>
        <w:bidi w:val="0"/>
        <w:spacing w:line="360" w:lineRule="auto"/>
        <w:jc w:val="left"/>
        <w:rPr>
          <w:rFonts w:ascii="宋体" w:hAnsi="宋体"/>
          <w:bCs/>
          <w:color w:val="auto"/>
          <w:sz w:val="28"/>
          <w:szCs w:val="28"/>
          <w:highlight w:val="none"/>
        </w:rPr>
      </w:pPr>
    </w:p>
    <w:p w14:paraId="749AB63A">
      <w:pPr>
        <w:keepNext w:val="0"/>
        <w:keepLines w:val="0"/>
        <w:pageBreakBefore w:val="0"/>
        <w:kinsoku/>
        <w:wordWrap/>
        <w:overflowPunct/>
        <w:topLinePunct w:val="0"/>
        <w:bidi w:val="0"/>
        <w:spacing w:line="360" w:lineRule="auto"/>
        <w:jc w:val="left"/>
        <w:textAlignment w:val="auto"/>
        <w:rPr>
          <w:rFonts w:hint="eastAsia" w:ascii="宋体" w:hAnsi="宋体" w:eastAsia="宋体" w:cs="宋体"/>
          <w:bCs/>
          <w:color w:val="auto"/>
          <w:sz w:val="28"/>
          <w:szCs w:val="28"/>
          <w:highlight w:val="none"/>
        </w:rPr>
      </w:pPr>
    </w:p>
    <w:p w14:paraId="3B6845EB">
      <w:pPr>
        <w:keepNext w:val="0"/>
        <w:keepLines w:val="0"/>
        <w:pageBreakBefore w:val="0"/>
        <w:kinsoku/>
        <w:wordWrap/>
        <w:overflowPunct/>
        <w:topLinePunct w:val="0"/>
        <w:bidi w:val="0"/>
        <w:spacing w:line="360" w:lineRule="auto"/>
        <w:jc w:val="left"/>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（GF—2017—0201）</w:t>
      </w:r>
    </w:p>
    <w:p w14:paraId="45BAB38B">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Cs/>
          <w:color w:val="auto"/>
          <w:kern w:val="0"/>
          <w:sz w:val="28"/>
          <w:szCs w:val="28"/>
          <w:highlight w:val="none"/>
        </w:rPr>
      </w:pPr>
    </w:p>
    <w:p w14:paraId="4866B834">
      <w:pPr>
        <w:keepNext w:val="0"/>
        <w:keepLines w:val="0"/>
        <w:pageBreakBefore w:val="0"/>
        <w:kinsoku/>
        <w:wordWrap/>
        <w:overflowPunct/>
        <w:topLinePunct w:val="0"/>
        <w:bidi w:val="0"/>
        <w:spacing w:line="360" w:lineRule="auto"/>
        <w:jc w:val="both"/>
        <w:textAlignment w:val="auto"/>
        <w:rPr>
          <w:rFonts w:hint="eastAsia" w:ascii="宋体" w:hAnsi="宋体" w:eastAsia="宋体" w:cs="宋体"/>
          <w:b/>
          <w:bCs w:val="0"/>
          <w:color w:val="auto"/>
          <w:kern w:val="0"/>
          <w:sz w:val="28"/>
          <w:szCs w:val="28"/>
          <w:highlight w:val="none"/>
        </w:rPr>
      </w:pPr>
    </w:p>
    <w:p w14:paraId="6046E7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kern w:val="0"/>
          <w:sz w:val="52"/>
          <w:szCs w:val="52"/>
          <w:highlight w:val="none"/>
          <w:lang w:eastAsia="zh-CN"/>
        </w:rPr>
      </w:pPr>
      <w:r>
        <w:rPr>
          <w:rFonts w:hint="eastAsia" w:ascii="宋体" w:hAnsi="宋体" w:eastAsia="宋体" w:cs="宋体"/>
          <w:b/>
          <w:bCs w:val="0"/>
          <w:color w:val="auto"/>
          <w:kern w:val="0"/>
          <w:sz w:val="52"/>
          <w:szCs w:val="52"/>
          <w:highlight w:val="none"/>
        </w:rPr>
        <w:t>建设工程施工合同</w:t>
      </w:r>
    </w:p>
    <w:p w14:paraId="64B51D8F">
      <w:pPr>
        <w:pStyle w:val="35"/>
        <w:rPr>
          <w:rFonts w:hint="eastAsia"/>
          <w:color w:val="auto"/>
          <w:lang w:eastAsia="zh-CN"/>
        </w:rPr>
      </w:pPr>
    </w:p>
    <w:p w14:paraId="71AB62F2">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b/>
          <w:bCs/>
          <w:color w:val="auto"/>
          <w:kern w:val="0"/>
          <w:sz w:val="28"/>
          <w:szCs w:val="28"/>
          <w:highlight w:val="none"/>
        </w:rPr>
      </w:pPr>
    </w:p>
    <w:p w14:paraId="3BFD2A64">
      <w:pPr>
        <w:keepNext w:val="0"/>
        <w:keepLines w:val="0"/>
        <w:pageBreakBefore w:val="0"/>
        <w:widowControl/>
        <w:kinsoku/>
        <w:wordWrap/>
        <w:overflowPunct/>
        <w:topLinePunct w:val="0"/>
        <w:bidi w:val="0"/>
        <w:spacing w:line="360" w:lineRule="auto"/>
        <w:ind w:firstLine="200"/>
        <w:jc w:val="center"/>
        <w:textAlignment w:val="auto"/>
        <w:rPr>
          <w:rFonts w:hint="eastAsia" w:ascii="宋体" w:hAnsi="宋体" w:eastAsia="宋体" w:cs="宋体"/>
          <w:b/>
          <w:bCs/>
          <w:color w:val="auto"/>
          <w:kern w:val="0"/>
          <w:sz w:val="28"/>
          <w:szCs w:val="28"/>
          <w:highlight w:val="none"/>
        </w:rPr>
      </w:pPr>
    </w:p>
    <w:p w14:paraId="695DC5B8">
      <w:pPr>
        <w:keepNext w:val="0"/>
        <w:keepLines w:val="0"/>
        <w:pageBreakBefore w:val="0"/>
        <w:widowControl/>
        <w:kinsoku/>
        <w:wordWrap/>
        <w:overflowPunct/>
        <w:topLinePunct w:val="0"/>
        <w:bidi w:val="0"/>
        <w:spacing w:line="360" w:lineRule="auto"/>
        <w:ind w:firstLine="200"/>
        <w:jc w:val="center"/>
        <w:textAlignment w:val="auto"/>
        <w:rPr>
          <w:rFonts w:hint="eastAsia" w:ascii="宋体" w:hAnsi="宋体" w:eastAsia="宋体" w:cs="宋体"/>
          <w:b/>
          <w:bCs/>
          <w:color w:val="auto"/>
          <w:kern w:val="0"/>
          <w:sz w:val="28"/>
          <w:szCs w:val="28"/>
          <w:highlight w:val="none"/>
        </w:rPr>
      </w:pPr>
    </w:p>
    <w:p w14:paraId="7AB31E16">
      <w:pPr>
        <w:keepNext w:val="0"/>
        <w:keepLines w:val="0"/>
        <w:pageBreakBefore w:val="0"/>
        <w:widowControl/>
        <w:kinsoku/>
        <w:wordWrap/>
        <w:overflowPunct/>
        <w:topLinePunct w:val="0"/>
        <w:bidi w:val="0"/>
        <w:spacing w:line="360" w:lineRule="auto"/>
        <w:ind w:firstLine="200"/>
        <w:jc w:val="center"/>
        <w:textAlignment w:val="auto"/>
        <w:rPr>
          <w:rFonts w:hint="eastAsia" w:ascii="宋体" w:hAnsi="宋体" w:eastAsia="宋体" w:cs="宋体"/>
          <w:b/>
          <w:bCs/>
          <w:color w:val="auto"/>
          <w:kern w:val="0"/>
          <w:sz w:val="28"/>
          <w:szCs w:val="28"/>
          <w:highlight w:val="none"/>
        </w:rPr>
      </w:pPr>
    </w:p>
    <w:p w14:paraId="28F460D1">
      <w:pPr>
        <w:keepNext w:val="0"/>
        <w:keepLines w:val="0"/>
        <w:pageBreakBefore w:val="0"/>
        <w:widowControl/>
        <w:kinsoku/>
        <w:wordWrap/>
        <w:overflowPunct/>
        <w:topLinePunct w:val="0"/>
        <w:bidi w:val="0"/>
        <w:spacing w:line="360" w:lineRule="auto"/>
        <w:jc w:val="both"/>
        <w:textAlignment w:val="auto"/>
        <w:rPr>
          <w:rFonts w:hint="eastAsia" w:ascii="宋体" w:hAnsi="宋体" w:eastAsia="宋体" w:cs="宋体"/>
          <w:b/>
          <w:bCs/>
          <w:color w:val="auto"/>
          <w:kern w:val="0"/>
          <w:sz w:val="28"/>
          <w:szCs w:val="28"/>
          <w:highlight w:val="none"/>
        </w:rPr>
      </w:pPr>
    </w:p>
    <w:p w14:paraId="52B56B36">
      <w:pPr>
        <w:keepNext w:val="0"/>
        <w:keepLines w:val="0"/>
        <w:pageBreakBefore w:val="0"/>
        <w:widowControl/>
        <w:kinsoku/>
        <w:wordWrap/>
        <w:overflowPunct/>
        <w:topLinePunct w:val="0"/>
        <w:bidi w:val="0"/>
        <w:spacing w:line="360" w:lineRule="auto"/>
        <w:ind w:firstLine="200"/>
        <w:jc w:val="center"/>
        <w:textAlignment w:val="auto"/>
        <w:rPr>
          <w:rFonts w:hint="eastAsia" w:ascii="宋体" w:hAnsi="宋体" w:eastAsia="宋体" w:cs="宋体"/>
          <w:b/>
          <w:bCs/>
          <w:color w:val="auto"/>
          <w:kern w:val="0"/>
          <w:sz w:val="32"/>
          <w:szCs w:val="32"/>
          <w:highlight w:val="none"/>
        </w:rPr>
      </w:pPr>
    </w:p>
    <w:p w14:paraId="78EC17E6">
      <w:pPr>
        <w:keepNext w:val="0"/>
        <w:keepLines w:val="0"/>
        <w:pageBreakBefore w:val="0"/>
        <w:kinsoku/>
        <w:wordWrap/>
        <w:overflowPunct/>
        <w:topLinePunct w:val="0"/>
        <w:bidi w:val="0"/>
        <w:spacing w:line="360" w:lineRule="auto"/>
        <w:ind w:right="2719" w:rightChars="1295"/>
        <w:jc w:val="distribute"/>
        <w:textAlignment w:val="auto"/>
        <w:rPr>
          <w:rFonts w:hint="eastAsia" w:ascii="宋体" w:hAnsi="宋体" w:eastAsia="宋体" w:cs="宋体"/>
          <w:b/>
          <w:color w:val="auto"/>
          <w:sz w:val="32"/>
          <w:szCs w:val="32"/>
          <w:highlight w:val="none"/>
        </w:rPr>
      </w:pPr>
      <w:r>
        <w:rPr>
          <w:rFonts w:hint="eastAsia" w:ascii="宋体" w:hAnsi="宋体" w:eastAsia="宋体" w:cs="宋体"/>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4342765</wp:posOffset>
                </wp:positionH>
                <wp:positionV relativeFrom="paragraph">
                  <wp:posOffset>384175</wp:posOffset>
                </wp:positionV>
                <wp:extent cx="723900" cy="457200"/>
                <wp:effectExtent l="4445" t="4445" r="14605" b="14605"/>
                <wp:wrapNone/>
                <wp:docPr id="18" name="文本框 18"/>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56DD205D">
                            <w:pPr>
                              <w:rPr>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41.95pt;margin-top:30.25pt;height:36pt;width:57pt;z-index:251659264;mso-width-relative:page;mso-height-relative:page;" filled="f" stroked="t" coordsize="21600,21600" o:gfxdata="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06QEfZAAAACgEAAA8AAAAAAAAAAQAgAAAAIgAAAGRy&#10;cy9kb3ducmV2LnhtbFBLAQIUABQAAAAIAIdO4kAqOSleBAIAAA4EAAAOAAAAAAAAAAEAIAAAACgB&#10;AABkcnMvZTJvRG9jLnhtbFBLBQYAAAAABgAGAFkBAACeBQAAAAA=&#10;">
                <v:fill on="f" focussize="0,0"/>
                <v:stroke color="#FFFFFF" joinstyle="miter"/>
                <v:imagedata o:title=""/>
                <o:lock v:ext="edit" aspectratio="f"/>
                <v:textbox>
                  <w:txbxContent>
                    <w:p w14:paraId="56DD205D">
                      <w:pPr>
                        <w:rPr>
                          <w:b/>
                          <w:bCs/>
                          <w:sz w:val="32"/>
                        </w:rPr>
                      </w:pPr>
                      <w:r>
                        <w:rPr>
                          <w:rFonts w:hint="eastAsia"/>
                          <w:b/>
                          <w:bCs/>
                          <w:sz w:val="32"/>
                        </w:rPr>
                        <w:t>制定</w:t>
                      </w:r>
                    </w:p>
                  </w:txbxContent>
                </v:textbox>
              </v:shape>
            </w:pict>
          </mc:Fallback>
        </mc:AlternateContent>
      </w:r>
      <w:r>
        <w:rPr>
          <w:rFonts w:hint="eastAsia" w:ascii="宋体" w:hAnsi="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住房和城乡建设部</w:t>
      </w:r>
    </w:p>
    <w:p w14:paraId="2837C45C">
      <w:pPr>
        <w:pStyle w:val="16"/>
        <w:keepLines w:val="0"/>
        <w:pageBreakBefore w:val="0"/>
        <w:kinsoku/>
        <w:bidi w:val="0"/>
        <w:spacing w:line="360" w:lineRule="auto"/>
        <w:rPr>
          <w:rFonts w:hint="eastAsia"/>
          <w:color w:val="auto"/>
        </w:rPr>
      </w:pPr>
    </w:p>
    <w:p w14:paraId="66175135">
      <w:pPr>
        <w:keepNext w:val="0"/>
        <w:keepLines w:val="0"/>
        <w:pageBreakBefore w:val="0"/>
        <w:kinsoku/>
        <w:wordWrap/>
        <w:overflowPunct/>
        <w:topLinePunct w:val="0"/>
        <w:bidi w:val="0"/>
        <w:spacing w:line="360" w:lineRule="auto"/>
        <w:ind w:right="2719" w:rightChars="1295" w:firstLine="2750" w:firstLineChars="856"/>
        <w:jc w:val="distribute"/>
        <w:textAlignment w:val="auto"/>
        <w:rPr>
          <w:rFonts w:hint="eastAsia" w:ascii="宋体" w:hAnsi="宋体" w:eastAsia="宋体" w:cs="宋体"/>
          <w:b/>
          <w:color w:val="auto"/>
          <w:sz w:val="32"/>
          <w:szCs w:val="32"/>
          <w:highlight w:val="none"/>
        </w:rPr>
      </w:pPr>
      <w:bookmarkStart w:id="60" w:name="_Toc30486_WPSOffice_Level2"/>
      <w:r>
        <w:rPr>
          <w:rFonts w:hint="eastAsia" w:ascii="宋体" w:hAnsi="宋体" w:eastAsia="宋体" w:cs="宋体"/>
          <w:b/>
          <w:color w:val="auto"/>
          <w:sz w:val="32"/>
          <w:szCs w:val="32"/>
          <w:highlight w:val="none"/>
        </w:rPr>
        <w:t>国家工商行政管理总局</w:t>
      </w:r>
      <w:bookmarkEnd w:id="60"/>
    </w:p>
    <w:p w14:paraId="4B15A90D">
      <w:pPr>
        <w:rPr>
          <w:rFonts w:hint="eastAsia"/>
          <w:color w:val="auto"/>
        </w:rPr>
      </w:pPr>
    </w:p>
    <w:p w14:paraId="382B156A">
      <w:pPr>
        <w:numPr>
          <w:ilvl w:val="0"/>
          <w:numId w:val="0"/>
        </w:numPr>
        <w:rPr>
          <w:rFonts w:hint="eastAsia"/>
          <w:color w:val="auto"/>
          <w:lang w:val="en-US" w:eastAsia="zh-CN"/>
        </w:rPr>
      </w:pPr>
    </w:p>
    <w:p w14:paraId="54166829">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val="0"/>
          <w:color w:val="auto"/>
          <w:kern w:val="0"/>
          <w:sz w:val="28"/>
          <w:szCs w:val="28"/>
          <w:highlight w:val="none"/>
          <w:lang w:val="en-US" w:eastAsia="zh-CN"/>
        </w:rPr>
      </w:pPr>
    </w:p>
    <w:p w14:paraId="63E5AD64">
      <w:pPr>
        <w:pStyle w:val="16"/>
        <w:rPr>
          <w:rFonts w:hint="eastAsia" w:ascii="宋体" w:hAnsi="宋体" w:eastAsia="宋体" w:cs="宋体"/>
          <w:b/>
          <w:bCs w:val="0"/>
          <w:color w:val="auto"/>
          <w:kern w:val="0"/>
          <w:sz w:val="28"/>
          <w:szCs w:val="28"/>
          <w:highlight w:val="none"/>
          <w:lang w:val="en-US" w:eastAsia="zh-CN"/>
        </w:rPr>
      </w:pPr>
    </w:p>
    <w:p w14:paraId="7909C6F8">
      <w:pPr>
        <w:rPr>
          <w:rFonts w:hint="eastAsia" w:ascii="宋体" w:hAnsi="宋体" w:eastAsia="宋体" w:cs="宋体"/>
          <w:b/>
          <w:bCs w:val="0"/>
          <w:color w:val="auto"/>
          <w:kern w:val="0"/>
          <w:sz w:val="28"/>
          <w:szCs w:val="28"/>
          <w:highlight w:val="none"/>
          <w:lang w:val="en-US" w:eastAsia="zh-CN"/>
        </w:rPr>
      </w:pPr>
    </w:p>
    <w:p w14:paraId="49098EE8">
      <w:pPr>
        <w:rPr>
          <w:rFonts w:hint="eastAsia" w:ascii="宋体" w:hAnsi="宋体" w:eastAsia="宋体" w:cs="宋体"/>
          <w:b/>
          <w:bCs w:val="0"/>
          <w:color w:val="auto"/>
          <w:kern w:val="0"/>
          <w:sz w:val="28"/>
          <w:szCs w:val="28"/>
          <w:highlight w:val="none"/>
          <w:lang w:val="en-US" w:eastAsia="zh-CN"/>
        </w:rPr>
      </w:pPr>
    </w:p>
    <w:p w14:paraId="15639B09">
      <w:pPr>
        <w:rPr>
          <w:rFonts w:hint="eastAsia"/>
          <w:color w:val="auto"/>
          <w:lang w:val="en-US" w:eastAsia="zh-CN"/>
        </w:rPr>
      </w:pPr>
    </w:p>
    <w:p w14:paraId="0EF5AC64">
      <w:pPr>
        <w:rPr>
          <w:rFonts w:hint="eastAsia" w:ascii="宋体" w:hAnsi="宋体" w:eastAsia="宋体" w:cs="宋体"/>
          <w:b/>
          <w:bCs w:val="0"/>
          <w:color w:val="auto"/>
          <w:kern w:val="0"/>
          <w:sz w:val="28"/>
          <w:szCs w:val="28"/>
          <w:highlight w:val="none"/>
          <w:lang w:val="en-US" w:eastAsia="zh-CN"/>
        </w:rPr>
      </w:pPr>
    </w:p>
    <w:p w14:paraId="56D399D8">
      <w:pPr>
        <w:keepNext w:val="0"/>
        <w:keepLines w:val="0"/>
        <w:pageBreakBefore w:val="0"/>
        <w:kinsoku/>
        <w:wordWrap/>
        <w:overflowPunct/>
        <w:topLinePunct w:val="0"/>
        <w:bidi w:val="0"/>
        <w:spacing w:line="360" w:lineRule="exact"/>
        <w:ind w:left="0" w:leftChars="0" w:firstLine="422" w:firstLineChars="200"/>
        <w:jc w:val="center"/>
        <w:textAlignment w:val="auto"/>
        <w:outlineLvl w:val="1"/>
        <w:rPr>
          <w:rFonts w:hint="eastAsia" w:ascii="宋体" w:hAnsi="宋体" w:eastAsia="宋体" w:cs="宋体"/>
          <w:color w:val="auto"/>
          <w:kern w:val="0"/>
          <w:sz w:val="21"/>
          <w:szCs w:val="21"/>
          <w:highlight w:val="none"/>
        </w:rPr>
      </w:pPr>
      <w:bookmarkStart w:id="61" w:name="_Toc29417"/>
      <w:bookmarkStart w:id="62" w:name="_Toc29525"/>
      <w:r>
        <w:rPr>
          <w:rFonts w:hint="eastAsia" w:ascii="宋体" w:hAnsi="宋体" w:eastAsia="宋体" w:cs="宋体"/>
          <w:b/>
          <w:bCs w:val="0"/>
          <w:color w:val="auto"/>
          <w:kern w:val="0"/>
          <w:sz w:val="21"/>
          <w:szCs w:val="21"/>
          <w:highlight w:val="none"/>
          <w:lang w:val="en-US" w:eastAsia="zh-CN"/>
        </w:rPr>
        <w:t>第一节</w:t>
      </w:r>
      <w:r>
        <w:rPr>
          <w:rFonts w:hint="eastAsia" w:ascii="宋体" w:hAnsi="宋体" w:eastAsia="宋体" w:cs="宋体"/>
          <w:b/>
          <w:bCs w:val="0"/>
          <w:color w:val="auto"/>
          <w:kern w:val="0"/>
          <w:sz w:val="21"/>
          <w:szCs w:val="21"/>
          <w:highlight w:val="none"/>
        </w:rPr>
        <w:t xml:space="preserve">  合同协议书</w:t>
      </w:r>
      <w:bookmarkEnd w:id="61"/>
      <w:bookmarkEnd w:id="62"/>
    </w:p>
    <w:p w14:paraId="2A46D91B">
      <w:pPr>
        <w:keepNext w:val="0"/>
        <w:keepLines w:val="0"/>
        <w:pageBreakBefore w:val="0"/>
        <w:kinsoku/>
        <w:wordWrap/>
        <w:overflowPunct/>
        <w:topLinePunct w:val="0"/>
        <w:bidi w:val="0"/>
        <w:spacing w:line="360" w:lineRule="exact"/>
        <w:ind w:left="0" w:leftChars="0" w:firstLine="422" w:firstLineChars="200"/>
        <w:textAlignment w:val="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发包人（全称）：</w:t>
      </w:r>
      <w:r>
        <w:rPr>
          <w:rFonts w:hint="eastAsia" w:ascii="宋体" w:hAnsi="宋体" w:eastAsia="宋体" w:cs="宋体"/>
          <w:b/>
          <w:color w:val="auto"/>
          <w:sz w:val="21"/>
          <w:szCs w:val="21"/>
          <w:highlight w:val="none"/>
          <w:u w:val="single"/>
        </w:rPr>
        <w:t xml:space="preserve">                           </w:t>
      </w:r>
    </w:p>
    <w:p w14:paraId="36573C4C">
      <w:pPr>
        <w:keepNext w:val="0"/>
        <w:keepLines w:val="0"/>
        <w:pageBreakBefore w:val="0"/>
        <w:kinsoku/>
        <w:wordWrap/>
        <w:overflowPunct/>
        <w:topLinePunct w:val="0"/>
        <w:bidi w:val="0"/>
        <w:spacing w:line="360" w:lineRule="exact"/>
        <w:ind w:left="0" w:leftChars="0" w:firstLine="422" w:firstLineChars="200"/>
        <w:textAlignment w:val="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承包人（全称）：</w:t>
      </w:r>
      <w:r>
        <w:rPr>
          <w:rFonts w:hint="eastAsia" w:ascii="宋体" w:hAnsi="宋体" w:eastAsia="宋体" w:cs="宋体"/>
          <w:b/>
          <w:color w:val="auto"/>
          <w:sz w:val="21"/>
          <w:szCs w:val="21"/>
          <w:highlight w:val="none"/>
          <w:u w:val="single"/>
        </w:rPr>
        <w:t xml:space="preserve">                           </w:t>
      </w:r>
    </w:p>
    <w:p w14:paraId="51698EF9">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根据《中华人民共和国民法典》、《中华人民共和国建筑法》及有关法律规定，遵循平等、自愿、公平和诚实信用的原则，双方就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泾阳县人民政府会议室改造项目</w:t>
      </w:r>
      <w:r>
        <w:rPr>
          <w:rFonts w:hint="eastAsia" w:ascii="宋体" w:hAnsi="宋体" w:eastAsia="宋体" w:cs="宋体"/>
          <w:color w:val="auto"/>
          <w:sz w:val="21"/>
          <w:szCs w:val="21"/>
          <w:highlight w:val="none"/>
        </w:rPr>
        <w:t>施工及有关事项协商一致，共同达成如下协议：</w:t>
      </w:r>
    </w:p>
    <w:p w14:paraId="376E0165">
      <w:pPr>
        <w:keepNext w:val="0"/>
        <w:keepLines w:val="0"/>
        <w:pageBreakBefore w:val="0"/>
        <w:kinsoku/>
        <w:wordWrap/>
        <w:overflowPunct/>
        <w:topLinePunct w:val="0"/>
        <w:bidi w:val="0"/>
        <w:spacing w:line="360" w:lineRule="exact"/>
        <w:ind w:left="0" w:leftChars="0" w:firstLine="422" w:firstLineChars="200"/>
        <w:textAlignment w:val="auto"/>
        <w:rPr>
          <w:rFonts w:hint="eastAsia" w:ascii="宋体" w:hAnsi="宋体" w:eastAsia="宋体" w:cs="宋体"/>
          <w:color w:val="auto"/>
          <w:sz w:val="21"/>
          <w:szCs w:val="21"/>
          <w:highlight w:val="none"/>
        </w:rPr>
      </w:pPr>
      <w:bookmarkStart w:id="63" w:name="_Toc351203481"/>
      <w:r>
        <w:rPr>
          <w:rFonts w:hint="eastAsia" w:ascii="宋体" w:hAnsi="宋体" w:eastAsia="宋体" w:cs="宋体"/>
          <w:b/>
          <w:color w:val="auto"/>
          <w:sz w:val="21"/>
          <w:szCs w:val="21"/>
          <w:highlight w:val="none"/>
        </w:rPr>
        <w:t>一、工程概况</w:t>
      </w:r>
      <w:bookmarkEnd w:id="63"/>
    </w:p>
    <w:p w14:paraId="7B8EBA8C">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i w:val="0"/>
          <w:iCs w:val="0"/>
          <w:caps w:val="0"/>
          <w:color w:val="auto"/>
          <w:spacing w:val="0"/>
          <w:sz w:val="21"/>
          <w:szCs w:val="21"/>
          <w:highlight w:val="none"/>
          <w:u w:val="single"/>
          <w:shd w:val="clear" w:fill="FFFFFF"/>
          <w:vertAlign w:val="baseline"/>
          <w:lang w:val="en-US" w:eastAsia="zh-CN"/>
        </w:rPr>
      </w:pPr>
      <w:r>
        <w:rPr>
          <w:rFonts w:hint="eastAsia" w:ascii="宋体" w:hAnsi="宋体" w:eastAsia="宋体" w:cs="宋体"/>
          <w:bCs/>
          <w:color w:val="auto"/>
          <w:sz w:val="21"/>
          <w:szCs w:val="21"/>
          <w:highlight w:val="none"/>
        </w:rPr>
        <w:t>1.工程名称</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u w:val="single"/>
          <w:lang w:val="en-US" w:eastAsia="zh-CN"/>
        </w:rPr>
        <w:t>泾阳县人民政府会议室改造项目</w:t>
      </w:r>
    </w:p>
    <w:p w14:paraId="38FB77B2">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2.工程地点：</w:t>
      </w:r>
      <w:r>
        <w:rPr>
          <w:rFonts w:hint="eastAsia" w:ascii="宋体" w:hAnsi="宋体" w:eastAsia="宋体" w:cs="宋体"/>
          <w:color w:val="auto"/>
          <w:sz w:val="21"/>
          <w:szCs w:val="21"/>
          <w:highlight w:val="none"/>
          <w:u w:val="single"/>
          <w:lang w:val="en-US" w:eastAsia="zh-CN"/>
        </w:rPr>
        <w:t xml:space="preserve">                             </w:t>
      </w:r>
    </w:p>
    <w:p w14:paraId="77940C07">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3.工程立项批准文号：</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rPr>
        <w:t>。</w:t>
      </w:r>
    </w:p>
    <w:p w14:paraId="0899FDDF">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4.资金来源：</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rPr>
        <w:t>。</w:t>
      </w:r>
    </w:p>
    <w:p w14:paraId="58F8F774">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5.工程内容：</w:t>
      </w:r>
      <w:r>
        <w:rPr>
          <w:rFonts w:hint="eastAsia" w:ascii="宋体" w:hAnsi="宋体" w:eastAsia="宋体" w:cs="宋体"/>
          <w:color w:val="auto"/>
          <w:sz w:val="21"/>
          <w:szCs w:val="21"/>
          <w:highlight w:val="none"/>
          <w:u w:val="single"/>
        </w:rPr>
        <w:t xml:space="preserve">   详见工程量清单        </w:t>
      </w:r>
      <w:r>
        <w:rPr>
          <w:rFonts w:hint="eastAsia" w:ascii="宋体" w:hAnsi="宋体" w:eastAsia="宋体" w:cs="宋体"/>
          <w:bCs/>
          <w:color w:val="auto"/>
          <w:sz w:val="21"/>
          <w:szCs w:val="21"/>
          <w:highlight w:val="none"/>
        </w:rPr>
        <w:t>。</w:t>
      </w:r>
    </w:p>
    <w:p w14:paraId="798A1289">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6.工程承包范围：</w:t>
      </w:r>
      <w:r>
        <w:rPr>
          <w:rFonts w:hint="eastAsia" w:ascii="宋体" w:hAnsi="宋体" w:eastAsia="宋体" w:cs="宋体"/>
          <w:bCs/>
          <w:color w:val="auto"/>
          <w:sz w:val="21"/>
          <w:szCs w:val="21"/>
          <w:highlight w:val="none"/>
          <w:u w:val="single"/>
        </w:rPr>
        <w:t>工程量清单、答疑以及本</w:t>
      </w:r>
      <w:r>
        <w:rPr>
          <w:rFonts w:hint="eastAsia" w:ascii="宋体" w:hAnsi="宋体" w:eastAsia="宋体" w:cs="宋体"/>
          <w:bCs/>
          <w:color w:val="auto"/>
          <w:sz w:val="21"/>
          <w:szCs w:val="21"/>
          <w:highlight w:val="none"/>
          <w:u w:val="single"/>
          <w:lang w:eastAsia="zh-CN"/>
        </w:rPr>
        <w:t>竞争性磋商文件</w:t>
      </w:r>
      <w:r>
        <w:rPr>
          <w:rFonts w:hint="eastAsia" w:ascii="宋体" w:hAnsi="宋体" w:eastAsia="宋体" w:cs="宋体"/>
          <w:bCs/>
          <w:color w:val="auto"/>
          <w:sz w:val="21"/>
          <w:szCs w:val="21"/>
          <w:highlight w:val="none"/>
          <w:u w:val="single"/>
        </w:rPr>
        <w:t>规定的全部内容。文字与清单不符时，以清单为准。</w:t>
      </w:r>
    </w:p>
    <w:p w14:paraId="71EEE6D5">
      <w:pPr>
        <w:keepNext w:val="0"/>
        <w:keepLines w:val="0"/>
        <w:pageBreakBefore w:val="0"/>
        <w:kinsoku/>
        <w:wordWrap/>
        <w:overflowPunct/>
        <w:topLinePunct w:val="0"/>
        <w:bidi w:val="0"/>
        <w:spacing w:line="360" w:lineRule="exact"/>
        <w:ind w:left="0" w:leftChars="0" w:firstLine="422" w:firstLineChars="200"/>
        <w:textAlignment w:val="auto"/>
        <w:rPr>
          <w:rFonts w:hint="eastAsia" w:ascii="宋体" w:hAnsi="宋体" w:eastAsia="宋体" w:cs="宋体"/>
          <w:b/>
          <w:color w:val="auto"/>
          <w:sz w:val="21"/>
          <w:szCs w:val="21"/>
          <w:highlight w:val="none"/>
        </w:rPr>
      </w:pPr>
      <w:bookmarkStart w:id="64" w:name="_Toc351203482"/>
      <w:r>
        <w:rPr>
          <w:rFonts w:hint="eastAsia" w:ascii="宋体" w:hAnsi="宋体" w:eastAsia="宋体" w:cs="宋体"/>
          <w:b/>
          <w:color w:val="auto"/>
          <w:sz w:val="21"/>
          <w:szCs w:val="21"/>
          <w:highlight w:val="none"/>
        </w:rPr>
        <w:t>二、合同工期</w:t>
      </w:r>
      <w:bookmarkEnd w:id="64"/>
    </w:p>
    <w:p w14:paraId="35480127">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计划开工日期：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5D16DC48">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计划竣工日期：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70ABBA17">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工期总日历天数：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天。工期总日历天数与根据前述计划开竣工日期计算的工期天数不一致的，以工期总日历天数为准。</w:t>
      </w:r>
    </w:p>
    <w:p w14:paraId="67454958">
      <w:pPr>
        <w:keepNext w:val="0"/>
        <w:keepLines w:val="0"/>
        <w:pageBreakBefore w:val="0"/>
        <w:kinsoku/>
        <w:wordWrap/>
        <w:overflowPunct/>
        <w:topLinePunct w:val="0"/>
        <w:bidi w:val="0"/>
        <w:spacing w:line="360" w:lineRule="exact"/>
        <w:ind w:left="0" w:leftChars="0" w:firstLine="422" w:firstLineChars="200"/>
        <w:textAlignment w:val="auto"/>
        <w:rPr>
          <w:rFonts w:hint="eastAsia" w:ascii="宋体" w:hAnsi="宋体" w:eastAsia="宋体" w:cs="宋体"/>
          <w:b/>
          <w:color w:val="auto"/>
          <w:sz w:val="21"/>
          <w:szCs w:val="21"/>
          <w:highlight w:val="none"/>
        </w:rPr>
      </w:pPr>
      <w:bookmarkStart w:id="65" w:name="_Toc351203483"/>
      <w:r>
        <w:rPr>
          <w:rFonts w:hint="eastAsia" w:ascii="宋体" w:hAnsi="宋体" w:eastAsia="宋体" w:cs="宋体"/>
          <w:b/>
          <w:color w:val="auto"/>
          <w:sz w:val="21"/>
          <w:szCs w:val="21"/>
          <w:highlight w:val="none"/>
        </w:rPr>
        <w:t>三、质量标准</w:t>
      </w:r>
      <w:bookmarkEnd w:id="65"/>
    </w:p>
    <w:p w14:paraId="799F6079">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工程质量符合 </w:t>
      </w:r>
      <w:r>
        <w:rPr>
          <w:rFonts w:hint="eastAsia" w:ascii="宋体" w:hAnsi="宋体" w:eastAsia="宋体" w:cs="宋体"/>
          <w:color w:val="auto"/>
          <w:sz w:val="21"/>
          <w:szCs w:val="21"/>
          <w:highlight w:val="none"/>
          <w:u w:val="single"/>
        </w:rPr>
        <w:t>合格</w:t>
      </w:r>
      <w:r>
        <w:rPr>
          <w:rFonts w:hint="eastAsia" w:ascii="宋体" w:hAnsi="宋体" w:eastAsia="宋体" w:cs="宋体"/>
          <w:color w:val="auto"/>
          <w:sz w:val="21"/>
          <w:szCs w:val="21"/>
          <w:highlight w:val="none"/>
        </w:rPr>
        <w:t xml:space="preserve"> 标准。</w:t>
      </w:r>
    </w:p>
    <w:p w14:paraId="5EC2385F">
      <w:pPr>
        <w:keepNext w:val="0"/>
        <w:keepLines w:val="0"/>
        <w:pageBreakBefore w:val="0"/>
        <w:kinsoku/>
        <w:wordWrap/>
        <w:overflowPunct/>
        <w:topLinePunct w:val="0"/>
        <w:bidi w:val="0"/>
        <w:spacing w:line="360" w:lineRule="exact"/>
        <w:ind w:left="0" w:leftChars="0" w:firstLine="422" w:firstLineChars="200"/>
        <w:textAlignment w:val="auto"/>
        <w:rPr>
          <w:rFonts w:hint="eastAsia" w:ascii="宋体" w:hAnsi="宋体" w:eastAsia="宋体" w:cs="宋体"/>
          <w:b/>
          <w:color w:val="auto"/>
          <w:sz w:val="21"/>
          <w:szCs w:val="21"/>
          <w:highlight w:val="none"/>
        </w:rPr>
      </w:pPr>
      <w:bookmarkStart w:id="66" w:name="_Toc351203484"/>
      <w:r>
        <w:rPr>
          <w:rFonts w:hint="eastAsia" w:ascii="宋体" w:hAnsi="宋体" w:eastAsia="宋体" w:cs="宋体"/>
          <w:b/>
          <w:color w:val="auto"/>
          <w:sz w:val="21"/>
          <w:szCs w:val="21"/>
          <w:highlight w:val="none"/>
        </w:rPr>
        <w:t>四、签约合同价与合同价格形式</w:t>
      </w:r>
      <w:bookmarkEnd w:id="66"/>
      <w:r>
        <w:rPr>
          <w:rFonts w:hint="eastAsia" w:ascii="宋体" w:hAnsi="宋体" w:eastAsia="宋体" w:cs="宋体"/>
          <w:b/>
          <w:color w:val="auto"/>
          <w:sz w:val="21"/>
          <w:szCs w:val="21"/>
          <w:highlight w:val="none"/>
        </w:rPr>
        <w:tab/>
      </w:r>
    </w:p>
    <w:p w14:paraId="7F19BA23">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1.签约合同价为：</w:t>
      </w:r>
    </w:p>
    <w:p w14:paraId="13F77CFC">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575EA29">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其中：   </w:t>
      </w:r>
    </w:p>
    <w:p w14:paraId="51E94E3F">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（1）安全文明施工费：</w:t>
      </w:r>
    </w:p>
    <w:p w14:paraId="793B17CA">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09F322F2">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2.合同价格形式：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总价</w:t>
      </w:r>
      <w:r>
        <w:rPr>
          <w:rFonts w:hint="eastAsia" w:ascii="宋体" w:hAnsi="宋体" w:eastAsia="宋体" w:cs="宋体"/>
          <w:color w:val="auto"/>
          <w:sz w:val="21"/>
          <w:szCs w:val="21"/>
          <w:highlight w:val="none"/>
          <w:u w:val="single"/>
        </w:rPr>
        <w:t xml:space="preserve">合同           </w:t>
      </w:r>
      <w:r>
        <w:rPr>
          <w:rFonts w:hint="eastAsia" w:ascii="宋体" w:hAnsi="宋体" w:eastAsia="宋体" w:cs="宋体"/>
          <w:color w:val="auto"/>
          <w:sz w:val="21"/>
          <w:szCs w:val="21"/>
          <w:highlight w:val="none"/>
        </w:rPr>
        <w:t>。</w:t>
      </w:r>
    </w:p>
    <w:p w14:paraId="6AD7A7AD">
      <w:pPr>
        <w:keepNext w:val="0"/>
        <w:keepLines w:val="0"/>
        <w:pageBreakBefore w:val="0"/>
        <w:kinsoku/>
        <w:wordWrap/>
        <w:overflowPunct/>
        <w:topLinePunct w:val="0"/>
        <w:bidi w:val="0"/>
        <w:spacing w:line="360" w:lineRule="exact"/>
        <w:ind w:left="0" w:leftChars="0" w:firstLine="422" w:firstLineChars="200"/>
        <w:textAlignment w:val="auto"/>
        <w:rPr>
          <w:rFonts w:hint="eastAsia" w:ascii="宋体" w:hAnsi="宋体" w:eastAsia="宋体" w:cs="宋体"/>
          <w:color w:val="auto"/>
          <w:sz w:val="21"/>
          <w:szCs w:val="21"/>
          <w:highlight w:val="none"/>
        </w:rPr>
      </w:pPr>
      <w:bookmarkStart w:id="67" w:name="_Toc351203485"/>
      <w:r>
        <w:rPr>
          <w:rFonts w:hint="eastAsia" w:ascii="宋体" w:hAnsi="宋体" w:eastAsia="宋体" w:cs="宋体"/>
          <w:b/>
          <w:color w:val="auto"/>
          <w:sz w:val="21"/>
          <w:szCs w:val="21"/>
          <w:highlight w:val="none"/>
        </w:rPr>
        <w:t>五、</w:t>
      </w:r>
      <w:bookmarkEnd w:id="67"/>
      <w:r>
        <w:rPr>
          <w:rFonts w:hint="eastAsia" w:ascii="宋体" w:hAnsi="宋体" w:eastAsia="宋体" w:cs="宋体"/>
          <w:b/>
          <w:color w:val="auto"/>
          <w:sz w:val="21"/>
          <w:szCs w:val="21"/>
          <w:highlight w:val="none"/>
        </w:rPr>
        <w:t>项目经理</w:t>
      </w:r>
    </w:p>
    <w:p w14:paraId="64AAF797">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承包人项目经理：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5F5AD9C">
      <w:pPr>
        <w:keepNext w:val="0"/>
        <w:keepLines w:val="0"/>
        <w:pageBreakBefore w:val="0"/>
        <w:kinsoku/>
        <w:wordWrap/>
        <w:overflowPunct/>
        <w:topLinePunct w:val="0"/>
        <w:bidi w:val="0"/>
        <w:spacing w:line="360" w:lineRule="exact"/>
        <w:ind w:left="0" w:leftChars="0" w:firstLine="422" w:firstLineChars="200"/>
        <w:textAlignment w:val="auto"/>
        <w:rPr>
          <w:rFonts w:hint="eastAsia" w:ascii="宋体" w:hAnsi="宋体" w:eastAsia="宋体" w:cs="宋体"/>
          <w:color w:val="auto"/>
          <w:sz w:val="21"/>
          <w:szCs w:val="21"/>
          <w:highlight w:val="none"/>
        </w:rPr>
      </w:pPr>
      <w:bookmarkStart w:id="68" w:name="_Toc351203486"/>
      <w:r>
        <w:rPr>
          <w:rFonts w:hint="eastAsia" w:ascii="宋体" w:hAnsi="宋体" w:eastAsia="宋体" w:cs="宋体"/>
          <w:b/>
          <w:color w:val="auto"/>
          <w:sz w:val="21"/>
          <w:szCs w:val="21"/>
          <w:highlight w:val="none"/>
        </w:rPr>
        <w:t>六、合同文件构成</w:t>
      </w:r>
      <w:bookmarkEnd w:id="68"/>
    </w:p>
    <w:p w14:paraId="74165CAC">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本协议书与下列文件一起构成合同文件：</w:t>
      </w:r>
    </w:p>
    <w:p w14:paraId="1566E856">
      <w:pPr>
        <w:keepNext w:val="0"/>
        <w:keepLines w:val="0"/>
        <w:pageBreakBefore w:val="0"/>
        <w:kinsoku/>
        <w:wordWrap/>
        <w:overflowPunct/>
        <w:topLinePunct w:val="0"/>
        <w:autoSpaceDE w:val="0"/>
        <w:autoSpaceDN w:val="0"/>
        <w:bidi w:val="0"/>
        <w:adjustRightInd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（1）成交通知书；</w:t>
      </w:r>
    </w:p>
    <w:p w14:paraId="7A9C817A">
      <w:pPr>
        <w:keepNext w:val="0"/>
        <w:keepLines w:val="0"/>
        <w:pageBreakBefore w:val="0"/>
        <w:kinsoku/>
        <w:wordWrap/>
        <w:overflowPunct/>
        <w:topLinePunct w:val="0"/>
        <w:autoSpaceDE w:val="0"/>
        <w:autoSpaceDN w:val="0"/>
        <w:bidi w:val="0"/>
        <w:adjustRightInd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（2）响应函； </w:t>
      </w:r>
    </w:p>
    <w:p w14:paraId="3911F6DD">
      <w:pPr>
        <w:keepNext w:val="0"/>
        <w:keepLines w:val="0"/>
        <w:pageBreakBefore w:val="0"/>
        <w:kinsoku/>
        <w:wordWrap/>
        <w:overflowPunct/>
        <w:topLinePunct w:val="0"/>
        <w:autoSpaceDE w:val="0"/>
        <w:autoSpaceDN w:val="0"/>
        <w:bidi w:val="0"/>
        <w:adjustRightInd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（3）专用合同条款及其附件；</w:t>
      </w:r>
    </w:p>
    <w:p w14:paraId="3A86BAE2">
      <w:pPr>
        <w:keepNext w:val="0"/>
        <w:keepLines w:val="0"/>
        <w:pageBreakBefore w:val="0"/>
        <w:kinsoku/>
        <w:wordWrap/>
        <w:overflowPunct/>
        <w:topLinePunct w:val="0"/>
        <w:autoSpaceDE w:val="0"/>
        <w:autoSpaceDN w:val="0"/>
        <w:bidi w:val="0"/>
        <w:adjustRightInd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（4）通用合同条款；</w:t>
      </w:r>
    </w:p>
    <w:p w14:paraId="5CCB8444">
      <w:pPr>
        <w:keepNext w:val="0"/>
        <w:keepLines w:val="0"/>
        <w:pageBreakBefore w:val="0"/>
        <w:kinsoku/>
        <w:wordWrap/>
        <w:overflowPunct/>
        <w:topLinePunct w:val="0"/>
        <w:autoSpaceDE w:val="0"/>
        <w:autoSpaceDN w:val="0"/>
        <w:bidi w:val="0"/>
        <w:adjustRightInd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（5）技术标准和要求；</w:t>
      </w:r>
    </w:p>
    <w:p w14:paraId="4111567F">
      <w:pPr>
        <w:keepNext w:val="0"/>
        <w:keepLines w:val="0"/>
        <w:pageBreakBefore w:val="0"/>
        <w:kinsoku/>
        <w:wordWrap/>
        <w:overflowPunct/>
        <w:topLinePunct w:val="0"/>
        <w:autoSpaceDE w:val="0"/>
        <w:autoSpaceDN w:val="0"/>
        <w:bidi w:val="0"/>
        <w:adjustRightInd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（6）图纸；</w:t>
      </w:r>
    </w:p>
    <w:p w14:paraId="1D016BCF">
      <w:pPr>
        <w:keepNext w:val="0"/>
        <w:keepLines w:val="0"/>
        <w:pageBreakBefore w:val="0"/>
        <w:kinsoku/>
        <w:wordWrap/>
        <w:overflowPunct/>
        <w:topLinePunct w:val="0"/>
        <w:autoSpaceDE w:val="0"/>
        <w:autoSpaceDN w:val="0"/>
        <w:bidi w:val="0"/>
        <w:adjustRightInd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（7）已标价工程量清单或预算书；</w:t>
      </w:r>
    </w:p>
    <w:p w14:paraId="187EF559">
      <w:pPr>
        <w:keepNext w:val="0"/>
        <w:keepLines w:val="0"/>
        <w:pageBreakBefore w:val="0"/>
        <w:kinsoku/>
        <w:wordWrap/>
        <w:overflowPunct/>
        <w:topLinePunct w:val="0"/>
        <w:autoSpaceDE w:val="0"/>
        <w:autoSpaceDN w:val="0"/>
        <w:bidi w:val="0"/>
        <w:adjustRightInd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（8）其他合同文件。</w:t>
      </w:r>
    </w:p>
    <w:p w14:paraId="2C8D4E7B">
      <w:pPr>
        <w:keepNext w:val="0"/>
        <w:keepLines w:val="0"/>
        <w:pageBreakBefore w:val="0"/>
        <w:kinsoku/>
        <w:wordWrap/>
        <w:overflowPunct/>
        <w:topLinePunct w:val="0"/>
        <w:autoSpaceDE w:val="0"/>
        <w:autoSpaceDN w:val="0"/>
        <w:bidi w:val="0"/>
        <w:adjustRightInd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在合同订立及履行过程中形成的与合同有关的文件均构成合同文件组成部分。</w:t>
      </w:r>
    </w:p>
    <w:p w14:paraId="2793DD70">
      <w:pPr>
        <w:keepNext w:val="0"/>
        <w:keepLines w:val="0"/>
        <w:pageBreakBefore w:val="0"/>
        <w:kinsoku/>
        <w:wordWrap/>
        <w:overflowPunct/>
        <w:topLinePunct w:val="0"/>
        <w:autoSpaceDE w:val="0"/>
        <w:autoSpaceDN w:val="0"/>
        <w:bidi w:val="0"/>
        <w:adjustRightInd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50512FCC">
      <w:pPr>
        <w:keepNext w:val="0"/>
        <w:keepLines w:val="0"/>
        <w:pageBreakBefore w:val="0"/>
        <w:kinsoku/>
        <w:wordWrap/>
        <w:overflowPunct/>
        <w:topLinePunct w:val="0"/>
        <w:bidi w:val="0"/>
        <w:spacing w:line="360" w:lineRule="exact"/>
        <w:ind w:left="0" w:leftChars="0" w:firstLine="422" w:firstLineChars="200"/>
        <w:textAlignment w:val="auto"/>
        <w:rPr>
          <w:rFonts w:hint="eastAsia" w:ascii="宋体" w:hAnsi="宋体" w:eastAsia="宋体" w:cs="宋体"/>
          <w:color w:val="auto"/>
          <w:sz w:val="21"/>
          <w:szCs w:val="21"/>
          <w:highlight w:val="none"/>
        </w:rPr>
      </w:pPr>
      <w:bookmarkStart w:id="69" w:name="_Toc351203487"/>
      <w:r>
        <w:rPr>
          <w:rFonts w:hint="eastAsia" w:ascii="宋体" w:hAnsi="宋体" w:eastAsia="宋体" w:cs="宋体"/>
          <w:b/>
          <w:color w:val="auto"/>
          <w:sz w:val="21"/>
          <w:szCs w:val="21"/>
          <w:highlight w:val="none"/>
        </w:rPr>
        <w:t>七、承诺</w:t>
      </w:r>
      <w:bookmarkEnd w:id="69"/>
    </w:p>
    <w:p w14:paraId="55AFFE5F">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1.发包人承诺按照法律规定履行项目审批手续、筹集工程建设资金并按照合同约定的期限和方式支付合同价款。</w:t>
      </w:r>
    </w:p>
    <w:p w14:paraId="16B93C7B">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2.承包人承诺按照法律规定及合同约定组织完成工程施工，确保工程质量和安全，不进行转包及违法分包，并在缺陷责任期及保修期内承担相应的工程维修责任。</w:t>
      </w:r>
    </w:p>
    <w:p w14:paraId="2C17D835">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3.发包人和承包人通过招投标形式签订合同的，双方理解并承诺不再就同一工程另行签订与合同实质性内容相背离的协议。</w:t>
      </w:r>
    </w:p>
    <w:p w14:paraId="646D8292">
      <w:pPr>
        <w:keepNext w:val="0"/>
        <w:keepLines w:val="0"/>
        <w:pageBreakBefore w:val="0"/>
        <w:kinsoku/>
        <w:wordWrap/>
        <w:overflowPunct/>
        <w:topLinePunct w:val="0"/>
        <w:bidi w:val="0"/>
        <w:spacing w:line="360" w:lineRule="exact"/>
        <w:ind w:left="0" w:leftChars="0" w:firstLine="422" w:firstLineChars="200"/>
        <w:textAlignment w:val="auto"/>
        <w:rPr>
          <w:rFonts w:hint="eastAsia" w:ascii="宋体" w:hAnsi="宋体" w:eastAsia="宋体" w:cs="宋体"/>
          <w:bCs/>
          <w:color w:val="auto"/>
          <w:sz w:val="21"/>
          <w:szCs w:val="21"/>
          <w:highlight w:val="none"/>
        </w:rPr>
      </w:pPr>
      <w:bookmarkStart w:id="70" w:name="_Toc351203488"/>
      <w:r>
        <w:rPr>
          <w:rFonts w:hint="eastAsia" w:ascii="宋体" w:hAnsi="宋体" w:eastAsia="宋体" w:cs="宋体"/>
          <w:b/>
          <w:color w:val="auto"/>
          <w:sz w:val="21"/>
          <w:szCs w:val="21"/>
          <w:highlight w:val="none"/>
        </w:rPr>
        <w:t>八、词语含义</w:t>
      </w:r>
      <w:bookmarkEnd w:id="70"/>
    </w:p>
    <w:p w14:paraId="21FFDC70">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本协议书中词语含义与第二部分通用合同条款中赋予的含义相同。</w:t>
      </w:r>
    </w:p>
    <w:p w14:paraId="5C66DABB">
      <w:pPr>
        <w:keepNext w:val="0"/>
        <w:keepLines w:val="0"/>
        <w:pageBreakBefore w:val="0"/>
        <w:kinsoku/>
        <w:wordWrap/>
        <w:overflowPunct/>
        <w:topLinePunct w:val="0"/>
        <w:bidi w:val="0"/>
        <w:spacing w:line="360" w:lineRule="exact"/>
        <w:ind w:left="0" w:leftChars="0" w:firstLine="422" w:firstLineChars="200"/>
        <w:textAlignment w:val="auto"/>
        <w:rPr>
          <w:rFonts w:hint="eastAsia" w:ascii="宋体" w:hAnsi="宋体" w:eastAsia="宋体" w:cs="宋体"/>
          <w:bCs/>
          <w:color w:val="auto"/>
          <w:sz w:val="21"/>
          <w:szCs w:val="21"/>
          <w:highlight w:val="none"/>
        </w:rPr>
      </w:pPr>
      <w:bookmarkStart w:id="71" w:name="_Toc351203489"/>
      <w:r>
        <w:rPr>
          <w:rFonts w:hint="eastAsia" w:ascii="宋体" w:hAnsi="宋体" w:eastAsia="宋体" w:cs="宋体"/>
          <w:b/>
          <w:color w:val="auto"/>
          <w:sz w:val="21"/>
          <w:szCs w:val="21"/>
          <w:highlight w:val="none"/>
        </w:rPr>
        <w:t>九、签订时间</w:t>
      </w:r>
      <w:bookmarkEnd w:id="71"/>
    </w:p>
    <w:p w14:paraId="7005639E">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本合同于</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日签订。</w:t>
      </w:r>
    </w:p>
    <w:p w14:paraId="1F516304">
      <w:pPr>
        <w:keepNext w:val="0"/>
        <w:keepLines w:val="0"/>
        <w:pageBreakBefore w:val="0"/>
        <w:kinsoku/>
        <w:wordWrap/>
        <w:overflowPunct/>
        <w:topLinePunct w:val="0"/>
        <w:bidi w:val="0"/>
        <w:spacing w:line="360" w:lineRule="exact"/>
        <w:ind w:left="0" w:leftChars="0" w:firstLine="422" w:firstLineChars="200"/>
        <w:textAlignment w:val="auto"/>
        <w:rPr>
          <w:rFonts w:hint="eastAsia" w:ascii="宋体" w:hAnsi="宋体" w:eastAsia="宋体" w:cs="宋体"/>
          <w:bCs/>
          <w:color w:val="auto"/>
          <w:sz w:val="21"/>
          <w:szCs w:val="21"/>
          <w:highlight w:val="none"/>
        </w:rPr>
      </w:pPr>
      <w:bookmarkStart w:id="72" w:name="_Toc351203490"/>
      <w:r>
        <w:rPr>
          <w:rFonts w:hint="eastAsia" w:ascii="宋体" w:hAnsi="宋体" w:eastAsia="宋体" w:cs="宋体"/>
          <w:b/>
          <w:color w:val="auto"/>
          <w:sz w:val="21"/>
          <w:szCs w:val="21"/>
          <w:highlight w:val="none"/>
        </w:rPr>
        <w:t>十、签订地点</w:t>
      </w:r>
      <w:bookmarkEnd w:id="72"/>
    </w:p>
    <w:p w14:paraId="12296360">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本合同在</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签订。</w:t>
      </w:r>
    </w:p>
    <w:p w14:paraId="3F361AE0">
      <w:pPr>
        <w:keepNext w:val="0"/>
        <w:keepLines w:val="0"/>
        <w:pageBreakBefore w:val="0"/>
        <w:kinsoku/>
        <w:wordWrap/>
        <w:overflowPunct/>
        <w:topLinePunct w:val="0"/>
        <w:bidi w:val="0"/>
        <w:spacing w:line="360" w:lineRule="exact"/>
        <w:ind w:left="0" w:leftChars="0" w:firstLine="422" w:firstLineChars="200"/>
        <w:textAlignment w:val="auto"/>
        <w:rPr>
          <w:rFonts w:hint="eastAsia" w:ascii="宋体" w:hAnsi="宋体" w:eastAsia="宋体" w:cs="宋体"/>
          <w:bCs/>
          <w:color w:val="auto"/>
          <w:sz w:val="21"/>
          <w:szCs w:val="21"/>
          <w:highlight w:val="none"/>
        </w:rPr>
      </w:pPr>
      <w:bookmarkStart w:id="73" w:name="_Toc351203491"/>
      <w:r>
        <w:rPr>
          <w:rFonts w:hint="eastAsia" w:ascii="宋体" w:hAnsi="宋体" w:eastAsia="宋体" w:cs="宋体"/>
          <w:b/>
          <w:color w:val="auto"/>
          <w:sz w:val="21"/>
          <w:szCs w:val="21"/>
          <w:highlight w:val="none"/>
        </w:rPr>
        <w:t>十一、补充协议</w:t>
      </w:r>
      <w:bookmarkEnd w:id="73"/>
    </w:p>
    <w:p w14:paraId="66180497">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合同未尽事宜，合同当事人另行签订补充协议，补充协议是合同的组成部分。</w:t>
      </w:r>
    </w:p>
    <w:p w14:paraId="21BB4BDD">
      <w:pPr>
        <w:keepNext w:val="0"/>
        <w:keepLines w:val="0"/>
        <w:pageBreakBefore w:val="0"/>
        <w:kinsoku/>
        <w:wordWrap/>
        <w:overflowPunct/>
        <w:topLinePunct w:val="0"/>
        <w:bidi w:val="0"/>
        <w:spacing w:line="360" w:lineRule="exact"/>
        <w:ind w:left="0" w:leftChars="0" w:firstLine="422" w:firstLineChars="200"/>
        <w:textAlignment w:val="auto"/>
        <w:rPr>
          <w:rFonts w:hint="eastAsia" w:ascii="宋体" w:hAnsi="宋体" w:eastAsia="宋体" w:cs="宋体"/>
          <w:b/>
          <w:color w:val="auto"/>
          <w:sz w:val="21"/>
          <w:szCs w:val="21"/>
          <w:highlight w:val="none"/>
        </w:rPr>
      </w:pPr>
      <w:bookmarkStart w:id="74" w:name="_Toc351203492"/>
      <w:r>
        <w:rPr>
          <w:rFonts w:hint="eastAsia" w:ascii="宋体" w:hAnsi="宋体" w:eastAsia="宋体" w:cs="宋体"/>
          <w:b/>
          <w:color w:val="auto"/>
          <w:sz w:val="21"/>
          <w:szCs w:val="21"/>
          <w:highlight w:val="none"/>
        </w:rPr>
        <w:t>十二、合同生效</w:t>
      </w:r>
      <w:bookmarkEnd w:id="74"/>
    </w:p>
    <w:p w14:paraId="05D7D0A3">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本合同自</w:t>
      </w:r>
      <w:r>
        <w:rPr>
          <w:rFonts w:hint="eastAsia" w:ascii="宋体" w:hAnsi="宋体" w:eastAsia="宋体" w:cs="宋体"/>
          <w:bCs/>
          <w:color w:val="auto"/>
          <w:sz w:val="21"/>
          <w:szCs w:val="21"/>
          <w:highlight w:val="none"/>
          <w:u w:val="single"/>
        </w:rPr>
        <w:t xml:space="preserve">      双方签字盖章后     </w:t>
      </w:r>
      <w:r>
        <w:rPr>
          <w:rFonts w:hint="eastAsia" w:ascii="宋体" w:hAnsi="宋体" w:eastAsia="宋体" w:cs="宋体"/>
          <w:bCs/>
          <w:color w:val="auto"/>
          <w:sz w:val="21"/>
          <w:szCs w:val="21"/>
          <w:highlight w:val="none"/>
        </w:rPr>
        <w:t>生效。</w:t>
      </w:r>
    </w:p>
    <w:p w14:paraId="350BFDB3">
      <w:pPr>
        <w:keepNext w:val="0"/>
        <w:keepLines w:val="0"/>
        <w:pageBreakBefore w:val="0"/>
        <w:kinsoku/>
        <w:wordWrap/>
        <w:overflowPunct/>
        <w:topLinePunct w:val="0"/>
        <w:bidi w:val="0"/>
        <w:spacing w:line="360" w:lineRule="exact"/>
        <w:ind w:left="0" w:leftChars="0" w:firstLine="422" w:firstLineChars="200"/>
        <w:textAlignment w:val="auto"/>
        <w:rPr>
          <w:rFonts w:hint="eastAsia" w:ascii="宋体" w:hAnsi="宋体" w:eastAsia="宋体" w:cs="宋体"/>
          <w:bCs/>
          <w:color w:val="auto"/>
          <w:sz w:val="21"/>
          <w:szCs w:val="21"/>
          <w:highlight w:val="none"/>
        </w:rPr>
      </w:pPr>
      <w:bookmarkStart w:id="75" w:name="_Toc351203493"/>
      <w:r>
        <w:rPr>
          <w:rFonts w:hint="eastAsia" w:ascii="宋体" w:hAnsi="宋体" w:eastAsia="宋体" w:cs="宋体"/>
          <w:b/>
          <w:color w:val="auto"/>
          <w:sz w:val="21"/>
          <w:szCs w:val="21"/>
          <w:highlight w:val="none"/>
        </w:rPr>
        <w:t>十三、合同份数</w:t>
      </w:r>
      <w:bookmarkEnd w:id="75"/>
    </w:p>
    <w:p w14:paraId="1A5573C2">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本合同一式</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份，均具有同等法律效力，发包人执</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份，承包人执</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w:t>
      </w:r>
    </w:p>
    <w:p w14:paraId="58B75B54">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发包人：  (公章)                   承包人：  (公章)                                 </w:t>
      </w:r>
    </w:p>
    <w:p w14:paraId="7DA04B79">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         法定代表人或其委托代理人：</w:t>
      </w:r>
    </w:p>
    <w:p w14:paraId="09F97A0A">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                           （签字）</w:t>
      </w:r>
    </w:p>
    <w:p w14:paraId="647FD68C">
      <w:pPr>
        <w:keepNext w:val="0"/>
        <w:keepLines w:val="0"/>
        <w:pageBreakBefore w:val="0"/>
        <w:tabs>
          <w:tab w:val="left" w:pos="4410"/>
        </w:tabs>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组织机构代码：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组织机构代码：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36F5D35D">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地  址：</w:t>
      </w:r>
      <w:r>
        <w:rPr>
          <w:rFonts w:hint="eastAsia" w:ascii="宋体" w:hAnsi="宋体" w:eastAsia="宋体" w:cs="宋体"/>
          <w:color w:val="auto"/>
          <w:sz w:val="21"/>
          <w:szCs w:val="21"/>
          <w:highlight w:val="none"/>
          <w:u w:val="single"/>
        </w:rPr>
        <w:t xml:space="preserve">                      </w:t>
      </w:r>
    </w:p>
    <w:p w14:paraId="69BE56D7">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p>
    <w:p w14:paraId="438887C9">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法定代表人：</w:t>
      </w:r>
      <w:r>
        <w:rPr>
          <w:rFonts w:hint="eastAsia" w:ascii="宋体" w:hAnsi="宋体" w:eastAsia="宋体" w:cs="宋体"/>
          <w:color w:val="auto"/>
          <w:sz w:val="21"/>
          <w:szCs w:val="21"/>
          <w:highlight w:val="none"/>
          <w:u w:val="single"/>
        </w:rPr>
        <w:t xml:space="preserve">                  </w:t>
      </w:r>
    </w:p>
    <w:p w14:paraId="71581E4C">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委托代理人：</w:t>
      </w:r>
      <w:r>
        <w:rPr>
          <w:rFonts w:hint="eastAsia" w:ascii="宋体" w:hAnsi="宋体" w:eastAsia="宋体" w:cs="宋体"/>
          <w:color w:val="auto"/>
          <w:sz w:val="21"/>
          <w:szCs w:val="21"/>
          <w:highlight w:val="none"/>
          <w:u w:val="single"/>
        </w:rPr>
        <w:t xml:space="preserve">                  </w:t>
      </w:r>
    </w:p>
    <w:p w14:paraId="39C60A5A">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  话：</w:t>
      </w:r>
      <w:r>
        <w:rPr>
          <w:rFonts w:hint="eastAsia" w:ascii="宋体" w:hAnsi="宋体" w:eastAsia="宋体" w:cs="宋体"/>
          <w:color w:val="auto"/>
          <w:sz w:val="21"/>
          <w:szCs w:val="21"/>
          <w:highlight w:val="none"/>
          <w:u w:val="single"/>
        </w:rPr>
        <w:t xml:space="preserve">                      </w:t>
      </w:r>
    </w:p>
    <w:p w14:paraId="54629971">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  真：</w:t>
      </w:r>
      <w:r>
        <w:rPr>
          <w:rFonts w:hint="eastAsia" w:ascii="宋体" w:hAnsi="宋体" w:eastAsia="宋体" w:cs="宋体"/>
          <w:color w:val="auto"/>
          <w:sz w:val="21"/>
          <w:szCs w:val="21"/>
          <w:highlight w:val="none"/>
          <w:u w:val="single"/>
        </w:rPr>
        <w:t xml:space="preserve">                      </w:t>
      </w:r>
    </w:p>
    <w:p w14:paraId="34960106">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电子信箱：</w:t>
      </w:r>
      <w:r>
        <w:rPr>
          <w:rFonts w:hint="eastAsia" w:ascii="宋体" w:hAnsi="宋体" w:eastAsia="宋体" w:cs="宋体"/>
          <w:color w:val="auto"/>
          <w:sz w:val="21"/>
          <w:szCs w:val="21"/>
          <w:highlight w:val="none"/>
          <w:u w:val="single"/>
        </w:rPr>
        <w:t xml:space="preserve">                    </w:t>
      </w:r>
    </w:p>
    <w:p w14:paraId="69EB4490">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rPr>
        <w:t xml:space="preserve">                    </w:t>
      </w:r>
    </w:p>
    <w:p w14:paraId="0E4A6FE2">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账  号：</w:t>
      </w:r>
      <w:r>
        <w:rPr>
          <w:rFonts w:hint="eastAsia" w:ascii="宋体" w:hAnsi="宋体" w:eastAsia="宋体" w:cs="宋体"/>
          <w:color w:val="auto"/>
          <w:sz w:val="21"/>
          <w:szCs w:val="21"/>
          <w:highlight w:val="none"/>
          <w:u w:val="single"/>
        </w:rPr>
        <w:t xml:space="preserve">                     </w:t>
      </w:r>
    </w:p>
    <w:p w14:paraId="7E36DC43">
      <w:pPr>
        <w:pStyle w:val="2"/>
        <w:keepLines w:val="0"/>
        <w:pageBreakBefore w:val="0"/>
        <w:kinsoku/>
        <w:wordWrap/>
        <w:overflowPunct/>
        <w:topLinePunct w:val="0"/>
        <w:bidi w:val="0"/>
        <w:spacing w:line="360" w:lineRule="exact"/>
        <w:ind w:left="0" w:leftChars="0" w:firstLine="422" w:firstLineChars="200"/>
        <w:jc w:val="both"/>
        <w:textAlignment w:val="auto"/>
        <w:outlineLvl w:val="9"/>
        <w:rPr>
          <w:rFonts w:hint="eastAsia" w:ascii="宋体" w:hAnsi="宋体" w:eastAsia="宋体" w:cs="宋体"/>
          <w:b/>
          <w:bCs/>
          <w:color w:val="auto"/>
          <w:sz w:val="21"/>
          <w:szCs w:val="21"/>
          <w:lang w:val="zh-CN"/>
        </w:rPr>
      </w:pPr>
    </w:p>
    <w:p w14:paraId="1052EC8A">
      <w:pPr>
        <w:pStyle w:val="16"/>
        <w:keepLines w:val="0"/>
        <w:pageBreakBefore w:val="0"/>
        <w:kinsoku/>
        <w:wordWrap/>
        <w:overflowPunct/>
        <w:topLinePunct w:val="0"/>
        <w:bidi w:val="0"/>
        <w:spacing w:line="360" w:lineRule="exact"/>
        <w:textAlignment w:val="auto"/>
        <w:rPr>
          <w:rFonts w:hint="eastAsia" w:ascii="宋体" w:hAnsi="宋体" w:eastAsia="宋体" w:cs="宋体"/>
          <w:b/>
          <w:bCs/>
          <w:color w:val="auto"/>
          <w:sz w:val="21"/>
          <w:szCs w:val="21"/>
          <w:lang w:val="zh-CN"/>
        </w:rPr>
      </w:pPr>
    </w:p>
    <w:p w14:paraId="32A52723">
      <w:pPr>
        <w:keepNext w:val="0"/>
        <w:keepLines w:val="0"/>
        <w:pageBreakBefore w:val="0"/>
        <w:kinsoku/>
        <w:wordWrap/>
        <w:overflowPunct/>
        <w:topLinePunct w:val="0"/>
        <w:bidi w:val="0"/>
        <w:spacing w:line="360" w:lineRule="exact"/>
        <w:ind w:left="0" w:leftChars="0" w:firstLine="422" w:firstLineChars="200"/>
        <w:jc w:val="center"/>
        <w:textAlignment w:val="auto"/>
        <w:outlineLvl w:val="1"/>
        <w:rPr>
          <w:rFonts w:hint="eastAsia" w:ascii="宋体" w:hAnsi="宋体" w:eastAsia="宋体" w:cs="宋体"/>
          <w:bCs/>
          <w:color w:val="auto"/>
          <w:kern w:val="0"/>
          <w:sz w:val="21"/>
          <w:szCs w:val="21"/>
          <w:highlight w:val="none"/>
        </w:rPr>
      </w:pPr>
      <w:bookmarkStart w:id="76" w:name="_Toc9221"/>
      <w:bookmarkStart w:id="77" w:name="_Toc23063"/>
      <w:r>
        <w:rPr>
          <w:rFonts w:hint="eastAsia" w:ascii="宋体" w:hAnsi="宋体" w:eastAsia="宋体" w:cs="宋体"/>
          <w:b/>
          <w:bCs w:val="0"/>
          <w:color w:val="auto"/>
          <w:kern w:val="0"/>
          <w:sz w:val="21"/>
          <w:szCs w:val="21"/>
          <w:highlight w:val="none"/>
          <w:lang w:val="en-US" w:eastAsia="zh-CN"/>
        </w:rPr>
        <w:t>第二节  通用合同条款</w:t>
      </w:r>
      <w:bookmarkEnd w:id="76"/>
      <w:bookmarkEnd w:id="77"/>
    </w:p>
    <w:p w14:paraId="5B661826">
      <w:pPr>
        <w:keepNext w:val="0"/>
        <w:keepLines w:val="0"/>
        <w:pageBreakBefore w:val="0"/>
        <w:kinsoku/>
        <w:wordWrap/>
        <w:overflowPunct/>
        <w:topLinePunct w:val="0"/>
        <w:bidi w:val="0"/>
        <w:spacing w:line="360" w:lineRule="exact"/>
        <w:ind w:left="0" w:leftChars="0" w:firstLine="420" w:firstLineChars="200"/>
        <w:jc w:val="center"/>
        <w:textAlignment w:val="auto"/>
        <w:rPr>
          <w:rFonts w:hint="eastAsia" w:ascii="宋体" w:hAnsi="宋体" w:eastAsia="宋体" w:cs="宋体"/>
          <w:color w:val="auto"/>
          <w:kern w:val="0"/>
          <w:sz w:val="21"/>
          <w:szCs w:val="21"/>
          <w:highlight w:val="none"/>
        </w:rPr>
      </w:pPr>
    </w:p>
    <w:p w14:paraId="2904E0EC">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详见（GF—2017—0201）建设工程施工合同示范文本通用合同条款</w:t>
      </w:r>
    </w:p>
    <w:p w14:paraId="54CB91B3">
      <w:pPr>
        <w:keepLines w:val="0"/>
        <w:pageBreakBefore w:val="0"/>
        <w:kinsoku/>
        <w:wordWrap/>
        <w:overflowPunct/>
        <w:topLinePunct w:val="0"/>
        <w:bidi w:val="0"/>
        <w:spacing w:line="360" w:lineRule="exact"/>
        <w:ind w:left="0" w:leftChars="0" w:firstLine="422" w:firstLineChars="200"/>
        <w:textAlignment w:val="auto"/>
        <w:rPr>
          <w:rFonts w:hint="eastAsia" w:ascii="宋体" w:hAnsi="宋体" w:eastAsia="宋体" w:cs="宋体"/>
          <w:b/>
          <w:bCs/>
          <w:color w:val="auto"/>
          <w:sz w:val="21"/>
          <w:szCs w:val="21"/>
          <w:lang w:val="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linePitch="312" w:charSpace="0"/>
        </w:sectPr>
      </w:pPr>
    </w:p>
    <w:p w14:paraId="2FAA4FF8">
      <w:pPr>
        <w:keepNext w:val="0"/>
        <w:keepLines w:val="0"/>
        <w:pageBreakBefore w:val="0"/>
        <w:kinsoku/>
        <w:wordWrap/>
        <w:overflowPunct/>
        <w:topLinePunct w:val="0"/>
        <w:bidi w:val="0"/>
        <w:spacing w:line="360" w:lineRule="exact"/>
        <w:ind w:left="0" w:leftChars="0" w:firstLine="422" w:firstLineChars="200"/>
        <w:jc w:val="center"/>
        <w:textAlignment w:val="auto"/>
        <w:outlineLvl w:val="1"/>
        <w:rPr>
          <w:rFonts w:hint="eastAsia" w:ascii="宋体" w:hAnsi="宋体" w:eastAsia="宋体" w:cs="宋体"/>
          <w:bCs/>
          <w:color w:val="auto"/>
          <w:kern w:val="0"/>
          <w:sz w:val="21"/>
          <w:szCs w:val="21"/>
          <w:highlight w:val="none"/>
        </w:rPr>
      </w:pPr>
      <w:bookmarkStart w:id="78" w:name="_Toc30167"/>
      <w:bookmarkStart w:id="79" w:name="_Toc10129"/>
      <w:r>
        <w:rPr>
          <w:rFonts w:hint="eastAsia" w:ascii="宋体" w:hAnsi="宋体" w:eastAsia="宋体" w:cs="宋体"/>
          <w:b/>
          <w:bCs w:val="0"/>
          <w:color w:val="auto"/>
          <w:kern w:val="0"/>
          <w:sz w:val="21"/>
          <w:szCs w:val="21"/>
          <w:highlight w:val="none"/>
          <w:lang w:val="en-US" w:eastAsia="zh-CN"/>
        </w:rPr>
        <w:t>第三节   专用合同条款</w:t>
      </w:r>
      <w:bookmarkEnd w:id="78"/>
      <w:bookmarkEnd w:id="79"/>
    </w:p>
    <w:p w14:paraId="3A4EA87E">
      <w:pPr>
        <w:keepNext w:val="0"/>
        <w:keepLines w:val="0"/>
        <w:pageBreakBefore w:val="0"/>
        <w:kinsoku/>
        <w:wordWrap/>
        <w:overflowPunct/>
        <w:topLinePunct w:val="0"/>
        <w:bidi w:val="0"/>
        <w:spacing w:line="360" w:lineRule="exact"/>
        <w:ind w:left="0" w:leftChars="0" w:firstLine="422" w:firstLineChars="200"/>
        <w:textAlignment w:val="auto"/>
        <w:rPr>
          <w:rFonts w:hint="eastAsia" w:ascii="宋体" w:hAnsi="宋体" w:eastAsia="宋体" w:cs="宋体"/>
          <w:b/>
          <w:bCs/>
          <w:color w:val="auto"/>
          <w:sz w:val="21"/>
          <w:szCs w:val="21"/>
          <w:highlight w:val="none"/>
        </w:rPr>
      </w:pPr>
      <w:bookmarkStart w:id="80" w:name="_Toc351203633"/>
      <w:r>
        <w:rPr>
          <w:rFonts w:hint="eastAsia" w:ascii="宋体" w:hAnsi="宋体" w:eastAsia="宋体" w:cs="宋体"/>
          <w:b/>
          <w:bCs/>
          <w:color w:val="auto"/>
          <w:sz w:val="21"/>
          <w:szCs w:val="21"/>
          <w:highlight w:val="none"/>
        </w:rPr>
        <w:t>1</w:t>
      </w:r>
      <w:bookmarkStart w:id="81" w:name="_Toc296346657"/>
      <w:bookmarkStart w:id="82" w:name="_Toc292559866"/>
      <w:bookmarkStart w:id="83" w:name="_Toc296944495"/>
      <w:bookmarkStart w:id="84" w:name="_Toc296891196"/>
      <w:bookmarkStart w:id="85" w:name="_Toc296890984"/>
      <w:bookmarkStart w:id="86" w:name="_Toc296347155"/>
      <w:bookmarkStart w:id="87" w:name="_Toc296503156"/>
      <w:bookmarkStart w:id="88" w:name="_Toc297048342"/>
      <w:bookmarkStart w:id="89" w:name="_Toc297120456"/>
      <w:bookmarkStart w:id="90" w:name="_Toc292559361"/>
      <w:r>
        <w:rPr>
          <w:rFonts w:hint="eastAsia" w:ascii="宋体" w:hAnsi="宋体" w:eastAsia="宋体" w:cs="宋体"/>
          <w:b/>
          <w:bCs/>
          <w:color w:val="auto"/>
          <w:sz w:val="21"/>
          <w:szCs w:val="21"/>
          <w:highlight w:val="none"/>
        </w:rPr>
        <w:t>.一般约定</w:t>
      </w:r>
      <w:bookmarkEnd w:id="80"/>
    </w:p>
    <w:bookmarkEnd w:id="81"/>
    <w:bookmarkEnd w:id="82"/>
    <w:bookmarkEnd w:id="83"/>
    <w:bookmarkEnd w:id="84"/>
    <w:bookmarkEnd w:id="85"/>
    <w:bookmarkEnd w:id="86"/>
    <w:bookmarkEnd w:id="87"/>
    <w:bookmarkEnd w:id="88"/>
    <w:bookmarkEnd w:id="89"/>
    <w:bookmarkEnd w:id="90"/>
    <w:p w14:paraId="394DEA7F">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词语定义</w:t>
      </w:r>
    </w:p>
    <w:p w14:paraId="73358BD3">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1.1.1合同</w:t>
      </w:r>
    </w:p>
    <w:p w14:paraId="79C63199">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1.1.1.10其他合同文件包括：</w:t>
      </w:r>
      <w:r>
        <w:rPr>
          <w:rFonts w:hint="eastAsia" w:ascii="宋体" w:hAnsi="宋体" w:eastAsia="宋体" w:cs="宋体"/>
          <w:color w:val="auto"/>
          <w:sz w:val="21"/>
          <w:szCs w:val="21"/>
          <w:highlight w:val="none"/>
          <w:u w:val="single"/>
        </w:rPr>
        <w:t>1、合同签署及履行中承发包双方之间澄清、洽商、变更等明确双方权利义务的纪要、补充协议2、本合同协议书3、中标通知书4、本合同专用条款5、本合同通用条款6、施工</w:t>
      </w:r>
      <w:r>
        <w:rPr>
          <w:rFonts w:hint="eastAsia" w:ascii="宋体" w:hAnsi="宋体" w:eastAsia="宋体" w:cs="宋体"/>
          <w:color w:val="auto"/>
          <w:sz w:val="21"/>
          <w:szCs w:val="21"/>
          <w:highlight w:val="none"/>
          <w:u w:val="single"/>
          <w:lang w:eastAsia="zh-CN"/>
        </w:rPr>
        <w:t>竞争性磋商文件</w:t>
      </w:r>
      <w:r>
        <w:rPr>
          <w:rFonts w:hint="eastAsia" w:ascii="宋体" w:hAnsi="宋体" w:eastAsia="宋体" w:cs="宋体"/>
          <w:color w:val="auto"/>
          <w:sz w:val="21"/>
          <w:szCs w:val="21"/>
          <w:highlight w:val="none"/>
          <w:u w:val="single"/>
        </w:rPr>
        <w:t>及附件7、标准、规范及有关技术文件 8、施工投标文件及附件9、工程量清单10、工程报价单或预算书。</w:t>
      </w:r>
    </w:p>
    <w:p w14:paraId="4E6E4D37">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工程和设备</w:t>
      </w:r>
    </w:p>
    <w:p w14:paraId="01E8EB6F">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1.1.3.7 作为施工现场组成部分的其他场所包括：</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107C9D66">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1.1.3.9 永久占地包括：</w:t>
      </w:r>
      <w:r>
        <w:rPr>
          <w:rFonts w:hint="eastAsia" w:ascii="宋体" w:hAnsi="宋体" w:eastAsia="宋体" w:cs="宋体"/>
          <w:color w:val="auto"/>
          <w:sz w:val="21"/>
          <w:szCs w:val="21"/>
          <w:highlight w:val="none"/>
          <w:u w:val="single"/>
        </w:rPr>
        <w:t xml:space="preserve">          用地红线内             </w:t>
      </w:r>
      <w:r>
        <w:rPr>
          <w:rFonts w:hint="eastAsia" w:ascii="宋体" w:hAnsi="宋体" w:eastAsia="宋体" w:cs="宋体"/>
          <w:color w:val="auto"/>
          <w:kern w:val="0"/>
          <w:sz w:val="21"/>
          <w:szCs w:val="21"/>
          <w:highlight w:val="none"/>
        </w:rPr>
        <w:t>。</w:t>
      </w:r>
    </w:p>
    <w:p w14:paraId="1BFE5B49">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1.1.3.10 临时占地包括：</w:t>
      </w:r>
      <w:r>
        <w:rPr>
          <w:rFonts w:hint="eastAsia" w:ascii="宋体" w:hAnsi="宋体" w:eastAsia="宋体" w:cs="宋体"/>
          <w:color w:val="auto"/>
          <w:sz w:val="21"/>
          <w:szCs w:val="21"/>
          <w:highlight w:val="none"/>
          <w:u w:val="single"/>
        </w:rPr>
        <w:t xml:space="preserve"> 施工过程中的临时用房，生产用地等</w:t>
      </w:r>
      <w:r>
        <w:rPr>
          <w:rFonts w:hint="eastAsia" w:ascii="宋体" w:hAnsi="宋体" w:eastAsia="宋体" w:cs="宋体"/>
          <w:color w:val="auto"/>
          <w:kern w:val="0"/>
          <w:sz w:val="21"/>
          <w:szCs w:val="21"/>
          <w:highlight w:val="none"/>
        </w:rPr>
        <w:t>。</w:t>
      </w:r>
    </w:p>
    <w:p w14:paraId="1D626600">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1.3法律 </w:t>
      </w:r>
    </w:p>
    <w:p w14:paraId="15602075">
      <w:pPr>
        <w:keepNext w:val="0"/>
        <w:keepLines w:val="0"/>
        <w:pageBreakBefore w:val="0"/>
        <w:kinsoku/>
        <w:wordWrap/>
        <w:overflowPunct/>
        <w:topLinePunct w:val="0"/>
        <w:autoSpaceDE w:val="0"/>
        <w:autoSpaceDN w:val="0"/>
        <w:bidi w:val="0"/>
        <w:adjustRightInd w:val="0"/>
        <w:spacing w:line="360" w:lineRule="exact"/>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适用于合同的其他规范性文件：</w:t>
      </w:r>
      <w:r>
        <w:rPr>
          <w:rFonts w:hint="eastAsia" w:ascii="宋体" w:hAnsi="宋体" w:eastAsia="宋体" w:cs="宋体"/>
          <w:color w:val="auto"/>
          <w:sz w:val="21"/>
          <w:szCs w:val="21"/>
          <w:highlight w:val="none"/>
          <w:u w:val="single"/>
        </w:rPr>
        <w:t>《中华人民共和国建筑法》、《中华人民共和国民法典》、《中华人民共和国政府采购法》、国务院《建设工程质量管理条例》、国务院《建设工程安全生产管理条例》、建设部《房屋建筑工程和市政基础设施工程竣工验收备案管理暂行办法》、建设部《房屋建筑工程质量保修办法》、《陕西省建设工程工程量清单计价规则》（20</w:t>
      </w:r>
      <w:r>
        <w:rPr>
          <w:rFonts w:hint="eastAsia" w:ascii="宋体" w:hAnsi="宋体" w:cs="宋体"/>
          <w:color w:val="auto"/>
          <w:sz w:val="21"/>
          <w:szCs w:val="21"/>
          <w:highlight w:val="none"/>
          <w:u w:val="single"/>
          <w:lang w:val="en-US" w:eastAsia="zh-CN"/>
        </w:rPr>
        <w:t>25</w:t>
      </w:r>
      <w:r>
        <w:rPr>
          <w:rFonts w:hint="eastAsia" w:ascii="宋体" w:hAnsi="宋体" w:eastAsia="宋体" w:cs="宋体"/>
          <w:color w:val="auto"/>
          <w:sz w:val="21"/>
          <w:szCs w:val="21"/>
          <w:highlight w:val="none"/>
          <w:u w:val="single"/>
        </w:rPr>
        <w:t>版）、中华人民共和国《工程建设标准强制性条文》、现行《建筑工程质量验收统一标准》、《建筑工程施工及验收规范》等国家、部门及地方现行及后续的有关法律、法规、规章、规范性文件等</w:t>
      </w:r>
      <w:r>
        <w:rPr>
          <w:rFonts w:hint="eastAsia" w:ascii="宋体" w:hAnsi="宋体" w:eastAsia="宋体" w:cs="宋体"/>
          <w:color w:val="auto"/>
          <w:sz w:val="21"/>
          <w:szCs w:val="21"/>
          <w:highlight w:val="none"/>
        </w:rPr>
        <w:t>。</w:t>
      </w:r>
    </w:p>
    <w:p w14:paraId="23C38F2F">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 标准和规范</w:t>
      </w:r>
    </w:p>
    <w:p w14:paraId="4F228100">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1.4.1适用于工程的标准规范包括：</w:t>
      </w:r>
      <w:r>
        <w:rPr>
          <w:rFonts w:hint="eastAsia" w:ascii="宋体" w:hAnsi="宋体" w:eastAsia="宋体" w:cs="宋体"/>
          <w:color w:val="auto"/>
          <w:sz w:val="21"/>
          <w:szCs w:val="21"/>
          <w:highlight w:val="none"/>
          <w:u w:val="single"/>
        </w:rPr>
        <w:t>执行国家现行的技术标准、施工验收规范及质量检验评定标准，以及材料、设备所涉及的现行国家、省、市或行业的工程建设标准、规范的要求</w:t>
      </w:r>
      <w:r>
        <w:rPr>
          <w:rFonts w:hint="eastAsia" w:ascii="宋体" w:hAnsi="宋体" w:eastAsia="宋体" w:cs="宋体"/>
          <w:color w:val="auto"/>
          <w:sz w:val="21"/>
          <w:szCs w:val="21"/>
          <w:highlight w:val="none"/>
        </w:rPr>
        <w:t>。</w:t>
      </w:r>
    </w:p>
    <w:p w14:paraId="0C02784E">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 合同文件的优先顺序</w:t>
      </w:r>
    </w:p>
    <w:p w14:paraId="6B11E2CE">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合同文件组成及优先顺序为：</w:t>
      </w:r>
      <w:r>
        <w:rPr>
          <w:rFonts w:hint="eastAsia" w:ascii="宋体" w:hAnsi="宋体" w:eastAsia="宋体" w:cs="宋体"/>
          <w:color w:val="auto"/>
          <w:sz w:val="21"/>
          <w:szCs w:val="21"/>
          <w:highlight w:val="none"/>
          <w:u w:val="single"/>
        </w:rPr>
        <w:t>1、合同签署及履行中承发包双方之间澄清、洽商、变更等明确双方权利义务的纪要、补充协议2、本合同协议书3、中标通知书4、本合同专用条款及其附件5、本合同通用条款6、施工</w:t>
      </w:r>
      <w:r>
        <w:rPr>
          <w:rFonts w:hint="eastAsia" w:ascii="宋体" w:hAnsi="宋体" w:eastAsia="宋体" w:cs="宋体"/>
          <w:color w:val="auto"/>
          <w:sz w:val="21"/>
          <w:szCs w:val="21"/>
          <w:highlight w:val="none"/>
          <w:u w:val="single"/>
          <w:lang w:eastAsia="zh-CN"/>
        </w:rPr>
        <w:t>竞争性磋商文件</w:t>
      </w:r>
      <w:r>
        <w:rPr>
          <w:rFonts w:hint="eastAsia" w:ascii="宋体" w:hAnsi="宋体" w:eastAsia="宋体" w:cs="宋体"/>
          <w:color w:val="auto"/>
          <w:sz w:val="21"/>
          <w:szCs w:val="21"/>
          <w:highlight w:val="none"/>
          <w:u w:val="single"/>
        </w:rPr>
        <w:t>及附件7、标准、规范及有关技术文件8、施工投标文件及附件9、工程量清单10、工程报价单或预算书，以及其他合同文件</w:t>
      </w:r>
      <w:r>
        <w:rPr>
          <w:rFonts w:hint="eastAsia" w:ascii="宋体" w:hAnsi="宋体" w:eastAsia="宋体" w:cs="宋体"/>
          <w:color w:val="auto"/>
          <w:sz w:val="21"/>
          <w:szCs w:val="21"/>
          <w:highlight w:val="none"/>
        </w:rPr>
        <w:t>。</w:t>
      </w:r>
    </w:p>
    <w:p w14:paraId="2F1138E8">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 图纸和承包人文件</w:t>
      </w:r>
      <w:r>
        <w:rPr>
          <w:rFonts w:hint="eastAsia" w:ascii="宋体" w:hAnsi="宋体" w:eastAsia="宋体" w:cs="宋体"/>
          <w:color w:val="auto"/>
          <w:sz w:val="21"/>
          <w:szCs w:val="21"/>
          <w:highlight w:val="none"/>
        </w:rPr>
        <w:tab/>
      </w:r>
    </w:p>
    <w:p w14:paraId="2A2DE5FC">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1.6.1 图纸的提供：</w:t>
      </w:r>
    </w:p>
    <w:p w14:paraId="79C4CA82">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发包人向承包人提供图纸的期限：</w:t>
      </w:r>
      <w:r>
        <w:rPr>
          <w:rFonts w:hint="eastAsia" w:ascii="宋体" w:hAnsi="宋体" w:eastAsia="宋体" w:cs="宋体"/>
          <w:color w:val="auto"/>
          <w:sz w:val="21"/>
          <w:szCs w:val="21"/>
          <w:highlight w:val="none"/>
          <w:u w:val="single"/>
        </w:rPr>
        <w:t>在合同签订后5日内；</w:t>
      </w:r>
    </w:p>
    <w:p w14:paraId="09E91769">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发包人向承包人提供图纸的数量：</w:t>
      </w:r>
      <w:r>
        <w:rPr>
          <w:rFonts w:hint="eastAsia" w:ascii="宋体" w:hAnsi="宋体" w:eastAsia="宋体" w:cs="宋体"/>
          <w:color w:val="auto"/>
          <w:sz w:val="21"/>
          <w:szCs w:val="21"/>
          <w:highlight w:val="none"/>
          <w:u w:val="single"/>
        </w:rPr>
        <w:t>四套，标准图由承包人自备；</w:t>
      </w:r>
    </w:p>
    <w:p w14:paraId="14BB93B0">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发包人向承包人提供图纸的内容：</w:t>
      </w:r>
      <w:r>
        <w:rPr>
          <w:rFonts w:hint="eastAsia" w:ascii="宋体" w:hAnsi="宋体" w:eastAsia="宋体" w:cs="宋体"/>
          <w:color w:val="auto"/>
          <w:sz w:val="21"/>
          <w:szCs w:val="21"/>
          <w:highlight w:val="none"/>
          <w:u w:val="single"/>
        </w:rPr>
        <w:t>施工图（包括水、电、暖、结构、建筑等）。</w:t>
      </w:r>
    </w:p>
    <w:p w14:paraId="222F6431">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 承包人文件</w:t>
      </w:r>
    </w:p>
    <w:p w14:paraId="15445477">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需要由承包人提供的文件，包括：</w:t>
      </w:r>
      <w:r>
        <w:rPr>
          <w:rFonts w:hint="eastAsia" w:ascii="宋体" w:hAnsi="宋体" w:eastAsia="宋体" w:cs="宋体"/>
          <w:color w:val="auto"/>
          <w:sz w:val="21"/>
          <w:szCs w:val="21"/>
          <w:highlight w:val="none"/>
          <w:u w:val="single"/>
        </w:rPr>
        <w:t xml:space="preserve">施工组织设计（施工方案）、工期进度计划、安全文明施工措施、人员安排等 </w:t>
      </w:r>
      <w:r>
        <w:rPr>
          <w:rFonts w:hint="eastAsia" w:ascii="宋体" w:hAnsi="宋体" w:eastAsia="宋体" w:cs="宋体"/>
          <w:color w:val="auto"/>
          <w:sz w:val="21"/>
          <w:szCs w:val="21"/>
          <w:highlight w:val="none"/>
        </w:rPr>
        <w:t>；</w:t>
      </w:r>
    </w:p>
    <w:p w14:paraId="4B49B1DB">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承包人提供的文件的期限为：</w:t>
      </w:r>
      <w:r>
        <w:rPr>
          <w:rFonts w:hint="eastAsia" w:ascii="宋体" w:hAnsi="宋体" w:eastAsia="宋体" w:cs="宋体"/>
          <w:color w:val="auto"/>
          <w:sz w:val="21"/>
          <w:szCs w:val="21"/>
          <w:highlight w:val="none"/>
          <w:u w:val="single"/>
        </w:rPr>
        <w:t xml:space="preserve">开工前5日内 </w:t>
      </w:r>
      <w:r>
        <w:rPr>
          <w:rFonts w:hint="eastAsia" w:ascii="宋体" w:hAnsi="宋体" w:eastAsia="宋体" w:cs="宋体"/>
          <w:color w:val="auto"/>
          <w:sz w:val="21"/>
          <w:szCs w:val="21"/>
          <w:highlight w:val="none"/>
        </w:rPr>
        <w:t>；</w:t>
      </w:r>
    </w:p>
    <w:p w14:paraId="7D05448F">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承包人提供的文件的数量为：</w:t>
      </w:r>
      <w:r>
        <w:rPr>
          <w:rFonts w:hint="eastAsia" w:ascii="宋体" w:hAnsi="宋体" w:eastAsia="宋体" w:cs="宋体"/>
          <w:color w:val="auto"/>
          <w:sz w:val="21"/>
          <w:szCs w:val="21"/>
          <w:highlight w:val="none"/>
          <w:u w:val="single"/>
        </w:rPr>
        <w:t xml:space="preserve">不少于5份   </w:t>
      </w:r>
      <w:r>
        <w:rPr>
          <w:rFonts w:hint="eastAsia" w:ascii="宋体" w:hAnsi="宋体" w:eastAsia="宋体" w:cs="宋体"/>
          <w:color w:val="auto"/>
          <w:sz w:val="21"/>
          <w:szCs w:val="21"/>
          <w:highlight w:val="none"/>
        </w:rPr>
        <w:t>；</w:t>
      </w:r>
    </w:p>
    <w:p w14:paraId="74E9BE65">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承包人提供的文件的形式为：</w:t>
      </w:r>
      <w:r>
        <w:rPr>
          <w:rFonts w:hint="eastAsia" w:ascii="宋体" w:hAnsi="宋体" w:eastAsia="宋体" w:cs="宋体"/>
          <w:color w:val="auto"/>
          <w:sz w:val="21"/>
          <w:szCs w:val="21"/>
          <w:highlight w:val="none"/>
          <w:u w:val="single"/>
        </w:rPr>
        <w:t xml:space="preserve">纸质文件   </w:t>
      </w:r>
      <w:r>
        <w:rPr>
          <w:rFonts w:hint="eastAsia" w:ascii="宋体" w:hAnsi="宋体" w:eastAsia="宋体" w:cs="宋体"/>
          <w:color w:val="auto"/>
          <w:sz w:val="21"/>
          <w:szCs w:val="21"/>
          <w:highlight w:val="none"/>
        </w:rPr>
        <w:t>；</w:t>
      </w:r>
    </w:p>
    <w:p w14:paraId="53E632F1">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发包人审批承包人文件的期限：</w:t>
      </w:r>
      <w:r>
        <w:rPr>
          <w:rFonts w:hint="eastAsia" w:ascii="宋体" w:hAnsi="宋体" w:eastAsia="宋体" w:cs="宋体"/>
          <w:color w:val="auto"/>
          <w:sz w:val="21"/>
          <w:szCs w:val="21"/>
          <w:highlight w:val="none"/>
          <w:u w:val="single"/>
        </w:rPr>
        <w:t>接到承包人文件后7日内</w:t>
      </w:r>
      <w:r>
        <w:rPr>
          <w:rFonts w:hint="eastAsia" w:ascii="宋体" w:hAnsi="宋体" w:eastAsia="宋体" w:cs="宋体"/>
          <w:color w:val="auto"/>
          <w:sz w:val="21"/>
          <w:szCs w:val="21"/>
          <w:highlight w:val="none"/>
        </w:rPr>
        <w:t>。</w:t>
      </w:r>
    </w:p>
    <w:p w14:paraId="7101696D">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 现场图纸准备</w:t>
      </w:r>
    </w:p>
    <w:p w14:paraId="522E5A28">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关于现场图纸准备的约定：</w:t>
      </w:r>
      <w:r>
        <w:rPr>
          <w:rFonts w:hint="eastAsia" w:ascii="宋体" w:hAnsi="宋体" w:eastAsia="宋体" w:cs="宋体"/>
          <w:color w:val="auto"/>
          <w:sz w:val="21"/>
          <w:szCs w:val="21"/>
          <w:highlight w:val="none"/>
          <w:u w:val="single"/>
        </w:rPr>
        <w:t>执行通用条款。</w:t>
      </w:r>
    </w:p>
    <w:p w14:paraId="2A0ED7C4">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 联络</w:t>
      </w:r>
    </w:p>
    <w:p w14:paraId="41B20E59">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1.7.1发包人和承包人应当在</w:t>
      </w:r>
      <w:r>
        <w:rPr>
          <w:rFonts w:hint="eastAsia" w:ascii="宋体" w:hAnsi="宋体" w:eastAsia="宋体" w:cs="宋体"/>
          <w:color w:val="auto"/>
          <w:sz w:val="21"/>
          <w:szCs w:val="21"/>
          <w:highlight w:val="none"/>
          <w:u w:val="single"/>
        </w:rPr>
        <w:t>7</w:t>
      </w:r>
      <w:r>
        <w:rPr>
          <w:rFonts w:hint="eastAsia" w:ascii="宋体" w:hAnsi="宋体" w:eastAsia="宋体" w:cs="宋体"/>
          <w:color w:val="auto"/>
          <w:kern w:val="0"/>
          <w:sz w:val="21"/>
          <w:szCs w:val="21"/>
          <w:highlight w:val="none"/>
        </w:rPr>
        <w:t>天内将与合同有关的通知、批准、证明、证书、指示、指令、要求、请求、同意、意见、确定和决定等书面函件送达对方当事人。</w:t>
      </w:r>
    </w:p>
    <w:p w14:paraId="66FDDB56">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 交通运输</w:t>
      </w:r>
    </w:p>
    <w:p w14:paraId="63504788">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91" w:name="_Toc300934943"/>
      <w:bookmarkStart w:id="92" w:name="_Toc303539100"/>
      <w:bookmarkStart w:id="93" w:name="_Toc318581155"/>
      <w:bookmarkStart w:id="94" w:name="_Toc304295521"/>
      <w:bookmarkStart w:id="95" w:name="_Toc312677986"/>
      <w:r>
        <w:rPr>
          <w:rFonts w:hint="eastAsia" w:ascii="宋体" w:hAnsi="宋体" w:eastAsia="宋体" w:cs="宋体"/>
          <w:color w:val="auto"/>
          <w:sz w:val="21"/>
          <w:szCs w:val="21"/>
          <w:highlight w:val="none"/>
        </w:rPr>
        <w:t>.10.1 出入现场的权利</w:t>
      </w:r>
    </w:p>
    <w:p w14:paraId="0872E00C">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关于出入现场的权利的约定：承包人负责现场管理，</w:t>
      </w:r>
      <w:r>
        <w:rPr>
          <w:rFonts w:hint="eastAsia" w:ascii="宋体" w:hAnsi="宋体" w:eastAsia="宋体" w:cs="宋体"/>
          <w:color w:val="auto"/>
          <w:kern w:val="0"/>
          <w:sz w:val="21"/>
          <w:szCs w:val="21"/>
          <w:highlight w:val="none"/>
          <w:u w:val="single"/>
        </w:rPr>
        <w:t>发包人遵守承包人现场管理的规定。</w:t>
      </w:r>
    </w:p>
    <w:bookmarkEnd w:id="91"/>
    <w:bookmarkEnd w:id="92"/>
    <w:bookmarkEnd w:id="93"/>
    <w:bookmarkEnd w:id="94"/>
    <w:bookmarkEnd w:id="95"/>
    <w:p w14:paraId="75B20B7E">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96" w:name="_Toc300934944"/>
      <w:bookmarkStart w:id="97" w:name="_Toc312677987"/>
      <w:bookmarkStart w:id="98" w:name="_Toc318581156"/>
      <w:bookmarkStart w:id="99" w:name="_Toc303539101"/>
      <w:bookmarkStart w:id="100" w:name="_Toc304295522"/>
      <w:r>
        <w:rPr>
          <w:rFonts w:hint="eastAsia" w:ascii="宋体" w:hAnsi="宋体" w:eastAsia="宋体" w:cs="宋体"/>
          <w:color w:val="auto"/>
          <w:sz w:val="21"/>
          <w:szCs w:val="21"/>
          <w:highlight w:val="none"/>
        </w:rPr>
        <w:t>.10.3 场内交通</w:t>
      </w:r>
    </w:p>
    <w:p w14:paraId="18A92958">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关于场外交通和场内交通的边界的约定：</w:t>
      </w:r>
      <w:r>
        <w:rPr>
          <w:rFonts w:hint="eastAsia" w:ascii="宋体" w:hAnsi="宋体" w:eastAsia="宋体" w:cs="宋体"/>
          <w:color w:val="auto"/>
          <w:sz w:val="21"/>
          <w:szCs w:val="21"/>
          <w:highlight w:val="none"/>
          <w:u w:val="single"/>
        </w:rPr>
        <w:t>施工围墙以外为场外交通，施工围墙以内为场内交通，但施工大门至公共道路处为场内交通</w:t>
      </w:r>
      <w:r>
        <w:rPr>
          <w:rFonts w:hint="eastAsia" w:ascii="宋体" w:hAnsi="宋体" w:eastAsia="宋体" w:cs="宋体"/>
          <w:color w:val="auto"/>
          <w:sz w:val="21"/>
          <w:szCs w:val="21"/>
          <w:highlight w:val="none"/>
        </w:rPr>
        <w:t>。</w:t>
      </w:r>
    </w:p>
    <w:p w14:paraId="01AAEAC8">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关于发包人向承包人免费提供满足工程施工需要的场内道路和交通设施的约定：</w:t>
      </w:r>
      <w:r>
        <w:rPr>
          <w:rFonts w:hint="eastAsia" w:ascii="宋体" w:hAnsi="宋体" w:eastAsia="宋体" w:cs="宋体"/>
          <w:color w:val="auto"/>
          <w:sz w:val="21"/>
          <w:szCs w:val="21"/>
          <w:highlight w:val="none"/>
          <w:u w:val="single"/>
        </w:rPr>
        <w:t>场内道路的施工及交通设施由承包人负责，场外道路设施由发包人承担。</w:t>
      </w:r>
      <w:bookmarkEnd w:id="96"/>
      <w:bookmarkEnd w:id="97"/>
      <w:bookmarkEnd w:id="98"/>
      <w:bookmarkEnd w:id="99"/>
      <w:bookmarkEnd w:id="100"/>
      <w:bookmarkStart w:id="101" w:name="_Toc318581157"/>
    </w:p>
    <w:p w14:paraId="44540455">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1.10.4超大件和超重件的运输</w:t>
      </w:r>
    </w:p>
    <w:p w14:paraId="369DF5F7">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运输超大件或超重件所需的道路和桥梁临时加固改造费用和其他有关费用由</w:t>
      </w:r>
      <w:r>
        <w:rPr>
          <w:rFonts w:hint="eastAsia" w:ascii="宋体" w:hAnsi="宋体" w:eastAsia="宋体" w:cs="宋体"/>
          <w:color w:val="auto"/>
          <w:sz w:val="21"/>
          <w:szCs w:val="21"/>
          <w:highlight w:val="none"/>
          <w:u w:val="single"/>
        </w:rPr>
        <w:t>承包人</w:t>
      </w:r>
      <w:r>
        <w:rPr>
          <w:rFonts w:hint="eastAsia" w:ascii="宋体" w:hAnsi="宋体" w:eastAsia="宋体" w:cs="宋体"/>
          <w:color w:val="auto"/>
          <w:sz w:val="21"/>
          <w:szCs w:val="21"/>
          <w:highlight w:val="none"/>
        </w:rPr>
        <w:t>承担。</w:t>
      </w:r>
    </w:p>
    <w:bookmarkEnd w:id="101"/>
    <w:p w14:paraId="7396A854">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知识产权</w:t>
      </w:r>
    </w:p>
    <w:p w14:paraId="3B958275">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1"/>
          <w:szCs w:val="21"/>
          <w:highlight w:val="none"/>
          <w:u w:val="single"/>
        </w:rPr>
        <w:t>发包人</w:t>
      </w:r>
      <w:r>
        <w:rPr>
          <w:rFonts w:hint="eastAsia" w:ascii="宋体" w:hAnsi="宋体" w:eastAsia="宋体" w:cs="宋体"/>
          <w:color w:val="auto"/>
          <w:sz w:val="21"/>
          <w:szCs w:val="21"/>
          <w:highlight w:val="none"/>
        </w:rPr>
        <w:t>。</w:t>
      </w:r>
    </w:p>
    <w:p w14:paraId="1590E7EE">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关于发包人提供的上述文件的使用限制的要求：</w:t>
      </w:r>
      <w:r>
        <w:rPr>
          <w:rFonts w:hint="eastAsia" w:ascii="宋体" w:hAnsi="宋体" w:eastAsia="宋体" w:cs="宋体"/>
          <w:color w:val="auto"/>
          <w:sz w:val="21"/>
          <w:szCs w:val="21"/>
          <w:highlight w:val="none"/>
          <w:u w:val="single"/>
        </w:rPr>
        <w:t>承包人对上述文件复制应经发包人同意并记录，按受控文件要求进行管理，不得外传、外借。</w:t>
      </w:r>
    </w:p>
    <w:p w14:paraId="6AC30D54">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1.11.2 关于承包人为实施工程所编制文件的著作权的归属：</w:t>
      </w:r>
      <w:r>
        <w:rPr>
          <w:rFonts w:hint="eastAsia" w:ascii="宋体" w:hAnsi="宋体" w:eastAsia="宋体" w:cs="宋体"/>
          <w:color w:val="auto"/>
          <w:sz w:val="21"/>
          <w:szCs w:val="21"/>
          <w:highlight w:val="none"/>
          <w:u w:val="single"/>
        </w:rPr>
        <w:t>发包人</w:t>
      </w:r>
      <w:r>
        <w:rPr>
          <w:rFonts w:hint="eastAsia" w:ascii="宋体" w:hAnsi="宋体" w:eastAsia="宋体" w:cs="宋体"/>
          <w:color w:val="auto"/>
          <w:sz w:val="21"/>
          <w:szCs w:val="21"/>
          <w:highlight w:val="none"/>
        </w:rPr>
        <w:t>。</w:t>
      </w:r>
    </w:p>
    <w:p w14:paraId="001FB1B4">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关于承包人提供的上述文件的使用限制的要求：</w:t>
      </w:r>
      <w:r>
        <w:rPr>
          <w:rFonts w:hint="eastAsia" w:ascii="宋体" w:hAnsi="宋体" w:eastAsia="宋体" w:cs="宋体"/>
          <w:color w:val="auto"/>
          <w:sz w:val="21"/>
          <w:szCs w:val="21"/>
          <w:highlight w:val="none"/>
          <w:u w:val="single"/>
        </w:rPr>
        <w:t>承包人对上述文件复制应经发包人同意并记录，按受控文件要求进行管理，不得外传、外借</w:t>
      </w:r>
      <w:r>
        <w:rPr>
          <w:rFonts w:hint="eastAsia" w:ascii="宋体" w:hAnsi="宋体" w:eastAsia="宋体" w:cs="宋体"/>
          <w:color w:val="auto"/>
          <w:sz w:val="21"/>
          <w:szCs w:val="21"/>
          <w:highlight w:val="none"/>
        </w:rPr>
        <w:t>。</w:t>
      </w:r>
    </w:p>
    <w:p w14:paraId="1E48E87D">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1.11.4 承包人在施工过程中所采用的专利、专有技术、技术秘密的使用费的承担方式：</w:t>
      </w:r>
      <w:r>
        <w:rPr>
          <w:rFonts w:hint="eastAsia" w:ascii="宋体" w:hAnsi="宋体" w:eastAsia="宋体" w:cs="宋体"/>
          <w:color w:val="auto"/>
          <w:sz w:val="21"/>
          <w:szCs w:val="21"/>
          <w:highlight w:val="none"/>
          <w:u w:val="single"/>
        </w:rPr>
        <w:t>承包人自行承担</w:t>
      </w:r>
      <w:r>
        <w:rPr>
          <w:rFonts w:hint="eastAsia" w:ascii="宋体" w:hAnsi="宋体" w:eastAsia="宋体" w:cs="宋体"/>
          <w:color w:val="auto"/>
          <w:kern w:val="0"/>
          <w:sz w:val="21"/>
          <w:szCs w:val="21"/>
          <w:highlight w:val="none"/>
        </w:rPr>
        <w:t>。</w:t>
      </w:r>
    </w:p>
    <w:p w14:paraId="0A3EA8C7">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1.13工程量清单错误的修正</w:t>
      </w:r>
    </w:p>
    <w:p w14:paraId="1401C4AC">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出现工程量清单错误时，是否调整合同价格：</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否</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316A6AFD">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允许调整合同价格的工程量偏差范围：</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w:t>
      </w:r>
    </w:p>
    <w:p w14:paraId="35292948">
      <w:pPr>
        <w:keepNext w:val="0"/>
        <w:keepLines w:val="0"/>
        <w:pageBreakBefore w:val="0"/>
        <w:kinsoku/>
        <w:wordWrap/>
        <w:overflowPunct/>
        <w:topLinePunct w:val="0"/>
        <w:bidi w:val="0"/>
        <w:spacing w:line="360" w:lineRule="exact"/>
        <w:ind w:left="0" w:leftChars="0" w:firstLine="422" w:firstLineChars="200"/>
        <w:textAlignment w:val="auto"/>
        <w:rPr>
          <w:rFonts w:hint="eastAsia" w:ascii="宋体" w:hAnsi="宋体" w:eastAsia="宋体" w:cs="宋体"/>
          <w:b/>
          <w:bCs/>
          <w:color w:val="auto"/>
          <w:sz w:val="21"/>
          <w:szCs w:val="21"/>
          <w:highlight w:val="none"/>
        </w:rPr>
      </w:pPr>
      <w:bookmarkStart w:id="102" w:name="_Toc351203634"/>
      <w:r>
        <w:rPr>
          <w:rFonts w:hint="eastAsia" w:ascii="宋体" w:hAnsi="宋体" w:eastAsia="宋体" w:cs="宋体"/>
          <w:b/>
          <w:bCs/>
          <w:color w:val="auto"/>
          <w:sz w:val="21"/>
          <w:szCs w:val="21"/>
          <w:highlight w:val="none"/>
        </w:rPr>
        <w:t>2</w:t>
      </w:r>
      <w:bookmarkStart w:id="103" w:name="_Toc297120457"/>
      <w:bookmarkStart w:id="104" w:name="_Toc296890985"/>
      <w:bookmarkStart w:id="105" w:name="_Toc292559867"/>
      <w:bookmarkStart w:id="106" w:name="_Toc292559362"/>
      <w:bookmarkStart w:id="107" w:name="_Toc296346658"/>
      <w:bookmarkStart w:id="108" w:name="_Toc297048343"/>
      <w:bookmarkStart w:id="109" w:name="_Toc296944496"/>
      <w:bookmarkStart w:id="110" w:name="_Toc296503157"/>
      <w:bookmarkStart w:id="111" w:name="_Toc296347156"/>
      <w:bookmarkStart w:id="112" w:name="_Toc296891197"/>
      <w:r>
        <w:rPr>
          <w:rFonts w:hint="eastAsia" w:ascii="宋体" w:hAnsi="宋体" w:eastAsia="宋体" w:cs="宋体"/>
          <w:b/>
          <w:bCs/>
          <w:color w:val="auto"/>
          <w:sz w:val="21"/>
          <w:szCs w:val="21"/>
          <w:highlight w:val="none"/>
        </w:rPr>
        <w:t>. 发包人</w:t>
      </w:r>
      <w:bookmarkEnd w:id="102"/>
    </w:p>
    <w:bookmarkEnd w:id="103"/>
    <w:bookmarkEnd w:id="104"/>
    <w:bookmarkEnd w:id="105"/>
    <w:bookmarkEnd w:id="106"/>
    <w:bookmarkEnd w:id="107"/>
    <w:bookmarkEnd w:id="108"/>
    <w:bookmarkEnd w:id="109"/>
    <w:bookmarkEnd w:id="110"/>
    <w:bookmarkEnd w:id="111"/>
    <w:bookmarkEnd w:id="112"/>
    <w:p w14:paraId="09CD71A2">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发包人代表</w:t>
      </w:r>
    </w:p>
    <w:p w14:paraId="18713531">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发包人代表：</w:t>
      </w:r>
    </w:p>
    <w:p w14:paraId="0BA2FB4D">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E05B131">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86DA717">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298C563">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966F035">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117C768">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819A8B9">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发包人对发包人代表的授权范围如下：</w:t>
      </w:r>
      <w:r>
        <w:rPr>
          <w:rFonts w:hint="eastAsia" w:ascii="宋体" w:hAnsi="宋体" w:eastAsia="宋体" w:cs="宋体"/>
          <w:color w:val="auto"/>
          <w:sz w:val="21"/>
          <w:szCs w:val="21"/>
          <w:highlight w:val="none"/>
          <w:u w:val="single"/>
        </w:rPr>
        <w:t>负责施工全过程的安全、进度、质量及现场费用控制管理、协调现场各种关系等。</w:t>
      </w:r>
    </w:p>
    <w:p w14:paraId="3265814F">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施工现场、施工条件和基础资料的提供</w:t>
      </w:r>
    </w:p>
    <w:p w14:paraId="5C60604D">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 提供施工现场</w:t>
      </w:r>
    </w:p>
    <w:p w14:paraId="47B6889D">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关于发包人移交施工现场的期限要求：</w:t>
      </w:r>
      <w:r>
        <w:rPr>
          <w:rFonts w:hint="eastAsia" w:ascii="宋体" w:hAnsi="宋体" w:eastAsia="宋体" w:cs="宋体"/>
          <w:color w:val="auto"/>
          <w:sz w:val="21"/>
          <w:szCs w:val="21"/>
          <w:highlight w:val="none"/>
          <w:u w:val="single"/>
        </w:rPr>
        <w:t xml:space="preserve">按通用条款执行 </w:t>
      </w:r>
      <w:r>
        <w:rPr>
          <w:rFonts w:hint="eastAsia" w:ascii="宋体" w:hAnsi="宋体" w:eastAsia="宋体" w:cs="宋体"/>
          <w:color w:val="auto"/>
          <w:sz w:val="21"/>
          <w:szCs w:val="21"/>
          <w:highlight w:val="none"/>
        </w:rPr>
        <w:t>。</w:t>
      </w:r>
    </w:p>
    <w:p w14:paraId="5767901C">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 提供施工条件</w:t>
      </w:r>
    </w:p>
    <w:p w14:paraId="72D61A9E">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关于发包人应负责提供施工所需要的条件，包括：</w:t>
      </w:r>
    </w:p>
    <w:p w14:paraId="716B298E">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a、工程开工前，发包人负责将水准点与座标控制点以书面形式交给承包人，并进行现场交验，承包人正式放线后，由发包人负责及时请城建管理部门进行验线。</w:t>
      </w:r>
    </w:p>
    <w:p w14:paraId="75EF2312">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b、将施工所需的水电线路接至施工场地的时间、地点和供应要求：承包人在发包人现场指定地点，将水电引至施工现场，并配备校验合格的水电表，表后水电线路由承包人安装并向发包人交纳水电费，水电费交纳标准按规定执行，开工前由承包人同发包人水电主管部门另行签订水电供应协议。</w:t>
      </w:r>
    </w:p>
    <w:p w14:paraId="2D822D6E">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c、通讯线路和设备由承包人自行解决并承担其费用。</w:t>
      </w:r>
    </w:p>
    <w:p w14:paraId="30F84952">
      <w:pPr>
        <w:keepNext w:val="0"/>
        <w:keepLines w:val="0"/>
        <w:pageBreakBefore w:val="0"/>
        <w:kinsoku/>
        <w:wordWrap/>
        <w:overflowPunct/>
        <w:topLinePunct w:val="0"/>
        <w:bidi w:val="0"/>
        <w:spacing w:line="360" w:lineRule="exact"/>
        <w:ind w:left="0" w:leftChars="0" w:firstLine="422" w:firstLineChars="200"/>
        <w:textAlignment w:val="auto"/>
        <w:rPr>
          <w:rFonts w:hint="eastAsia" w:ascii="宋体" w:hAnsi="宋体" w:eastAsia="宋体" w:cs="宋体"/>
          <w:b/>
          <w:bCs/>
          <w:color w:val="auto"/>
          <w:sz w:val="21"/>
          <w:szCs w:val="21"/>
          <w:highlight w:val="none"/>
        </w:rPr>
      </w:pPr>
      <w:bookmarkStart w:id="113" w:name="_Toc351203635"/>
      <w:r>
        <w:rPr>
          <w:rFonts w:hint="eastAsia" w:ascii="宋体" w:hAnsi="宋体" w:eastAsia="宋体" w:cs="宋体"/>
          <w:b/>
          <w:bCs/>
          <w:color w:val="auto"/>
          <w:sz w:val="21"/>
          <w:szCs w:val="21"/>
          <w:highlight w:val="none"/>
        </w:rPr>
        <w:t>3</w:t>
      </w:r>
      <w:bookmarkStart w:id="114" w:name="_Toc296890986"/>
      <w:bookmarkStart w:id="115" w:name="_Toc296891198"/>
      <w:bookmarkStart w:id="116" w:name="_Toc296346659"/>
      <w:bookmarkStart w:id="117" w:name="_Toc292559363"/>
      <w:bookmarkStart w:id="118" w:name="_Toc296944497"/>
      <w:bookmarkStart w:id="119" w:name="_Toc296347157"/>
      <w:bookmarkStart w:id="120" w:name="_Toc296503158"/>
      <w:bookmarkStart w:id="121" w:name="_Toc292559868"/>
      <w:bookmarkStart w:id="122" w:name="_Toc297048344"/>
      <w:bookmarkStart w:id="123" w:name="_Toc297120458"/>
      <w:r>
        <w:rPr>
          <w:rFonts w:hint="eastAsia" w:ascii="宋体" w:hAnsi="宋体" w:eastAsia="宋体" w:cs="宋体"/>
          <w:b/>
          <w:bCs/>
          <w:color w:val="auto"/>
          <w:sz w:val="21"/>
          <w:szCs w:val="21"/>
          <w:highlight w:val="none"/>
        </w:rPr>
        <w:t>. 承包人</w:t>
      </w:r>
      <w:bookmarkEnd w:id="113"/>
    </w:p>
    <w:bookmarkEnd w:id="114"/>
    <w:bookmarkEnd w:id="115"/>
    <w:bookmarkEnd w:id="116"/>
    <w:bookmarkEnd w:id="117"/>
    <w:bookmarkEnd w:id="118"/>
    <w:bookmarkEnd w:id="119"/>
    <w:bookmarkEnd w:id="120"/>
    <w:bookmarkEnd w:id="121"/>
    <w:bookmarkEnd w:id="122"/>
    <w:bookmarkEnd w:id="123"/>
    <w:p w14:paraId="75CBF93A">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承包人的一般义务</w:t>
      </w:r>
    </w:p>
    <w:p w14:paraId="30204A07">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sz w:val="21"/>
          <w:szCs w:val="21"/>
          <w:highlight w:val="none"/>
        </w:rPr>
        <w:t>承包人提交的竣工资料的内容：</w:t>
      </w:r>
      <w:r>
        <w:rPr>
          <w:rFonts w:hint="eastAsia" w:ascii="宋体" w:hAnsi="宋体" w:eastAsia="宋体" w:cs="宋体"/>
          <w:color w:val="auto"/>
          <w:sz w:val="21"/>
          <w:szCs w:val="21"/>
          <w:highlight w:val="none"/>
          <w:u w:val="single"/>
        </w:rPr>
        <w:t>竣工验收后一个月内，提交竣工图及完整资料文件。</w:t>
      </w:r>
    </w:p>
    <w:p w14:paraId="3A2F28E3">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承包人需要提交的竣工资料套数：</w:t>
      </w:r>
      <w:r>
        <w:rPr>
          <w:rFonts w:hint="eastAsia" w:ascii="宋体" w:hAnsi="宋体" w:eastAsia="宋体" w:cs="宋体"/>
          <w:color w:val="auto"/>
          <w:sz w:val="21"/>
          <w:szCs w:val="21"/>
          <w:highlight w:val="none"/>
          <w:u w:val="single"/>
        </w:rPr>
        <w:t xml:space="preserve">        不少于4套     </w:t>
      </w:r>
      <w:r>
        <w:rPr>
          <w:rFonts w:hint="eastAsia" w:ascii="宋体" w:hAnsi="宋体" w:eastAsia="宋体" w:cs="宋体"/>
          <w:color w:val="auto"/>
          <w:sz w:val="21"/>
          <w:szCs w:val="21"/>
          <w:highlight w:val="none"/>
        </w:rPr>
        <w:t>。</w:t>
      </w:r>
    </w:p>
    <w:p w14:paraId="2AB70337">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承包人提交的竣工资料的费用承担：</w:t>
      </w:r>
      <w:r>
        <w:rPr>
          <w:rFonts w:hint="eastAsia" w:ascii="宋体" w:hAnsi="宋体" w:eastAsia="宋体" w:cs="宋体"/>
          <w:color w:val="auto"/>
          <w:sz w:val="21"/>
          <w:szCs w:val="21"/>
          <w:highlight w:val="none"/>
          <w:u w:val="single"/>
        </w:rPr>
        <w:t xml:space="preserve">    承包人承担      </w:t>
      </w:r>
      <w:r>
        <w:rPr>
          <w:rFonts w:hint="eastAsia" w:ascii="宋体" w:hAnsi="宋体" w:eastAsia="宋体" w:cs="宋体"/>
          <w:color w:val="auto"/>
          <w:sz w:val="21"/>
          <w:szCs w:val="21"/>
          <w:highlight w:val="none"/>
        </w:rPr>
        <w:t>。</w:t>
      </w:r>
    </w:p>
    <w:p w14:paraId="6BF34532">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承包人提交的竣工资料移交时间：</w:t>
      </w:r>
      <w:r>
        <w:rPr>
          <w:rFonts w:hint="eastAsia" w:ascii="宋体" w:hAnsi="宋体" w:eastAsia="宋体" w:cs="宋体"/>
          <w:color w:val="auto"/>
          <w:sz w:val="21"/>
          <w:szCs w:val="21"/>
          <w:highlight w:val="none"/>
          <w:u w:val="single"/>
        </w:rPr>
        <w:t xml:space="preserve">   竣工验收后一个月内 </w:t>
      </w:r>
      <w:r>
        <w:rPr>
          <w:rFonts w:hint="eastAsia" w:ascii="宋体" w:hAnsi="宋体" w:eastAsia="宋体" w:cs="宋体"/>
          <w:color w:val="auto"/>
          <w:sz w:val="21"/>
          <w:szCs w:val="21"/>
          <w:highlight w:val="none"/>
        </w:rPr>
        <w:t>。</w:t>
      </w:r>
    </w:p>
    <w:p w14:paraId="7A59A6ED">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承包人提交的竣工资料形式要求：</w:t>
      </w:r>
      <w:r>
        <w:rPr>
          <w:rFonts w:hint="eastAsia" w:ascii="宋体" w:hAnsi="宋体" w:eastAsia="宋体" w:cs="宋体"/>
          <w:color w:val="auto"/>
          <w:sz w:val="21"/>
          <w:szCs w:val="21"/>
          <w:highlight w:val="none"/>
          <w:u w:val="single"/>
        </w:rPr>
        <w:t xml:space="preserve">        纸质文件      </w:t>
      </w:r>
      <w:r>
        <w:rPr>
          <w:rFonts w:hint="eastAsia" w:ascii="宋体" w:hAnsi="宋体" w:eastAsia="宋体" w:cs="宋体"/>
          <w:color w:val="auto"/>
          <w:sz w:val="21"/>
          <w:szCs w:val="21"/>
          <w:highlight w:val="none"/>
        </w:rPr>
        <w:t>。</w:t>
      </w:r>
    </w:p>
    <w:p w14:paraId="1FE70479">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（10）承包人应履行的其他义务：</w:t>
      </w:r>
    </w:p>
    <w:p w14:paraId="229108AA">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a、承担施工安全保卫工作及非夜间施工照明的责任和要求：</w:t>
      </w:r>
      <w:r>
        <w:rPr>
          <w:rFonts w:hint="eastAsia" w:ascii="宋体" w:hAnsi="宋体" w:eastAsia="宋体" w:cs="宋体"/>
          <w:color w:val="auto"/>
          <w:sz w:val="21"/>
          <w:szCs w:val="21"/>
          <w:highlight w:val="none"/>
          <w:u w:val="single"/>
        </w:rPr>
        <w:t xml:space="preserve">根据工程需要，提供和维修非夜间施工使用的照明、围拦设计；负责施工现场安全保护。  </w:t>
      </w:r>
    </w:p>
    <w:p w14:paraId="1E8F5820">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b、需承包人办理的有关施工场地交通、环卫和施工噪音管理等手续：</w:t>
      </w:r>
      <w:r>
        <w:rPr>
          <w:rFonts w:hint="eastAsia" w:ascii="宋体" w:hAnsi="宋体" w:eastAsia="宋体" w:cs="宋体"/>
          <w:color w:val="auto"/>
          <w:sz w:val="21"/>
          <w:szCs w:val="21"/>
          <w:highlight w:val="none"/>
          <w:u w:val="single"/>
        </w:rPr>
        <w:t xml:space="preserve"> 施工场地交通、道路硬化、环卫和施工噪音管理在开工前完成。 </w:t>
      </w:r>
    </w:p>
    <w:p w14:paraId="1D6D6D62">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c、已完工程成品保护的特殊要求及费用承担：</w:t>
      </w:r>
      <w:r>
        <w:rPr>
          <w:rFonts w:hint="eastAsia" w:ascii="宋体" w:hAnsi="宋体" w:eastAsia="宋体" w:cs="宋体"/>
          <w:color w:val="auto"/>
          <w:sz w:val="21"/>
          <w:szCs w:val="21"/>
          <w:highlight w:val="none"/>
          <w:u w:val="single"/>
        </w:rPr>
        <w:t xml:space="preserve">已完成工程未正式向发包人移交之前，承包人应当按照专用条款约定负责对已完工程的保护工作（包括发包人对工程某些特殊部位和部分设施、设备保护提出的特殊要求），费用由承包人承担。在此期间发生的损坏由承包人自费负责予以修复。 </w:t>
      </w:r>
    </w:p>
    <w:p w14:paraId="2CC3B747">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d、施工场地周围以下管线和邻近建筑物、构筑物（含文物保护建筑）、古树名木的保护要求及费用承担：</w:t>
      </w:r>
      <w:r>
        <w:rPr>
          <w:rFonts w:hint="eastAsia" w:ascii="宋体" w:hAnsi="宋体" w:eastAsia="宋体" w:cs="宋体"/>
          <w:color w:val="auto"/>
          <w:sz w:val="21"/>
          <w:szCs w:val="21"/>
          <w:highlight w:val="none"/>
          <w:u w:val="single"/>
        </w:rPr>
        <w:t>工程竣工移交前由承包人负责。由于施工方法不当造成损失、损坏发生的费用由承包方承担。</w:t>
      </w:r>
    </w:p>
    <w:p w14:paraId="45373FD7">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e、施工场地清洁卫生的要求：</w:t>
      </w:r>
      <w:r>
        <w:rPr>
          <w:rFonts w:hint="eastAsia" w:ascii="宋体" w:hAnsi="宋体" w:eastAsia="宋体" w:cs="宋体"/>
          <w:color w:val="auto"/>
          <w:sz w:val="21"/>
          <w:szCs w:val="21"/>
          <w:highlight w:val="none"/>
          <w:u w:val="single"/>
        </w:rPr>
        <w:t>参照省、市级文明工地要求并符合创卫标准，做到工完场清、构件、材料、设施分类堆放，做好标志、道路清洁、给排水畅通。</w:t>
      </w:r>
    </w:p>
    <w:p w14:paraId="07129B9B">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f、双方约定承包人应做的其他工作：</w:t>
      </w:r>
      <w:r>
        <w:rPr>
          <w:rFonts w:hint="eastAsia" w:ascii="宋体" w:hAnsi="宋体" w:eastAsia="宋体" w:cs="宋体"/>
          <w:color w:val="auto"/>
          <w:sz w:val="21"/>
          <w:szCs w:val="21"/>
          <w:highlight w:val="none"/>
          <w:u w:val="single"/>
        </w:rPr>
        <w:t>主动与发包人配合共同办理施工许可证等有关手续的工作。按时足额支付农民工工资。</w:t>
      </w:r>
    </w:p>
    <w:p w14:paraId="41E81B6A">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项目经理</w:t>
      </w:r>
    </w:p>
    <w:p w14:paraId="783B0D8F">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3.2.1 </w:t>
      </w:r>
      <w:r>
        <w:rPr>
          <w:rFonts w:hint="eastAsia" w:ascii="宋体" w:hAnsi="宋体" w:eastAsia="宋体" w:cs="宋体"/>
          <w:color w:val="auto"/>
          <w:sz w:val="21"/>
          <w:szCs w:val="21"/>
          <w:highlight w:val="none"/>
        </w:rPr>
        <w:t>项目经理：</w:t>
      </w:r>
    </w:p>
    <w:p w14:paraId="0B64A2F4">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5F415E0">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5931483">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建造师执业资格等级：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3724225">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建造师注册证书号：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E4997DF">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建造师执业印章号：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23899C5">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安全生产考核合格证书号：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86E3232">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3B6F835">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2AC0A64">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57C3B30">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承包人对项目经理的授权范围如下：</w:t>
      </w:r>
      <w:r>
        <w:rPr>
          <w:rFonts w:hint="eastAsia" w:ascii="宋体" w:hAnsi="宋体" w:eastAsia="宋体" w:cs="宋体"/>
          <w:color w:val="auto"/>
          <w:sz w:val="21"/>
          <w:szCs w:val="21"/>
          <w:highlight w:val="none"/>
          <w:u w:val="single"/>
        </w:rPr>
        <w:t>施工现场的进度、安全、质量、费用等项目管理工作</w:t>
      </w:r>
      <w:r>
        <w:rPr>
          <w:rFonts w:hint="eastAsia" w:ascii="宋体" w:hAnsi="宋体" w:eastAsia="宋体" w:cs="宋体"/>
          <w:color w:val="auto"/>
          <w:sz w:val="21"/>
          <w:szCs w:val="21"/>
          <w:highlight w:val="none"/>
        </w:rPr>
        <w:t>。</w:t>
      </w:r>
    </w:p>
    <w:p w14:paraId="0A8BE38A">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关于项目经理每月在施工现场的时间要求：</w:t>
      </w:r>
      <w:r>
        <w:rPr>
          <w:rFonts w:hint="eastAsia" w:ascii="宋体" w:hAnsi="宋体" w:eastAsia="宋体" w:cs="宋体"/>
          <w:color w:val="auto"/>
          <w:sz w:val="21"/>
          <w:szCs w:val="21"/>
          <w:highlight w:val="none"/>
          <w:u w:val="single"/>
        </w:rPr>
        <w:t>项目经理必须坚守工地，每周在现场工作日不少于5天，每少一天罚款500元，外出连续等于或超过三天以上时，必须事先取得发包人的许可。</w:t>
      </w:r>
    </w:p>
    <w:p w14:paraId="4527A34C">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承包人未提交劳动合同，以及没有为项目经理缴纳社会保险证明的违约责任：</w:t>
      </w:r>
      <w:r>
        <w:rPr>
          <w:rFonts w:hint="eastAsia" w:ascii="宋体" w:hAnsi="宋体" w:eastAsia="宋体" w:cs="宋体"/>
          <w:color w:val="auto"/>
          <w:sz w:val="21"/>
          <w:szCs w:val="21"/>
          <w:highlight w:val="none"/>
          <w:u w:val="single"/>
        </w:rPr>
        <w:t>由承包人自行承担。</w:t>
      </w:r>
    </w:p>
    <w:p w14:paraId="404F77F0">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项目经理未经批准，擅自离开施工现场的违约责任：</w:t>
      </w:r>
      <w:r>
        <w:rPr>
          <w:rFonts w:hint="eastAsia" w:ascii="宋体" w:hAnsi="宋体" w:eastAsia="宋体" w:cs="宋体"/>
          <w:color w:val="auto"/>
          <w:sz w:val="21"/>
          <w:szCs w:val="21"/>
          <w:highlight w:val="none"/>
          <w:u w:val="single"/>
        </w:rPr>
        <w:t>发包人有权按照500元/天进行处罚。</w:t>
      </w:r>
    </w:p>
    <w:p w14:paraId="2A075B12">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 承包人擅自更换项目经理的违约责任：</w:t>
      </w:r>
      <w:r>
        <w:rPr>
          <w:rFonts w:hint="eastAsia" w:ascii="宋体" w:hAnsi="宋体" w:eastAsia="宋体" w:cs="宋体"/>
          <w:color w:val="auto"/>
          <w:sz w:val="21"/>
          <w:szCs w:val="21"/>
          <w:highlight w:val="none"/>
          <w:u w:val="single"/>
        </w:rPr>
        <w:t>视为承包人违约，发包人有权取消合同</w:t>
      </w:r>
      <w:r>
        <w:rPr>
          <w:rFonts w:hint="eastAsia" w:ascii="宋体" w:hAnsi="宋体" w:eastAsia="宋体" w:cs="宋体"/>
          <w:color w:val="auto"/>
          <w:sz w:val="21"/>
          <w:szCs w:val="21"/>
          <w:highlight w:val="none"/>
        </w:rPr>
        <w:t>。</w:t>
      </w:r>
    </w:p>
    <w:p w14:paraId="79755766">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 承包人无正当理由拒绝更换项目经理的违约责任：</w:t>
      </w:r>
      <w:r>
        <w:rPr>
          <w:rFonts w:hint="eastAsia" w:ascii="宋体" w:hAnsi="宋体" w:eastAsia="宋体" w:cs="宋体"/>
          <w:color w:val="auto"/>
          <w:sz w:val="21"/>
          <w:szCs w:val="21"/>
          <w:highlight w:val="none"/>
          <w:u w:val="single"/>
        </w:rPr>
        <w:t>视为承包人违约，发包人有权取消合同</w:t>
      </w:r>
      <w:r>
        <w:rPr>
          <w:rFonts w:hint="eastAsia" w:ascii="宋体" w:hAnsi="宋体" w:eastAsia="宋体" w:cs="宋体"/>
          <w:color w:val="auto"/>
          <w:sz w:val="21"/>
          <w:szCs w:val="21"/>
          <w:highlight w:val="none"/>
        </w:rPr>
        <w:t>。</w:t>
      </w:r>
    </w:p>
    <w:p w14:paraId="51D74DFB">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 承包人人员</w:t>
      </w:r>
    </w:p>
    <w:p w14:paraId="035A3F9B">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 承包人提交项目管理机构及施工现场管理人员安排报告的期限：</w:t>
      </w:r>
      <w:r>
        <w:rPr>
          <w:rFonts w:hint="eastAsia" w:ascii="宋体" w:hAnsi="宋体" w:eastAsia="宋体" w:cs="宋体"/>
          <w:color w:val="auto"/>
          <w:sz w:val="21"/>
          <w:szCs w:val="21"/>
          <w:highlight w:val="none"/>
          <w:u w:val="single"/>
        </w:rPr>
        <w:t>合同签订后7日内</w:t>
      </w:r>
      <w:r>
        <w:rPr>
          <w:rFonts w:hint="eastAsia" w:ascii="宋体" w:hAnsi="宋体" w:eastAsia="宋体" w:cs="宋体"/>
          <w:color w:val="auto"/>
          <w:sz w:val="21"/>
          <w:szCs w:val="21"/>
          <w:highlight w:val="none"/>
        </w:rPr>
        <w:t>。</w:t>
      </w:r>
    </w:p>
    <w:p w14:paraId="3B501399">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3.3.3 承包人无正当理由拒绝撤换主要施工管理人员的违约责任：</w:t>
      </w:r>
      <w:r>
        <w:rPr>
          <w:rFonts w:hint="eastAsia" w:ascii="宋体" w:hAnsi="宋体" w:eastAsia="宋体" w:cs="宋体"/>
          <w:color w:val="auto"/>
          <w:sz w:val="21"/>
          <w:szCs w:val="21"/>
          <w:highlight w:val="none"/>
          <w:u w:val="single"/>
        </w:rPr>
        <w:t>视为承包人违约，发包人有权解除合同</w:t>
      </w:r>
      <w:r>
        <w:rPr>
          <w:rFonts w:hint="eastAsia" w:ascii="宋体" w:hAnsi="宋体" w:eastAsia="宋体" w:cs="宋体"/>
          <w:color w:val="auto"/>
          <w:sz w:val="21"/>
          <w:szCs w:val="21"/>
          <w:highlight w:val="none"/>
        </w:rPr>
        <w:t>。</w:t>
      </w:r>
    </w:p>
    <w:p w14:paraId="5DDAA3FE">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3.3.4 承包人主要施工管理人员离开施工现场的批准要求：</w:t>
      </w:r>
      <w:r>
        <w:rPr>
          <w:rFonts w:hint="eastAsia" w:ascii="宋体" w:hAnsi="宋体" w:eastAsia="宋体" w:cs="宋体"/>
          <w:color w:val="auto"/>
          <w:sz w:val="21"/>
          <w:szCs w:val="21"/>
          <w:highlight w:val="none"/>
          <w:u w:val="single"/>
        </w:rPr>
        <w:t>必须事先取得发包人的许可</w:t>
      </w:r>
      <w:r>
        <w:rPr>
          <w:rFonts w:hint="eastAsia" w:ascii="宋体" w:hAnsi="宋体" w:eastAsia="宋体" w:cs="宋体"/>
          <w:color w:val="auto"/>
          <w:sz w:val="21"/>
          <w:szCs w:val="21"/>
          <w:highlight w:val="none"/>
        </w:rPr>
        <w:t>。</w:t>
      </w:r>
    </w:p>
    <w:p w14:paraId="31CF08BB">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3.3.5承包人擅自更换主要施工管理人员的违约责任：</w:t>
      </w:r>
      <w:r>
        <w:rPr>
          <w:rFonts w:hint="eastAsia" w:ascii="宋体" w:hAnsi="宋体" w:eastAsia="宋体" w:cs="宋体"/>
          <w:color w:val="auto"/>
          <w:sz w:val="21"/>
          <w:szCs w:val="21"/>
          <w:highlight w:val="none"/>
          <w:u w:val="single"/>
        </w:rPr>
        <w:t>视为承包人违约，发包人有权根据情况扣除承包人5000元-10000元/人违约金</w:t>
      </w:r>
      <w:r>
        <w:rPr>
          <w:rFonts w:hint="eastAsia" w:ascii="宋体" w:hAnsi="宋体" w:eastAsia="宋体" w:cs="宋体"/>
          <w:color w:val="auto"/>
          <w:sz w:val="21"/>
          <w:szCs w:val="21"/>
          <w:highlight w:val="none"/>
        </w:rPr>
        <w:t>。</w:t>
      </w:r>
    </w:p>
    <w:p w14:paraId="06044F29">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承包人主要施工管理人员擅自离开施工现场的违约责任：</w:t>
      </w:r>
      <w:r>
        <w:rPr>
          <w:rFonts w:hint="eastAsia" w:ascii="宋体" w:hAnsi="宋体" w:eastAsia="宋体" w:cs="宋体"/>
          <w:color w:val="auto"/>
          <w:sz w:val="21"/>
          <w:szCs w:val="21"/>
          <w:highlight w:val="none"/>
          <w:u w:val="single"/>
        </w:rPr>
        <w:t xml:space="preserve">发包人有权按照500元/人/天进行处罚  </w:t>
      </w:r>
      <w:r>
        <w:rPr>
          <w:rFonts w:hint="eastAsia" w:ascii="宋体" w:hAnsi="宋体" w:eastAsia="宋体" w:cs="宋体"/>
          <w:color w:val="auto"/>
          <w:sz w:val="21"/>
          <w:szCs w:val="21"/>
          <w:highlight w:val="none"/>
        </w:rPr>
        <w:t>。</w:t>
      </w:r>
    </w:p>
    <w:p w14:paraId="31BF9244">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Start w:id="124" w:name="_Toc297123492"/>
      <w:bookmarkStart w:id="125" w:name="_Toc296890987"/>
      <w:bookmarkStart w:id="126" w:name="_Toc297048345"/>
      <w:bookmarkStart w:id="127" w:name="_Toc303539102"/>
      <w:bookmarkStart w:id="128" w:name="_Toc292559869"/>
      <w:bookmarkStart w:id="129" w:name="_Toc296891199"/>
      <w:bookmarkStart w:id="130" w:name="_Toc300934945"/>
      <w:bookmarkStart w:id="131" w:name="_Toc297120459"/>
      <w:bookmarkStart w:id="132" w:name="_Toc312677988"/>
      <w:bookmarkStart w:id="133" w:name="_Toc296346660"/>
      <w:bookmarkStart w:id="134" w:name="_Toc296503159"/>
      <w:bookmarkStart w:id="135" w:name="_Toc297216151"/>
      <w:bookmarkStart w:id="136" w:name="_Toc296347158"/>
      <w:bookmarkStart w:id="137" w:name="_Toc296944498"/>
      <w:bookmarkStart w:id="138" w:name="_Toc304295523"/>
      <w:bookmarkStart w:id="139" w:name="_Toc292559364"/>
      <w:r>
        <w:rPr>
          <w:rFonts w:hint="eastAsia" w:ascii="宋体" w:hAnsi="宋体" w:eastAsia="宋体" w:cs="宋体"/>
          <w:color w:val="auto"/>
          <w:sz w:val="21"/>
          <w:szCs w:val="21"/>
          <w:highlight w:val="none"/>
        </w:rPr>
        <w:t>.5 分包</w:t>
      </w:r>
    </w:p>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14:paraId="5C7A50EA">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Start w:id="140" w:name="_Toc318581158"/>
      <w:bookmarkStart w:id="141" w:name="_Toc303539103"/>
      <w:bookmarkStart w:id="142" w:name="_Toc304295524"/>
      <w:bookmarkStart w:id="143" w:name="_Toc300934946"/>
      <w:bookmarkStart w:id="144" w:name="_Toc296346661"/>
      <w:bookmarkStart w:id="145" w:name="_Toc292559870"/>
      <w:bookmarkStart w:id="146" w:name="_Toc297123493"/>
      <w:bookmarkStart w:id="147" w:name="_Toc292559365"/>
      <w:bookmarkStart w:id="148" w:name="_Toc296891200"/>
      <w:bookmarkStart w:id="149" w:name="_Toc297048346"/>
      <w:bookmarkStart w:id="150" w:name="_Toc312677989"/>
      <w:bookmarkStart w:id="151" w:name="_Toc296890988"/>
      <w:bookmarkStart w:id="152" w:name="_Toc296347159"/>
      <w:bookmarkStart w:id="153" w:name="_Toc297120460"/>
      <w:bookmarkStart w:id="154" w:name="_Toc296503160"/>
      <w:bookmarkStart w:id="155" w:name="_Toc296944499"/>
      <w:bookmarkStart w:id="156" w:name="_Toc297216152"/>
      <w:r>
        <w:rPr>
          <w:rFonts w:hint="eastAsia" w:ascii="宋体" w:hAnsi="宋体" w:eastAsia="宋体" w:cs="宋体"/>
          <w:color w:val="auto"/>
          <w:sz w:val="21"/>
          <w:szCs w:val="21"/>
          <w:highlight w:val="none"/>
        </w:rPr>
        <w:t>.5.1 分包的一般约定</w:t>
      </w:r>
    </w:p>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14:paraId="13D75B8B">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u w:val="single"/>
        </w:rPr>
        <w:t>承包人不得将其承包的全部工程转包给第三人，或将其承包的全部工程肢解后以分包的名义转包给第三人</w:t>
      </w:r>
      <w:r>
        <w:rPr>
          <w:rFonts w:hint="eastAsia" w:ascii="宋体" w:hAnsi="宋体" w:eastAsia="宋体" w:cs="宋体"/>
          <w:color w:val="auto"/>
          <w:sz w:val="21"/>
          <w:szCs w:val="21"/>
          <w:highlight w:val="none"/>
        </w:rPr>
        <w:t>。</w:t>
      </w:r>
      <w:bookmarkStart w:id="157" w:name="_Toc297048347"/>
      <w:bookmarkStart w:id="158" w:name="_Toc296944500"/>
      <w:bookmarkStart w:id="159" w:name="_Toc296891201"/>
      <w:bookmarkStart w:id="160" w:name="_Toc296503161"/>
      <w:bookmarkStart w:id="161" w:name="_Toc303539104"/>
      <w:bookmarkStart w:id="162" w:name="_Toc297123494"/>
      <w:bookmarkStart w:id="163" w:name="_Toc296347160"/>
      <w:bookmarkStart w:id="164" w:name="_Toc297216153"/>
      <w:bookmarkStart w:id="165" w:name="_Toc296890989"/>
      <w:bookmarkStart w:id="166" w:name="_Toc297120461"/>
      <w:bookmarkStart w:id="167" w:name="_Toc300934947"/>
      <w:bookmarkStart w:id="168" w:name="_Toc296346662"/>
      <w:bookmarkStart w:id="169" w:name="_Toc304295525"/>
    </w:p>
    <w:bookmarkEnd w:id="157"/>
    <w:bookmarkEnd w:id="158"/>
    <w:bookmarkEnd w:id="159"/>
    <w:bookmarkEnd w:id="160"/>
    <w:bookmarkEnd w:id="161"/>
    <w:bookmarkEnd w:id="162"/>
    <w:bookmarkEnd w:id="163"/>
    <w:bookmarkEnd w:id="164"/>
    <w:bookmarkEnd w:id="165"/>
    <w:bookmarkEnd w:id="166"/>
    <w:bookmarkEnd w:id="167"/>
    <w:bookmarkEnd w:id="168"/>
    <w:bookmarkEnd w:id="169"/>
    <w:p w14:paraId="0001F9BB">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 工程照管与成品、半成品保护</w:t>
      </w:r>
    </w:p>
    <w:p w14:paraId="3000E69B">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承包人负责照管工程及工程相关的材料、工程设备的起始时间：</w:t>
      </w:r>
      <w:r>
        <w:rPr>
          <w:rFonts w:hint="eastAsia" w:ascii="宋体" w:hAnsi="宋体" w:eastAsia="宋体" w:cs="宋体"/>
          <w:color w:val="auto"/>
          <w:kern w:val="0"/>
          <w:sz w:val="21"/>
          <w:szCs w:val="21"/>
          <w:highlight w:val="none"/>
          <w:u w:val="single"/>
        </w:rPr>
        <w:t>项目正式开工至项目移交竣工验收并交付使用</w:t>
      </w:r>
      <w:r>
        <w:rPr>
          <w:rFonts w:hint="eastAsia" w:ascii="宋体" w:hAnsi="宋体" w:eastAsia="宋体" w:cs="宋体"/>
          <w:color w:val="auto"/>
          <w:kern w:val="0"/>
          <w:sz w:val="21"/>
          <w:szCs w:val="21"/>
          <w:highlight w:val="none"/>
        </w:rPr>
        <w:t>。</w:t>
      </w:r>
    </w:p>
    <w:p w14:paraId="153C11AB">
      <w:pPr>
        <w:keepNext w:val="0"/>
        <w:keepLines w:val="0"/>
        <w:pageBreakBefore w:val="0"/>
        <w:kinsoku/>
        <w:wordWrap/>
        <w:overflowPunct/>
        <w:topLinePunct w:val="0"/>
        <w:bidi w:val="0"/>
        <w:spacing w:line="360" w:lineRule="exact"/>
        <w:ind w:left="0" w:leftChars="0" w:firstLine="422" w:firstLineChars="200"/>
        <w:jc w:val="left"/>
        <w:textAlignment w:val="auto"/>
        <w:rPr>
          <w:rFonts w:hint="eastAsia" w:ascii="宋体" w:hAnsi="宋体" w:eastAsia="宋体" w:cs="宋体"/>
          <w:b/>
          <w:bCs/>
          <w:color w:val="auto"/>
          <w:sz w:val="21"/>
          <w:szCs w:val="21"/>
          <w:highlight w:val="none"/>
        </w:rPr>
      </w:pPr>
      <w:bookmarkStart w:id="170" w:name="_Toc267251418"/>
      <w:bookmarkStart w:id="171" w:name="_Toc351203637"/>
      <w:r>
        <w:rPr>
          <w:rFonts w:hint="eastAsia" w:ascii="宋体" w:hAnsi="宋体" w:eastAsia="宋体" w:cs="宋体"/>
          <w:b/>
          <w:bCs/>
          <w:color w:val="auto"/>
          <w:sz w:val="21"/>
          <w:szCs w:val="21"/>
          <w:highlight w:val="none"/>
        </w:rPr>
        <w:t>5</w:t>
      </w:r>
      <w:bookmarkEnd w:id="170"/>
      <w:bookmarkStart w:id="172" w:name="_Toc297120463"/>
      <w:bookmarkStart w:id="173" w:name="_Toc296890991"/>
      <w:bookmarkStart w:id="174" w:name="_Toc296503163"/>
      <w:bookmarkStart w:id="175" w:name="_Toc296347162"/>
      <w:bookmarkStart w:id="176" w:name="_Toc292559872"/>
      <w:bookmarkStart w:id="177" w:name="_Toc296944502"/>
      <w:bookmarkStart w:id="178" w:name="_Toc297048349"/>
      <w:bookmarkStart w:id="179" w:name="_Toc292559367"/>
      <w:bookmarkStart w:id="180" w:name="_Toc296891203"/>
      <w:bookmarkStart w:id="181" w:name="_Toc296346664"/>
      <w:r>
        <w:rPr>
          <w:rFonts w:hint="eastAsia" w:ascii="宋体" w:hAnsi="宋体" w:eastAsia="宋体" w:cs="宋体"/>
          <w:b/>
          <w:bCs/>
          <w:color w:val="auto"/>
          <w:sz w:val="21"/>
          <w:szCs w:val="21"/>
          <w:highlight w:val="none"/>
        </w:rPr>
        <w:t>. 工程质量</w:t>
      </w:r>
      <w:bookmarkEnd w:id="171"/>
    </w:p>
    <w:p w14:paraId="223B9A53">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质量要求</w:t>
      </w:r>
    </w:p>
    <w:p w14:paraId="045A0379">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bookmarkStart w:id="182" w:name="_Toc318581164"/>
      <w:bookmarkStart w:id="183" w:name="_Toc297216155"/>
      <w:bookmarkStart w:id="184" w:name="_Toc303539106"/>
      <w:bookmarkStart w:id="185" w:name="_Toc312677997"/>
      <w:bookmarkStart w:id="186" w:name="_Toc300934949"/>
      <w:bookmarkStart w:id="187" w:name="_Toc297123496"/>
      <w:bookmarkStart w:id="188" w:name="_Toc304295527"/>
      <w:r>
        <w:rPr>
          <w:rFonts w:hint="eastAsia" w:ascii="宋体" w:hAnsi="宋体" w:eastAsia="宋体" w:cs="宋体"/>
          <w:color w:val="auto"/>
          <w:sz w:val="21"/>
          <w:szCs w:val="21"/>
          <w:highlight w:val="none"/>
        </w:rPr>
        <w:t>5.1.1 特殊质量标准和要求：</w:t>
      </w:r>
      <w:r>
        <w:rPr>
          <w:rFonts w:hint="eastAsia" w:ascii="宋体" w:hAnsi="宋体" w:eastAsia="宋体" w:cs="宋体"/>
          <w:color w:val="auto"/>
          <w:sz w:val="21"/>
          <w:szCs w:val="21"/>
          <w:highlight w:val="none"/>
          <w:u w:val="single"/>
        </w:rPr>
        <w:t>达到国家现行施工验收规范“合格”标准，本工程参照省、市级“文明工地”标准。</w:t>
      </w:r>
    </w:p>
    <w:p w14:paraId="52A7D4CE">
      <w:pPr>
        <w:keepNext w:val="0"/>
        <w:keepLines w:val="0"/>
        <w:pageBreakBefore w:val="0"/>
        <w:kinsoku/>
        <w:wordWrap/>
        <w:overflowPunct/>
        <w:topLinePunct w:val="0"/>
        <w:bidi w:val="0"/>
        <w:spacing w:line="360" w:lineRule="exact"/>
        <w:ind w:left="0" w:leftChars="0" w:firstLine="422" w:firstLineChars="200"/>
        <w:jc w:val="left"/>
        <w:textAlignment w:val="auto"/>
        <w:rPr>
          <w:rFonts w:hint="eastAsia" w:ascii="宋体" w:hAnsi="宋体" w:eastAsia="宋体" w:cs="宋体"/>
          <w:b/>
          <w:bCs/>
          <w:color w:val="auto"/>
          <w:sz w:val="21"/>
          <w:szCs w:val="21"/>
          <w:highlight w:val="none"/>
        </w:rPr>
      </w:pPr>
      <w:bookmarkStart w:id="189" w:name="_Toc351203638"/>
      <w:r>
        <w:rPr>
          <w:rFonts w:hint="eastAsia" w:ascii="宋体" w:hAnsi="宋体" w:eastAsia="宋体" w:cs="宋体"/>
          <w:b/>
          <w:bCs/>
          <w:color w:val="auto"/>
          <w:sz w:val="21"/>
          <w:szCs w:val="21"/>
          <w:highlight w:val="none"/>
        </w:rPr>
        <w:t>6. 安全文明施工与环境保护</w:t>
      </w:r>
      <w:bookmarkEnd w:id="189"/>
    </w:p>
    <w:p w14:paraId="0E7BB0F8">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6.1安全文明施工</w:t>
      </w:r>
    </w:p>
    <w:p w14:paraId="14D36F59">
      <w:pPr>
        <w:pStyle w:val="20"/>
        <w:keepNext w:val="0"/>
        <w:keepLines w:val="0"/>
        <w:pageBreakBefore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6.1.1 项目安全生产的达标目标及相应事项的约定：</w:t>
      </w:r>
      <w:r>
        <w:rPr>
          <w:rFonts w:hint="eastAsia" w:ascii="宋体" w:hAnsi="宋体" w:eastAsia="宋体" w:cs="宋体"/>
          <w:color w:val="auto"/>
          <w:sz w:val="21"/>
          <w:szCs w:val="21"/>
          <w:highlight w:val="none"/>
          <w:u w:val="single"/>
        </w:rPr>
        <w:t>执行《通用条款》全部条款和国家、省、市关于安全文明施工的要求规定和创卫标准，因承包方原因达不到安全文明施工的要求规定和创卫标准时，承包人应切实整改达到此要求，所需费用均由承包人承担。本工程参照省、市级文明工地标准。承包人应建立安全防护和文明施工制度，严格按照安全防护和文明施工的规定组织施工，并做好下列工作：在施工出入口处、临时用电设施、脚手架、出入通道口、楼梯口电梯井口、孔洞口、爆破物及有害危险气体和液体存放处等危险部位，设置明显的安全警示标志；保持现场道路畅通、排水及排水设施通畅，做必要的现场地面硬化处理；妥善存放和处理材料设备和施工机械，水泥和其他易飞扬细颗粒的建筑材料应密闭存放或采取覆盖等措施，易燃易爆和有毒有害气体应分类存放；现场设置消防通道、配置消防设施和灭火器材，保证施工现场安全；施工垃圾、生活垃圾应分类存放，并及时从现场清运。</w:t>
      </w:r>
    </w:p>
    <w:p w14:paraId="4DD31C12">
      <w:pPr>
        <w:keepNext w:val="0"/>
        <w:keepLines w:val="0"/>
        <w:pageBreakBefore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认真贯彻执行国家及省、市有关安全文明生产的法律法规规章和强制性标准、安全操作规程等，建立健全施工现场安全文明生产保证体系，落实各项具体措施，切实履行安全文明生产责任和义务，保护职工身体健康和生命安全，以及社会公众安全，保护环境卫生，保持施工现场整齐有序，做到文明施工。其他文明和安全生产要求如下：</w:t>
      </w:r>
    </w:p>
    <w:p w14:paraId="3AA4FE69">
      <w:pPr>
        <w:keepNext w:val="0"/>
        <w:keepLines w:val="0"/>
        <w:pageBreakBefore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（1）建立与工程规模相适应的、以项目经理为第一责任人的施工现场安全文明生产管理机构，配备相应监管人员，赋予监管权力，确保对施工现场安全文明生产实施有效管理。</w:t>
      </w:r>
    </w:p>
    <w:p w14:paraId="21170B6E">
      <w:pPr>
        <w:keepNext w:val="0"/>
        <w:keepLines w:val="0"/>
        <w:pageBreakBefore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（2）施工现场实行封闭式管理，保证安全文明生产经费的投入。安全文明生产设施、设备按标准设置，配套齐备，牢固可靠。</w:t>
      </w:r>
    </w:p>
    <w:p w14:paraId="15499308">
      <w:pPr>
        <w:keepNext w:val="0"/>
        <w:keepLines w:val="0"/>
        <w:pageBreakBefore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（3）强化安全文明生产教育培训，严格实行三级安全教育制度，做到全员持证上岗。在日常监管和各级检查的基础上，严格执行汇检制度，发现隐患立即进行整改，不留死角。</w:t>
      </w:r>
    </w:p>
    <w:p w14:paraId="29E08163">
      <w:pPr>
        <w:keepNext w:val="0"/>
        <w:keepLines w:val="0"/>
        <w:pageBreakBefore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（4）施工现场使用的建筑材料、构配件、安全防护用品、安全设施、机具、机械设备和电气装置等，必须符合建筑施工安全和其他有关技术规范、标准的要求，并按规定进行检测检验。否则，一律不投入使用。</w:t>
      </w:r>
    </w:p>
    <w:p w14:paraId="0A45B4F3">
      <w:pPr>
        <w:keepNext w:val="0"/>
        <w:keepLines w:val="0"/>
        <w:pageBreakBefore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（5）现场运入运出各类建筑材料必须使用密封车辆运输，加强路面保洁，规范沙石料堆场，不定时洒水控制扬尘。</w:t>
      </w:r>
    </w:p>
    <w:p w14:paraId="2FCA3050">
      <w:pPr>
        <w:keepNext w:val="0"/>
        <w:keepLines w:val="0"/>
        <w:pageBreakBefore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保持施工现场整洁有序，各种材料分类存放、堆码整齐，建筑垃圾及时清运处理，不从高处向下抛投建筑材料、施工用具及建筑垃圾。工地设保洁工或卫生值班人员，各工种完工后做到“工完料尽场地清”。现场场地进行“硬化”处理，做到场内道路平整、通畅、不积水，泥浆、废水不外流，不尘土飞扬，不排泄有毒有害气体。</w:t>
      </w:r>
    </w:p>
    <w:p w14:paraId="71F7226A">
      <w:pPr>
        <w:keepNext w:val="0"/>
        <w:keepLines w:val="0"/>
        <w:pageBreakBefore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（7）保证施工现场及周围人居环境良好，施工区、办公区、生活区原则上应明显分开或进行隔断。按规定设置食堂、饮水处、厕所、浴室并符合卫生要求。</w:t>
      </w:r>
    </w:p>
    <w:p w14:paraId="49E96114">
      <w:pPr>
        <w:keepNext w:val="0"/>
        <w:keepLines w:val="0"/>
        <w:pageBreakBefore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（8）按规定设置现场标志牌（五牌一图）和安全警示标志，对涉及社会公众安全的，要在显著位置设置警示牌，并采取相应保护措施。</w:t>
      </w:r>
    </w:p>
    <w:p w14:paraId="1DC0340F">
      <w:pPr>
        <w:keepNext w:val="0"/>
        <w:keepLines w:val="0"/>
        <w:pageBreakBefore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（9）重大安全事故按有关规定及时准确上报，并进行调查处理。</w:t>
      </w:r>
    </w:p>
    <w:p w14:paraId="5796AFDF">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（10）自觉接受并积极配合建设单位的督促检查；建筑安全监管部门的监督管理，依法接受国家安全监察。</w:t>
      </w:r>
    </w:p>
    <w:p w14:paraId="7D8BC766">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6.1.4 关于治安保卫的特别约定：</w:t>
      </w:r>
      <w:r>
        <w:rPr>
          <w:rFonts w:hint="eastAsia" w:ascii="宋体" w:hAnsi="宋体" w:eastAsia="宋体" w:cs="宋体"/>
          <w:color w:val="auto"/>
          <w:sz w:val="21"/>
          <w:szCs w:val="21"/>
          <w:highlight w:val="none"/>
          <w:u w:val="single"/>
        </w:rPr>
        <w:t>（1）施工现场内外由本项目承包人提供的生产区、办公区、生活区治安保卫工作由承包人全面负责；（2）上述区域内若发生群殴、械斗等群体性头发治安事件的，每发生一起承包人对发包人支付违约金50000元。</w:t>
      </w:r>
    </w:p>
    <w:p w14:paraId="2C0CE119">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关于编制施工场地治安管理计划的约定：</w:t>
      </w:r>
      <w:r>
        <w:rPr>
          <w:rFonts w:hint="eastAsia" w:ascii="宋体" w:hAnsi="宋体" w:eastAsia="宋体" w:cs="宋体"/>
          <w:color w:val="auto"/>
          <w:sz w:val="21"/>
          <w:szCs w:val="21"/>
          <w:highlight w:val="none"/>
          <w:u w:val="single"/>
        </w:rPr>
        <w:t>由承包人在工程开工后7天内编制施工场地治安管理计划</w:t>
      </w:r>
      <w:r>
        <w:rPr>
          <w:rFonts w:hint="eastAsia" w:ascii="宋体" w:hAnsi="宋体" w:eastAsia="宋体" w:cs="宋体"/>
          <w:color w:val="auto"/>
          <w:sz w:val="21"/>
          <w:szCs w:val="21"/>
          <w:highlight w:val="none"/>
        </w:rPr>
        <w:t>。</w:t>
      </w:r>
    </w:p>
    <w:p w14:paraId="4CA10C3D">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6.1.5 文明施工</w:t>
      </w:r>
    </w:p>
    <w:p w14:paraId="2B472EE2">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合同当事人对文明施工的要求：</w:t>
      </w:r>
      <w:r>
        <w:rPr>
          <w:rFonts w:hint="eastAsia" w:ascii="宋体" w:hAnsi="宋体" w:eastAsia="宋体" w:cs="宋体"/>
          <w:color w:val="auto"/>
          <w:sz w:val="21"/>
          <w:szCs w:val="21"/>
          <w:highlight w:val="none"/>
          <w:u w:val="single"/>
        </w:rPr>
        <w:t>参照陕西省和</w:t>
      </w:r>
      <w:r>
        <w:rPr>
          <w:rFonts w:hint="eastAsia" w:ascii="宋体" w:hAnsi="宋体" w:eastAsia="宋体" w:cs="宋体"/>
          <w:color w:val="auto"/>
          <w:sz w:val="21"/>
          <w:szCs w:val="21"/>
          <w:highlight w:val="none"/>
          <w:u w:val="single"/>
          <w:lang w:val="en-US" w:eastAsia="zh-CN"/>
        </w:rPr>
        <w:t>咸阳</w:t>
      </w:r>
      <w:r>
        <w:rPr>
          <w:rFonts w:hint="eastAsia" w:ascii="宋体" w:hAnsi="宋体" w:eastAsia="宋体" w:cs="宋体"/>
          <w:color w:val="auto"/>
          <w:sz w:val="21"/>
          <w:szCs w:val="21"/>
          <w:highlight w:val="none"/>
          <w:u w:val="single"/>
        </w:rPr>
        <w:t>市对文明工地的要求。</w:t>
      </w:r>
    </w:p>
    <w:p w14:paraId="1FAEC82C">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6.1.6 关于安全文明施工费支付比例和支付期限的约定：</w:t>
      </w:r>
      <w:r>
        <w:rPr>
          <w:rFonts w:hint="eastAsia" w:ascii="宋体" w:hAnsi="宋体" w:eastAsia="宋体" w:cs="宋体"/>
          <w:color w:val="auto"/>
          <w:sz w:val="21"/>
          <w:szCs w:val="21"/>
          <w:highlight w:val="none"/>
          <w:u w:val="single"/>
        </w:rPr>
        <w:t>/</w:t>
      </w:r>
    </w:p>
    <w:p w14:paraId="4866B968">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6.1.9安全生产责任：</w:t>
      </w:r>
      <w:r>
        <w:rPr>
          <w:rFonts w:hint="eastAsia" w:ascii="宋体" w:hAnsi="宋体" w:eastAsia="宋体" w:cs="宋体"/>
          <w:color w:val="auto"/>
          <w:sz w:val="21"/>
          <w:szCs w:val="21"/>
          <w:highlight w:val="none"/>
          <w:u w:val="single"/>
        </w:rPr>
        <w:t>施工现场发生的一切安全事故由承包人承担全部责任及损失。</w:t>
      </w:r>
    </w:p>
    <w:bookmarkEnd w:id="182"/>
    <w:bookmarkEnd w:id="183"/>
    <w:bookmarkEnd w:id="184"/>
    <w:bookmarkEnd w:id="185"/>
    <w:bookmarkEnd w:id="186"/>
    <w:bookmarkEnd w:id="187"/>
    <w:bookmarkEnd w:id="188"/>
    <w:p w14:paraId="7099CC15">
      <w:pPr>
        <w:keepNext w:val="0"/>
        <w:keepLines w:val="0"/>
        <w:pageBreakBefore w:val="0"/>
        <w:kinsoku/>
        <w:wordWrap/>
        <w:overflowPunct/>
        <w:topLinePunct w:val="0"/>
        <w:bidi w:val="0"/>
        <w:spacing w:line="360" w:lineRule="exact"/>
        <w:ind w:left="0" w:leftChars="0" w:firstLine="422" w:firstLineChars="200"/>
        <w:jc w:val="left"/>
        <w:textAlignment w:val="auto"/>
        <w:rPr>
          <w:rFonts w:hint="eastAsia" w:ascii="宋体" w:hAnsi="宋体" w:eastAsia="宋体" w:cs="宋体"/>
          <w:b/>
          <w:bCs/>
          <w:color w:val="auto"/>
          <w:sz w:val="21"/>
          <w:szCs w:val="21"/>
          <w:highlight w:val="none"/>
        </w:rPr>
      </w:pPr>
      <w:bookmarkStart w:id="190" w:name="_Toc351203639"/>
      <w:r>
        <w:rPr>
          <w:rFonts w:hint="eastAsia" w:ascii="宋体" w:hAnsi="宋体" w:eastAsia="宋体" w:cs="宋体"/>
          <w:b/>
          <w:bCs/>
          <w:color w:val="auto"/>
          <w:sz w:val="21"/>
          <w:szCs w:val="21"/>
          <w:highlight w:val="none"/>
        </w:rPr>
        <w:t>7. 工期和进度</w:t>
      </w:r>
      <w:bookmarkEnd w:id="190"/>
    </w:p>
    <w:p w14:paraId="5AA60FA5">
      <w:pPr>
        <w:keepNext w:val="0"/>
        <w:keepLines w:val="0"/>
        <w:pageBreakBefore w:val="0"/>
        <w:kinsoku/>
        <w:wordWrap/>
        <w:overflowPunct/>
        <w:topLinePunct w:val="0"/>
        <w:autoSpaceDE w:val="0"/>
        <w:autoSpaceDN w:val="0"/>
        <w:bidi w:val="0"/>
        <w:adjustRightInd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7.1.2 </w:t>
      </w:r>
      <w:r>
        <w:rPr>
          <w:rFonts w:hint="eastAsia" w:ascii="宋体" w:hAnsi="宋体" w:eastAsia="宋体" w:cs="宋体"/>
          <w:color w:val="auto"/>
          <w:kern w:val="0"/>
          <w:sz w:val="21"/>
          <w:szCs w:val="21"/>
          <w:highlight w:val="none"/>
        </w:rPr>
        <w:t>施工组织设计的提交和修改</w:t>
      </w:r>
    </w:p>
    <w:p w14:paraId="13894D34">
      <w:pPr>
        <w:keepNext w:val="0"/>
        <w:keepLines w:val="0"/>
        <w:pageBreakBefore w:val="0"/>
        <w:kinsoku/>
        <w:wordWrap/>
        <w:overflowPunct/>
        <w:topLinePunct w:val="0"/>
        <w:autoSpaceDE w:val="0"/>
        <w:autoSpaceDN w:val="0"/>
        <w:bidi w:val="0"/>
        <w:adjustRightInd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承包人提交详细施工组织设计的期限的约定：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u w:val="single"/>
        </w:rPr>
        <w:t xml:space="preserve">合同签订7天内 </w:t>
      </w:r>
      <w:r>
        <w:rPr>
          <w:rFonts w:hint="eastAsia" w:ascii="宋体" w:hAnsi="宋体" w:eastAsia="宋体" w:cs="宋体"/>
          <w:color w:val="auto"/>
          <w:sz w:val="21"/>
          <w:szCs w:val="21"/>
          <w:highlight w:val="none"/>
        </w:rPr>
        <w:t>。</w:t>
      </w:r>
    </w:p>
    <w:p w14:paraId="057917C7">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发包人在收到详细的施工组织设计后确认或提出修改意见的期限：</w:t>
      </w:r>
      <w:r>
        <w:rPr>
          <w:rFonts w:hint="eastAsia" w:ascii="宋体" w:hAnsi="宋体" w:eastAsia="宋体" w:cs="宋体"/>
          <w:color w:val="auto"/>
          <w:sz w:val="21"/>
          <w:szCs w:val="21"/>
          <w:highlight w:val="none"/>
          <w:u w:val="single"/>
        </w:rPr>
        <w:t>执行通用条款</w:t>
      </w:r>
      <w:r>
        <w:rPr>
          <w:rFonts w:hint="eastAsia" w:ascii="宋体" w:hAnsi="宋体" w:eastAsia="宋体" w:cs="宋体"/>
          <w:color w:val="auto"/>
          <w:sz w:val="21"/>
          <w:szCs w:val="21"/>
          <w:highlight w:val="none"/>
        </w:rPr>
        <w:t>。</w:t>
      </w:r>
    </w:p>
    <w:p w14:paraId="6EEC922E">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191" w:name="_Toc312677479"/>
      <w:bookmarkStart w:id="192" w:name="_Toc297216173"/>
      <w:bookmarkStart w:id="193" w:name="_Toc297123514"/>
      <w:bookmarkStart w:id="194" w:name="_Toc304295541"/>
      <w:bookmarkStart w:id="195" w:name="_Toc303539123"/>
      <w:bookmarkStart w:id="196" w:name="_Toc312678005"/>
      <w:bookmarkStart w:id="197" w:name="_Toc300934966"/>
      <w:r>
        <w:rPr>
          <w:rFonts w:hint="eastAsia" w:ascii="宋体" w:hAnsi="宋体" w:eastAsia="宋体" w:cs="宋体"/>
          <w:color w:val="auto"/>
          <w:sz w:val="21"/>
          <w:szCs w:val="21"/>
          <w:highlight w:val="none"/>
        </w:rPr>
        <w:t>.2 施工进度计划</w:t>
      </w:r>
    </w:p>
    <w:p w14:paraId="1F45DB92">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7.2.2 施工进度计划的修订</w:t>
      </w:r>
    </w:p>
    <w:p w14:paraId="0613EA08">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发包人在收到修订的施工进度计划后确认或提出修改意见的期限：</w:t>
      </w:r>
      <w:r>
        <w:rPr>
          <w:rFonts w:hint="eastAsia" w:ascii="宋体" w:hAnsi="宋体" w:eastAsia="宋体" w:cs="宋体"/>
          <w:color w:val="auto"/>
          <w:sz w:val="21"/>
          <w:szCs w:val="21"/>
          <w:highlight w:val="none"/>
          <w:u w:val="single"/>
        </w:rPr>
        <w:t>执行通用条款</w:t>
      </w:r>
      <w:r>
        <w:rPr>
          <w:rFonts w:hint="eastAsia" w:ascii="宋体" w:hAnsi="宋体" w:eastAsia="宋体" w:cs="宋体"/>
          <w:color w:val="auto"/>
          <w:sz w:val="21"/>
          <w:szCs w:val="21"/>
          <w:highlight w:val="none"/>
        </w:rPr>
        <w:t>。</w:t>
      </w:r>
    </w:p>
    <w:p w14:paraId="5B311330">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 开工</w:t>
      </w:r>
    </w:p>
    <w:p w14:paraId="0EA5416A">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7.3.1 开工准备</w:t>
      </w:r>
    </w:p>
    <w:p w14:paraId="207369B3">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关于承包人提交</w:t>
      </w:r>
      <w:r>
        <w:rPr>
          <w:rFonts w:hint="eastAsia" w:ascii="宋体" w:hAnsi="宋体" w:eastAsia="宋体" w:cs="宋体"/>
          <w:color w:val="auto"/>
          <w:kern w:val="0"/>
          <w:sz w:val="21"/>
          <w:szCs w:val="21"/>
          <w:highlight w:val="none"/>
        </w:rPr>
        <w:t>工程开工报审表的期限：</w:t>
      </w:r>
      <w:r>
        <w:rPr>
          <w:rFonts w:hint="eastAsia" w:ascii="宋体" w:hAnsi="宋体" w:eastAsia="宋体" w:cs="宋体"/>
          <w:color w:val="auto"/>
          <w:sz w:val="21"/>
          <w:szCs w:val="21"/>
          <w:highlight w:val="none"/>
          <w:u w:val="single"/>
        </w:rPr>
        <w:t>合同签订后5天内，但不得晚于通用条款7.3.2项[开工通知]载明的开工日期前10天</w:t>
      </w:r>
      <w:r>
        <w:rPr>
          <w:rFonts w:hint="eastAsia" w:ascii="宋体" w:hAnsi="宋体" w:eastAsia="宋体" w:cs="宋体"/>
          <w:color w:val="auto"/>
          <w:sz w:val="21"/>
          <w:szCs w:val="21"/>
          <w:highlight w:val="none"/>
        </w:rPr>
        <w:t>。</w:t>
      </w:r>
    </w:p>
    <w:p w14:paraId="69373805">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关于承包人应完成的其他开工准备工作及期限：</w:t>
      </w:r>
      <w:r>
        <w:rPr>
          <w:rFonts w:hint="eastAsia" w:ascii="宋体" w:hAnsi="宋体" w:eastAsia="宋体" w:cs="宋体"/>
          <w:color w:val="auto"/>
          <w:sz w:val="21"/>
          <w:szCs w:val="21"/>
          <w:highlight w:val="none"/>
          <w:u w:val="single"/>
        </w:rPr>
        <w:t xml:space="preserve">扬尘治理专项方案，合同签订后15个日历天内    </w:t>
      </w:r>
      <w:r>
        <w:rPr>
          <w:rFonts w:hint="eastAsia" w:ascii="宋体" w:hAnsi="宋体" w:eastAsia="宋体" w:cs="宋体"/>
          <w:color w:val="auto"/>
          <w:sz w:val="21"/>
          <w:szCs w:val="21"/>
          <w:highlight w:val="none"/>
        </w:rPr>
        <w:t>。</w:t>
      </w:r>
    </w:p>
    <w:bookmarkEnd w:id="191"/>
    <w:bookmarkEnd w:id="192"/>
    <w:bookmarkEnd w:id="193"/>
    <w:bookmarkEnd w:id="194"/>
    <w:bookmarkEnd w:id="195"/>
    <w:bookmarkEnd w:id="196"/>
    <w:bookmarkEnd w:id="197"/>
    <w:p w14:paraId="7212D2E7">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198" w:name="_Toc297123516"/>
      <w:bookmarkStart w:id="199" w:name="_Toc300934968"/>
      <w:bookmarkStart w:id="200" w:name="_Toc304295546"/>
      <w:bookmarkStart w:id="201" w:name="_Toc303539125"/>
      <w:bookmarkStart w:id="202" w:name="_Toc312678010"/>
      <w:bookmarkStart w:id="203" w:name="_Toc297216175"/>
      <w:bookmarkStart w:id="204" w:name="_Toc312677484"/>
      <w:r>
        <w:rPr>
          <w:rFonts w:hint="eastAsia" w:ascii="宋体" w:hAnsi="宋体" w:eastAsia="宋体" w:cs="宋体"/>
          <w:color w:val="auto"/>
          <w:sz w:val="21"/>
          <w:szCs w:val="21"/>
          <w:highlight w:val="none"/>
        </w:rPr>
        <w:t>.5 工期延误</w:t>
      </w:r>
    </w:p>
    <w:bookmarkEnd w:id="198"/>
    <w:bookmarkEnd w:id="199"/>
    <w:bookmarkEnd w:id="200"/>
    <w:bookmarkEnd w:id="201"/>
    <w:bookmarkEnd w:id="202"/>
    <w:bookmarkEnd w:id="203"/>
    <w:bookmarkEnd w:id="204"/>
    <w:p w14:paraId="58B6F1D0">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bookmarkStart w:id="205" w:name="_Toc312678014"/>
      <w:bookmarkStart w:id="206" w:name="_Toc318581171"/>
      <w:r>
        <w:rPr>
          <w:rFonts w:hint="eastAsia" w:ascii="宋体" w:hAnsi="宋体" w:eastAsia="宋体" w:cs="宋体"/>
          <w:color w:val="auto"/>
          <w:sz w:val="21"/>
          <w:szCs w:val="21"/>
          <w:highlight w:val="none"/>
        </w:rPr>
        <w:t>7.5.1 因发包人原因导致工期延误</w:t>
      </w:r>
    </w:p>
    <w:p w14:paraId="36014E47">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（7）因发包人原因导致工期延误的其他情形：</w:t>
      </w:r>
      <w:r>
        <w:rPr>
          <w:rFonts w:hint="eastAsia" w:ascii="宋体" w:hAnsi="宋体" w:eastAsia="宋体" w:cs="宋体"/>
          <w:color w:val="auto"/>
          <w:sz w:val="21"/>
          <w:szCs w:val="21"/>
          <w:highlight w:val="none"/>
          <w:u w:val="single"/>
        </w:rPr>
        <w:t xml:space="preserve"> 不可抗力，此延误工期须在发生后7天内办理延期申请，逾期不予认可</w:t>
      </w:r>
      <w:r>
        <w:rPr>
          <w:rFonts w:hint="eastAsia" w:ascii="宋体" w:hAnsi="宋体" w:eastAsia="宋体" w:cs="宋体"/>
          <w:color w:val="auto"/>
          <w:sz w:val="21"/>
          <w:szCs w:val="21"/>
          <w:highlight w:val="none"/>
        </w:rPr>
        <w:t>。</w:t>
      </w:r>
    </w:p>
    <w:p w14:paraId="642C5D20">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207" w:name="_Toc318581169"/>
      <w:bookmarkStart w:id="208" w:name="_Toc312678012"/>
      <w:bookmarkStart w:id="209" w:name="_Toc312677486"/>
      <w:bookmarkStart w:id="210" w:name="_Toc297216177"/>
      <w:bookmarkStart w:id="211" w:name="_Toc303539127"/>
      <w:bookmarkStart w:id="212" w:name="_Toc304295548"/>
      <w:bookmarkStart w:id="213" w:name="_Toc300934970"/>
      <w:bookmarkStart w:id="214" w:name="_Toc297123518"/>
      <w:r>
        <w:rPr>
          <w:rFonts w:hint="eastAsia" w:ascii="宋体" w:hAnsi="宋体" w:eastAsia="宋体" w:cs="宋体"/>
          <w:color w:val="auto"/>
          <w:sz w:val="21"/>
          <w:szCs w:val="21"/>
          <w:highlight w:val="none"/>
        </w:rPr>
        <w:t>.5.2 因承包人原因导致工期延误</w:t>
      </w:r>
    </w:p>
    <w:bookmarkEnd w:id="207"/>
    <w:bookmarkEnd w:id="208"/>
    <w:bookmarkEnd w:id="209"/>
    <w:p w14:paraId="5A109A14">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w:t>
      </w:r>
      <w:bookmarkStart w:id="215" w:name="_Toc312677487"/>
      <w:bookmarkStart w:id="216" w:name="_Toc312678013"/>
      <w:bookmarkStart w:id="217" w:name="_Toc318581170"/>
      <w:r>
        <w:rPr>
          <w:rFonts w:hint="eastAsia" w:ascii="宋体" w:hAnsi="宋体" w:eastAsia="宋体" w:cs="宋体"/>
          <w:color w:val="auto"/>
          <w:sz w:val="21"/>
          <w:szCs w:val="21"/>
          <w:highlight w:val="none"/>
        </w:rPr>
        <w:t>承包人原因造成工期延误，逾期竣工违约金的计算方法为：</w:t>
      </w:r>
      <w:bookmarkEnd w:id="210"/>
      <w:bookmarkEnd w:id="211"/>
      <w:bookmarkEnd w:id="212"/>
      <w:bookmarkEnd w:id="213"/>
      <w:bookmarkEnd w:id="214"/>
      <w:bookmarkEnd w:id="215"/>
      <w:bookmarkEnd w:id="216"/>
      <w:r>
        <w:rPr>
          <w:rFonts w:hint="eastAsia" w:ascii="宋体" w:hAnsi="宋体" w:eastAsia="宋体" w:cs="宋体"/>
          <w:color w:val="auto"/>
          <w:sz w:val="21"/>
          <w:szCs w:val="21"/>
          <w:highlight w:val="none"/>
          <w:u w:val="single"/>
        </w:rPr>
        <w:t>按投标工期提前无奖励。1）承包人工期每推迟一天除按合同价的万分之二处罚外，若影响发包人使用时，还应按合同总价的5‰向发包人支付使用违约金。2）因工程量变化引起的工期变化，本工程不予调整即总工期不变。</w:t>
      </w:r>
    </w:p>
    <w:bookmarkEnd w:id="217"/>
    <w:p w14:paraId="44FCC88B">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因承包人原因造成工期延误，逾期竣工违约金的上限：</w:t>
      </w:r>
      <w:r>
        <w:rPr>
          <w:rFonts w:hint="eastAsia" w:ascii="宋体" w:hAnsi="宋体" w:eastAsia="宋体" w:cs="宋体"/>
          <w:color w:val="auto"/>
          <w:sz w:val="21"/>
          <w:szCs w:val="21"/>
          <w:highlight w:val="none"/>
          <w:u w:val="single"/>
        </w:rPr>
        <w:t>无上限</w:t>
      </w:r>
      <w:r>
        <w:rPr>
          <w:rFonts w:hint="eastAsia" w:ascii="宋体" w:hAnsi="宋体" w:eastAsia="宋体" w:cs="宋体"/>
          <w:color w:val="auto"/>
          <w:sz w:val="21"/>
          <w:szCs w:val="21"/>
          <w:highlight w:val="none"/>
        </w:rPr>
        <w:t>。</w:t>
      </w:r>
    </w:p>
    <w:bookmarkEnd w:id="205"/>
    <w:bookmarkEnd w:id="206"/>
    <w:p w14:paraId="6BA920F7">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218" w:name="_Toc297216180"/>
      <w:bookmarkStart w:id="219" w:name="_Toc303539130"/>
      <w:bookmarkStart w:id="220" w:name="_Toc304295551"/>
      <w:bookmarkStart w:id="221" w:name="_Toc297123521"/>
      <w:bookmarkStart w:id="222" w:name="_Toc300934973"/>
      <w:bookmarkStart w:id="223" w:name="_Toc312678017"/>
      <w:r>
        <w:rPr>
          <w:rFonts w:hint="eastAsia" w:ascii="宋体" w:hAnsi="宋体" w:eastAsia="宋体" w:cs="宋体"/>
          <w:color w:val="auto"/>
          <w:sz w:val="21"/>
          <w:szCs w:val="21"/>
          <w:highlight w:val="none"/>
        </w:rPr>
        <w:t>.7异常恶劣的气候条件</w:t>
      </w:r>
    </w:p>
    <w:bookmarkEnd w:id="218"/>
    <w:bookmarkEnd w:id="219"/>
    <w:bookmarkEnd w:id="220"/>
    <w:bookmarkEnd w:id="221"/>
    <w:bookmarkEnd w:id="222"/>
    <w:bookmarkEnd w:id="223"/>
    <w:p w14:paraId="549B9D2B">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发包人和承包人同意以下情形视为异常恶劣的气候条件：</w:t>
      </w:r>
    </w:p>
    <w:p w14:paraId="3458C8E6">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color w:val="auto"/>
          <w:sz w:val="21"/>
          <w:szCs w:val="21"/>
          <w:highlight w:val="none"/>
          <w:u w:val="single"/>
        </w:rPr>
        <w:t xml:space="preserve">7级以上大风 </w:t>
      </w:r>
      <w:r>
        <w:rPr>
          <w:rFonts w:hint="eastAsia" w:ascii="宋体" w:hAnsi="宋体" w:eastAsia="宋体" w:cs="宋体"/>
          <w:color w:val="auto"/>
          <w:sz w:val="21"/>
          <w:szCs w:val="21"/>
          <w:highlight w:val="none"/>
        </w:rPr>
        <w:t>。</w:t>
      </w:r>
    </w:p>
    <w:p w14:paraId="2CF1B490">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Cs/>
          <w:color w:val="auto"/>
          <w:sz w:val="21"/>
          <w:szCs w:val="21"/>
          <w:highlight w:val="none"/>
          <w:u w:val="single"/>
        </w:rPr>
        <w:t xml:space="preserve">3小时内降雨量将达50毫米以上，或者已达50毫米以上且降雨可能持续 </w:t>
      </w:r>
      <w:r>
        <w:rPr>
          <w:rFonts w:hint="eastAsia" w:ascii="宋体" w:hAnsi="宋体" w:eastAsia="宋体" w:cs="宋体"/>
          <w:color w:val="auto"/>
          <w:sz w:val="21"/>
          <w:szCs w:val="21"/>
          <w:highlight w:val="none"/>
        </w:rPr>
        <w:t>。</w:t>
      </w:r>
    </w:p>
    <w:p w14:paraId="3B4B01F9">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Cs/>
          <w:color w:val="auto"/>
          <w:sz w:val="21"/>
          <w:szCs w:val="21"/>
          <w:highlight w:val="none"/>
          <w:u w:val="single"/>
        </w:rPr>
        <w:t>雾霾红色预警</w:t>
      </w:r>
      <w:r>
        <w:rPr>
          <w:rFonts w:hint="eastAsia" w:ascii="宋体" w:hAnsi="宋体" w:eastAsia="宋体" w:cs="宋体"/>
          <w:color w:val="auto"/>
          <w:sz w:val="21"/>
          <w:szCs w:val="21"/>
          <w:highlight w:val="none"/>
        </w:rPr>
        <w:t>。</w:t>
      </w:r>
    </w:p>
    <w:p w14:paraId="170C4B7C">
      <w:pPr>
        <w:keepNext w:val="0"/>
        <w:keepLines w:val="0"/>
        <w:pageBreakBefore w:val="0"/>
        <w:kinsoku/>
        <w:wordWrap/>
        <w:overflowPunct/>
        <w:topLinePunct w:val="0"/>
        <w:bidi w:val="0"/>
        <w:spacing w:line="360" w:lineRule="exact"/>
        <w:ind w:left="0" w:leftChars="0" w:firstLine="422" w:firstLineChars="200"/>
        <w:jc w:val="left"/>
        <w:textAlignment w:val="auto"/>
        <w:rPr>
          <w:rFonts w:hint="eastAsia" w:ascii="宋体" w:hAnsi="宋体" w:eastAsia="宋体" w:cs="宋体"/>
          <w:b/>
          <w:bCs/>
          <w:color w:val="auto"/>
          <w:sz w:val="21"/>
          <w:szCs w:val="21"/>
          <w:highlight w:val="none"/>
        </w:rPr>
      </w:pPr>
      <w:bookmarkStart w:id="224" w:name="_Toc351203640"/>
      <w:r>
        <w:rPr>
          <w:rFonts w:hint="eastAsia" w:ascii="宋体" w:hAnsi="宋体" w:eastAsia="宋体" w:cs="宋体"/>
          <w:b/>
          <w:bCs/>
          <w:color w:val="auto"/>
          <w:sz w:val="21"/>
          <w:szCs w:val="21"/>
          <w:highlight w:val="none"/>
        </w:rPr>
        <w:t>8. 材料与设备</w:t>
      </w:r>
      <w:bookmarkEnd w:id="224"/>
    </w:p>
    <w:bookmarkEnd w:id="172"/>
    <w:bookmarkEnd w:id="173"/>
    <w:bookmarkEnd w:id="174"/>
    <w:bookmarkEnd w:id="175"/>
    <w:bookmarkEnd w:id="176"/>
    <w:bookmarkEnd w:id="177"/>
    <w:bookmarkEnd w:id="178"/>
    <w:bookmarkEnd w:id="179"/>
    <w:bookmarkEnd w:id="180"/>
    <w:bookmarkEnd w:id="181"/>
    <w:p w14:paraId="15B75EE1">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bookmarkStart w:id="225" w:name="_Toc297216187"/>
      <w:bookmarkStart w:id="226" w:name="_Toc300934980"/>
      <w:bookmarkStart w:id="227" w:name="_Toc296347167"/>
      <w:bookmarkStart w:id="228" w:name="_Toc267251424"/>
      <w:bookmarkStart w:id="229" w:name="_Toc312678020"/>
      <w:bookmarkStart w:id="230" w:name="_Toc312677494"/>
      <w:bookmarkStart w:id="231" w:name="_Toc296891208"/>
      <w:bookmarkStart w:id="232" w:name="_Toc303539137"/>
      <w:bookmarkStart w:id="233" w:name="_Toc304295557"/>
      <w:bookmarkStart w:id="234" w:name="_Toc296346669"/>
      <w:bookmarkStart w:id="235" w:name="_Toc296944507"/>
      <w:bookmarkStart w:id="236" w:name="_Toc296890996"/>
      <w:bookmarkStart w:id="237" w:name="_Toc296503168"/>
      <w:bookmarkStart w:id="238" w:name="_Toc297123528"/>
      <w:bookmarkStart w:id="239" w:name="_Toc280868656"/>
      <w:bookmarkStart w:id="240" w:name="_Toc297048354"/>
      <w:bookmarkStart w:id="241" w:name="_Toc297120468"/>
      <w:bookmarkStart w:id="242" w:name="_Toc280868655"/>
      <w:bookmarkStart w:id="243" w:name="_Toc318581173"/>
      <w:r>
        <w:rPr>
          <w:rFonts w:hint="eastAsia" w:ascii="宋体" w:hAnsi="宋体" w:eastAsia="宋体" w:cs="宋体"/>
          <w:color w:val="auto"/>
          <w:sz w:val="21"/>
          <w:szCs w:val="21"/>
          <w:highlight w:val="none"/>
        </w:rPr>
        <w:t>8.2承包人采购材料与工程设备：</w:t>
      </w:r>
    </w:p>
    <w:p w14:paraId="7231B1B6">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由发包人暂定价的材料设备必须经发包人认质认价和</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审批程序后承包人方可采购，发包人认定的价格与暂定价差额计算材料价差，其差价部分只计取规费、安全文明施工费和税金。发包人暂定价或需认质认价的材料设备单价已包含全部费用（为工地出库价）。</w:t>
      </w:r>
    </w:p>
    <w:p w14:paraId="036E92B1">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承包人采购的所有材料、设备，除满足</w:t>
      </w:r>
      <w:r>
        <w:rPr>
          <w:rFonts w:hint="eastAsia" w:ascii="宋体" w:hAnsi="宋体" w:eastAsia="宋体" w:cs="宋体"/>
          <w:color w:val="auto"/>
          <w:sz w:val="21"/>
          <w:szCs w:val="21"/>
          <w:highlight w:val="none"/>
          <w:u w:val="single"/>
          <w:lang w:eastAsia="zh-CN"/>
        </w:rPr>
        <w:t>竞争性磋商文件</w:t>
      </w:r>
      <w:r>
        <w:rPr>
          <w:rFonts w:hint="eastAsia" w:ascii="宋体" w:hAnsi="宋体" w:eastAsia="宋体" w:cs="宋体"/>
          <w:color w:val="auto"/>
          <w:sz w:val="21"/>
          <w:szCs w:val="21"/>
          <w:highlight w:val="none"/>
          <w:u w:val="single"/>
        </w:rPr>
        <w:t>要求外，且应达到国家规范或设计要求的“合格”及以上标准，且应符合国家、省市关于健康、节能、环保以及强制性认证等要求。由承包人自购的主要材料、设备必须经发包方认质审批后，方可采购。如因材料、设备质量造成的工程损失由承包人负全部责任。</w:t>
      </w:r>
    </w:p>
    <w:p w14:paraId="7334BB51">
      <w:pPr>
        <w:keepNext w:val="0"/>
        <w:keepLines w:val="0"/>
        <w:pageBreakBefore w:val="0"/>
        <w:kinsoku/>
        <w:wordWrap/>
        <w:overflowPunct/>
        <w:topLinePunct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其它主要材料价格调整约定：</w:t>
      </w:r>
    </w:p>
    <w:p w14:paraId="5E418BBB">
      <w:pPr>
        <w:keepNext w:val="0"/>
        <w:keepLines w:val="0"/>
        <w:pageBreakBefore w:val="0"/>
        <w:kinsoku/>
        <w:wordWrap/>
        <w:overflowPunct/>
        <w:topLinePunct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商品砼市场价中已含运费、泵送费、抗渗费及其它所需添加剂等一切费用。</w:t>
      </w:r>
    </w:p>
    <w:p w14:paraId="14DEAED2">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承包人中标后，应在一周内提交总采购计划书（包括品牌、规格型号、数量、采购时间等内容）。在各批材料进场一周前，承包人应向发包人提交该批材料采购情况及说明。各批材料进场前应提前通知发包人进行现场复核确认。</w:t>
      </w:r>
    </w:p>
    <w:p w14:paraId="7F2585BA">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bookmarkStart w:id="244" w:name="_Toc297216186"/>
      <w:bookmarkStart w:id="245" w:name="_Toc296503167"/>
      <w:bookmarkStart w:id="246" w:name="_Toc296891207"/>
      <w:bookmarkStart w:id="247" w:name="_Toc312677493"/>
      <w:bookmarkStart w:id="248" w:name="_Toc300934979"/>
      <w:bookmarkStart w:id="249" w:name="_Toc296347166"/>
      <w:bookmarkStart w:id="250" w:name="_Toc312678019"/>
      <w:bookmarkStart w:id="251" w:name="_Toc296346668"/>
      <w:bookmarkStart w:id="252" w:name="_Toc296890995"/>
      <w:bookmarkStart w:id="253" w:name="_Toc297120467"/>
      <w:bookmarkStart w:id="254" w:name="_Toc304295556"/>
      <w:bookmarkStart w:id="255" w:name="_Toc292559372"/>
      <w:bookmarkStart w:id="256" w:name="_Toc296944506"/>
      <w:bookmarkStart w:id="257" w:name="_Toc292559877"/>
      <w:bookmarkStart w:id="258" w:name="_Toc297048353"/>
      <w:bookmarkStart w:id="259" w:name="_Toc303539136"/>
      <w:bookmarkStart w:id="260" w:name="_Toc297123527"/>
      <w:bookmarkStart w:id="261" w:name="_Toc280868654"/>
      <w:r>
        <w:rPr>
          <w:rFonts w:hint="eastAsia" w:ascii="宋体" w:hAnsi="宋体" w:eastAsia="宋体" w:cs="宋体"/>
          <w:color w:val="auto"/>
          <w:sz w:val="21"/>
          <w:szCs w:val="21"/>
          <w:highlight w:val="none"/>
        </w:rPr>
        <w:t>.4材料与工程设备的保管与使用：</w:t>
      </w:r>
      <w:r>
        <w:rPr>
          <w:rFonts w:hint="eastAsia" w:ascii="宋体" w:hAnsi="宋体" w:eastAsia="宋体" w:cs="宋体"/>
          <w:color w:val="auto"/>
          <w:sz w:val="21"/>
          <w:szCs w:val="21"/>
          <w:highlight w:val="none"/>
          <w:u w:val="single"/>
        </w:rPr>
        <w:t>本项目采购材料与工程设备由承包人保管。</w:t>
      </w:r>
    </w:p>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14:paraId="7FB3F0C6">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bookmarkStart w:id="262" w:name="_Toc292559878"/>
      <w:bookmarkStart w:id="263" w:name="_Toc292559373"/>
      <w:r>
        <w:rPr>
          <w:rFonts w:hint="eastAsia" w:ascii="宋体" w:hAnsi="宋体" w:eastAsia="宋体" w:cs="宋体"/>
          <w:color w:val="auto"/>
          <w:kern w:val="0"/>
          <w:sz w:val="21"/>
          <w:szCs w:val="21"/>
          <w:highlight w:val="none"/>
        </w:rPr>
        <w:t>8.4.2 承包人采购</w:t>
      </w:r>
      <w:r>
        <w:rPr>
          <w:rFonts w:hint="eastAsia" w:ascii="宋体" w:hAnsi="宋体" w:eastAsia="宋体" w:cs="宋体"/>
          <w:color w:val="auto"/>
          <w:sz w:val="21"/>
          <w:szCs w:val="21"/>
          <w:highlight w:val="none"/>
        </w:rPr>
        <w:t>材料与</w:t>
      </w:r>
      <w:r>
        <w:rPr>
          <w:rFonts w:hint="eastAsia" w:ascii="宋体" w:hAnsi="宋体" w:eastAsia="宋体" w:cs="宋体"/>
          <w:color w:val="auto"/>
          <w:kern w:val="0"/>
          <w:sz w:val="21"/>
          <w:szCs w:val="21"/>
          <w:highlight w:val="none"/>
        </w:rPr>
        <w:t>工程</w:t>
      </w:r>
      <w:r>
        <w:rPr>
          <w:rFonts w:hint="eastAsia" w:ascii="宋体" w:hAnsi="宋体" w:eastAsia="宋体" w:cs="宋体"/>
          <w:color w:val="auto"/>
          <w:sz w:val="21"/>
          <w:szCs w:val="21"/>
          <w:highlight w:val="none"/>
        </w:rPr>
        <w:t>设备的保管与使用：</w:t>
      </w:r>
      <w:bookmarkEnd w:id="262"/>
      <w:bookmarkEnd w:id="263"/>
      <w:r>
        <w:rPr>
          <w:rFonts w:hint="eastAsia" w:ascii="宋体" w:hAnsi="宋体" w:eastAsia="宋体" w:cs="宋体"/>
          <w:color w:val="auto"/>
          <w:sz w:val="21"/>
          <w:szCs w:val="21"/>
          <w:highlight w:val="none"/>
          <w:u w:val="single"/>
        </w:rPr>
        <w:t>执行通用条款。</w:t>
      </w:r>
    </w:p>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14:paraId="55773D2B">
      <w:pPr>
        <w:keepNext w:val="0"/>
        <w:keepLines w:val="0"/>
        <w:pageBreakBefore w:val="0"/>
        <w:kinsoku/>
        <w:wordWrap/>
        <w:overflowPunct/>
        <w:topLinePunct w:val="0"/>
        <w:bidi w:val="0"/>
        <w:spacing w:line="360" w:lineRule="exact"/>
        <w:ind w:left="0" w:leftChars="0" w:firstLine="422" w:firstLineChars="200"/>
        <w:jc w:val="left"/>
        <w:textAlignment w:val="auto"/>
        <w:rPr>
          <w:rFonts w:hint="eastAsia" w:ascii="宋体" w:hAnsi="宋体" w:eastAsia="宋体" w:cs="宋体"/>
          <w:b/>
          <w:bCs/>
          <w:color w:val="auto"/>
          <w:sz w:val="21"/>
          <w:szCs w:val="21"/>
          <w:highlight w:val="none"/>
        </w:rPr>
      </w:pPr>
      <w:bookmarkStart w:id="264" w:name="_Toc296944512"/>
      <w:bookmarkStart w:id="265" w:name="_Toc292559378"/>
      <w:bookmarkStart w:id="266" w:name="_Toc296347172"/>
      <w:bookmarkStart w:id="267" w:name="_Toc296891213"/>
      <w:bookmarkStart w:id="268" w:name="_Toc297120473"/>
      <w:bookmarkStart w:id="269" w:name="_Toc296891001"/>
      <w:bookmarkStart w:id="270" w:name="_Toc267251427"/>
      <w:bookmarkStart w:id="271" w:name="_Toc296346674"/>
      <w:bookmarkStart w:id="272" w:name="_Toc292559883"/>
      <w:bookmarkStart w:id="273" w:name="_Toc296503173"/>
      <w:bookmarkStart w:id="274" w:name="_Toc297048359"/>
      <w:bookmarkStart w:id="275" w:name="_Toc267251428"/>
      <w:bookmarkStart w:id="276" w:name="_Toc351203642"/>
      <w:r>
        <w:rPr>
          <w:rFonts w:hint="eastAsia" w:ascii="宋体" w:hAnsi="宋体" w:eastAsia="宋体" w:cs="宋体"/>
          <w:b/>
          <w:bCs/>
          <w:color w:val="auto"/>
          <w:sz w:val="21"/>
          <w:szCs w:val="21"/>
          <w:highlight w:val="none"/>
        </w:rPr>
        <w:t>1</w:t>
      </w:r>
      <w:bookmarkEnd w:id="264"/>
      <w:bookmarkEnd w:id="265"/>
      <w:bookmarkEnd w:id="266"/>
      <w:bookmarkEnd w:id="267"/>
      <w:bookmarkEnd w:id="268"/>
      <w:bookmarkEnd w:id="269"/>
      <w:bookmarkEnd w:id="270"/>
      <w:bookmarkEnd w:id="271"/>
      <w:bookmarkEnd w:id="272"/>
      <w:bookmarkEnd w:id="273"/>
      <w:bookmarkEnd w:id="274"/>
      <w:bookmarkEnd w:id="275"/>
      <w:bookmarkStart w:id="277" w:name="_Toc297048379"/>
      <w:bookmarkStart w:id="278" w:name="_Toc303539146"/>
      <w:bookmarkStart w:id="279" w:name="_Toc304295566"/>
      <w:bookmarkStart w:id="280" w:name="_Toc296891021"/>
      <w:bookmarkStart w:id="281" w:name="_Toc296503193"/>
      <w:bookmarkStart w:id="282" w:name="_Toc292559398"/>
      <w:bookmarkStart w:id="283" w:name="_Toc296346694"/>
      <w:bookmarkStart w:id="284" w:name="_Toc300934989"/>
      <w:bookmarkStart w:id="285" w:name="_Toc296944532"/>
      <w:bookmarkStart w:id="286" w:name="_Toc297123540"/>
      <w:bookmarkStart w:id="287" w:name="_Toc292559903"/>
      <w:bookmarkStart w:id="288" w:name="_Toc297120493"/>
      <w:bookmarkStart w:id="289" w:name="_Toc297216199"/>
      <w:bookmarkStart w:id="290" w:name="_Toc296891233"/>
      <w:bookmarkStart w:id="291" w:name="_Toc296347192"/>
      <w:bookmarkStart w:id="292" w:name="_Toc312678025"/>
      <w:bookmarkStart w:id="293" w:name="_Toc312677499"/>
      <w:bookmarkStart w:id="294" w:name="_Toc267251433"/>
      <w:bookmarkStart w:id="295" w:name="_Toc267251435"/>
      <w:bookmarkStart w:id="296" w:name="_Toc267251441"/>
      <w:bookmarkStart w:id="297" w:name="_Toc267251437"/>
      <w:bookmarkStart w:id="298" w:name="_Toc267251439"/>
      <w:bookmarkStart w:id="299" w:name="_Toc267251440"/>
      <w:bookmarkStart w:id="300" w:name="_Toc267251442"/>
      <w:r>
        <w:rPr>
          <w:rFonts w:hint="eastAsia" w:ascii="宋体" w:hAnsi="宋体" w:eastAsia="宋体" w:cs="宋体"/>
          <w:b/>
          <w:bCs/>
          <w:color w:val="auto"/>
          <w:sz w:val="21"/>
          <w:szCs w:val="21"/>
          <w:highlight w:val="none"/>
        </w:rPr>
        <w:t>0. 变更</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bookmarkEnd w:id="292"/>
    <w:bookmarkEnd w:id="293"/>
    <w:p w14:paraId="141716F4">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bookmarkStart w:id="301" w:name="_Toc292559399"/>
      <w:bookmarkStart w:id="302" w:name="_Toc296891022"/>
      <w:bookmarkStart w:id="303" w:name="_Toc303539147"/>
      <w:bookmarkStart w:id="304" w:name="_Toc296891234"/>
      <w:bookmarkStart w:id="305" w:name="_Toc292559904"/>
      <w:bookmarkStart w:id="306" w:name="_Toc304295567"/>
      <w:bookmarkStart w:id="307" w:name="_Toc296346695"/>
      <w:bookmarkStart w:id="308" w:name="_Toc312677500"/>
      <w:bookmarkStart w:id="309" w:name="_Toc296944533"/>
      <w:bookmarkStart w:id="310" w:name="_Toc297048380"/>
      <w:bookmarkStart w:id="311" w:name="_Toc312678026"/>
      <w:bookmarkStart w:id="312" w:name="_Toc297123541"/>
      <w:bookmarkStart w:id="313" w:name="_Toc297120494"/>
      <w:bookmarkStart w:id="314" w:name="_Toc296347193"/>
      <w:bookmarkStart w:id="315" w:name="_Toc296503194"/>
      <w:bookmarkStart w:id="316" w:name="_Toc297216200"/>
      <w:bookmarkStart w:id="317" w:name="_Toc300934990"/>
      <w:r>
        <w:rPr>
          <w:rFonts w:hint="eastAsia" w:ascii="宋体" w:hAnsi="宋体" w:eastAsia="宋体" w:cs="宋体"/>
          <w:color w:val="auto"/>
          <w:sz w:val="21"/>
          <w:szCs w:val="21"/>
          <w:highlight w:val="none"/>
        </w:rPr>
        <w:t>10.1变更的范围</w:t>
      </w:r>
    </w:p>
    <w:p w14:paraId="5DB5F40F">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关于变更的范围的约定</w:t>
      </w:r>
      <w:r>
        <w:rPr>
          <w:rFonts w:hint="eastAsia" w:ascii="宋体" w:hAnsi="宋体" w:eastAsia="宋体" w:cs="宋体"/>
          <w:color w:val="auto"/>
          <w:sz w:val="21"/>
          <w:szCs w:val="21"/>
          <w:highlight w:val="none"/>
          <w:u w:val="single"/>
        </w:rPr>
        <w:t>：除通用条款外，承包人在施工中提出的合理化建议涉及到对设计图纸或施工组织设计的更改及对材料、设备的换用，须经报发包人批准后以设计变更单的形式通知承包人实施，否则不作为工程设计变更对待。</w:t>
      </w:r>
    </w:p>
    <w:p w14:paraId="2F316ECB">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任何变更的提出都应当依据合同或国家有关规范和标准提出。任何变更都必须取得发包人的确认。</w:t>
      </w:r>
    </w:p>
    <w:p w14:paraId="58A54534">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 变更估价</w:t>
      </w:r>
    </w:p>
    <w:p w14:paraId="27270336">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10.4.1 变更估价原则</w:t>
      </w:r>
    </w:p>
    <w:p w14:paraId="5E0A2ADE">
      <w:pPr>
        <w:keepNext w:val="0"/>
        <w:keepLines w:val="0"/>
        <w:pageBreakBefore w:val="0"/>
        <w:widowControl/>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关于变更估价的约定：</w:t>
      </w:r>
      <w:r>
        <w:rPr>
          <w:rFonts w:hint="eastAsia" w:ascii="宋体" w:hAnsi="宋体" w:eastAsia="宋体" w:cs="宋体"/>
          <w:color w:val="auto"/>
          <w:sz w:val="21"/>
          <w:szCs w:val="21"/>
          <w:highlight w:val="none"/>
          <w:u w:val="single"/>
          <w:lang w:val="en-US" w:eastAsia="zh-CN"/>
        </w:rPr>
        <w:t xml:space="preserve">    无   </w:t>
      </w:r>
    </w:p>
    <w:p w14:paraId="797B22E0">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Start w:id="318" w:name="_Toc296944536"/>
      <w:bookmarkStart w:id="319" w:name="_Toc297216203"/>
      <w:bookmarkStart w:id="320" w:name="_Toc297123544"/>
      <w:bookmarkStart w:id="321" w:name="_Toc297120497"/>
      <w:bookmarkStart w:id="322" w:name="_Toc292559402"/>
      <w:bookmarkStart w:id="323" w:name="_Toc303539150"/>
      <w:bookmarkStart w:id="324" w:name="_Toc296891025"/>
      <w:bookmarkStart w:id="325" w:name="_Toc296346698"/>
      <w:bookmarkStart w:id="326" w:name="_Toc297048383"/>
      <w:bookmarkStart w:id="327" w:name="_Toc296503197"/>
      <w:bookmarkStart w:id="328" w:name="_Toc296347196"/>
      <w:bookmarkStart w:id="329" w:name="_Toc296891237"/>
      <w:bookmarkStart w:id="330" w:name="_Toc292559907"/>
      <w:bookmarkStart w:id="331" w:name="_Toc300934993"/>
      <w:bookmarkStart w:id="332" w:name="_Toc312677503"/>
      <w:bookmarkStart w:id="333" w:name="_Toc304295570"/>
      <w:bookmarkStart w:id="334" w:name="_Toc312678029"/>
      <w:r>
        <w:rPr>
          <w:rFonts w:hint="eastAsia" w:ascii="宋体" w:hAnsi="宋体" w:eastAsia="宋体" w:cs="宋体"/>
          <w:color w:val="auto"/>
          <w:sz w:val="21"/>
          <w:szCs w:val="21"/>
          <w:highlight w:val="none"/>
        </w:rPr>
        <w:t>0.5承</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Start w:id="335" w:name="_Toc296347202"/>
      <w:bookmarkStart w:id="336" w:name="_Toc303539151"/>
      <w:bookmarkStart w:id="337" w:name="_Toc297123545"/>
      <w:bookmarkStart w:id="338" w:name="_Toc296891031"/>
      <w:bookmarkStart w:id="339" w:name="_Toc297216204"/>
      <w:bookmarkStart w:id="340" w:name="_Toc296503203"/>
      <w:bookmarkStart w:id="341" w:name="_Toc300934994"/>
      <w:bookmarkStart w:id="342" w:name="_Toc297048389"/>
      <w:bookmarkStart w:id="343" w:name="_Toc296891243"/>
      <w:bookmarkStart w:id="344" w:name="_Toc292559408"/>
      <w:bookmarkStart w:id="345" w:name="_Toc292559913"/>
      <w:bookmarkStart w:id="346" w:name="_Toc296944542"/>
      <w:bookmarkStart w:id="347" w:name="_Toc297120503"/>
      <w:bookmarkStart w:id="348" w:name="_Toc296346704"/>
      <w:r>
        <w:rPr>
          <w:rFonts w:hint="eastAsia" w:ascii="宋体" w:hAnsi="宋体" w:eastAsia="宋体" w:cs="宋体"/>
          <w:color w:val="auto"/>
          <w:sz w:val="21"/>
          <w:szCs w:val="21"/>
          <w:highlight w:val="none"/>
        </w:rPr>
        <w:t>包人的合理化建议</w:t>
      </w:r>
    </w:p>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14:paraId="52751A83">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发包人审批承包人合理化建议的期限：</w:t>
      </w:r>
      <w:r>
        <w:rPr>
          <w:rFonts w:hint="eastAsia" w:ascii="宋体" w:hAnsi="宋体" w:eastAsia="宋体" w:cs="宋体"/>
          <w:color w:val="auto"/>
          <w:sz w:val="21"/>
          <w:szCs w:val="21"/>
          <w:highlight w:val="none"/>
          <w:u w:val="single"/>
        </w:rPr>
        <w:t>14天内审核完毕</w:t>
      </w:r>
      <w:r>
        <w:rPr>
          <w:rFonts w:hint="eastAsia" w:ascii="宋体" w:hAnsi="宋体" w:eastAsia="宋体" w:cs="宋体"/>
          <w:color w:val="auto"/>
          <w:sz w:val="21"/>
          <w:szCs w:val="21"/>
          <w:highlight w:val="none"/>
        </w:rPr>
        <w:t>。</w:t>
      </w:r>
    </w:p>
    <w:p w14:paraId="72A5278A">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w:t>
      </w:r>
      <w:bookmarkStart w:id="349" w:name="_Toc296891032"/>
      <w:bookmarkStart w:id="350" w:name="_Toc297120504"/>
      <w:bookmarkStart w:id="351" w:name="_Toc297123546"/>
      <w:bookmarkStart w:id="352" w:name="_Toc304295571"/>
      <w:bookmarkStart w:id="353" w:name="_Toc296891244"/>
      <w:bookmarkStart w:id="354" w:name="_Toc312678030"/>
      <w:bookmarkStart w:id="355" w:name="_Toc300934995"/>
      <w:bookmarkStart w:id="356" w:name="_Toc297048390"/>
      <w:bookmarkStart w:id="357" w:name="_Toc296347203"/>
      <w:bookmarkStart w:id="358" w:name="_Toc296944543"/>
      <w:bookmarkStart w:id="359" w:name="_Toc292559409"/>
      <w:bookmarkStart w:id="360" w:name="_Toc296346705"/>
      <w:bookmarkStart w:id="361" w:name="_Toc318581175"/>
      <w:bookmarkStart w:id="362" w:name="_Toc312677504"/>
      <w:bookmarkStart w:id="363" w:name="_Toc292559914"/>
      <w:bookmarkStart w:id="364" w:name="_Toc297216205"/>
      <w:bookmarkStart w:id="365" w:name="_Toc296503204"/>
      <w:bookmarkStart w:id="366" w:name="_Toc303539152"/>
      <w:r>
        <w:rPr>
          <w:rFonts w:hint="eastAsia" w:ascii="宋体" w:hAnsi="宋体" w:eastAsia="宋体" w:cs="宋体"/>
          <w:color w:val="auto"/>
          <w:sz w:val="21"/>
          <w:szCs w:val="21"/>
          <w:highlight w:val="none"/>
        </w:rPr>
        <w:t>包人提出的合理化建议降低了合同价格或者提高了工程经济效益的奖励的方法和金额为：</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14:paraId="093F9AE1">
      <w:pPr>
        <w:keepNext w:val="0"/>
        <w:keepLines w:val="0"/>
        <w:pageBreakBefore w:val="0"/>
        <w:kinsoku/>
        <w:wordWrap/>
        <w:overflowPunct/>
        <w:topLinePunct w:val="0"/>
        <w:bidi w:val="0"/>
        <w:spacing w:line="360" w:lineRule="exact"/>
        <w:ind w:left="0" w:leftChars="0" w:firstLine="422" w:firstLineChars="200"/>
        <w:jc w:val="left"/>
        <w:textAlignment w:val="auto"/>
        <w:rPr>
          <w:rFonts w:hint="eastAsia" w:ascii="宋体" w:hAnsi="宋体" w:eastAsia="宋体" w:cs="宋体"/>
          <w:b/>
          <w:bCs/>
          <w:color w:val="auto"/>
          <w:sz w:val="21"/>
          <w:szCs w:val="21"/>
          <w:highlight w:val="none"/>
        </w:rPr>
      </w:pPr>
      <w:bookmarkStart w:id="367" w:name="_Toc351203643"/>
      <w:r>
        <w:rPr>
          <w:rFonts w:hint="eastAsia" w:ascii="宋体" w:hAnsi="宋体" w:eastAsia="宋体" w:cs="宋体"/>
          <w:b/>
          <w:bCs/>
          <w:color w:val="auto"/>
          <w:sz w:val="21"/>
          <w:szCs w:val="21"/>
          <w:highlight w:val="none"/>
        </w:rPr>
        <w:t>11. 价格调整</w:t>
      </w:r>
      <w:bookmarkEnd w:id="367"/>
    </w:p>
    <w:bookmarkEnd w:id="294"/>
    <w:bookmarkEnd w:id="295"/>
    <w:bookmarkEnd w:id="296"/>
    <w:bookmarkEnd w:id="297"/>
    <w:bookmarkEnd w:id="298"/>
    <w:bookmarkEnd w:id="299"/>
    <w:p w14:paraId="1BCF1BD8">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bookmarkStart w:id="368" w:name="_Toc300935000"/>
      <w:bookmarkStart w:id="369" w:name="_Toc297048387"/>
      <w:bookmarkStart w:id="370" w:name="_Toc297123550"/>
      <w:bookmarkStart w:id="371" w:name="_Toc292559406"/>
      <w:bookmarkStart w:id="372" w:name="_Toc303539157"/>
      <w:bookmarkStart w:id="373" w:name="_Toc296944540"/>
      <w:bookmarkStart w:id="374" w:name="_Toc296503201"/>
      <w:bookmarkStart w:id="375" w:name="_Toc296891241"/>
      <w:bookmarkStart w:id="376" w:name="_Toc312678039"/>
      <w:bookmarkStart w:id="377" w:name="_Toc297120501"/>
      <w:bookmarkStart w:id="378" w:name="_Toc296891029"/>
      <w:bookmarkStart w:id="379" w:name="_Toc297216209"/>
      <w:bookmarkStart w:id="380" w:name="_Toc296346702"/>
      <w:bookmarkStart w:id="381" w:name="_Toc292559911"/>
      <w:bookmarkStart w:id="382" w:name="_Toc296347200"/>
      <w:bookmarkStart w:id="383" w:name="_Toc304295577"/>
      <w:bookmarkStart w:id="384" w:name="_Toc296346706"/>
      <w:bookmarkStart w:id="385" w:name="_Toc296891033"/>
      <w:bookmarkStart w:id="386" w:name="_Toc292559410"/>
      <w:bookmarkStart w:id="387" w:name="_Toc297048391"/>
      <w:bookmarkStart w:id="388" w:name="_Toc296503205"/>
      <w:bookmarkStart w:id="389" w:name="_Toc296944544"/>
      <w:bookmarkStart w:id="390" w:name="_Toc296891245"/>
      <w:bookmarkStart w:id="391" w:name="_Toc296347204"/>
      <w:bookmarkStart w:id="392" w:name="_Toc292559915"/>
      <w:bookmarkStart w:id="393" w:name="_Toc297120505"/>
      <w:bookmarkStart w:id="394" w:name="_Toc351203644"/>
      <w:bookmarkStart w:id="395" w:name="_Toc300935002"/>
      <w:bookmarkStart w:id="396" w:name="_Toc304295579"/>
      <w:bookmarkStart w:id="397" w:name="_Toc303539159"/>
      <w:bookmarkStart w:id="398" w:name="_Toc297216211"/>
      <w:bookmarkStart w:id="399" w:name="_Toc312678040"/>
      <w:bookmarkStart w:id="400" w:name="_Toc297123552"/>
      <w:r>
        <w:rPr>
          <w:rFonts w:hint="eastAsia" w:ascii="宋体" w:hAnsi="宋体" w:eastAsia="宋体" w:cs="宋体"/>
          <w:color w:val="auto"/>
          <w:sz w:val="21"/>
          <w:szCs w:val="21"/>
          <w:highlight w:val="none"/>
        </w:rPr>
        <w:t>11.1 市场价格波动引起的调整</w:t>
      </w:r>
    </w:p>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14:paraId="38BE469C">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市场价格波动是否调整合同价格的约定：</w:t>
      </w:r>
      <w:r>
        <w:rPr>
          <w:rFonts w:hint="eastAsia" w:ascii="宋体" w:hAnsi="宋体" w:eastAsia="宋体" w:cs="宋体"/>
          <w:color w:val="auto"/>
          <w:sz w:val="21"/>
          <w:szCs w:val="21"/>
          <w:highlight w:val="none"/>
          <w:u w:val="single"/>
        </w:rPr>
        <w:t>不调整</w:t>
      </w:r>
      <w:r>
        <w:rPr>
          <w:rFonts w:hint="eastAsia" w:ascii="宋体" w:hAnsi="宋体" w:eastAsia="宋体" w:cs="宋体"/>
          <w:color w:val="auto"/>
          <w:sz w:val="21"/>
          <w:szCs w:val="21"/>
          <w:highlight w:val="none"/>
        </w:rPr>
        <w:t>。</w:t>
      </w:r>
    </w:p>
    <w:bookmarkEnd w:id="384"/>
    <w:bookmarkEnd w:id="385"/>
    <w:bookmarkEnd w:id="386"/>
    <w:bookmarkEnd w:id="387"/>
    <w:bookmarkEnd w:id="388"/>
    <w:bookmarkEnd w:id="389"/>
    <w:bookmarkEnd w:id="390"/>
    <w:bookmarkEnd w:id="391"/>
    <w:bookmarkEnd w:id="392"/>
    <w:bookmarkEnd w:id="393"/>
    <w:p w14:paraId="63CA609F">
      <w:pPr>
        <w:keepNext w:val="0"/>
        <w:keepLines w:val="0"/>
        <w:pageBreakBefore w:val="0"/>
        <w:kinsoku/>
        <w:wordWrap/>
        <w:overflowPunct/>
        <w:topLinePunct w:val="0"/>
        <w:bidi w:val="0"/>
        <w:spacing w:line="360" w:lineRule="exact"/>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12.合同价格、计量与支付</w:t>
      </w:r>
      <w:bookmarkEnd w:id="394"/>
    </w:p>
    <w:p w14:paraId="5A1E55FA">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bookmarkStart w:id="401" w:name="_Toc267251461"/>
      <w:bookmarkStart w:id="402" w:name="_Toc292559411"/>
      <w:bookmarkStart w:id="403" w:name="_Toc292559916"/>
      <w:bookmarkStart w:id="404" w:name="_Toc297048392"/>
      <w:bookmarkStart w:id="405" w:name="_Toc296346707"/>
      <w:bookmarkStart w:id="406" w:name="_Toc296891246"/>
      <w:bookmarkStart w:id="407" w:name="_Toc296503206"/>
      <w:bookmarkStart w:id="408" w:name="_Toc296347205"/>
      <w:bookmarkStart w:id="409" w:name="_Toc296944545"/>
      <w:bookmarkStart w:id="410" w:name="_Toc296891034"/>
      <w:bookmarkStart w:id="411" w:name="_Toc297120506"/>
      <w:r>
        <w:rPr>
          <w:rFonts w:hint="eastAsia" w:ascii="宋体" w:hAnsi="宋体" w:eastAsia="宋体" w:cs="宋体"/>
          <w:color w:val="auto"/>
          <w:sz w:val="21"/>
          <w:szCs w:val="21"/>
          <w:highlight w:val="none"/>
        </w:rPr>
        <w:t>12.1 合</w:t>
      </w:r>
      <w:bookmarkEnd w:id="401"/>
      <w:bookmarkEnd w:id="402"/>
      <w:bookmarkEnd w:id="403"/>
      <w:r>
        <w:rPr>
          <w:rFonts w:hint="eastAsia" w:ascii="宋体" w:hAnsi="宋体" w:eastAsia="宋体" w:cs="宋体"/>
          <w:color w:val="auto"/>
          <w:sz w:val="21"/>
          <w:szCs w:val="21"/>
          <w:highlight w:val="none"/>
        </w:rPr>
        <w:t>同价</w:t>
      </w:r>
      <w:bookmarkEnd w:id="404"/>
      <w:bookmarkEnd w:id="405"/>
      <w:bookmarkEnd w:id="406"/>
      <w:bookmarkEnd w:id="407"/>
      <w:bookmarkEnd w:id="408"/>
      <w:bookmarkEnd w:id="409"/>
      <w:bookmarkEnd w:id="410"/>
      <w:bookmarkEnd w:id="411"/>
      <w:r>
        <w:rPr>
          <w:rFonts w:hint="eastAsia" w:ascii="宋体" w:hAnsi="宋体" w:eastAsia="宋体" w:cs="宋体"/>
          <w:color w:val="auto"/>
          <w:sz w:val="21"/>
          <w:szCs w:val="21"/>
          <w:highlight w:val="none"/>
        </w:rPr>
        <w:t>格形式</w:t>
      </w:r>
    </w:p>
    <w:bookmarkEnd w:id="300"/>
    <w:bookmarkEnd w:id="395"/>
    <w:bookmarkEnd w:id="396"/>
    <w:bookmarkEnd w:id="397"/>
    <w:bookmarkEnd w:id="398"/>
    <w:bookmarkEnd w:id="399"/>
    <w:bookmarkEnd w:id="400"/>
    <w:p w14:paraId="19C3340B">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bookmarkStart w:id="412" w:name="_Toc297048393"/>
      <w:bookmarkStart w:id="413" w:name="_Toc296944546"/>
      <w:bookmarkStart w:id="414" w:name="_Toc292559412"/>
      <w:bookmarkStart w:id="415" w:name="_Toc296891035"/>
      <w:bookmarkStart w:id="416" w:name="_Toc292559917"/>
      <w:bookmarkStart w:id="417" w:name="_Toc296346708"/>
      <w:bookmarkStart w:id="418" w:name="_Toc296503207"/>
      <w:bookmarkStart w:id="419" w:name="_Toc296891247"/>
      <w:bookmarkStart w:id="420" w:name="_Toc297120507"/>
      <w:bookmarkStart w:id="421" w:name="_Toc296347206"/>
      <w:bookmarkStart w:id="422" w:name="_Toc351203645"/>
      <w:bookmarkStart w:id="423" w:name="_Toc297120519"/>
      <w:bookmarkStart w:id="424" w:name="_Toc304295593"/>
      <w:bookmarkStart w:id="425" w:name="_Toc296347218"/>
      <w:bookmarkStart w:id="426" w:name="_Toc296503219"/>
      <w:bookmarkStart w:id="427" w:name="_Toc297216223"/>
      <w:bookmarkStart w:id="428" w:name="_Toc296891259"/>
      <w:bookmarkStart w:id="429" w:name="_Toc296944558"/>
      <w:bookmarkStart w:id="430" w:name="_Toc292559424"/>
      <w:bookmarkStart w:id="431" w:name="_Toc312678053"/>
      <w:bookmarkStart w:id="432" w:name="_Toc292559929"/>
      <w:bookmarkStart w:id="433" w:name="_Toc297048405"/>
      <w:bookmarkStart w:id="434" w:name="_Toc296346720"/>
      <w:bookmarkStart w:id="435" w:name="_Toc297123564"/>
      <w:bookmarkStart w:id="436" w:name="_Toc296891047"/>
      <w:bookmarkStart w:id="437" w:name="_Toc303539172"/>
      <w:bookmarkStart w:id="438" w:name="_Toc300935015"/>
      <w:r>
        <w:rPr>
          <w:rFonts w:hint="eastAsia" w:ascii="宋体" w:hAnsi="宋体" w:eastAsia="宋体" w:cs="宋体"/>
          <w:color w:val="auto"/>
          <w:sz w:val="21"/>
          <w:szCs w:val="21"/>
          <w:highlight w:val="none"/>
        </w:rPr>
        <w:t>12.1.1</w:t>
      </w:r>
      <w:r>
        <w:rPr>
          <w:rFonts w:hint="eastAsia" w:ascii="宋体" w:hAnsi="宋体" w:eastAsia="宋体" w:cs="宋体"/>
          <w:color w:val="auto"/>
          <w:sz w:val="21"/>
          <w:szCs w:val="21"/>
          <w:highlight w:val="none"/>
          <w:lang w:val="en-US" w:eastAsia="zh-CN"/>
        </w:rPr>
        <w:t>总价</w:t>
      </w:r>
      <w:r>
        <w:rPr>
          <w:rFonts w:hint="eastAsia" w:ascii="宋体" w:hAnsi="宋体" w:eastAsia="宋体" w:cs="宋体"/>
          <w:color w:val="auto"/>
          <w:sz w:val="21"/>
          <w:szCs w:val="21"/>
          <w:highlight w:val="none"/>
        </w:rPr>
        <w:t>合同。</w:t>
      </w:r>
    </w:p>
    <w:p w14:paraId="561B9F09">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12.1.2合同价款调整：</w:t>
      </w:r>
      <w:r>
        <w:rPr>
          <w:rFonts w:hint="eastAsia" w:ascii="宋体" w:hAnsi="宋体" w:eastAsia="宋体" w:cs="宋体"/>
          <w:color w:val="auto"/>
          <w:sz w:val="21"/>
          <w:szCs w:val="21"/>
          <w:highlight w:val="none"/>
          <w:lang w:val="en-US" w:eastAsia="zh-CN"/>
        </w:rPr>
        <w:t>不调整</w:t>
      </w:r>
    </w:p>
    <w:p w14:paraId="16F84DC5">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 预付款</w:t>
      </w:r>
    </w:p>
    <w:bookmarkEnd w:id="412"/>
    <w:bookmarkEnd w:id="413"/>
    <w:bookmarkEnd w:id="414"/>
    <w:bookmarkEnd w:id="415"/>
    <w:bookmarkEnd w:id="416"/>
    <w:bookmarkEnd w:id="417"/>
    <w:bookmarkEnd w:id="418"/>
    <w:bookmarkEnd w:id="419"/>
    <w:bookmarkEnd w:id="420"/>
    <w:bookmarkEnd w:id="421"/>
    <w:p w14:paraId="2533745E">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12.2.1 预付款的支付</w:t>
      </w:r>
    </w:p>
    <w:p w14:paraId="74FDBCBC">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预付款支付比例或金额：</w:t>
      </w:r>
      <w:r>
        <w:rPr>
          <w:rFonts w:hint="eastAsia" w:ascii="宋体" w:hAnsi="宋体" w:eastAsia="宋体" w:cs="宋体"/>
          <w:color w:val="auto"/>
          <w:sz w:val="21"/>
          <w:szCs w:val="21"/>
          <w:highlight w:val="none"/>
          <w:u w:val="single"/>
        </w:rPr>
        <w:t>/。</w:t>
      </w:r>
    </w:p>
    <w:p w14:paraId="144833FA">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预付款支付期限：</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A96F0EC">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预付款扣回的方式：</w:t>
      </w:r>
      <w:r>
        <w:rPr>
          <w:rFonts w:hint="eastAsia" w:ascii="宋体" w:hAnsi="宋体" w:eastAsia="宋体" w:cs="宋体"/>
          <w:color w:val="auto"/>
          <w:sz w:val="21"/>
          <w:szCs w:val="21"/>
          <w:highlight w:val="none"/>
          <w:u w:val="single"/>
        </w:rPr>
        <w:t>/。</w:t>
      </w:r>
    </w:p>
    <w:p w14:paraId="328E406F">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12.2.2 预付款担保</w:t>
      </w:r>
    </w:p>
    <w:p w14:paraId="6788A62C">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承包人提交预付款担保的期限及比例：</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2AA9ACA0">
      <w:pPr>
        <w:keepNext w:val="0"/>
        <w:keepLines w:val="0"/>
        <w:pageBreakBefore w:val="0"/>
        <w:tabs>
          <w:tab w:val="left" w:pos="3686"/>
        </w:tabs>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担保时效：</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。预付款担保的形式为：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45698A42">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计量</w:t>
      </w:r>
    </w:p>
    <w:p w14:paraId="7FB6BA84">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12.3.1 计量原则</w:t>
      </w:r>
    </w:p>
    <w:p w14:paraId="779A9F40">
      <w:pPr>
        <w:keepNext w:val="0"/>
        <w:keepLines w:val="0"/>
        <w:pageBreakBefore w:val="0"/>
        <w:widowControl w:val="0"/>
        <w:numPr>
          <w:ilvl w:val="0"/>
          <w:numId w:val="0"/>
        </w:numPr>
        <w:shd w:val="clear"/>
        <w:tabs>
          <w:tab w:val="center" w:pos="4535"/>
        </w:tabs>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color w:val="auto"/>
          <w:sz w:val="21"/>
          <w:szCs w:val="21"/>
          <w:highlight w:val="yellow"/>
          <w:lang w:val="en-US" w:eastAsia="zh-CN"/>
        </w:rPr>
      </w:pPr>
      <w:r>
        <w:rPr>
          <w:rFonts w:hint="eastAsia" w:ascii="宋体" w:hAnsi="宋体" w:eastAsia="宋体" w:cs="宋体"/>
          <w:color w:val="auto"/>
          <w:sz w:val="21"/>
          <w:szCs w:val="21"/>
          <w:highlight w:val="none"/>
          <w:u w:val="single"/>
        </w:rPr>
        <w:t>工程量计算规则</w:t>
      </w:r>
      <w:r>
        <w:rPr>
          <w:rFonts w:hint="eastAsia" w:ascii="宋体" w:hAnsi="宋体" w:eastAsia="宋体" w:cs="宋体"/>
          <w:color w:val="auto"/>
          <w:sz w:val="21"/>
          <w:szCs w:val="21"/>
          <w:highlight w:val="none"/>
          <w:u w:val="single"/>
          <w:lang w:val="en-US" w:eastAsia="zh-CN"/>
        </w:rPr>
        <w:t>：工程量依据</w:t>
      </w:r>
      <w:r>
        <w:rPr>
          <w:rFonts w:hint="eastAsia" w:ascii="宋体" w:hAnsi="宋体" w:cs="宋体"/>
          <w:color w:val="auto"/>
          <w:sz w:val="21"/>
          <w:szCs w:val="21"/>
          <w:highlight w:val="none"/>
          <w:u w:val="single"/>
          <w:lang w:val="en-US" w:eastAsia="zh-CN"/>
        </w:rPr>
        <w:t>泾阳县人民政府会议室改造项目</w:t>
      </w:r>
      <w:r>
        <w:rPr>
          <w:rFonts w:hint="eastAsia" w:ascii="宋体" w:hAnsi="宋体" w:eastAsia="宋体" w:cs="宋体"/>
          <w:color w:val="auto"/>
          <w:sz w:val="21"/>
          <w:szCs w:val="21"/>
          <w:highlight w:val="none"/>
          <w:u w:val="single"/>
          <w:lang w:val="en-US" w:eastAsia="zh-CN"/>
        </w:rPr>
        <w:t>图纸及相关工程建设规范、标准、图集等、《陕西省住房和城乡建设厅关于印发 2025 陕西省建设工程费用规则等计价依据的通知》(陕建管发(2025)10 号)文件、2025 年《陕西省市政工程价目表》、2025 年《陕西省建筑工程施工机械台班价目表》、2025 年《陕西省建设工程工程量清单计价费率》等及其相关配套文件编制、取费费率执行 2025 年《陕西省建设工程工程量清单计价费率》(2025)等相关文件中的相关规定费率</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lang w:val="en-US" w:eastAsia="zh-CN"/>
        </w:rPr>
        <w:t>主要材料价格依据《咸阳市 2025 年二季度信息价》及部分市场询价、建筑工人实名制管理费用执行陕建发【2019】1246号“关于发布我省落实建筑工人实名制管理计价依据”的通知、建筑施工安全生产责任保险费执行陕建发【2020】1097号关于建筑施工安全生产责任保险费用计价的通知、建筑企业人员社会养老保险费执行陕建发【2021】1021号关于全省统一停止收缴建筑业劳保费用的通知</w:t>
      </w:r>
      <w:r>
        <w:rPr>
          <w:rFonts w:hint="eastAsia" w:ascii="宋体" w:hAnsi="宋体" w:eastAsia="宋体" w:cs="宋体"/>
          <w:color w:val="auto"/>
          <w:kern w:val="0"/>
          <w:sz w:val="21"/>
          <w:szCs w:val="21"/>
          <w:u w:val="single"/>
          <w:lang w:val="en-US" w:eastAsia="zh-CN" w:bidi="ar"/>
        </w:rPr>
        <w:t>。</w:t>
      </w:r>
    </w:p>
    <w:p w14:paraId="47DBC71D">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12.3.2 计量周期</w:t>
      </w:r>
    </w:p>
    <w:p w14:paraId="36B1B310">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关于计量周期的约定：</w:t>
      </w:r>
      <w:r>
        <w:rPr>
          <w:rFonts w:hint="eastAsia" w:ascii="宋体" w:hAnsi="宋体" w:eastAsia="宋体" w:cs="宋体"/>
          <w:color w:val="auto"/>
          <w:sz w:val="21"/>
          <w:szCs w:val="21"/>
          <w:highlight w:val="none"/>
          <w:u w:val="single"/>
        </w:rPr>
        <w:t xml:space="preserve">      按周计量    </w:t>
      </w:r>
      <w:r>
        <w:rPr>
          <w:rFonts w:hint="eastAsia" w:ascii="宋体" w:hAnsi="宋体" w:eastAsia="宋体" w:cs="宋体"/>
          <w:color w:val="auto"/>
          <w:sz w:val="21"/>
          <w:szCs w:val="21"/>
          <w:highlight w:val="none"/>
        </w:rPr>
        <w:t>。</w:t>
      </w:r>
    </w:p>
    <w:p w14:paraId="3502186B">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12.3.3 单价合同的计量</w:t>
      </w:r>
    </w:p>
    <w:p w14:paraId="3FB2B19B">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关于单价合同计量的约定：</w:t>
      </w:r>
      <w:r>
        <w:rPr>
          <w:rFonts w:hint="eastAsia" w:ascii="宋体" w:hAnsi="宋体" w:eastAsia="宋体" w:cs="宋体"/>
          <w:color w:val="auto"/>
          <w:sz w:val="21"/>
          <w:szCs w:val="21"/>
          <w:highlight w:val="none"/>
          <w:u w:val="single"/>
        </w:rPr>
        <w:t xml:space="preserve"> 执行通用条款 </w:t>
      </w:r>
      <w:r>
        <w:rPr>
          <w:rFonts w:hint="eastAsia" w:ascii="宋体" w:hAnsi="宋体" w:eastAsia="宋体" w:cs="宋体"/>
          <w:color w:val="auto"/>
          <w:sz w:val="21"/>
          <w:szCs w:val="21"/>
          <w:highlight w:val="none"/>
        </w:rPr>
        <w:t>。</w:t>
      </w:r>
    </w:p>
    <w:p w14:paraId="6B1E9897">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bookmarkStart w:id="439" w:name="_Toc297216215"/>
      <w:bookmarkStart w:id="440" w:name="_Toc297123556"/>
      <w:bookmarkStart w:id="441" w:name="_Toc296891039"/>
      <w:bookmarkStart w:id="442" w:name="_Toc296503211"/>
      <w:bookmarkStart w:id="443" w:name="_Toc292559416"/>
      <w:bookmarkStart w:id="444" w:name="_Toc296347210"/>
      <w:bookmarkStart w:id="445" w:name="_Toc297120511"/>
      <w:bookmarkStart w:id="446" w:name="_Toc292559921"/>
      <w:bookmarkStart w:id="447" w:name="_Toc296346712"/>
      <w:bookmarkStart w:id="448" w:name="_Toc297048397"/>
      <w:bookmarkStart w:id="449" w:name="_Toc296944550"/>
      <w:bookmarkStart w:id="450" w:name="_Toc296891251"/>
      <w:bookmarkStart w:id="451" w:name="_Toc300935006"/>
      <w:bookmarkStart w:id="452" w:name="_Toc303539163"/>
      <w:r>
        <w:rPr>
          <w:rFonts w:hint="eastAsia" w:ascii="宋体" w:hAnsi="宋体" w:eastAsia="宋体" w:cs="宋体"/>
          <w:color w:val="auto"/>
          <w:sz w:val="21"/>
          <w:szCs w:val="21"/>
          <w:highlight w:val="none"/>
        </w:rPr>
        <w:t>12.4 工程进度款支付</w:t>
      </w:r>
    </w:p>
    <w:p w14:paraId="04DBDFA6">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12.4.1 付款周期</w:t>
      </w:r>
    </w:p>
    <w:p w14:paraId="441C4946">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关于付款周期的约定：</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72F7663D">
      <w:pPr>
        <w:keepNext w:val="0"/>
        <w:keepLines w:val="0"/>
        <w:pageBreakBefore w:val="0"/>
        <w:numPr>
          <w:ilvl w:val="0"/>
          <w:numId w:val="7"/>
        </w:numPr>
        <w:kinsoku/>
        <w:wordWrap/>
        <w:overflowPunct/>
        <w:topLinePunct w:val="0"/>
        <w:bidi w:val="0"/>
        <w:spacing w:line="360" w:lineRule="exact"/>
        <w:ind w:left="0" w:leftChars="0" w:firstLine="422" w:firstLineChars="200"/>
        <w:jc w:val="left"/>
        <w:textAlignment w:val="auto"/>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val="en-US" w:eastAsia="zh-CN"/>
        </w:rPr>
        <w:t>完成工程量的50%,支付至合同价</w:t>
      </w:r>
      <w:r>
        <w:rPr>
          <w:rFonts w:hint="eastAsia" w:ascii="宋体" w:hAnsi="宋体" w:cs="宋体"/>
          <w:b/>
          <w:bCs/>
          <w:color w:val="auto"/>
          <w:sz w:val="21"/>
          <w:szCs w:val="21"/>
          <w:highlight w:val="none"/>
          <w:u w:val="single"/>
          <w:lang w:val="en-US" w:eastAsia="zh-CN"/>
        </w:rPr>
        <w:t>的</w:t>
      </w:r>
      <w:r>
        <w:rPr>
          <w:rFonts w:hint="eastAsia" w:ascii="宋体" w:hAnsi="宋体" w:eastAsia="宋体" w:cs="宋体"/>
          <w:b/>
          <w:bCs/>
          <w:color w:val="auto"/>
          <w:sz w:val="21"/>
          <w:szCs w:val="21"/>
          <w:highlight w:val="none"/>
          <w:u w:val="single"/>
          <w:lang w:val="en-US" w:eastAsia="zh-CN"/>
        </w:rPr>
        <w:t>50%，竣工验收完成工程审计后支付剩余工程款。</w:t>
      </w:r>
    </w:p>
    <w:p w14:paraId="01ED9E71">
      <w:pPr>
        <w:keepNext w:val="0"/>
        <w:keepLines w:val="0"/>
        <w:pageBreakBefore w:val="0"/>
        <w:numPr>
          <w:ilvl w:val="0"/>
          <w:numId w:val="7"/>
        </w:numPr>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每次拨付款额时，如有发包人代缴的有关费用（如水、电费等）时，应予以扣除。</w:t>
      </w:r>
    </w:p>
    <w:p w14:paraId="2B4B7C31">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）发包人在支付工程进度款前，承包人应按规定提前提供等额有效发票，发包人见票付款；审计结算后，提供全额税制票据。承包人不能提供的，发包人有权不支付工程款。</w:t>
      </w:r>
    </w:p>
    <w:p w14:paraId="7336BBC6">
      <w:pPr>
        <w:keepNext w:val="0"/>
        <w:keepLines w:val="0"/>
        <w:pageBreakBefore w:val="0"/>
        <w:kinsoku/>
        <w:wordWrap/>
        <w:overflowPunct/>
        <w:topLinePunct w:val="0"/>
        <w:bidi w:val="0"/>
        <w:spacing w:line="360" w:lineRule="exact"/>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 验收工程</w:t>
      </w:r>
      <w:bookmarkEnd w:id="422"/>
    </w:p>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14:paraId="23D91667">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bookmarkStart w:id="453" w:name="_Toc297216224"/>
      <w:bookmarkStart w:id="454" w:name="_Toc292559933"/>
      <w:bookmarkStart w:id="455" w:name="_Toc304295596"/>
      <w:bookmarkStart w:id="456" w:name="_Toc296891051"/>
      <w:bookmarkStart w:id="457" w:name="_Toc300935016"/>
      <w:bookmarkStart w:id="458" w:name="_Toc292559428"/>
      <w:bookmarkStart w:id="459" w:name="_Toc296891263"/>
      <w:bookmarkStart w:id="460" w:name="_Toc296503223"/>
      <w:bookmarkStart w:id="461" w:name="_Toc297048409"/>
      <w:bookmarkStart w:id="462" w:name="_Toc297123565"/>
      <w:bookmarkStart w:id="463" w:name="_Toc296347222"/>
      <w:bookmarkStart w:id="464" w:name="_Toc312678056"/>
      <w:bookmarkStart w:id="465" w:name="_Toc303539173"/>
      <w:bookmarkStart w:id="466" w:name="_Toc297120523"/>
      <w:bookmarkStart w:id="467" w:name="_Toc296944562"/>
      <w:bookmarkStart w:id="468" w:name="_Toc296346724"/>
      <w:bookmarkStart w:id="469" w:name="_Toc267251476"/>
      <w:bookmarkStart w:id="470" w:name="_Toc267251470"/>
      <w:bookmarkStart w:id="471" w:name="_Toc267251474"/>
      <w:bookmarkStart w:id="472" w:name="_Toc267251475"/>
      <w:bookmarkStart w:id="473" w:name="_Toc267251471"/>
      <w:bookmarkStart w:id="474" w:name="_Toc267251473"/>
      <w:bookmarkStart w:id="475" w:name="_Toc267251472"/>
      <w:r>
        <w:rPr>
          <w:rFonts w:hint="eastAsia" w:ascii="宋体" w:hAnsi="宋体" w:eastAsia="宋体" w:cs="宋体"/>
          <w:color w:val="auto"/>
          <w:sz w:val="21"/>
          <w:szCs w:val="21"/>
          <w:highlight w:val="none"/>
        </w:rPr>
        <w:t>13.2 竣工验收</w:t>
      </w:r>
    </w:p>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14:paraId="7EB4E89C">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bookmarkStart w:id="476" w:name="_Toc280868704"/>
      <w:bookmarkStart w:id="477" w:name="_Toc280868705"/>
      <w:bookmarkStart w:id="478" w:name="_Toc280868706"/>
      <w:bookmarkStart w:id="479" w:name="_Toc280868707"/>
      <w:bookmarkStart w:id="480" w:name="_Toc280868708"/>
      <w:bookmarkStart w:id="481" w:name="_Toc280868709"/>
      <w:r>
        <w:rPr>
          <w:rFonts w:hint="eastAsia" w:ascii="宋体" w:hAnsi="宋体" w:eastAsia="宋体" w:cs="宋体"/>
          <w:color w:val="auto"/>
          <w:sz w:val="21"/>
          <w:szCs w:val="21"/>
          <w:highlight w:val="none"/>
        </w:rPr>
        <w:t>13.2.2竣工验收程序</w:t>
      </w:r>
    </w:p>
    <w:bookmarkEnd w:id="476"/>
    <w:p w14:paraId="3FD65F1C">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关于竣工验收程序的约定：</w:t>
      </w:r>
      <w:r>
        <w:rPr>
          <w:rFonts w:hint="eastAsia" w:ascii="宋体" w:hAnsi="宋体" w:eastAsia="宋体" w:cs="宋体"/>
          <w:color w:val="auto"/>
          <w:sz w:val="21"/>
          <w:szCs w:val="21"/>
          <w:highlight w:val="none"/>
          <w:u w:val="single"/>
        </w:rPr>
        <w:t>承包人按国家、陕西省、</w:t>
      </w:r>
      <w:r>
        <w:rPr>
          <w:rFonts w:hint="eastAsia" w:ascii="宋体" w:hAnsi="宋体" w:eastAsia="宋体" w:cs="宋体"/>
          <w:color w:val="auto"/>
          <w:sz w:val="21"/>
          <w:szCs w:val="21"/>
          <w:highlight w:val="none"/>
          <w:u w:val="single"/>
          <w:lang w:val="en-US" w:eastAsia="zh-CN"/>
        </w:rPr>
        <w:t>咸阳市</w:t>
      </w:r>
      <w:r>
        <w:rPr>
          <w:rFonts w:hint="eastAsia" w:ascii="宋体" w:hAnsi="宋体" w:eastAsia="宋体" w:cs="宋体"/>
          <w:color w:val="auto"/>
          <w:sz w:val="21"/>
          <w:szCs w:val="21"/>
          <w:highlight w:val="none"/>
          <w:u w:val="single"/>
        </w:rPr>
        <w:t>相关规定，完成验收后，进行工程竣工验收。竣工验收后一个月内，提交竣工图及完整资料文件四套。</w:t>
      </w:r>
    </w:p>
    <w:p w14:paraId="20665CFB">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发包人不按照本项约定组织竣工验收、颁发工程接收证书的违约金的计算方法：</w:t>
      </w:r>
      <w:r>
        <w:rPr>
          <w:rFonts w:hint="eastAsia" w:ascii="宋体" w:hAnsi="宋体" w:eastAsia="宋体" w:cs="宋体"/>
          <w:color w:val="auto"/>
          <w:sz w:val="21"/>
          <w:szCs w:val="21"/>
          <w:highlight w:val="none"/>
          <w:u w:val="single"/>
        </w:rPr>
        <w:t xml:space="preserve">无 </w:t>
      </w:r>
      <w:r>
        <w:rPr>
          <w:rFonts w:hint="eastAsia" w:ascii="宋体" w:hAnsi="宋体" w:eastAsia="宋体" w:cs="宋体"/>
          <w:color w:val="auto"/>
          <w:sz w:val="21"/>
          <w:szCs w:val="21"/>
          <w:highlight w:val="none"/>
        </w:rPr>
        <w:t>。</w:t>
      </w:r>
    </w:p>
    <w:bookmarkEnd w:id="477"/>
    <w:p w14:paraId="62FFECCE">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13.2.5移交、接收全部与部分工程</w:t>
      </w:r>
    </w:p>
    <w:bookmarkEnd w:id="478"/>
    <w:p w14:paraId="5DE4A35A">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承包人向发包人移交工程的期限：</w:t>
      </w:r>
      <w:r>
        <w:rPr>
          <w:rFonts w:hint="eastAsia" w:ascii="宋体" w:hAnsi="宋体" w:eastAsia="宋体" w:cs="宋体"/>
          <w:color w:val="auto"/>
          <w:kern w:val="0"/>
          <w:sz w:val="21"/>
          <w:szCs w:val="21"/>
          <w:highlight w:val="none"/>
          <w:u w:val="single"/>
        </w:rPr>
        <w:t>颁发工程接收证书后7天内</w:t>
      </w:r>
      <w:r>
        <w:rPr>
          <w:rFonts w:hint="eastAsia" w:ascii="宋体" w:hAnsi="宋体" w:eastAsia="宋体" w:cs="宋体"/>
          <w:color w:val="auto"/>
          <w:sz w:val="21"/>
          <w:szCs w:val="21"/>
          <w:highlight w:val="none"/>
        </w:rPr>
        <w:t>。</w:t>
      </w:r>
    </w:p>
    <w:p w14:paraId="210868F0">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发包人未按本合同约定接收全部或部分工程的，违约金的计算方法为：</w:t>
      </w:r>
      <w:r>
        <w:rPr>
          <w:rFonts w:hint="eastAsia" w:ascii="宋体" w:hAnsi="宋体" w:eastAsia="宋体" w:cs="宋体"/>
          <w:color w:val="auto"/>
          <w:sz w:val="21"/>
          <w:szCs w:val="21"/>
          <w:highlight w:val="none"/>
          <w:u w:val="single"/>
        </w:rPr>
        <w:t>无</w:t>
      </w:r>
      <w:r>
        <w:rPr>
          <w:rFonts w:hint="eastAsia" w:ascii="宋体" w:hAnsi="宋体" w:eastAsia="宋体" w:cs="宋体"/>
          <w:color w:val="auto"/>
          <w:sz w:val="21"/>
          <w:szCs w:val="21"/>
          <w:highlight w:val="none"/>
        </w:rPr>
        <w:t>。</w:t>
      </w:r>
    </w:p>
    <w:bookmarkEnd w:id="479"/>
    <w:p w14:paraId="1563344A">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承包人未按时移交工程的，违约金的计算方法为：</w:t>
      </w:r>
      <w:r>
        <w:rPr>
          <w:rFonts w:hint="eastAsia" w:ascii="宋体" w:hAnsi="宋体" w:eastAsia="宋体" w:cs="宋体"/>
          <w:color w:val="auto"/>
          <w:sz w:val="21"/>
          <w:szCs w:val="21"/>
          <w:highlight w:val="none"/>
          <w:u w:val="single"/>
        </w:rPr>
        <w:t>按专用条款7.5.2条执行</w:t>
      </w:r>
      <w:r>
        <w:rPr>
          <w:rFonts w:hint="eastAsia" w:ascii="宋体" w:hAnsi="宋体" w:eastAsia="宋体" w:cs="宋体"/>
          <w:color w:val="auto"/>
          <w:sz w:val="21"/>
          <w:szCs w:val="21"/>
          <w:highlight w:val="none"/>
        </w:rPr>
        <w:t>。</w:t>
      </w:r>
    </w:p>
    <w:bookmarkEnd w:id="480"/>
    <w:p w14:paraId="2B908738">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 竣工退场</w:t>
      </w:r>
    </w:p>
    <w:p w14:paraId="737F39EA">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13.6.1 竣工退场</w:t>
      </w:r>
    </w:p>
    <w:p w14:paraId="6D2503C5">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承包人完成竣工退场的期限：</w:t>
      </w:r>
      <w:r>
        <w:rPr>
          <w:rFonts w:hint="eastAsia" w:ascii="宋体" w:hAnsi="宋体" w:eastAsia="宋体" w:cs="宋体"/>
          <w:color w:val="auto"/>
          <w:sz w:val="21"/>
          <w:szCs w:val="21"/>
          <w:highlight w:val="none"/>
          <w:u w:val="single"/>
        </w:rPr>
        <w:t xml:space="preserve">   工程竣工移交后，以发包人书面指令为准  </w:t>
      </w:r>
      <w:r>
        <w:rPr>
          <w:rFonts w:hint="eastAsia" w:ascii="宋体" w:hAnsi="宋体" w:eastAsia="宋体" w:cs="宋体"/>
          <w:color w:val="auto"/>
          <w:kern w:val="0"/>
          <w:sz w:val="21"/>
          <w:szCs w:val="21"/>
          <w:highlight w:val="none"/>
        </w:rPr>
        <w:t>。</w:t>
      </w:r>
    </w:p>
    <w:p w14:paraId="2F91E75E">
      <w:pPr>
        <w:keepNext w:val="0"/>
        <w:keepLines w:val="0"/>
        <w:pageBreakBefore w:val="0"/>
        <w:kinsoku/>
        <w:wordWrap/>
        <w:overflowPunct/>
        <w:topLinePunct w:val="0"/>
        <w:bidi w:val="0"/>
        <w:spacing w:line="360" w:lineRule="exact"/>
        <w:ind w:left="0" w:leftChars="0" w:firstLine="422" w:firstLineChars="200"/>
        <w:jc w:val="left"/>
        <w:textAlignment w:val="auto"/>
        <w:rPr>
          <w:rFonts w:hint="eastAsia" w:ascii="宋体" w:hAnsi="宋体" w:eastAsia="宋体" w:cs="宋体"/>
          <w:b/>
          <w:bCs/>
          <w:color w:val="auto"/>
          <w:sz w:val="21"/>
          <w:szCs w:val="21"/>
          <w:highlight w:val="none"/>
        </w:rPr>
      </w:pPr>
      <w:bookmarkStart w:id="482" w:name="_Toc351203646"/>
      <w:r>
        <w:rPr>
          <w:rFonts w:hint="eastAsia" w:ascii="宋体" w:hAnsi="宋体" w:eastAsia="宋体" w:cs="宋体"/>
          <w:b/>
          <w:bCs/>
          <w:color w:val="auto"/>
          <w:sz w:val="21"/>
          <w:szCs w:val="21"/>
          <w:highlight w:val="none"/>
        </w:rPr>
        <w:t>14. 竣工结算</w:t>
      </w:r>
      <w:bookmarkEnd w:id="482"/>
    </w:p>
    <w:p w14:paraId="462BB572">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竣工付款申请</w:t>
      </w:r>
    </w:p>
    <w:p w14:paraId="6B45D686">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承包人提交竣工付款申请单的期限：</w:t>
      </w:r>
      <w:r>
        <w:rPr>
          <w:rFonts w:hint="eastAsia" w:ascii="宋体" w:hAnsi="宋体" w:eastAsia="宋体" w:cs="宋体"/>
          <w:color w:val="auto"/>
          <w:sz w:val="21"/>
          <w:szCs w:val="21"/>
          <w:highlight w:val="none"/>
          <w:u w:val="single"/>
        </w:rPr>
        <w:t xml:space="preserve">提交的竣工验收报告获得发包人批准后，承包人应在60个工作日内办理并提交“竣工结算资料”    </w:t>
      </w:r>
      <w:r>
        <w:rPr>
          <w:rFonts w:hint="eastAsia" w:ascii="宋体" w:hAnsi="宋体" w:eastAsia="宋体" w:cs="宋体"/>
          <w:color w:val="auto"/>
          <w:sz w:val="21"/>
          <w:szCs w:val="21"/>
          <w:highlight w:val="none"/>
        </w:rPr>
        <w:t>。</w:t>
      </w:r>
    </w:p>
    <w:p w14:paraId="42D256C9">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竣工付款申请单应包括的内容：</w:t>
      </w:r>
      <w:r>
        <w:rPr>
          <w:rFonts w:hint="eastAsia" w:ascii="宋体" w:hAnsi="宋体" w:eastAsia="宋体" w:cs="宋体"/>
          <w:color w:val="auto"/>
          <w:sz w:val="21"/>
          <w:szCs w:val="21"/>
          <w:highlight w:val="none"/>
          <w:u w:val="single"/>
        </w:rPr>
        <w:t xml:space="preserve">竣工结算合同总价、已支付的工程价款、应扣留的质量保证金、应支付的竣工付款金额及相关证明材料等  </w:t>
      </w:r>
      <w:r>
        <w:rPr>
          <w:rFonts w:hint="eastAsia" w:ascii="宋体" w:hAnsi="宋体" w:eastAsia="宋体" w:cs="宋体"/>
          <w:color w:val="auto"/>
          <w:sz w:val="21"/>
          <w:szCs w:val="21"/>
          <w:highlight w:val="none"/>
        </w:rPr>
        <w:t>。</w:t>
      </w:r>
    </w:p>
    <w:p w14:paraId="7F4CB469">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竣工结算审核</w:t>
      </w:r>
    </w:p>
    <w:p w14:paraId="69E5D3E8">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发包人审批竣工付款申请单的期限：</w:t>
      </w:r>
      <w:r>
        <w:rPr>
          <w:rFonts w:hint="eastAsia" w:ascii="宋体" w:hAnsi="宋体" w:eastAsia="宋体" w:cs="宋体"/>
          <w:color w:val="auto"/>
          <w:sz w:val="21"/>
          <w:szCs w:val="21"/>
          <w:highlight w:val="none"/>
          <w:u w:val="single"/>
        </w:rPr>
        <w:t>结算审查期限，从收到承包人上报的完整的竣工结算资料（竣工图、变更、签证、认价单、结算书、结算申请单）之日起，两个月内审核完成或提出修改意见，结算时间最长不超过12个月</w:t>
      </w:r>
      <w:r>
        <w:rPr>
          <w:rFonts w:hint="eastAsia" w:ascii="宋体" w:hAnsi="宋体" w:eastAsia="宋体" w:cs="宋体"/>
          <w:color w:val="auto"/>
          <w:sz w:val="21"/>
          <w:szCs w:val="21"/>
          <w:highlight w:val="none"/>
        </w:rPr>
        <w:t>。</w:t>
      </w:r>
    </w:p>
    <w:p w14:paraId="4C787528">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发包人完成竣工付款的期限：</w:t>
      </w:r>
      <w:r>
        <w:rPr>
          <w:rFonts w:hint="eastAsia" w:ascii="宋体" w:hAnsi="宋体" w:eastAsia="宋体" w:cs="宋体"/>
          <w:color w:val="auto"/>
          <w:sz w:val="21"/>
          <w:szCs w:val="21"/>
          <w:highlight w:val="none"/>
          <w:u w:val="single"/>
        </w:rPr>
        <w:t>发包人委托的第三方造价审计机构出具正式结算报告后1个月内</w:t>
      </w:r>
      <w:r>
        <w:rPr>
          <w:rFonts w:hint="eastAsia" w:ascii="宋体" w:hAnsi="宋体" w:eastAsia="宋体" w:cs="宋体"/>
          <w:color w:val="auto"/>
          <w:sz w:val="21"/>
          <w:szCs w:val="21"/>
          <w:highlight w:val="none"/>
        </w:rPr>
        <w:t>。</w:t>
      </w:r>
    </w:p>
    <w:p w14:paraId="7062EA89">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关于竣工付款证书异议部分复核的方式和程序：</w:t>
      </w:r>
      <w:r>
        <w:rPr>
          <w:rFonts w:hint="eastAsia" w:ascii="宋体" w:hAnsi="宋体" w:eastAsia="宋体" w:cs="宋体"/>
          <w:color w:val="auto"/>
          <w:sz w:val="21"/>
          <w:szCs w:val="21"/>
          <w:highlight w:val="none"/>
          <w:u w:val="single"/>
        </w:rPr>
        <w:t>由发包人委托的第三方造价审计机构进行复核</w:t>
      </w:r>
      <w:r>
        <w:rPr>
          <w:rFonts w:hint="eastAsia" w:ascii="宋体" w:hAnsi="宋体" w:eastAsia="宋体" w:cs="宋体"/>
          <w:color w:val="auto"/>
          <w:sz w:val="21"/>
          <w:szCs w:val="21"/>
          <w:highlight w:val="none"/>
        </w:rPr>
        <w:t>。</w:t>
      </w:r>
    </w:p>
    <w:p w14:paraId="1D840596">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 最终结清</w:t>
      </w:r>
    </w:p>
    <w:p w14:paraId="7B0D3459">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14.4.1 最终结清申请单</w:t>
      </w:r>
    </w:p>
    <w:p w14:paraId="046FA63A">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承包人提交最终结清申请单的份数：</w:t>
      </w:r>
      <w:r>
        <w:rPr>
          <w:rFonts w:hint="eastAsia" w:ascii="宋体" w:hAnsi="宋体" w:eastAsia="宋体" w:cs="宋体"/>
          <w:color w:val="auto"/>
          <w:sz w:val="21"/>
          <w:szCs w:val="21"/>
          <w:highlight w:val="none"/>
          <w:u w:val="single"/>
        </w:rPr>
        <w:t xml:space="preserve">   6份   </w:t>
      </w:r>
      <w:r>
        <w:rPr>
          <w:rFonts w:hint="eastAsia" w:ascii="宋体" w:hAnsi="宋体" w:eastAsia="宋体" w:cs="宋体"/>
          <w:color w:val="auto"/>
          <w:sz w:val="21"/>
          <w:szCs w:val="21"/>
          <w:highlight w:val="none"/>
        </w:rPr>
        <w:t>。</w:t>
      </w:r>
    </w:p>
    <w:p w14:paraId="490529A5">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承包人提交最终结算申请单的期限：</w:t>
      </w:r>
      <w:r>
        <w:rPr>
          <w:rFonts w:hint="eastAsia" w:ascii="宋体" w:hAnsi="宋体" w:eastAsia="宋体" w:cs="宋体"/>
          <w:color w:val="auto"/>
          <w:sz w:val="21"/>
          <w:szCs w:val="21"/>
          <w:highlight w:val="none"/>
          <w:u w:val="single"/>
        </w:rPr>
        <w:t>在缺陷责任期终止证书颁发后10天内</w:t>
      </w:r>
      <w:r>
        <w:rPr>
          <w:rFonts w:hint="eastAsia" w:ascii="宋体" w:hAnsi="宋体" w:eastAsia="宋体" w:cs="宋体"/>
          <w:color w:val="auto"/>
          <w:sz w:val="21"/>
          <w:szCs w:val="21"/>
          <w:highlight w:val="none"/>
        </w:rPr>
        <w:t xml:space="preserve">。 </w:t>
      </w:r>
    </w:p>
    <w:p w14:paraId="73626FC2">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14.4.2 最终结清证书和支付</w:t>
      </w:r>
    </w:p>
    <w:p w14:paraId="4937CD92">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（1）发包人完成最终结清申请单的审批并颁发最终结清证书的期限：</w:t>
      </w:r>
      <w:r>
        <w:rPr>
          <w:rFonts w:hint="eastAsia" w:ascii="宋体" w:hAnsi="宋体" w:eastAsia="宋体" w:cs="宋体"/>
          <w:color w:val="auto"/>
          <w:sz w:val="21"/>
          <w:szCs w:val="21"/>
          <w:highlight w:val="none"/>
          <w:u w:val="single"/>
        </w:rPr>
        <w:t xml:space="preserve"> 执行通用条款 </w:t>
      </w:r>
      <w:r>
        <w:rPr>
          <w:rFonts w:hint="eastAsia" w:ascii="宋体" w:hAnsi="宋体" w:eastAsia="宋体" w:cs="宋体"/>
          <w:color w:val="auto"/>
          <w:sz w:val="21"/>
          <w:szCs w:val="21"/>
          <w:highlight w:val="none"/>
        </w:rPr>
        <w:t>。</w:t>
      </w:r>
    </w:p>
    <w:p w14:paraId="173F6595">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（2）发包人完成支付的期限：</w:t>
      </w:r>
      <w:r>
        <w:rPr>
          <w:rFonts w:hint="eastAsia" w:ascii="宋体" w:hAnsi="宋体" w:eastAsia="宋体" w:cs="宋体"/>
          <w:color w:val="auto"/>
          <w:sz w:val="21"/>
          <w:szCs w:val="21"/>
          <w:highlight w:val="none"/>
          <w:u w:val="single"/>
        </w:rPr>
        <w:t xml:space="preserve">  执行通用条款  </w:t>
      </w:r>
      <w:r>
        <w:rPr>
          <w:rFonts w:hint="eastAsia" w:ascii="宋体" w:hAnsi="宋体" w:eastAsia="宋体" w:cs="宋体"/>
          <w:color w:val="auto"/>
          <w:sz w:val="21"/>
          <w:szCs w:val="21"/>
          <w:highlight w:val="none"/>
        </w:rPr>
        <w:t>。</w:t>
      </w:r>
    </w:p>
    <w:bookmarkEnd w:id="469"/>
    <w:bookmarkEnd w:id="470"/>
    <w:bookmarkEnd w:id="471"/>
    <w:bookmarkEnd w:id="472"/>
    <w:bookmarkEnd w:id="473"/>
    <w:bookmarkEnd w:id="474"/>
    <w:bookmarkEnd w:id="475"/>
    <w:bookmarkEnd w:id="481"/>
    <w:p w14:paraId="49B46286">
      <w:pPr>
        <w:keepNext w:val="0"/>
        <w:keepLines w:val="0"/>
        <w:pageBreakBefore w:val="0"/>
        <w:kinsoku/>
        <w:wordWrap/>
        <w:overflowPunct/>
        <w:topLinePunct w:val="0"/>
        <w:bidi w:val="0"/>
        <w:spacing w:line="360" w:lineRule="exact"/>
        <w:ind w:left="0" w:leftChars="0" w:firstLine="422" w:firstLineChars="200"/>
        <w:jc w:val="left"/>
        <w:textAlignment w:val="auto"/>
        <w:rPr>
          <w:rFonts w:hint="eastAsia" w:ascii="宋体" w:hAnsi="宋体" w:eastAsia="宋体" w:cs="宋体"/>
          <w:b/>
          <w:bCs/>
          <w:color w:val="auto"/>
          <w:sz w:val="21"/>
          <w:szCs w:val="21"/>
          <w:highlight w:val="none"/>
        </w:rPr>
      </w:pPr>
      <w:bookmarkStart w:id="483" w:name="_Toc351203647"/>
      <w:bookmarkStart w:id="484" w:name="_Toc267251490"/>
      <w:bookmarkStart w:id="485" w:name="_Toc267251483"/>
      <w:bookmarkStart w:id="486" w:name="_Toc267251482"/>
      <w:bookmarkStart w:id="487" w:name="_Toc267251485"/>
      <w:bookmarkStart w:id="488" w:name="_Toc267251489"/>
      <w:bookmarkStart w:id="489" w:name="_Toc267251484"/>
      <w:bookmarkStart w:id="490" w:name="_Toc267251488"/>
      <w:bookmarkStart w:id="491" w:name="_Toc267251486"/>
      <w:bookmarkStart w:id="492" w:name="_Toc267251493"/>
      <w:bookmarkStart w:id="493" w:name="_Toc267251495"/>
      <w:bookmarkStart w:id="494" w:name="_Toc267251494"/>
      <w:bookmarkStart w:id="495" w:name="_Toc267251492"/>
      <w:bookmarkStart w:id="496" w:name="_Toc267251503"/>
      <w:bookmarkStart w:id="497" w:name="_Toc267251498"/>
      <w:bookmarkStart w:id="498" w:name="_Toc267251496"/>
      <w:bookmarkStart w:id="499" w:name="_Toc267251502"/>
      <w:bookmarkStart w:id="500" w:name="_Toc267251501"/>
      <w:bookmarkStart w:id="501" w:name="_Toc267251491"/>
      <w:bookmarkStart w:id="502" w:name="_Toc267251497"/>
      <w:bookmarkStart w:id="503" w:name="_Toc267251499"/>
      <w:bookmarkStart w:id="504" w:name="_Toc267251504"/>
      <w:bookmarkStart w:id="505" w:name="_Toc267251506"/>
      <w:bookmarkStart w:id="506" w:name="_Toc267251507"/>
      <w:bookmarkStart w:id="507" w:name="_Toc267251508"/>
      <w:bookmarkStart w:id="508" w:name="_Toc267251510"/>
      <w:bookmarkStart w:id="509" w:name="_Toc267251513"/>
      <w:bookmarkStart w:id="510" w:name="_Toc267251511"/>
      <w:bookmarkStart w:id="511" w:name="_Toc267251514"/>
      <w:bookmarkStart w:id="512" w:name="_Toc267251515"/>
      <w:bookmarkStart w:id="513" w:name="_Toc267251509"/>
      <w:r>
        <w:rPr>
          <w:rFonts w:hint="eastAsia" w:ascii="宋体" w:hAnsi="宋体" w:eastAsia="宋体" w:cs="宋体"/>
          <w:b/>
          <w:bCs/>
          <w:color w:val="auto"/>
          <w:sz w:val="21"/>
          <w:szCs w:val="21"/>
          <w:highlight w:val="none"/>
        </w:rPr>
        <w:t>15. 缺陷责任期与保修</w:t>
      </w:r>
      <w:bookmarkEnd w:id="483"/>
    </w:p>
    <w:bookmarkEnd w:id="484"/>
    <w:bookmarkEnd w:id="485"/>
    <w:bookmarkEnd w:id="486"/>
    <w:bookmarkEnd w:id="487"/>
    <w:bookmarkEnd w:id="488"/>
    <w:bookmarkEnd w:id="489"/>
    <w:bookmarkEnd w:id="490"/>
    <w:bookmarkEnd w:id="491"/>
    <w:p w14:paraId="7B23EE52">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b w:val="0"/>
          <w:bCs w:val="0"/>
          <w:color w:val="auto"/>
          <w:sz w:val="21"/>
          <w:szCs w:val="21"/>
          <w:highlight w:val="none"/>
        </w:rPr>
      </w:pPr>
      <w:bookmarkStart w:id="514" w:name="_Toc351203648"/>
      <w:bookmarkStart w:id="515" w:name="_Toc280868717"/>
      <w:bookmarkStart w:id="516" w:name="_Toc280868718"/>
      <w:r>
        <w:rPr>
          <w:rFonts w:hint="eastAsia" w:ascii="宋体" w:hAnsi="宋体" w:eastAsia="宋体" w:cs="宋体"/>
          <w:b w:val="0"/>
          <w:bCs w:val="0"/>
          <w:color w:val="auto"/>
          <w:sz w:val="21"/>
          <w:szCs w:val="21"/>
          <w:highlight w:val="none"/>
        </w:rPr>
        <w:t>15.2缺陷责任期</w:t>
      </w:r>
    </w:p>
    <w:p w14:paraId="35A68C4D">
      <w:pPr>
        <w:keepNext w:val="0"/>
        <w:keepLines w:val="0"/>
        <w:pageBreakBefore w:val="0"/>
        <w:kinsoku/>
        <w:wordWrap/>
        <w:overflowPunct/>
        <w:topLinePunct w:val="0"/>
        <w:bidi w:val="0"/>
        <w:spacing w:line="360" w:lineRule="exact"/>
        <w:ind w:left="0" w:leftChars="0" w:firstLine="422" w:firstLineChars="200"/>
        <w:jc w:val="left"/>
        <w:textAlignment w:val="auto"/>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缺陷责任期的具体期限：</w:t>
      </w:r>
      <w:r>
        <w:rPr>
          <w:rFonts w:hint="eastAsia" w:ascii="宋体" w:hAnsi="宋体" w:cs="宋体"/>
          <w:b/>
          <w:bCs/>
          <w:color w:val="auto"/>
          <w:sz w:val="21"/>
          <w:szCs w:val="21"/>
          <w:highlight w:val="none"/>
          <w:u w:val="single"/>
          <w:shd w:val="clear" w:color="auto" w:fill="auto"/>
          <w:lang w:val="en-US" w:eastAsia="zh-CN"/>
        </w:rPr>
        <w:t>24</w:t>
      </w:r>
      <w:r>
        <w:rPr>
          <w:rFonts w:hint="eastAsia" w:ascii="宋体" w:hAnsi="宋体" w:eastAsia="宋体" w:cs="宋体"/>
          <w:b/>
          <w:bCs/>
          <w:color w:val="auto"/>
          <w:sz w:val="21"/>
          <w:szCs w:val="21"/>
          <w:highlight w:val="none"/>
          <w:u w:val="single"/>
          <w:shd w:val="clear" w:color="auto" w:fill="auto"/>
        </w:rPr>
        <w:t>个月</w:t>
      </w:r>
      <w:r>
        <w:rPr>
          <w:rFonts w:hint="eastAsia" w:ascii="宋体" w:hAnsi="宋体" w:eastAsia="宋体" w:cs="宋体"/>
          <w:b/>
          <w:bCs/>
          <w:color w:val="auto"/>
          <w:sz w:val="21"/>
          <w:szCs w:val="21"/>
          <w:highlight w:val="none"/>
          <w:shd w:val="clear" w:color="auto" w:fill="auto"/>
        </w:rPr>
        <w:t>。</w:t>
      </w:r>
    </w:p>
    <w:p w14:paraId="378FC182">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 质量保证金</w:t>
      </w:r>
    </w:p>
    <w:p w14:paraId="5F6AF322">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关于是否扣留质量保证金的约定：</w:t>
      </w:r>
      <w:r>
        <w:rPr>
          <w:rFonts w:hint="eastAsia" w:ascii="宋体" w:hAnsi="宋体" w:eastAsia="宋体" w:cs="宋体"/>
          <w:color w:val="auto"/>
          <w:sz w:val="21"/>
          <w:szCs w:val="21"/>
          <w:highlight w:val="none"/>
          <w:u w:val="single"/>
          <w:lang w:val="en-US" w:eastAsia="zh-CN"/>
        </w:rPr>
        <w:t>/</w:t>
      </w:r>
    </w:p>
    <w:p w14:paraId="610B0B16">
      <w:pPr>
        <w:keepNext w:val="0"/>
        <w:keepLines w:val="0"/>
        <w:pageBreakBefore w:val="0"/>
        <w:kinsoku/>
        <w:wordWrap/>
        <w:overflowPunct/>
        <w:topLinePunct w:val="0"/>
        <w:bidi w:val="0"/>
        <w:spacing w:line="360" w:lineRule="exact"/>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16. 违约</w:t>
      </w:r>
      <w:bookmarkEnd w:id="514"/>
    </w:p>
    <w:p w14:paraId="60183FD1">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发包人违约</w:t>
      </w:r>
    </w:p>
    <w:p w14:paraId="7C9B3695">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16.1.1发包人违约的情形</w:t>
      </w:r>
    </w:p>
    <w:p w14:paraId="0DBEA1AC">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发包人违约的其他情形：</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3FDE17EB">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16.1.2 发包人违约的责任</w:t>
      </w:r>
    </w:p>
    <w:p w14:paraId="285ED194">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发包人违约责任的承担方式和计算方法：</w:t>
      </w:r>
    </w:p>
    <w:p w14:paraId="42FA7BD6">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（1）因发包人原因未能在计划开工日期前7天内下达开工通知的违约责任：</w:t>
      </w:r>
      <w:r>
        <w:rPr>
          <w:rFonts w:hint="eastAsia" w:ascii="宋体" w:hAnsi="宋体" w:eastAsia="宋体" w:cs="宋体"/>
          <w:color w:val="auto"/>
          <w:kern w:val="0"/>
          <w:sz w:val="21"/>
          <w:szCs w:val="21"/>
          <w:highlight w:val="none"/>
          <w:u w:val="single"/>
        </w:rPr>
        <w:t>工期顺延</w:t>
      </w:r>
      <w:r>
        <w:rPr>
          <w:rFonts w:hint="eastAsia" w:ascii="宋体" w:hAnsi="宋体" w:eastAsia="宋体" w:cs="宋体"/>
          <w:color w:val="auto"/>
          <w:kern w:val="0"/>
          <w:sz w:val="21"/>
          <w:szCs w:val="21"/>
          <w:highlight w:val="none"/>
        </w:rPr>
        <w:t>。</w:t>
      </w:r>
    </w:p>
    <w:p w14:paraId="6885E6E9">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（2）因发包人原因未能按合同约定支付合同价款的违约责任：</w:t>
      </w:r>
      <w:r>
        <w:rPr>
          <w:rFonts w:hint="eastAsia" w:ascii="宋体" w:hAnsi="宋体" w:eastAsia="宋体" w:cs="宋体"/>
          <w:color w:val="auto"/>
          <w:kern w:val="0"/>
          <w:sz w:val="21"/>
          <w:szCs w:val="21"/>
          <w:highlight w:val="none"/>
          <w:u w:val="single"/>
        </w:rPr>
        <w:t xml:space="preserve">  双方另行协商 </w:t>
      </w:r>
      <w:r>
        <w:rPr>
          <w:rFonts w:hint="eastAsia" w:ascii="宋体" w:hAnsi="宋体" w:eastAsia="宋体" w:cs="宋体"/>
          <w:color w:val="auto"/>
          <w:kern w:val="0"/>
          <w:sz w:val="21"/>
          <w:szCs w:val="21"/>
          <w:highlight w:val="none"/>
        </w:rPr>
        <w:t>。</w:t>
      </w:r>
    </w:p>
    <w:p w14:paraId="52819D69">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（3）发包人违反第10.1款〔变更的范围〕第（2）项约定，自行实施被取消的工作或转由他人实施的违约责任：</w:t>
      </w:r>
      <w:r>
        <w:rPr>
          <w:rFonts w:hint="eastAsia" w:ascii="宋体" w:hAnsi="宋体" w:eastAsia="宋体" w:cs="宋体"/>
          <w:color w:val="auto"/>
          <w:kern w:val="0"/>
          <w:sz w:val="21"/>
          <w:szCs w:val="21"/>
          <w:highlight w:val="none"/>
          <w:u w:val="single"/>
        </w:rPr>
        <w:t xml:space="preserve">双方另行协商 </w:t>
      </w:r>
      <w:r>
        <w:rPr>
          <w:rFonts w:hint="eastAsia" w:ascii="宋体" w:hAnsi="宋体" w:eastAsia="宋体" w:cs="宋体"/>
          <w:color w:val="auto"/>
          <w:kern w:val="0"/>
          <w:sz w:val="21"/>
          <w:szCs w:val="21"/>
          <w:highlight w:val="none"/>
        </w:rPr>
        <w:t>。</w:t>
      </w:r>
    </w:p>
    <w:p w14:paraId="0DAEB28C">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（4）因发包人违反合同约定造成暂停施工的违约责任：</w:t>
      </w:r>
      <w:r>
        <w:rPr>
          <w:rFonts w:hint="eastAsia" w:ascii="宋体" w:hAnsi="宋体" w:eastAsia="宋体" w:cs="宋体"/>
          <w:color w:val="auto"/>
          <w:kern w:val="0"/>
          <w:sz w:val="21"/>
          <w:szCs w:val="21"/>
          <w:highlight w:val="none"/>
          <w:u w:val="single"/>
        </w:rPr>
        <w:t>若影响工期的，工期予以顺延</w:t>
      </w:r>
      <w:r>
        <w:rPr>
          <w:rFonts w:hint="eastAsia" w:ascii="宋体" w:hAnsi="宋体" w:eastAsia="宋体" w:cs="宋体"/>
          <w:color w:val="auto"/>
          <w:kern w:val="0"/>
          <w:sz w:val="21"/>
          <w:szCs w:val="21"/>
          <w:highlight w:val="none"/>
        </w:rPr>
        <w:t>。</w:t>
      </w:r>
    </w:p>
    <w:p w14:paraId="26E82A87">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（5）发包人无正当理由没有在约定期限内发出复工指示，导致承包人无法复工的违约责任：</w:t>
      </w:r>
      <w:r>
        <w:rPr>
          <w:rFonts w:hint="eastAsia" w:ascii="宋体" w:hAnsi="宋体" w:eastAsia="宋体" w:cs="宋体"/>
          <w:color w:val="auto"/>
          <w:kern w:val="0"/>
          <w:sz w:val="21"/>
          <w:szCs w:val="21"/>
          <w:highlight w:val="none"/>
          <w:u w:val="single"/>
        </w:rPr>
        <w:t>若影响工期的，工期予以顺延</w:t>
      </w:r>
      <w:r>
        <w:rPr>
          <w:rFonts w:hint="eastAsia" w:ascii="宋体" w:hAnsi="宋体" w:eastAsia="宋体" w:cs="宋体"/>
          <w:color w:val="auto"/>
          <w:kern w:val="0"/>
          <w:sz w:val="21"/>
          <w:szCs w:val="21"/>
          <w:highlight w:val="none"/>
        </w:rPr>
        <w:t>。</w:t>
      </w:r>
    </w:p>
    <w:p w14:paraId="1B48D80A">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16.1.3 因发包人违约解除合同</w:t>
      </w:r>
    </w:p>
    <w:p w14:paraId="27228240">
      <w:pPr>
        <w:keepNext w:val="0"/>
        <w:keepLines w:val="0"/>
        <w:pageBreakBefore w:val="0"/>
        <w:kinsoku/>
        <w:wordWrap/>
        <w:overflowPunct/>
        <w:topLinePunct w:val="0"/>
        <w:autoSpaceDE w:val="0"/>
        <w:autoSpaceDN w:val="0"/>
        <w:bidi w:val="0"/>
        <w:adjustRightInd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承包人按16.1.1项〔发包人违约的情形〕约定暂停施工满</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天后发包人仍不纠正其违约行为并致使合同目的不能实现的，承包人有权解除合同。</w:t>
      </w:r>
    </w:p>
    <w:p w14:paraId="0516775E">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 承包人违约</w:t>
      </w:r>
    </w:p>
    <w:p w14:paraId="60EDA101">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16.2.1 承包人违约的情形</w:t>
      </w:r>
    </w:p>
    <w:p w14:paraId="286685F3">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承包人违约的其他情形：</w:t>
      </w:r>
      <w:r>
        <w:rPr>
          <w:rFonts w:hint="eastAsia" w:ascii="宋体" w:hAnsi="宋体" w:eastAsia="宋体" w:cs="宋体"/>
          <w:color w:val="auto"/>
          <w:kern w:val="0"/>
          <w:sz w:val="21"/>
          <w:szCs w:val="21"/>
          <w:highlight w:val="none"/>
          <w:u w:val="single"/>
        </w:rPr>
        <w:t xml:space="preserve"> 1）擅自更换项目经理的；2）未经发包人许可，擅自采购材料设备表以外设备及材料的或未经准用批准使用的</w:t>
      </w:r>
      <w:r>
        <w:rPr>
          <w:rFonts w:hint="eastAsia" w:ascii="宋体" w:hAnsi="宋体" w:eastAsia="宋体" w:cs="宋体"/>
          <w:color w:val="auto"/>
          <w:kern w:val="0"/>
          <w:sz w:val="21"/>
          <w:szCs w:val="21"/>
          <w:highlight w:val="none"/>
        </w:rPr>
        <w:t>。</w:t>
      </w:r>
    </w:p>
    <w:p w14:paraId="2EC7A108">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16.2.2承包人违约的责任</w:t>
      </w:r>
    </w:p>
    <w:p w14:paraId="3F81F277">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承包人违约责任的承担方式和计算方法：（1）</w:t>
      </w:r>
      <w:r>
        <w:rPr>
          <w:rFonts w:hint="eastAsia" w:ascii="宋体" w:hAnsi="宋体" w:eastAsia="宋体" w:cs="宋体"/>
          <w:b/>
          <w:color w:val="auto"/>
          <w:sz w:val="21"/>
          <w:szCs w:val="21"/>
          <w:highlight w:val="none"/>
          <w:u w:val="single"/>
        </w:rPr>
        <w:t>建设过程中分部分项工程质量</w:t>
      </w:r>
      <w:r>
        <w:rPr>
          <w:rFonts w:hint="eastAsia" w:ascii="宋体" w:hAnsi="宋体" w:eastAsia="宋体" w:cs="宋体"/>
          <w:color w:val="auto"/>
          <w:sz w:val="21"/>
          <w:szCs w:val="21"/>
          <w:highlight w:val="none"/>
          <w:u w:val="single"/>
        </w:rPr>
        <w:t>若达不到合格标准，承包人应按要求整改至合格（整改费用承包人自行承担），并承担1000-5000元/次的违约金。</w:t>
      </w:r>
    </w:p>
    <w:p w14:paraId="6A3BCE2D">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u w:val="single"/>
        </w:rPr>
        <w:t>确保现场劳务人员基本权益，保证劳务工资按月发放，若发生讨薪投诉事件，承包人承担30000元/次的违约金。</w:t>
      </w:r>
    </w:p>
    <w:p w14:paraId="46B0056D">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rPr>
        <w:t>（3）工程建设过程中，承包人没有按照发包人要求进度实施工程建设的，发包人有权对承包人收取1000-5000元/天的违约金。</w:t>
      </w:r>
    </w:p>
    <w:p w14:paraId="27B68FC5">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u w:val="single"/>
        </w:rPr>
        <w:t>（4）以上违约金应在承包人当期进度款中扣除。</w:t>
      </w:r>
      <w:r>
        <w:rPr>
          <w:rFonts w:hint="eastAsia" w:ascii="宋体" w:hAnsi="宋体" w:eastAsia="宋体" w:cs="宋体"/>
          <w:color w:val="auto"/>
          <w:sz w:val="21"/>
          <w:szCs w:val="21"/>
          <w:highlight w:val="none"/>
        </w:rPr>
        <w:t xml:space="preserve">    </w:t>
      </w:r>
    </w:p>
    <w:p w14:paraId="2AE7FF85">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sz w:val="21"/>
          <w:szCs w:val="21"/>
          <w:highlight w:val="none"/>
          <w:u w:val="single"/>
        </w:rPr>
        <w:t>（5）本工程要求工程质量达到国家规定的合格标准，竣工验收达不到合格标准的，除按国家规定对承包人予以处罚外，承包方按合同价的20%向发包人支付质量违约金并修复至达到验收合格标准。中间验收时如果出现局部或分部或分项质量不合格，承包人除免费立即纠正、修复外，还要按该局部或分部或分项工程的合同价的20%向发包人支付质量违约金。</w:t>
      </w:r>
    </w:p>
    <w:p w14:paraId="6D270451">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16.2.3 因承包人违约解除合同</w:t>
      </w:r>
    </w:p>
    <w:p w14:paraId="3AD60618">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关于承包人违约解除合同的特别约定：</w:t>
      </w:r>
      <w:r>
        <w:rPr>
          <w:rFonts w:hint="eastAsia" w:ascii="宋体" w:hAnsi="宋体" w:eastAsia="宋体" w:cs="宋体"/>
          <w:color w:val="auto"/>
          <w:sz w:val="21"/>
          <w:szCs w:val="21"/>
          <w:highlight w:val="none"/>
          <w:u w:val="single"/>
        </w:rPr>
        <w:t>（1）承包人未按双方确认的施工计划组织施工；（2）承包人所施工的分部分项工程经两次验收均不合格；（3）承包人擅自更换本工程项目经理；（4）承包人未按照本合同约定及时移交工程和满足备案要求的完整竣工资料，逾期超过30天；（5）承包人欠付农民工工资、劳务费、材料款等，导致相关人员围堵发包人工地5天或办公经营场所3次或办公经营场所单次一天以上；（6）项目经理不胜任本职工作，发包人和工程师可提前7天以书面形式通知承包人更换合格的项目经理，如更换后的项目经理仍旧不能胜任本职工作，发包人有解除合同的权利；（7）承包人违反本合同约定义务，经发包人催告后在限期内未改正的</w:t>
      </w:r>
      <w:r>
        <w:rPr>
          <w:rFonts w:hint="eastAsia" w:ascii="宋体" w:hAnsi="宋体" w:eastAsia="宋体" w:cs="宋体"/>
          <w:color w:val="auto"/>
          <w:kern w:val="0"/>
          <w:sz w:val="21"/>
          <w:szCs w:val="21"/>
          <w:highlight w:val="none"/>
          <w:u w:val="single"/>
        </w:rPr>
        <w:t>。</w:t>
      </w:r>
    </w:p>
    <w:p w14:paraId="7FED61A4">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 w:val="21"/>
          <w:szCs w:val="21"/>
          <w:highlight w:val="none"/>
          <w:u w:val="single"/>
        </w:rPr>
        <w:t>工程材料设备由发包人按照承包人的采购价使用，但不得高于承包人</w:t>
      </w:r>
      <w:r>
        <w:rPr>
          <w:rFonts w:hint="eastAsia" w:ascii="宋体" w:hAnsi="宋体" w:eastAsia="宋体" w:cs="宋体"/>
          <w:color w:val="auto"/>
          <w:sz w:val="21"/>
          <w:szCs w:val="21"/>
          <w:highlight w:val="none"/>
          <w:u w:val="single"/>
          <w:lang w:val="en-US" w:eastAsia="zh-CN"/>
        </w:rPr>
        <w:t>磋商</w:t>
      </w:r>
      <w:r>
        <w:rPr>
          <w:rFonts w:hint="eastAsia" w:ascii="宋体" w:hAnsi="宋体" w:eastAsia="宋体" w:cs="宋体"/>
          <w:color w:val="auto"/>
          <w:kern w:val="0"/>
          <w:sz w:val="21"/>
          <w:szCs w:val="21"/>
          <w:highlight w:val="none"/>
          <w:u w:val="single"/>
          <w:lang w:eastAsia="zh-CN"/>
        </w:rPr>
        <w:t>报价</w:t>
      </w:r>
      <w:r>
        <w:rPr>
          <w:rFonts w:hint="eastAsia" w:ascii="宋体" w:hAnsi="宋体" w:eastAsia="宋体" w:cs="宋体"/>
          <w:color w:val="auto"/>
          <w:kern w:val="0"/>
          <w:sz w:val="21"/>
          <w:szCs w:val="21"/>
          <w:highlight w:val="none"/>
          <w:u w:val="single"/>
        </w:rPr>
        <w:t>中的材料单价；施工设备、临时工程、承包人文件和由承包人或以其名义编制的其他文件的由发包人免费使用，由承包人负责维护、拆除及退场并承担费用</w:t>
      </w:r>
      <w:r>
        <w:rPr>
          <w:rFonts w:hint="eastAsia" w:ascii="宋体" w:hAnsi="宋体" w:eastAsia="宋体" w:cs="宋体"/>
          <w:color w:val="auto"/>
          <w:kern w:val="0"/>
          <w:sz w:val="21"/>
          <w:szCs w:val="21"/>
          <w:highlight w:val="none"/>
        </w:rPr>
        <w:t>。</w:t>
      </w:r>
    </w:p>
    <w:p w14:paraId="46A4C23E">
      <w:pPr>
        <w:keepNext w:val="0"/>
        <w:keepLines w:val="0"/>
        <w:pageBreakBefore w:val="0"/>
        <w:kinsoku/>
        <w:wordWrap/>
        <w:overflowPunct/>
        <w:topLinePunct w:val="0"/>
        <w:bidi w:val="0"/>
        <w:spacing w:line="360" w:lineRule="exact"/>
        <w:ind w:left="0" w:leftChars="0" w:firstLine="422" w:firstLineChars="200"/>
        <w:jc w:val="left"/>
        <w:textAlignment w:val="auto"/>
        <w:rPr>
          <w:rFonts w:hint="eastAsia" w:ascii="宋体" w:hAnsi="宋体" w:eastAsia="宋体" w:cs="宋体"/>
          <w:b/>
          <w:bCs/>
          <w:color w:val="auto"/>
          <w:sz w:val="21"/>
          <w:szCs w:val="21"/>
          <w:highlight w:val="none"/>
        </w:rPr>
      </w:pPr>
      <w:bookmarkStart w:id="517" w:name="_Toc351203649"/>
      <w:r>
        <w:rPr>
          <w:rFonts w:hint="eastAsia" w:ascii="宋体" w:hAnsi="宋体" w:eastAsia="宋体" w:cs="宋体"/>
          <w:b/>
          <w:bCs/>
          <w:color w:val="auto"/>
          <w:sz w:val="21"/>
          <w:szCs w:val="21"/>
          <w:highlight w:val="none"/>
        </w:rPr>
        <w:t>17. 不可抗力</w:t>
      </w:r>
      <w:bookmarkEnd w:id="517"/>
      <w:r>
        <w:rPr>
          <w:rFonts w:hint="eastAsia" w:ascii="宋体" w:hAnsi="宋体" w:eastAsia="宋体" w:cs="宋体"/>
          <w:b/>
          <w:bCs/>
          <w:color w:val="auto"/>
          <w:sz w:val="21"/>
          <w:szCs w:val="21"/>
          <w:highlight w:val="none"/>
        </w:rPr>
        <w:t xml:space="preserve"> </w:t>
      </w:r>
      <w:bookmarkEnd w:id="515"/>
    </w:p>
    <w:p w14:paraId="4D72A1C5">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 不可抗力的确认</w:t>
      </w:r>
    </w:p>
    <w:p w14:paraId="0289EA02">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sz w:val="21"/>
          <w:szCs w:val="21"/>
          <w:highlight w:val="none"/>
        </w:rPr>
        <w:t>除通用合同条款约定的不可抗力事件之外，视为不可抗力的其他情形：</w:t>
      </w:r>
      <w:r>
        <w:rPr>
          <w:rFonts w:hint="eastAsia" w:ascii="宋体" w:hAnsi="宋体" w:eastAsia="宋体" w:cs="宋体"/>
          <w:color w:val="auto"/>
          <w:sz w:val="21"/>
          <w:szCs w:val="21"/>
          <w:highlight w:val="none"/>
          <w:u w:val="single"/>
        </w:rPr>
        <w:t>按通用条款执行。其中正常年份的风、雨、雪、雾天气不属于不可抗力；一个有经验的承包商应当能够估计到的自然气候、环境（制约）变化的影响原则上也不做为不可抗力事件对待；高考、中考、运动会以及政府部门发出的有碍于施工的临时性指令均不做为不可抗力事件对待。由于发生30年以上一遇的降雨引起的洪水灾害、雪灾造成对工程的影响，经国家有关部门鉴定后可按不可抗力对待；发生破坏性地震的属于不可抗力事件</w:t>
      </w:r>
      <w:r>
        <w:rPr>
          <w:rFonts w:hint="eastAsia" w:ascii="宋体" w:hAnsi="宋体" w:eastAsia="宋体" w:cs="宋体"/>
          <w:color w:val="auto"/>
          <w:kern w:val="0"/>
          <w:sz w:val="21"/>
          <w:szCs w:val="21"/>
          <w:highlight w:val="none"/>
        </w:rPr>
        <w:t>。</w:t>
      </w:r>
    </w:p>
    <w:p w14:paraId="68E074F7">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 因不可抗力解除合同</w:t>
      </w:r>
    </w:p>
    <w:p w14:paraId="79D36962">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合同解除后，发包人应在商定或确定发包人应支付款项后</w:t>
      </w:r>
      <w:r>
        <w:rPr>
          <w:rFonts w:hint="eastAsia" w:ascii="宋体" w:hAnsi="宋体" w:eastAsia="宋体" w:cs="宋体"/>
          <w:color w:val="auto"/>
          <w:sz w:val="21"/>
          <w:szCs w:val="21"/>
          <w:highlight w:val="none"/>
          <w:u w:val="single"/>
        </w:rPr>
        <w:t xml:space="preserve"> 100 </w:t>
      </w:r>
      <w:r>
        <w:rPr>
          <w:rFonts w:hint="eastAsia" w:ascii="宋体" w:hAnsi="宋体" w:eastAsia="宋体" w:cs="宋体"/>
          <w:color w:val="auto"/>
          <w:sz w:val="21"/>
          <w:szCs w:val="21"/>
          <w:highlight w:val="none"/>
        </w:rPr>
        <w:t>天内完成款项的支付。</w:t>
      </w:r>
    </w:p>
    <w:bookmarkEnd w:id="492"/>
    <w:bookmarkEnd w:id="493"/>
    <w:bookmarkEnd w:id="494"/>
    <w:bookmarkEnd w:id="495"/>
    <w:bookmarkEnd w:id="496"/>
    <w:bookmarkEnd w:id="497"/>
    <w:bookmarkEnd w:id="498"/>
    <w:bookmarkEnd w:id="499"/>
    <w:bookmarkEnd w:id="500"/>
    <w:bookmarkEnd w:id="501"/>
    <w:bookmarkEnd w:id="502"/>
    <w:bookmarkEnd w:id="503"/>
    <w:bookmarkEnd w:id="516"/>
    <w:p w14:paraId="7F8058AE">
      <w:pPr>
        <w:keepNext w:val="0"/>
        <w:keepLines w:val="0"/>
        <w:pageBreakBefore w:val="0"/>
        <w:kinsoku/>
        <w:wordWrap/>
        <w:overflowPunct/>
        <w:topLinePunct w:val="0"/>
        <w:bidi w:val="0"/>
        <w:spacing w:line="360" w:lineRule="exact"/>
        <w:ind w:left="0" w:leftChars="0" w:firstLine="422" w:firstLineChars="200"/>
        <w:jc w:val="left"/>
        <w:textAlignment w:val="auto"/>
        <w:rPr>
          <w:rFonts w:hint="eastAsia" w:ascii="宋体" w:hAnsi="宋体" w:eastAsia="宋体" w:cs="宋体"/>
          <w:b/>
          <w:bCs/>
          <w:color w:val="auto"/>
          <w:sz w:val="21"/>
          <w:szCs w:val="21"/>
          <w:highlight w:val="none"/>
        </w:rPr>
      </w:pPr>
      <w:bookmarkStart w:id="518" w:name="_Toc351203651"/>
      <w:r>
        <w:rPr>
          <w:rFonts w:hint="eastAsia" w:ascii="宋体" w:hAnsi="宋体" w:eastAsia="宋体" w:cs="宋体"/>
          <w:b/>
          <w:bCs/>
          <w:color w:val="auto"/>
          <w:sz w:val="21"/>
          <w:szCs w:val="21"/>
          <w:highlight w:val="none"/>
        </w:rPr>
        <w:t>20. 争议解决</w:t>
      </w:r>
      <w:bookmarkEnd w:id="518"/>
    </w:p>
    <w:bookmarkEnd w:id="504"/>
    <w:bookmarkEnd w:id="505"/>
    <w:bookmarkEnd w:id="506"/>
    <w:p w14:paraId="0D003890">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20.4仲裁或诉讼</w:t>
      </w:r>
      <w:bookmarkEnd w:id="507"/>
    </w:p>
    <w:p w14:paraId="507C799E">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因合同及合同有关事项发生的争议，按下列第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种方式解决：</w:t>
      </w:r>
    </w:p>
    <w:p w14:paraId="4E5F9230">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仲裁委员会申请仲裁；</w:t>
      </w:r>
    </w:p>
    <w:p w14:paraId="525126AC">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（2）向</w:t>
      </w:r>
      <w:r>
        <w:rPr>
          <w:rFonts w:hint="eastAsia" w:ascii="宋体" w:hAnsi="宋体" w:eastAsia="宋体" w:cs="宋体"/>
          <w:color w:val="auto"/>
          <w:sz w:val="21"/>
          <w:szCs w:val="21"/>
          <w:highlight w:val="none"/>
          <w:u w:val="single"/>
          <w:lang w:val="en-US" w:eastAsia="zh-CN"/>
        </w:rPr>
        <w:t xml:space="preserve"> 甲方所在地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人民法院起诉。</w:t>
      </w:r>
      <w:bookmarkEnd w:id="508"/>
      <w:bookmarkEnd w:id="509"/>
      <w:bookmarkEnd w:id="510"/>
      <w:bookmarkEnd w:id="511"/>
      <w:bookmarkEnd w:id="512"/>
      <w:bookmarkEnd w:id="513"/>
    </w:p>
    <w:p w14:paraId="6972EBE5">
      <w:pPr>
        <w:keepNext w:val="0"/>
        <w:keepLines w:val="0"/>
        <w:pageBreakBefore w:val="0"/>
        <w:kinsoku/>
        <w:wordWrap/>
        <w:overflowPunct/>
        <w:topLinePunct w:val="0"/>
        <w:bidi w:val="0"/>
        <w:spacing w:line="360" w:lineRule="exact"/>
        <w:ind w:left="0" w:lef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补充条款：</w:t>
      </w:r>
    </w:p>
    <w:p w14:paraId="7480A95B">
      <w:pPr>
        <w:keepNext w:val="0"/>
        <w:keepLines w:val="0"/>
        <w:pageBreakBefore w:val="0"/>
        <w:kinsoku/>
        <w:wordWrap/>
        <w:overflowPunct/>
        <w:topLinePunct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1承包人在工程施工管理过程中应当推行标准化管理，开工前应当建立健全各项规章制度和有关程序文件等，随时接受发包人的检查。</w:t>
      </w:r>
    </w:p>
    <w:p w14:paraId="6E4BAC7F">
      <w:pPr>
        <w:keepNext w:val="0"/>
        <w:keepLines w:val="0"/>
        <w:pageBreakBefore w:val="0"/>
        <w:kinsoku/>
        <w:wordWrap/>
        <w:overflowPunct/>
        <w:topLinePunct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2承包人的中标价作为合同价已经包含了发包人在</w:t>
      </w:r>
      <w:r>
        <w:rPr>
          <w:rFonts w:hint="eastAsia" w:ascii="宋体" w:hAnsi="宋体" w:eastAsia="宋体" w:cs="宋体"/>
          <w:color w:val="auto"/>
          <w:sz w:val="21"/>
          <w:szCs w:val="21"/>
          <w:highlight w:val="none"/>
          <w:u w:val="single"/>
          <w:lang w:eastAsia="zh-CN"/>
        </w:rPr>
        <w:t>竞争性磋商文件</w:t>
      </w:r>
      <w:r>
        <w:rPr>
          <w:rFonts w:hint="eastAsia" w:ascii="宋体" w:hAnsi="宋体" w:eastAsia="宋体" w:cs="宋体"/>
          <w:color w:val="auto"/>
          <w:sz w:val="21"/>
          <w:szCs w:val="21"/>
          <w:highlight w:val="none"/>
          <w:u w:val="single"/>
        </w:rPr>
        <w:t>中和招标答疑文件所提出承包（招标）范围内全部工程量的费用，承包人不得以投标时未计某一部分（不论在投标文件中注明与否）为由向发包人提出重新计价的要求。</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针对</w:t>
      </w:r>
      <w:r>
        <w:rPr>
          <w:rFonts w:hint="eastAsia" w:ascii="宋体" w:hAnsi="宋体" w:eastAsia="宋体" w:cs="宋体"/>
          <w:color w:val="auto"/>
          <w:sz w:val="21"/>
          <w:szCs w:val="21"/>
          <w:highlight w:val="none"/>
          <w:u w:val="single"/>
          <w:lang w:eastAsia="zh-CN"/>
        </w:rPr>
        <w:t>采购人</w:t>
      </w:r>
      <w:r>
        <w:rPr>
          <w:rFonts w:hint="eastAsia" w:ascii="宋体" w:hAnsi="宋体" w:eastAsia="宋体" w:cs="宋体"/>
          <w:color w:val="auto"/>
          <w:sz w:val="21"/>
          <w:szCs w:val="21"/>
          <w:highlight w:val="none"/>
          <w:u w:val="single"/>
        </w:rPr>
        <w:t>提供的工程量清单及其描述内容进行报价。如施工现场发生变化，发包人与承包人另行签署补充协议，补充协议与本合同具备同等效力。</w:t>
      </w:r>
    </w:p>
    <w:p w14:paraId="6A8C9C79">
      <w:pPr>
        <w:keepNext w:val="0"/>
        <w:keepLines w:val="0"/>
        <w:pageBreakBefore w:val="0"/>
        <w:kinsoku/>
        <w:wordWrap/>
        <w:overflowPunct/>
        <w:topLinePunct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承包人使用劳务分包和招聘的农民工情况，应当定期向发包人报送备案。承包人应当确保农民工工资的按时、足额发放。承包人在申报当期进度款计划时应当包括农民工工资。发包人有权监督承包人在支付的当期进度款中发放农民工工资情况。如承包人未按时发放农民工工资，影响到本工程的施工进度及工程质量，则发包人有权在工程进度款中将承包人所欠的工资额扣除，直接发放给农民工，并另按发放金额的50%从承包人的工程结算款中扣除作为违约金。</w:t>
      </w:r>
    </w:p>
    <w:p w14:paraId="0E7B1DA4">
      <w:pPr>
        <w:keepNext w:val="0"/>
        <w:keepLines w:val="0"/>
        <w:pageBreakBefore w:val="0"/>
        <w:kinsoku/>
        <w:wordWrap/>
        <w:overflowPunct/>
        <w:topLinePunct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4承包人必须按照自报的并经发包人审定的施工组织设计方案进行施工，不得任意修改和变更其内容、方法等。确需修改时，应当会同发包人商议，取得发包人同意。但不能因施工组织设计的变化而调整中标价。</w:t>
      </w:r>
    </w:p>
    <w:p w14:paraId="79A35832">
      <w:pPr>
        <w:keepNext w:val="0"/>
        <w:keepLines w:val="0"/>
        <w:pageBreakBefore w:val="0"/>
        <w:kinsoku/>
        <w:wordWrap/>
        <w:overflowPunct/>
        <w:topLinePunct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本项目受周围环境和施工场地的限制，承包人应充分考察周围环境和施工现场。</w:t>
      </w:r>
    </w:p>
    <w:p w14:paraId="66D50335">
      <w:pPr>
        <w:keepNext w:val="0"/>
        <w:keepLines w:val="0"/>
        <w:pageBreakBefore w:val="0"/>
        <w:kinsoku/>
        <w:wordWrap/>
        <w:overflowPunct/>
        <w:topLinePunct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5承包方必须按规定做好工程的安全管理、文明施工工作，落实职业健康管理，必须达到省、市级文明工地标准和创卫标准。严格按文明工地和创卫标准施工，设立专用、分类垃圾场（箱），不得在施工区内任意堆放或乱倒垃圾，定期将垃圾清理外运。</w:t>
      </w:r>
    </w:p>
    <w:p w14:paraId="616968A8">
      <w:pPr>
        <w:keepNext w:val="0"/>
        <w:keepLines w:val="0"/>
        <w:pageBreakBefore w:val="0"/>
        <w:kinsoku/>
        <w:wordWrap/>
        <w:overflowPunct/>
        <w:topLinePunct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6承包人在进入施工现场直至工程竣工验收移交期间，应当遵守发包人的有关管理制度，接受发包人有关部门的相应管理。由于承包人过错或不服从发包人有关人员的管理出现承包人违纪、违章，造成发包人的道路、线路等设施损坏，环境受到破坏和污染，排水管道堵塞等，承包人均应自费进行纠正、修补、恢复或予以赔偿。</w:t>
      </w:r>
    </w:p>
    <w:p w14:paraId="083D984A">
      <w:pPr>
        <w:keepNext w:val="0"/>
        <w:keepLines w:val="0"/>
        <w:pageBreakBefore w:val="0"/>
        <w:kinsoku/>
        <w:wordWrap/>
        <w:overflowPunct/>
        <w:topLinePunct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7承包人安全管理人员必须持证上岗，严格按照 “三标”管理体系运行管理，负责检查现场和施工人员安全情况。如发包人管理人员发现有不安全因素存在且未采取预防保护的，每项支付违约金5000元人民币；经指出未及时纠正，再次检查又发现问题的，则支付违约金10000元/项和责令停工整改；出现安全事故的，承包人应当承担全部责任后果。</w:t>
      </w:r>
    </w:p>
    <w:p w14:paraId="7E51C745">
      <w:pPr>
        <w:keepNext w:val="0"/>
        <w:keepLines w:val="0"/>
        <w:pageBreakBefore w:val="0"/>
        <w:kinsoku/>
        <w:wordWrap/>
        <w:overflowPunct/>
        <w:topLinePunct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8承包人现场用电必须按照发包人要求，三相五线制，一机一闸必须带漏电保护，不许用电炉。如施工现场出现用电漏电或短路跳闸，造成停电、影响到发包人用电的，每次支付违约金2000元。</w:t>
      </w:r>
    </w:p>
    <w:p w14:paraId="49014273">
      <w:pPr>
        <w:keepNext w:val="0"/>
        <w:keepLines w:val="0"/>
        <w:pageBreakBefore w:val="0"/>
        <w:kinsoku/>
        <w:wordWrap/>
        <w:overflowPunct/>
        <w:topLinePunct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9本工程竣工验收合格后，承包人应在发包人规定时间内免费将施工现场周围和施工单位生活区周围清除干净；无建筑材料、无建筑设备、无临时垃圾、无坑池渠沟、无掩埋的硬化道路和垃圾，场地整洁。否则发包人不予支付工程款。</w:t>
      </w:r>
    </w:p>
    <w:p w14:paraId="2CFE08FD">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10承包单位的项目经理部到位人员、投入劳动力、投入机械设备、投入周转材料等必须与投标施工组织设计所列相符，否则视为中标人违约，应按每项5000元向发包人支付违约金。</w:t>
      </w:r>
    </w:p>
    <w:p w14:paraId="3ED39640">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11施工单位应当确保安全防护、文明施工措施费专款专用，不得挪用安全防护、文明施工措施费。在财务管理中应单独核算列出安全防护、文明施工措施费用，且必须有详细的费用支付计划表。</w:t>
      </w:r>
    </w:p>
    <w:p w14:paraId="42CEA55D">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12承包单位进场后应承担办理有关施工许可证、环保、卫生、城管、噪音等有关手续，以上工作实施中涉及有关缴纳费用按相关规定由发承包双方各自承担。</w:t>
      </w:r>
    </w:p>
    <w:p w14:paraId="65075FE0">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13工程承包人应在投标工期内，负责完成本工程的综合验收、维护交接和竣工验收备案工作，否则按本工程未完成对待。以上工作实施中涉及有关缴纳费用按相关规定由发承包双方各自承担。</w:t>
      </w:r>
    </w:p>
    <w:p w14:paraId="3D701F91">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14承包方应保证项目实施过程顺利进行，自行协调处理项目周边建设环境及相关各方利益关系，严禁发生项目劳务用工或村民进行上访、堵门、堵路等事件及媒体、网络发布的因施工引起的不良影响，如发生此类事件，将视情节严重程度，由承包方按1～5万元／次向发包方缴纳违约金。</w:t>
      </w:r>
    </w:p>
    <w:p w14:paraId="40898FF6">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15所有专业工种必须持证上岗，证书等级必须满足国家有关文件规定。</w:t>
      </w:r>
    </w:p>
    <w:p w14:paraId="4140DA1E">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16工程决算中，为了避免给发包人造成不必要的额外损失，工程审计的审减率应控制在5%以内，如超出5%审减率时，将按发包人与审计单位签定合同规定，超额部分的基础审计费和审减审计费由承包人向审计单位另行支付。</w:t>
      </w:r>
    </w:p>
    <w:p w14:paraId="443BD800">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17税务条款</w:t>
      </w:r>
    </w:p>
    <w:p w14:paraId="5AD42016">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rPr>
        <w:t>合同双方将承担中国有关机构根据中国税务法律向其征收的所有与合同执行有关的税款，在本合同履行过程中无偷漏税等违法行为，双方应各自承担其未按中华人民共和国相关税务法规足额缴纳税款而产生的全部责任。承包人在发包人支付合同款项时，应向发包人开具符合国家法律法规和税制的建筑施工发票。不开具或开具不合格发票的，发包人有权迟延支付应付款项直至承包人开具合格票据之日且不承担任何违约责任，同时承包人的各项合同义务仍应按合同约定履行</w:t>
      </w:r>
      <w:r>
        <w:rPr>
          <w:rFonts w:hint="eastAsia" w:ascii="宋体" w:hAnsi="宋体" w:eastAsia="宋体" w:cs="宋体"/>
          <w:color w:val="auto"/>
          <w:sz w:val="21"/>
          <w:szCs w:val="21"/>
          <w:highlight w:val="none"/>
          <w:u w:val="single"/>
          <w:lang w:eastAsia="zh-CN"/>
        </w:rPr>
        <w:t>。</w:t>
      </w:r>
    </w:p>
    <w:p w14:paraId="4A45699B">
      <w:pPr>
        <w:keepLines w:val="0"/>
        <w:pageBreakBefore w:val="0"/>
        <w:kinsoku/>
        <w:wordWrap/>
        <w:overflowPunct/>
        <w:topLinePunct w:val="0"/>
        <w:bidi w:val="0"/>
        <w:spacing w:line="360" w:lineRule="exact"/>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br w:type="page"/>
      </w:r>
    </w:p>
    <w:p w14:paraId="51224A3B">
      <w:pPr>
        <w:keepNext w:val="0"/>
        <w:keepLines w:val="0"/>
        <w:pageBreakBefore w:val="0"/>
        <w:kinsoku/>
        <w:wordWrap/>
        <w:overflowPunct/>
        <w:topLinePunct w:val="0"/>
        <w:autoSpaceDE/>
        <w:autoSpaceDN/>
        <w:bidi w:val="0"/>
        <w:spacing w:line="360" w:lineRule="exact"/>
        <w:ind w:left="0" w:leftChars="0" w:firstLine="422" w:firstLineChars="200"/>
        <w:jc w:val="both"/>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sz w:val="21"/>
          <w:szCs w:val="21"/>
          <w:highlight w:val="none"/>
        </w:rPr>
        <w:t>附</w:t>
      </w:r>
      <w:bookmarkStart w:id="519" w:name="_Toc296346727"/>
      <w:bookmarkStart w:id="520" w:name="_Toc296347225"/>
      <w:bookmarkStart w:id="521" w:name="_Toc267261693"/>
      <w:bookmarkStart w:id="522" w:name="_Toc296503226"/>
      <w:bookmarkStart w:id="523" w:name="_Toc296891054"/>
      <w:bookmarkStart w:id="524" w:name="_Toc296891266"/>
      <w:bookmarkStart w:id="525" w:name="_Toc296944565"/>
      <w:r>
        <w:rPr>
          <w:rFonts w:hint="eastAsia" w:ascii="宋体" w:hAnsi="宋体" w:eastAsia="宋体" w:cs="宋体"/>
          <w:b/>
          <w:bCs/>
          <w:color w:val="auto"/>
          <w:sz w:val="21"/>
          <w:szCs w:val="21"/>
          <w:highlight w:val="none"/>
        </w:rPr>
        <w:t>件1：</w:t>
      </w:r>
      <w:bookmarkEnd w:id="519"/>
      <w:bookmarkEnd w:id="520"/>
      <w:bookmarkEnd w:id="521"/>
      <w:bookmarkEnd w:id="522"/>
      <w:bookmarkEnd w:id="523"/>
      <w:bookmarkEnd w:id="524"/>
      <w:bookmarkEnd w:id="525"/>
    </w:p>
    <w:p w14:paraId="7D3A19A4">
      <w:pPr>
        <w:keepNext w:val="0"/>
        <w:keepLines w:val="0"/>
        <w:pageBreakBefore w:val="0"/>
        <w:kinsoku/>
        <w:wordWrap/>
        <w:overflowPunct/>
        <w:topLinePunct w:val="0"/>
        <w:autoSpaceDE/>
        <w:autoSpaceDN/>
        <w:bidi w:val="0"/>
        <w:spacing w:line="360" w:lineRule="exact"/>
        <w:ind w:left="0" w:leftChars="0" w:firstLine="422" w:firstLineChars="200"/>
        <w:jc w:val="center"/>
        <w:textAlignment w:val="auto"/>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rPr>
        <w:t>工程质量保修书</w:t>
      </w:r>
    </w:p>
    <w:p w14:paraId="70451CF2">
      <w:pPr>
        <w:keepNext w:val="0"/>
        <w:keepLines w:val="0"/>
        <w:pageBreakBefore w:val="0"/>
        <w:kinsoku/>
        <w:wordWrap/>
        <w:overflowPunct/>
        <w:topLinePunct w:val="0"/>
        <w:autoSpaceDE/>
        <w:autoSpaceDN/>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发包人（全称）：</w:t>
      </w:r>
      <w:r>
        <w:rPr>
          <w:rFonts w:hint="eastAsia" w:ascii="宋体" w:hAnsi="宋体" w:eastAsia="宋体" w:cs="宋体"/>
          <w:color w:val="auto"/>
          <w:sz w:val="21"/>
          <w:szCs w:val="21"/>
          <w:highlight w:val="none"/>
          <w:u w:val="single"/>
        </w:rPr>
        <w:t xml:space="preserve">                               </w:t>
      </w:r>
    </w:p>
    <w:p w14:paraId="3E4DD329">
      <w:pPr>
        <w:keepNext w:val="0"/>
        <w:keepLines w:val="0"/>
        <w:pageBreakBefore w:val="0"/>
        <w:kinsoku/>
        <w:wordWrap/>
        <w:overflowPunct/>
        <w:topLinePunct w:val="0"/>
        <w:autoSpaceDE/>
        <w:autoSpaceDN/>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承包人（全称）：</w:t>
      </w:r>
      <w:r>
        <w:rPr>
          <w:rFonts w:hint="eastAsia" w:ascii="宋体" w:hAnsi="宋体" w:eastAsia="宋体" w:cs="宋体"/>
          <w:color w:val="auto"/>
          <w:sz w:val="21"/>
          <w:szCs w:val="21"/>
          <w:highlight w:val="none"/>
          <w:u w:val="single"/>
        </w:rPr>
        <w:t xml:space="preserve">                              </w:t>
      </w:r>
    </w:p>
    <w:p w14:paraId="4AA1790B">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发包人、承包人根据《中华人民共和国建筑法》和《建设工程质量管理条例》，经协商一致就</w:t>
      </w:r>
      <w:r>
        <w:rPr>
          <w:rFonts w:hint="eastAsia" w:ascii="宋体" w:hAnsi="宋体" w:cs="宋体"/>
          <w:color w:val="auto"/>
          <w:sz w:val="21"/>
          <w:szCs w:val="21"/>
          <w:highlight w:val="none"/>
          <w:u w:val="single"/>
          <w:lang w:val="en-US" w:eastAsia="zh-CN"/>
        </w:rPr>
        <w:t>泾阳县人民政府会议室改造项目</w:t>
      </w:r>
      <w:r>
        <w:rPr>
          <w:rFonts w:hint="eastAsia" w:ascii="宋体" w:hAnsi="宋体" w:eastAsia="宋体" w:cs="宋体"/>
          <w:color w:val="auto"/>
          <w:sz w:val="21"/>
          <w:szCs w:val="21"/>
          <w:highlight w:val="none"/>
        </w:rPr>
        <w:t>签订工程质量保修书。</w:t>
      </w:r>
    </w:p>
    <w:p w14:paraId="2390C89E">
      <w:pPr>
        <w:keepNext w:val="0"/>
        <w:keepLines w:val="0"/>
        <w:pageBreakBefore w:val="0"/>
        <w:kinsoku/>
        <w:wordWrap/>
        <w:overflowPunct/>
        <w:topLinePunct w:val="0"/>
        <w:autoSpaceDE/>
        <w:autoSpaceDN/>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一、工程质量保修范围和内容</w:t>
      </w:r>
    </w:p>
    <w:p w14:paraId="693ECBC1">
      <w:pPr>
        <w:keepNext w:val="0"/>
        <w:keepLines w:val="0"/>
        <w:pageBreakBefore w:val="0"/>
        <w:kinsoku/>
        <w:wordWrap/>
        <w:overflowPunct/>
        <w:topLinePunct w:val="0"/>
        <w:autoSpaceDE/>
        <w:autoSpaceDN/>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承包人在质量保修期内，按照有关法律规定和合同约定，承担工程质量保修责任。</w:t>
      </w:r>
    </w:p>
    <w:p w14:paraId="5EE7942C">
      <w:pPr>
        <w:keepNext w:val="0"/>
        <w:keepLines w:val="0"/>
        <w:pageBreakBefore w:val="0"/>
        <w:kinsoku/>
        <w:wordWrap/>
        <w:overflowPunct/>
        <w:topLinePunct w:val="0"/>
        <w:autoSpaceDE/>
        <w:autoSpaceDN/>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CD32C38">
      <w:pPr>
        <w:keepNext w:val="0"/>
        <w:keepLines w:val="0"/>
        <w:pageBreakBefore w:val="0"/>
        <w:kinsoku/>
        <w:wordWrap/>
        <w:overflowPunct/>
        <w:topLinePunct w:val="0"/>
        <w:autoSpaceDE/>
        <w:autoSpaceDN/>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二、质量保修期</w:t>
      </w:r>
    </w:p>
    <w:p w14:paraId="469B154F">
      <w:pPr>
        <w:keepNext w:val="0"/>
        <w:keepLines w:val="0"/>
        <w:pageBreakBefore w:val="0"/>
        <w:widowControl/>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根据《建设工程质量管理条例》及有关规定，工程的质量保修期如下：</w:t>
      </w:r>
    </w:p>
    <w:p w14:paraId="2FE4892F">
      <w:pPr>
        <w:keepNext w:val="0"/>
        <w:keepLines w:val="0"/>
        <w:pageBreakBefore w:val="0"/>
        <w:widowControl/>
        <w:numPr>
          <w:ilvl w:val="0"/>
          <w:numId w:val="8"/>
        </w:numPr>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基础设施工程、房屋建筑的地基基础工程和主体结构工程，为设计文件规定的该工程的合理使用年限；</w:t>
      </w:r>
    </w:p>
    <w:p w14:paraId="42AE60C2">
      <w:pPr>
        <w:keepNext w:val="0"/>
        <w:keepLines w:val="0"/>
        <w:pageBreakBefore w:val="0"/>
        <w:widowControl/>
        <w:numPr>
          <w:ilvl w:val="0"/>
          <w:numId w:val="8"/>
        </w:numPr>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屋面防水工程、有防水要求的卫生间、房间和外墙面的防渗漏，为</w:t>
      </w:r>
      <w:r>
        <w:rPr>
          <w:rFonts w:hint="eastAsia" w:ascii="宋体" w:hAnsi="宋体" w:eastAsia="宋体" w:cs="宋体"/>
          <w:color w:val="auto"/>
          <w:kern w:val="0"/>
          <w:sz w:val="21"/>
          <w:szCs w:val="21"/>
          <w:highlight w:val="none"/>
          <w:u w:val="single"/>
          <w:lang w:val="en-US" w:eastAsia="zh-CN"/>
        </w:rPr>
        <w:t>5</w:t>
      </w:r>
      <w:r>
        <w:rPr>
          <w:rFonts w:hint="eastAsia" w:ascii="宋体" w:hAnsi="宋体" w:eastAsia="宋体" w:cs="宋体"/>
          <w:color w:val="auto"/>
          <w:kern w:val="0"/>
          <w:sz w:val="21"/>
          <w:szCs w:val="21"/>
          <w:highlight w:val="none"/>
        </w:rPr>
        <w:t>年；</w:t>
      </w:r>
    </w:p>
    <w:p w14:paraId="7E216FDA">
      <w:pPr>
        <w:keepNext w:val="0"/>
        <w:keepLines w:val="0"/>
        <w:pageBreakBefore w:val="0"/>
        <w:widowControl/>
        <w:numPr>
          <w:ilvl w:val="0"/>
          <w:numId w:val="8"/>
        </w:numPr>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供热与供冷系统，为</w:t>
      </w:r>
      <w:r>
        <w:rPr>
          <w:rFonts w:hint="eastAsia" w:ascii="宋体" w:hAnsi="宋体" w:eastAsia="宋体" w:cs="宋体"/>
          <w:color w:val="auto"/>
          <w:kern w:val="0"/>
          <w:sz w:val="21"/>
          <w:szCs w:val="21"/>
          <w:highlight w:val="none"/>
          <w:u w:val="single"/>
          <w:lang w:val="en-US" w:eastAsia="zh-CN"/>
        </w:rPr>
        <w:t>2</w:t>
      </w:r>
      <w:r>
        <w:rPr>
          <w:rFonts w:hint="eastAsia" w:ascii="宋体" w:hAnsi="宋体" w:eastAsia="宋体" w:cs="宋体"/>
          <w:color w:val="auto"/>
          <w:kern w:val="0"/>
          <w:sz w:val="21"/>
          <w:szCs w:val="21"/>
          <w:highlight w:val="none"/>
        </w:rPr>
        <w:t>个采暖期、供冷期；</w:t>
      </w:r>
    </w:p>
    <w:p w14:paraId="6B1BB257">
      <w:pPr>
        <w:keepNext w:val="0"/>
        <w:keepLines w:val="0"/>
        <w:pageBreakBefore w:val="0"/>
        <w:widowControl/>
        <w:numPr>
          <w:ilvl w:val="0"/>
          <w:numId w:val="8"/>
        </w:numPr>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电气管线、给排水管道、设备安装和装修工程，为</w:t>
      </w:r>
      <w:r>
        <w:rPr>
          <w:rFonts w:hint="eastAsia" w:ascii="宋体" w:hAnsi="宋体" w:eastAsia="宋体" w:cs="宋体"/>
          <w:color w:val="auto"/>
          <w:kern w:val="0"/>
          <w:sz w:val="21"/>
          <w:szCs w:val="21"/>
          <w:highlight w:val="none"/>
          <w:u w:val="single"/>
          <w:lang w:val="en-US" w:eastAsia="zh-CN"/>
        </w:rPr>
        <w:t>2</w:t>
      </w:r>
      <w:r>
        <w:rPr>
          <w:rFonts w:hint="eastAsia" w:ascii="宋体" w:hAnsi="宋体" w:eastAsia="宋体" w:cs="宋体"/>
          <w:color w:val="auto"/>
          <w:kern w:val="0"/>
          <w:sz w:val="21"/>
          <w:szCs w:val="21"/>
          <w:highlight w:val="none"/>
        </w:rPr>
        <w:t>年。</w:t>
      </w:r>
    </w:p>
    <w:p w14:paraId="2EF10BCC">
      <w:pPr>
        <w:keepNext w:val="0"/>
        <w:keepLines w:val="0"/>
        <w:pageBreakBefore w:val="0"/>
        <w:widowControl/>
        <w:numPr>
          <w:ilvl w:val="0"/>
          <w:numId w:val="8"/>
        </w:numPr>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其他项目保修期限约定如下</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u w:val="single"/>
        </w:rPr>
        <w:t>本项目质量保修期为</w:t>
      </w:r>
      <w:r>
        <w:rPr>
          <w:rFonts w:hint="eastAsia" w:ascii="宋体" w:hAnsi="宋体" w:cs="宋体"/>
          <w:color w:val="auto"/>
          <w:kern w:val="0"/>
          <w:sz w:val="21"/>
          <w:szCs w:val="21"/>
          <w:highlight w:val="none"/>
          <w:u w:val="single"/>
          <w:lang w:val="en-US" w:eastAsia="zh-CN"/>
        </w:rPr>
        <w:t>2</w:t>
      </w:r>
      <w:r>
        <w:rPr>
          <w:rFonts w:hint="eastAsia" w:ascii="宋体" w:hAnsi="宋体" w:eastAsia="宋体" w:cs="宋体"/>
          <w:color w:val="auto"/>
          <w:kern w:val="0"/>
          <w:sz w:val="21"/>
          <w:szCs w:val="21"/>
          <w:highlight w:val="none"/>
          <w:u w:val="single"/>
        </w:rPr>
        <w:t xml:space="preserve">年 </w:t>
      </w:r>
      <w:r>
        <w:rPr>
          <w:rFonts w:hint="eastAsia" w:ascii="宋体" w:hAnsi="宋体" w:eastAsia="宋体" w:cs="宋体"/>
          <w:color w:val="auto"/>
          <w:kern w:val="0"/>
          <w:sz w:val="21"/>
          <w:szCs w:val="21"/>
          <w:highlight w:val="none"/>
          <w:u w:val="none"/>
        </w:rPr>
        <w:t xml:space="preserve"> 。</w:t>
      </w:r>
    </w:p>
    <w:p w14:paraId="1FA54C2B">
      <w:pPr>
        <w:keepNext w:val="0"/>
        <w:keepLines w:val="0"/>
        <w:pageBreakBefore w:val="0"/>
        <w:widowControl/>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质量保修期自工程竣工验收合格之日起计算。</w:t>
      </w:r>
    </w:p>
    <w:p w14:paraId="0867014E">
      <w:pPr>
        <w:keepNext w:val="0"/>
        <w:keepLines w:val="0"/>
        <w:pageBreakBefore w:val="0"/>
        <w:widowControl/>
        <w:kinsoku/>
        <w:wordWrap/>
        <w:overflowPunct/>
        <w:topLinePunct w:val="0"/>
        <w:autoSpaceDE/>
        <w:autoSpaceDN/>
        <w:bidi w:val="0"/>
        <w:adjustRightInd w:val="0"/>
        <w:snapToGrid w:val="0"/>
        <w:spacing w:line="360" w:lineRule="exact"/>
        <w:ind w:left="0" w:leftChars="0"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三、缺陷责任期</w:t>
      </w:r>
    </w:p>
    <w:p w14:paraId="0329CCE1">
      <w:pPr>
        <w:keepNext w:val="0"/>
        <w:keepLines w:val="0"/>
        <w:pageBreakBefore w:val="0"/>
        <w:widowControl/>
        <w:kinsoku/>
        <w:wordWrap/>
        <w:overflowPunct/>
        <w:topLinePunct w:val="0"/>
        <w:autoSpaceDE/>
        <w:autoSpaceDN/>
        <w:bidi w:val="0"/>
        <w:adjustRightInd w:val="0"/>
        <w:snapToGrid w:val="0"/>
        <w:spacing w:line="360" w:lineRule="exact"/>
        <w:ind w:left="0" w:leftChars="0"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工程缺陷责任期为</w:t>
      </w:r>
      <w:r>
        <w:rPr>
          <w:rFonts w:hint="eastAsia" w:ascii="宋体" w:hAnsi="宋体" w:cs="宋体"/>
          <w:b/>
          <w:bCs/>
          <w:color w:val="auto"/>
          <w:kern w:val="0"/>
          <w:sz w:val="21"/>
          <w:szCs w:val="21"/>
          <w:highlight w:val="none"/>
          <w:u w:val="single"/>
          <w:lang w:val="en-US" w:eastAsia="zh-CN"/>
        </w:rPr>
        <w:t>24</w:t>
      </w:r>
      <w:r>
        <w:rPr>
          <w:rFonts w:hint="eastAsia" w:ascii="宋体" w:hAnsi="宋体" w:eastAsia="宋体" w:cs="宋体"/>
          <w:b/>
          <w:bCs/>
          <w:color w:val="auto"/>
          <w:kern w:val="0"/>
          <w:sz w:val="21"/>
          <w:szCs w:val="21"/>
          <w:highlight w:val="none"/>
        </w:rPr>
        <w:t>个月，</w:t>
      </w:r>
      <w:r>
        <w:rPr>
          <w:rFonts w:hint="eastAsia" w:ascii="宋体" w:hAnsi="宋体" w:eastAsia="宋体" w:cs="宋体"/>
          <w:color w:val="auto"/>
          <w:kern w:val="0"/>
          <w:sz w:val="21"/>
          <w:szCs w:val="21"/>
          <w:highlight w:val="none"/>
        </w:rPr>
        <w:t>缺陷责任期自工程通过竣工验收之日起计算。单位工程先于全部工程进行验收，单位工程缺陷责任期自单位工程验收合格之日起算。</w:t>
      </w:r>
    </w:p>
    <w:p w14:paraId="5CAE78E6">
      <w:pPr>
        <w:keepNext w:val="0"/>
        <w:keepLines w:val="0"/>
        <w:pageBreakBefore w:val="0"/>
        <w:widowControl/>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缺陷责任期终止后，发包人应退还剩余的质量保证金。</w:t>
      </w:r>
    </w:p>
    <w:p w14:paraId="5EFE1531">
      <w:pPr>
        <w:keepNext w:val="0"/>
        <w:keepLines w:val="0"/>
        <w:pageBreakBefore w:val="0"/>
        <w:widowControl/>
        <w:kinsoku/>
        <w:wordWrap/>
        <w:overflowPunct/>
        <w:topLinePunct w:val="0"/>
        <w:autoSpaceDE/>
        <w:autoSpaceDN/>
        <w:bidi w:val="0"/>
        <w:adjustRightInd w:val="0"/>
        <w:snapToGrid w:val="0"/>
        <w:spacing w:line="360" w:lineRule="exact"/>
        <w:ind w:left="0" w:leftChars="0"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四、质量保修责任</w:t>
      </w:r>
    </w:p>
    <w:p w14:paraId="52021D21">
      <w:pPr>
        <w:keepNext w:val="0"/>
        <w:keepLines w:val="0"/>
        <w:pageBreakBefore w:val="0"/>
        <w:widowControl/>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1.保修费用由造成质量缺陷的责任方承担。</w:t>
      </w:r>
    </w:p>
    <w:p w14:paraId="2346EDA5">
      <w:pPr>
        <w:keepNext w:val="0"/>
        <w:keepLines w:val="0"/>
        <w:pageBreakBefore w:val="0"/>
        <w:widowControl/>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2.保修金为工程竣工结算审定总价的 </w:t>
      </w:r>
      <w:r>
        <w:rPr>
          <w:rFonts w:hint="eastAsia" w:ascii="宋体" w:hAnsi="宋体" w:eastAsia="宋体" w:cs="宋体"/>
          <w:b/>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%，在工程竣工结算时预留。质保期间无质量问题则于质保期后支付至保修金总额的</w:t>
      </w:r>
      <w:r>
        <w:rPr>
          <w:rFonts w:hint="eastAsia" w:ascii="宋体" w:hAnsi="宋体" w:eastAsia="宋体" w:cs="宋体"/>
          <w:b/>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%（无息）。</w:t>
      </w:r>
    </w:p>
    <w:p w14:paraId="5E87D269">
      <w:pPr>
        <w:keepNext w:val="0"/>
        <w:keepLines w:val="0"/>
        <w:pageBreakBefore w:val="0"/>
        <w:widowControl/>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3.属于保修范围、内容的项目，承包人应当在接到保修通知之日起1天内派人保修。承包人不在约定期限内派人保修的，发包人可以委托他人修理，</w:t>
      </w:r>
      <w:r>
        <w:rPr>
          <w:rFonts w:hint="eastAsia" w:ascii="宋体" w:hAnsi="宋体" w:eastAsia="宋体" w:cs="宋体"/>
          <w:color w:val="auto"/>
          <w:sz w:val="21"/>
          <w:szCs w:val="21"/>
          <w:highlight w:val="none"/>
        </w:rPr>
        <w:t>由此产生的费用从保修金中扣除。</w:t>
      </w:r>
    </w:p>
    <w:p w14:paraId="157A59C0">
      <w:pPr>
        <w:keepNext w:val="0"/>
        <w:keepLines w:val="0"/>
        <w:pageBreakBefore w:val="0"/>
        <w:widowControl/>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4.发生紧急抢修事故的，承包人在接到事故通知后，应当立即到达事故现场抢修。</w:t>
      </w:r>
    </w:p>
    <w:p w14:paraId="31F99781">
      <w:pPr>
        <w:keepNext w:val="0"/>
        <w:keepLines w:val="0"/>
        <w:pageBreakBefore w:val="0"/>
        <w:widowControl/>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4E5206C3">
      <w:pPr>
        <w:keepNext w:val="0"/>
        <w:keepLines w:val="0"/>
        <w:pageBreakBefore w:val="0"/>
        <w:widowControl/>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6.质量保修完成后，由发包人组织验收。</w:t>
      </w:r>
    </w:p>
    <w:p w14:paraId="7B355A5F">
      <w:pPr>
        <w:keepNext w:val="0"/>
        <w:keepLines w:val="0"/>
        <w:pageBreakBefore w:val="0"/>
        <w:kinsoku/>
        <w:wordWrap/>
        <w:overflowPunct/>
        <w:topLinePunct w:val="0"/>
        <w:autoSpaceDE/>
        <w:autoSpaceDN/>
        <w:bidi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kern w:val="0"/>
          <w:sz w:val="21"/>
          <w:szCs w:val="21"/>
          <w:highlight w:val="none"/>
        </w:rPr>
        <w:t>缺陷责任期从工程通过竣工验收之日起计。由于承包人原因导致工程无法按规定期限进行竣（交）工验收的，缺陷责任期从实际通过竣（交）工验收之日起计。由于发包人原因导致工程无法按规定期限进行竣（交）工验收的，在承包人提交竣（交）工验收报告90天后，工程自动进入缺陷责任期。</w:t>
      </w:r>
    </w:p>
    <w:p w14:paraId="3CB96ABB">
      <w:pPr>
        <w:keepNext w:val="0"/>
        <w:keepLines w:val="0"/>
        <w:pageBreakBefore w:val="0"/>
        <w:widowControl/>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缺陷责任期内，由承包人原因造成的缺陷，承包人应负责维修，并承担鉴定及维修费用。如承包人不维修也不承担费用，发包人可按合同约定扣除保证金，并由承包人承担违约责任。承包人维修并承担相应费用后，不免除对工程的一般损失赔偿责任。由他人原因造成的缺陷，发包人负责组织维修，承包人不承担费用，且发包人不得从保证金中扣除费用。</w:t>
      </w:r>
    </w:p>
    <w:p w14:paraId="72B26EE3">
      <w:pPr>
        <w:keepNext w:val="0"/>
        <w:keepLines w:val="0"/>
        <w:pageBreakBefore w:val="0"/>
        <w:widowControl/>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9.缺陷责任期内，承包人认真履行合同约定的责任，到期后，承包人向发包人申请返还保证金。</w:t>
      </w:r>
    </w:p>
    <w:p w14:paraId="75DDE363">
      <w:pPr>
        <w:keepNext w:val="0"/>
        <w:keepLines w:val="0"/>
        <w:pageBreakBefore w:val="0"/>
        <w:widowControl/>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在接到承包人返还保证金申请后，应于14日内会同承包人按照合同约定的内容进行核实。如无异议，发包人应当在核实后14日内将保证金返还给承包人，逾期支付的，从逾期之日起，按照同期银行贷款利率计付利息，并承担违约责任。发包人在接到承包人返还保证金申请后14日内不予答复，经催告后14日内仍不予答复，视同认可承包人的返还保证金申请。</w:t>
      </w:r>
    </w:p>
    <w:p w14:paraId="48026AD0">
      <w:pPr>
        <w:keepNext w:val="0"/>
        <w:keepLines w:val="0"/>
        <w:pageBreakBefore w:val="0"/>
        <w:widowControl/>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发包人和承包人对保证金预留、返还以及工程维修质量、费用有争议，按承包合同约定的争议和纠纷解决程序处理</w:t>
      </w:r>
    </w:p>
    <w:p w14:paraId="0C105BE4">
      <w:pPr>
        <w:keepNext w:val="0"/>
        <w:keepLines w:val="0"/>
        <w:pageBreakBefore w:val="0"/>
        <w:numPr>
          <w:ilvl w:val="0"/>
          <w:numId w:val="9"/>
        </w:numPr>
        <w:kinsoku/>
        <w:wordWrap/>
        <w:overflowPunct/>
        <w:topLinePunct w:val="0"/>
        <w:autoSpaceDE/>
        <w:autoSpaceDN/>
        <w:bidi w:val="0"/>
        <w:spacing w:line="360" w:lineRule="exact"/>
        <w:ind w:left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保修费用</w:t>
      </w:r>
    </w:p>
    <w:p w14:paraId="1646E39D">
      <w:pPr>
        <w:keepNext w:val="0"/>
        <w:keepLines w:val="0"/>
        <w:pageBreakBefore w:val="0"/>
        <w:numPr>
          <w:ilvl w:val="0"/>
          <w:numId w:val="0"/>
        </w:numPr>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保修费用由造成质量缺陷的责任方承担。</w:t>
      </w:r>
    </w:p>
    <w:p w14:paraId="6DB31DCC">
      <w:pPr>
        <w:keepNext w:val="0"/>
        <w:keepLines w:val="0"/>
        <w:pageBreakBefore w:val="0"/>
        <w:kinsoku/>
        <w:wordWrap/>
        <w:overflowPunct/>
        <w:topLinePunct w:val="0"/>
        <w:autoSpaceDE/>
        <w:autoSpaceDN/>
        <w:bidi w:val="0"/>
        <w:spacing w:line="360" w:lineRule="exact"/>
        <w:ind w:left="0" w:leftChars="0"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六</w:t>
      </w:r>
      <w:r>
        <w:rPr>
          <w:rFonts w:hint="eastAsia" w:ascii="宋体" w:hAnsi="宋体" w:eastAsia="宋体" w:cs="宋体"/>
          <w:color w:val="auto"/>
          <w:sz w:val="21"/>
          <w:szCs w:val="21"/>
          <w:highlight w:val="none"/>
        </w:rPr>
        <w:t>、双方约定的其他工程质量保修事项：</w:t>
      </w:r>
      <w:r>
        <w:rPr>
          <w:rFonts w:hint="eastAsia" w:ascii="宋体" w:hAnsi="宋体" w:eastAsia="宋体" w:cs="宋体"/>
          <w:color w:val="auto"/>
          <w:sz w:val="21"/>
          <w:szCs w:val="21"/>
          <w:highlight w:val="none"/>
          <w:u w:val="single"/>
        </w:rPr>
        <w:t>无</w:t>
      </w:r>
      <w:r>
        <w:rPr>
          <w:rFonts w:hint="eastAsia" w:ascii="宋体" w:hAnsi="宋体" w:eastAsia="宋体" w:cs="宋体"/>
          <w:color w:val="auto"/>
          <w:sz w:val="21"/>
          <w:szCs w:val="21"/>
          <w:highlight w:val="none"/>
        </w:rPr>
        <w:t>。</w:t>
      </w:r>
    </w:p>
    <w:p w14:paraId="537F0444">
      <w:pPr>
        <w:keepNext w:val="0"/>
        <w:keepLines w:val="0"/>
        <w:pageBreakBefore w:val="0"/>
        <w:kinsoku/>
        <w:wordWrap/>
        <w:overflowPunct/>
        <w:topLinePunct w:val="0"/>
        <w:autoSpaceDE/>
        <w:autoSpaceDN/>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工程质量保修书由发包人、承包人在工程竣工验收前共同签署，作为施工合同附件，其有效期限至保修期满。</w:t>
      </w:r>
    </w:p>
    <w:p w14:paraId="287C0244">
      <w:pPr>
        <w:keepNext w:val="0"/>
        <w:keepLines w:val="0"/>
        <w:pageBreakBefore w:val="0"/>
        <w:kinsoku/>
        <w:wordWrap/>
        <w:overflowPunct/>
        <w:topLinePunct w:val="0"/>
        <w:autoSpaceDE/>
        <w:autoSpaceDN/>
        <w:bidi w:val="0"/>
        <w:spacing w:line="360" w:lineRule="exact"/>
        <w:ind w:left="0" w:leftChars="0" w:firstLine="420" w:firstLineChars="200"/>
        <w:textAlignment w:val="auto"/>
        <w:rPr>
          <w:rFonts w:hint="eastAsia" w:ascii="宋体" w:hAnsi="宋体" w:eastAsia="宋体" w:cs="宋体"/>
          <w:color w:val="auto"/>
          <w:sz w:val="21"/>
          <w:szCs w:val="21"/>
          <w:highlight w:val="none"/>
        </w:rPr>
      </w:pPr>
    </w:p>
    <w:p w14:paraId="51F89BFC">
      <w:pPr>
        <w:keepNext w:val="0"/>
        <w:keepLines w:val="0"/>
        <w:pageBreakBefore w:val="0"/>
        <w:kinsoku/>
        <w:wordWrap/>
        <w:overflowPunct/>
        <w:topLinePunct w:val="0"/>
        <w:autoSpaceDE/>
        <w:autoSpaceDN/>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发包人(公章)：</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承包人(公章)：</w:t>
      </w:r>
      <w:r>
        <w:rPr>
          <w:rFonts w:hint="eastAsia" w:ascii="宋体" w:hAnsi="宋体" w:eastAsia="宋体" w:cs="宋体"/>
          <w:color w:val="auto"/>
          <w:sz w:val="21"/>
          <w:szCs w:val="21"/>
          <w:highlight w:val="none"/>
          <w:u w:val="single"/>
        </w:rPr>
        <w:t xml:space="preserve">              </w:t>
      </w:r>
    </w:p>
    <w:p w14:paraId="761B9F05">
      <w:pPr>
        <w:keepNext w:val="0"/>
        <w:keepLines w:val="0"/>
        <w:pageBreakBefore w:val="0"/>
        <w:kinsoku/>
        <w:wordWrap/>
        <w:overflowPunct/>
        <w:topLinePunct w:val="0"/>
        <w:autoSpaceDE/>
        <w:autoSpaceDN/>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            </w:t>
      </w:r>
    </w:p>
    <w:p w14:paraId="009DCFCD">
      <w:pPr>
        <w:keepNext w:val="0"/>
        <w:keepLines w:val="0"/>
        <w:pageBreakBefore w:val="0"/>
        <w:kinsoku/>
        <w:wordWrap/>
        <w:overflowPunct/>
        <w:topLinePunct w:val="0"/>
        <w:autoSpaceDE/>
        <w:autoSpaceDN/>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法定代表人(签章)：</w:t>
      </w:r>
      <w:r>
        <w:rPr>
          <w:rFonts w:hint="eastAsia" w:ascii="宋体" w:hAnsi="宋体" w:eastAsia="宋体" w:cs="宋体"/>
          <w:color w:val="auto"/>
          <w:sz w:val="21"/>
          <w:szCs w:val="21"/>
          <w:highlight w:val="none"/>
          <w:u w:val="single"/>
        </w:rPr>
        <w:t xml:space="preserve">            </w:t>
      </w:r>
    </w:p>
    <w:p w14:paraId="61394E74">
      <w:pPr>
        <w:keepNext w:val="0"/>
        <w:keepLines w:val="0"/>
        <w:pageBreakBefore w:val="0"/>
        <w:kinsoku/>
        <w:wordWrap/>
        <w:overflowPunct/>
        <w:topLinePunct w:val="0"/>
        <w:autoSpaceDE/>
        <w:autoSpaceDN/>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委托代理人(签章)：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委托代理人(签章)：</w:t>
      </w:r>
      <w:r>
        <w:rPr>
          <w:rFonts w:hint="eastAsia" w:ascii="宋体" w:hAnsi="宋体" w:eastAsia="宋体" w:cs="宋体"/>
          <w:color w:val="auto"/>
          <w:sz w:val="21"/>
          <w:szCs w:val="21"/>
          <w:highlight w:val="none"/>
          <w:u w:val="single"/>
        </w:rPr>
        <w:t xml:space="preserve">               </w:t>
      </w:r>
    </w:p>
    <w:p w14:paraId="4819C0AB">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p>
    <w:p w14:paraId="0572853D">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3FC8AA69">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2"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施工安全生产协议格式</w:t>
      </w:r>
    </w:p>
    <w:p w14:paraId="4FD915B8">
      <w:pPr>
        <w:keepNext w:val="0"/>
        <w:keepLines w:val="0"/>
        <w:pageBreakBefore w:val="0"/>
        <w:widowControl w:val="0"/>
        <w:kinsoku/>
        <w:wordWrap/>
        <w:overflowPunct/>
        <w:topLinePunct w:val="0"/>
        <w:autoSpaceDE/>
        <w:autoSpaceDN/>
        <w:bidi w:val="0"/>
        <w:spacing w:line="360" w:lineRule="exact"/>
        <w:ind w:left="0" w:leftChars="0" w:firstLine="422" w:firstLineChars="200"/>
        <w:jc w:val="center"/>
        <w:textAlignment w:val="auto"/>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rPr>
        <w:t>安全生产协议</w:t>
      </w:r>
    </w:p>
    <w:p w14:paraId="5D17468E">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发包人（甲方）：</w:t>
      </w:r>
      <w:r>
        <w:rPr>
          <w:rFonts w:hint="eastAsia" w:ascii="宋体" w:hAnsi="宋体" w:eastAsia="宋体" w:cs="宋体"/>
          <w:color w:val="auto"/>
          <w:sz w:val="21"/>
          <w:szCs w:val="21"/>
          <w:highlight w:val="none"/>
          <w:u w:val="single"/>
        </w:rPr>
        <w:t xml:space="preserve">                              </w:t>
      </w:r>
    </w:p>
    <w:p w14:paraId="227EBB61">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承包人（乙方）：</w:t>
      </w:r>
      <w:r>
        <w:rPr>
          <w:rFonts w:hint="eastAsia" w:ascii="宋体" w:hAnsi="宋体" w:eastAsia="宋体" w:cs="宋体"/>
          <w:color w:val="auto"/>
          <w:sz w:val="21"/>
          <w:szCs w:val="21"/>
          <w:highlight w:val="none"/>
          <w:u w:val="single"/>
        </w:rPr>
        <w:t xml:space="preserve">                              </w:t>
      </w:r>
    </w:p>
    <w:p w14:paraId="5D17274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为加强建设工程安全生产管理，落实安全生产责任，防止和减少生产安全事故，经甲乙双方在平等、自愿的基础上协商一致，根据《中华人民共和国安全生产法》、《建设工程安全生产管理条例》及相关法律、法规的规定，达成《安全生产协议》如下： </w:t>
      </w:r>
    </w:p>
    <w:p w14:paraId="765305DB">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一、承包工程项目：</w:t>
      </w:r>
    </w:p>
    <w:p w14:paraId="6FD2FCE7">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1、工程项目名称：</w:t>
      </w:r>
      <w:r>
        <w:rPr>
          <w:rFonts w:hint="eastAsia" w:ascii="宋体" w:hAnsi="宋体" w:eastAsia="宋体" w:cs="宋体"/>
          <w:color w:val="auto"/>
          <w:kern w:val="0"/>
          <w:sz w:val="21"/>
          <w:szCs w:val="21"/>
          <w:highlight w:val="none"/>
          <w:u w:val="single"/>
        </w:rPr>
        <w:t xml:space="preserve">                                           </w:t>
      </w:r>
    </w:p>
    <w:p w14:paraId="43AC63A4">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2、工 程 地 址： </w:t>
      </w:r>
      <w:r>
        <w:rPr>
          <w:rFonts w:hint="eastAsia" w:ascii="宋体" w:hAnsi="宋体" w:eastAsia="宋体" w:cs="宋体"/>
          <w:color w:val="auto"/>
          <w:sz w:val="21"/>
          <w:szCs w:val="21"/>
          <w:highlight w:val="none"/>
          <w:u w:val="single"/>
        </w:rPr>
        <w:t xml:space="preserve">                                           </w:t>
      </w:r>
    </w:p>
    <w:p w14:paraId="7B32AC6A">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 包 范 围：</w:t>
      </w:r>
      <w:r>
        <w:rPr>
          <w:rFonts w:hint="eastAsia" w:ascii="宋体" w:hAnsi="宋体" w:eastAsia="宋体" w:cs="宋体"/>
          <w:color w:val="auto"/>
          <w:sz w:val="21"/>
          <w:szCs w:val="21"/>
          <w:highlight w:val="none"/>
          <w:u w:val="single"/>
        </w:rPr>
        <w:t>见协议书</w:t>
      </w:r>
      <w:r>
        <w:rPr>
          <w:rFonts w:hint="eastAsia" w:ascii="宋体" w:hAnsi="宋体" w:eastAsia="宋体" w:cs="宋体"/>
          <w:color w:val="auto"/>
          <w:sz w:val="21"/>
          <w:szCs w:val="21"/>
          <w:highlight w:val="none"/>
        </w:rPr>
        <w:t xml:space="preserve">                       </w:t>
      </w:r>
    </w:p>
    <w:p w14:paraId="5C7B2A5F">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 包 方 式：</w:t>
      </w:r>
      <w:r>
        <w:rPr>
          <w:rFonts w:hint="eastAsia" w:ascii="宋体" w:hAnsi="宋体" w:eastAsia="宋体" w:cs="宋体"/>
          <w:color w:val="auto"/>
          <w:sz w:val="21"/>
          <w:szCs w:val="21"/>
          <w:highlight w:val="none"/>
          <w:u w:val="single"/>
        </w:rPr>
        <w:t>见协议书</w:t>
      </w:r>
      <w:r>
        <w:rPr>
          <w:rFonts w:hint="eastAsia" w:ascii="宋体" w:hAnsi="宋体" w:eastAsia="宋体" w:cs="宋体"/>
          <w:color w:val="auto"/>
          <w:sz w:val="21"/>
          <w:szCs w:val="21"/>
          <w:highlight w:val="none"/>
        </w:rPr>
        <w:t xml:space="preserve">        </w:t>
      </w:r>
    </w:p>
    <w:p w14:paraId="685DCC9C">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二、建设工程安全生产管理目标及必须达到安全事故控制指标</w:t>
      </w:r>
    </w:p>
    <w:p w14:paraId="053D6EDB">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遵守《建设工程安全生产管理条例》的规定，实现安全生产管理目标：无重伤、无死亡、无施工坍塌、无高处坠落、无滑坡、无火灾、无用电事故、无重大机械事故等各类安全生产事故。即：</w:t>
      </w:r>
    </w:p>
    <w:p w14:paraId="11E3A16B">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1、因工死亡率为零；</w:t>
      </w:r>
    </w:p>
    <w:p w14:paraId="0251296E">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2、因工重伤率为零；</w:t>
      </w:r>
    </w:p>
    <w:p w14:paraId="0A9E1F84">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3、因工轻伤事故频率不高于15%；</w:t>
      </w:r>
    </w:p>
    <w:p w14:paraId="07055852">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4、不发生2万元以上的机械、设备、交通和火灾事故。</w:t>
      </w:r>
    </w:p>
    <w:p w14:paraId="6D63D555">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三、本协议有效期限</w:t>
      </w:r>
    </w:p>
    <w:p w14:paraId="4B62A859">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自承包人入驻施工场地之日起，至工程竣工验收合格交付发包人使用时止（同施工合同期限）。</w:t>
      </w:r>
    </w:p>
    <w:p w14:paraId="682AC973">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四、甲方的安全生产管理权利</w:t>
      </w:r>
    </w:p>
    <w:p w14:paraId="7BA22A4D">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1、监督检查乙方的各项安全生产工作，对建筑工地现场实施日常检查和定期、不定期的巡查。</w:t>
      </w:r>
    </w:p>
    <w:p w14:paraId="0723091C">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2、在实施检查、巡查过程中，发现建设工程存在安全事故隐患的，有权要求乙方暂时停止施工进行整改，直至消除安全事故隐患。</w:t>
      </w:r>
    </w:p>
    <w:p w14:paraId="1452BE55">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3、根据本协议约定，甲方享有对乙方违反安全生产约定的经济处罚权。</w:t>
      </w:r>
    </w:p>
    <w:p w14:paraId="0B1381A3">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4、查阅与检查、巡查事项有关的文件、资料。并可根据实际情况，对施工现场进行检测、拍照、录音、摄像等。</w:t>
      </w:r>
    </w:p>
    <w:p w14:paraId="550EAA3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五、甲方的安全生产管理义务</w:t>
      </w:r>
    </w:p>
    <w:p w14:paraId="269E0261">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1、甲方不得对乙方提出不符合建设工程安全生产法律、法规和强制性标准的要求。</w:t>
      </w:r>
    </w:p>
    <w:p w14:paraId="3290CFA5">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2、甲方不得明示或暗示乙方购买、租赁、使用不符合安全施工要求的安全防护用具、机械设备、施工机具及配件、消防设施和器材。</w:t>
      </w:r>
    </w:p>
    <w:p w14:paraId="6BFE0468">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3、对乙方施工现场采取的安全施工技术措施，根据乙方的请求，提供必要的协助。</w:t>
      </w:r>
    </w:p>
    <w:p w14:paraId="3E5FE53C">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六、乙方的安全生产责任与义务</w:t>
      </w:r>
    </w:p>
    <w:p w14:paraId="748E4D14">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1、乙方应当在其资质等级许可范围内，并具备安全生产许可证的条件下承揽工程。</w:t>
      </w:r>
    </w:p>
    <w:p w14:paraId="685F8F1D">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应当严格按照建设工程安全生产的法律、法规、规章及安全生产的标准、规程的有关规定，组织工程施工，并对工程建设施工的安全生产工作全面负责。因乙方安全生产措施不力造成事故的责任和因此而发生的费用由乙方承担。</w:t>
      </w:r>
    </w:p>
    <w:p w14:paraId="2F9F2F4E">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3、建立、健全与落实安全生产责任制度、安全生产教育培训制度、安全生产规章制度和操作规程。</w:t>
      </w:r>
    </w:p>
    <w:p w14:paraId="6212C3BC">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4、设立安全生产管理机构，配备专职安全生产管理人员。</w:t>
      </w:r>
    </w:p>
    <w:p w14:paraId="44E3D433">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5、根据工程特点组织制定安全施工措施，消除安全事故隐患。强化对基坑开挖、起重吊装、模板工程等危险性较大的工程施工的监控和安全防护措施的落实，严防高空坠落、施工坍塌等安全事故的发生。</w:t>
      </w:r>
    </w:p>
    <w:p w14:paraId="6766E308">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6、随时接受甲方实施的安全检查、巡查、并按照甲方的要求进行整改，消除安全事故隐患，确保安全生产。</w:t>
      </w:r>
    </w:p>
    <w:p w14:paraId="32EB733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7、乙方应当在施工现场入口处、施工起重机械、临时用电设施、脚手架、出入通道口、基坑边沿等危险部位，设置明显的安全警示标志，安全警示标志必须符合国家标准。</w:t>
      </w:r>
    </w:p>
    <w:p w14:paraId="615A5341">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8、乙方应根据不同施工阶段和周围环境及季节、气候气象的变化，在施工现场采取相应的安全施工措施。确保雨季等特殊气候气象情况下的施工安全。</w:t>
      </w:r>
    </w:p>
    <w:p w14:paraId="65FF9122">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9、对建设工程施工进行定期和专项安全自检，并做好安全检查记录，及时发现并消除安全生产事故隐患。</w:t>
      </w:r>
    </w:p>
    <w:p w14:paraId="4D75B738">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10、在施工现场建立消防安全责任制度，确定消防安全责任人，制定用火、用电等各项消防安全管理制度和操作规程。</w:t>
      </w:r>
    </w:p>
    <w:p w14:paraId="017C1E8D">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11、制定实施工程现场生产安全事故应急救援预案，并定期组织演练。</w:t>
      </w:r>
    </w:p>
    <w:p w14:paraId="6E1F196F">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12、根据安全生产法律、法规规章，标准、规程的规定，乙方应承担的其它责任与义务。</w:t>
      </w:r>
    </w:p>
    <w:p w14:paraId="613AE1FE">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七、现场停工整改约定</w:t>
      </w:r>
    </w:p>
    <w:p w14:paraId="2B3229D4">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在乙方施工现场检查、巡查过程中，发现存在安全事故隐患，认为必须暂停施工的，应以书面形式下达停工整改通知。乙方对甲方的停工整改通知应予以执行，并按照甲方要求停止施工进行整改，妥善保护已完工程。</w:t>
      </w:r>
    </w:p>
    <w:p w14:paraId="327A984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2、乙方进行整改后，经甲方检查已消除安全事故隐患的，可以进行复工。</w:t>
      </w:r>
    </w:p>
    <w:p w14:paraId="56DE5977">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3、若在一个月内由于乙方出现安全事故隐患，被甲方下达停工整改通知累计两次的，则乙方同意甲方暂停支付其当月的工程进度款，该扣款延期至工程竣工验收合格后再行支付。</w:t>
      </w:r>
    </w:p>
    <w:p w14:paraId="3E3074E2">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八、安全生产奖励约定</w:t>
      </w:r>
    </w:p>
    <w:p w14:paraId="58A29EE4">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乙方在本安全生产期间，全面实现建设工程安全生产管理目标，无安全生产事故发生，并且未违反本协议约定，未被甲方发出停工整改通知单与经济处罚的，甲方应当给予乙方安全生产奖励。奖励标准为：无。奖励金额为：无。</w:t>
      </w:r>
    </w:p>
    <w:p w14:paraId="44EB033C">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九、安全生产处罚约定</w:t>
      </w:r>
    </w:p>
    <w:p w14:paraId="0C57B14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1、若乙方未能实现本协议约定的安全生产管理目标，发生安全生产事故的，乙方同意，甲方将其缴纳的安全生产保证金予以扣除，扣除金额不再向乙方返还。具体扣除办法由下款约定。乙方对此不持异议。</w:t>
      </w:r>
    </w:p>
    <w:p w14:paraId="29E78B8A">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在进行安全生产检查与巡查过程中，若乙方违反本协议约定，甲方有权要求乙方支付违约金。甲方可根据乙方违约的事实、性质、情节，就安全生产的危害程度要求支付违约金。违约金金额一次性最高不超过5000元。</w:t>
      </w:r>
    </w:p>
    <w:p w14:paraId="1786E96E">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3、甲方要求乙方支付违约金，应当以书面形式通知乙方。其中：</w:t>
      </w:r>
    </w:p>
    <w:p w14:paraId="218D75B7">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（1）乙方有下列行为之一的，违约金金额为50000元。</w:t>
      </w:r>
    </w:p>
    <w:p w14:paraId="06D69221">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①发生人员死亡的生产安全事故；</w:t>
      </w:r>
    </w:p>
    <w:p w14:paraId="2D695019">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②发生人员重伤的生产安全事故。</w:t>
      </w:r>
    </w:p>
    <w:p w14:paraId="1B0E693D">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（2）乙方有下列行为之一的，违约金金额为3000元。</w:t>
      </w:r>
    </w:p>
    <w:p w14:paraId="02CBD327">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①发生人员轻伤的生产安全事故超过三次或一个月内连续发生两次；</w:t>
      </w:r>
    </w:p>
    <w:p w14:paraId="780772B6">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②发生2万元以上的机械、设备、交通和火灾生产安全事故一次的。</w:t>
      </w:r>
    </w:p>
    <w:p w14:paraId="5D6DD96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4、甲方按本协议约定要求乙方支付违约金，并不能免除乙方应承担的有关国家机关行政处罚与民事赔偿责任，以及应负的其他法律责任。</w:t>
      </w:r>
    </w:p>
    <w:p w14:paraId="4DD36F15">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十、附则</w:t>
      </w:r>
    </w:p>
    <w:p w14:paraId="583C73AA">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1、本协议与双方签订的《合同》具有同等法律效力。《合同》中没有约定或约定与本协议冲突的，均以本协议约定为准。</w:t>
      </w:r>
    </w:p>
    <w:p w14:paraId="07094151">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2、本协议自双方签字盖章后生效。</w:t>
      </w:r>
    </w:p>
    <w:p w14:paraId="1F958A85">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3、本协议一式拾份，甲方执伍份，乙方执伍份，具有同等法律效力。</w:t>
      </w:r>
    </w:p>
    <w:p w14:paraId="59A12A8D">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p>
    <w:p w14:paraId="0C14B454">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                                        乙 方：</w:t>
      </w:r>
    </w:p>
    <w:p w14:paraId="19326CF7">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法定代表人（或授权代表人）：                  法定代表人（或授权代表人）</w:t>
      </w:r>
    </w:p>
    <w:p w14:paraId="43504FCF">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   年   月   日                     签订日期：   年   月   日</w:t>
      </w:r>
    </w:p>
    <w:p w14:paraId="46C5B9A8">
      <w:pPr>
        <w:pStyle w:val="30"/>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p>
    <w:p w14:paraId="23CACA8C">
      <w:pPr>
        <w:pStyle w:val="30"/>
        <w:keepNext w:val="0"/>
        <w:keepLines w:val="0"/>
        <w:pageBreakBefore w:val="0"/>
        <w:kinsoku/>
        <w:wordWrap/>
        <w:overflowPunct/>
        <w:topLinePunct w:val="0"/>
        <w:bidi w:val="0"/>
        <w:spacing w:line="360" w:lineRule="auto"/>
        <w:rPr>
          <w:rFonts w:hint="eastAsia" w:ascii="宋体" w:hAnsi="宋体" w:eastAsia="宋体" w:cs="宋体"/>
          <w:color w:val="auto"/>
          <w:sz w:val="21"/>
          <w:szCs w:val="21"/>
          <w:highlight w:val="none"/>
        </w:rPr>
      </w:pPr>
    </w:p>
    <w:p w14:paraId="11FA5318">
      <w:pPr>
        <w:pStyle w:val="30"/>
        <w:keepNext w:val="0"/>
        <w:keepLines w:val="0"/>
        <w:pageBreakBefore w:val="0"/>
        <w:kinsoku/>
        <w:wordWrap/>
        <w:overflowPunct/>
        <w:topLinePunct w:val="0"/>
        <w:bidi w:val="0"/>
        <w:spacing w:line="360" w:lineRule="auto"/>
        <w:rPr>
          <w:rFonts w:hint="eastAsia" w:ascii="宋体" w:hAnsi="宋体" w:eastAsia="宋体" w:cs="宋体"/>
          <w:color w:val="auto"/>
          <w:sz w:val="21"/>
          <w:szCs w:val="21"/>
          <w:highlight w:val="none"/>
        </w:rPr>
      </w:pPr>
    </w:p>
    <w:p w14:paraId="65C5D096">
      <w:pPr>
        <w:pStyle w:val="30"/>
        <w:keepNext w:val="0"/>
        <w:keepLines w:val="0"/>
        <w:pageBreakBefore w:val="0"/>
        <w:kinsoku/>
        <w:wordWrap/>
        <w:overflowPunct/>
        <w:topLinePunct w:val="0"/>
        <w:bidi w:val="0"/>
        <w:spacing w:line="360" w:lineRule="auto"/>
        <w:rPr>
          <w:rFonts w:hint="eastAsia" w:ascii="宋体" w:hAnsi="宋体" w:eastAsia="宋体" w:cs="宋体"/>
          <w:color w:val="auto"/>
          <w:sz w:val="21"/>
          <w:szCs w:val="21"/>
          <w:highlight w:val="none"/>
        </w:rPr>
      </w:pPr>
    </w:p>
    <w:p w14:paraId="2760D415">
      <w:pPr>
        <w:pStyle w:val="30"/>
        <w:keepNext w:val="0"/>
        <w:keepLines w:val="0"/>
        <w:pageBreakBefore w:val="0"/>
        <w:kinsoku/>
        <w:wordWrap/>
        <w:overflowPunct/>
        <w:topLinePunct w:val="0"/>
        <w:bidi w:val="0"/>
        <w:spacing w:line="360" w:lineRule="auto"/>
        <w:rPr>
          <w:rFonts w:hint="eastAsia" w:ascii="宋体" w:hAnsi="宋体" w:eastAsia="宋体" w:cs="宋体"/>
          <w:color w:val="auto"/>
          <w:sz w:val="21"/>
          <w:szCs w:val="21"/>
          <w:highlight w:val="none"/>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bookmarkEnd w:id="58"/>
    <w:bookmarkEnd w:id="59"/>
    <w:p w14:paraId="736C0EC3">
      <w:pPr>
        <w:pStyle w:val="2"/>
        <w:keepLines w:val="0"/>
        <w:pageBreakBefore w:val="0"/>
        <w:kinsoku/>
        <w:bidi w:val="0"/>
        <w:spacing w:line="360" w:lineRule="auto"/>
        <w:rPr>
          <w:rFonts w:hint="eastAsia" w:ascii="宋体" w:hAnsi="宋体" w:eastAsia="宋体" w:cs="宋体"/>
          <w:b/>
          <w:bCs/>
          <w:color w:val="auto"/>
          <w:sz w:val="36"/>
          <w:szCs w:val="36"/>
          <w:highlight w:val="none"/>
          <w:lang w:val="zh-CN"/>
        </w:rPr>
      </w:pPr>
      <w:bookmarkStart w:id="526" w:name="_Toc12043"/>
      <w:r>
        <w:rPr>
          <w:rFonts w:hint="eastAsia" w:ascii="宋体" w:hAnsi="宋体" w:eastAsia="宋体" w:cs="宋体"/>
          <w:b/>
          <w:bCs/>
          <w:color w:val="auto"/>
          <w:sz w:val="36"/>
          <w:szCs w:val="36"/>
          <w:highlight w:val="none"/>
          <w:lang w:val="zh-CN"/>
        </w:rPr>
        <w:t>第</w:t>
      </w:r>
      <w:r>
        <w:rPr>
          <w:rFonts w:hint="eastAsia" w:ascii="宋体" w:hAnsi="宋体" w:eastAsia="宋体" w:cs="宋体"/>
          <w:b/>
          <w:bCs/>
          <w:color w:val="auto"/>
          <w:sz w:val="36"/>
          <w:szCs w:val="36"/>
          <w:highlight w:val="none"/>
          <w:lang w:val="en-US" w:eastAsia="zh-CN"/>
        </w:rPr>
        <w:t>八</w:t>
      </w:r>
      <w:r>
        <w:rPr>
          <w:rFonts w:hint="eastAsia" w:ascii="宋体" w:hAnsi="宋体" w:eastAsia="宋体" w:cs="宋体"/>
          <w:b/>
          <w:bCs/>
          <w:color w:val="auto"/>
          <w:sz w:val="36"/>
          <w:szCs w:val="36"/>
          <w:highlight w:val="none"/>
          <w:lang w:val="zh-CN"/>
        </w:rPr>
        <w:t>章</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lang w:val="zh-CN"/>
        </w:rPr>
        <w:t>响应文件格式</w:t>
      </w:r>
      <w:bookmarkEnd w:id="526"/>
    </w:p>
    <w:p w14:paraId="2E3C0717">
      <w:pPr>
        <w:keepLines w:val="0"/>
        <w:pageBreakBefore w:val="0"/>
        <w:kinsoku/>
        <w:autoSpaceDE w:val="0"/>
        <w:autoSpaceDN w:val="0"/>
        <w:bidi w:val="0"/>
        <w:adjustRightInd w:val="0"/>
        <w:snapToGrid w:val="0"/>
        <w:spacing w:line="360" w:lineRule="auto"/>
        <w:jc w:val="right"/>
        <w:rPr>
          <w:rFonts w:hint="eastAsia" w:ascii="宋体" w:hAnsi="宋体" w:eastAsia="宋体" w:cs="宋体"/>
          <w:b/>
          <w:bCs/>
          <w:color w:val="auto"/>
          <w:sz w:val="28"/>
          <w:szCs w:val="28"/>
          <w:highlight w:val="none"/>
          <w:lang w:val="zh-CN"/>
        </w:rPr>
      </w:pPr>
    </w:p>
    <w:p w14:paraId="67FA38EB">
      <w:pPr>
        <w:keepLines w:val="0"/>
        <w:pageBreakBefore w:val="0"/>
        <w:kinsoku/>
        <w:bidi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争性磋商响应文件格式是磋商供应商的部分磋商响应文件格式，磋商供应商应按照这些格式编制磋商响应文件。编制磋商响应文件前，请详细阅读竞争性磋商文件，理解文件中的每一项要求，逐一做出实质性响应，认为有必要，可做补充说明。</w:t>
      </w:r>
    </w:p>
    <w:p w14:paraId="6614C6F4">
      <w:pPr>
        <w:keepLines w:val="0"/>
        <w:pageBreakBefore w:val="0"/>
        <w:kinsoku/>
        <w:bidi w:val="0"/>
        <w:spacing w:line="360" w:lineRule="auto"/>
        <w:rPr>
          <w:rFonts w:hint="eastAsia" w:ascii="宋体" w:hAnsi="宋体" w:eastAsia="宋体" w:cs="宋体"/>
          <w:color w:val="auto"/>
          <w:sz w:val="21"/>
          <w:szCs w:val="21"/>
          <w:highlight w:val="none"/>
          <w:lang w:val="zh-CN"/>
        </w:rPr>
      </w:pPr>
    </w:p>
    <w:p w14:paraId="11FC1160">
      <w:pPr>
        <w:keepLines w:val="0"/>
        <w:pageBreakBefore w:val="0"/>
        <w:kinsoku/>
        <w:autoSpaceDE w:val="0"/>
        <w:autoSpaceDN w:val="0"/>
        <w:bidi w:val="0"/>
        <w:adjustRightInd w:val="0"/>
        <w:snapToGrid w:val="0"/>
        <w:spacing w:line="360" w:lineRule="auto"/>
        <w:jc w:val="right"/>
        <w:rPr>
          <w:rFonts w:hint="eastAsia" w:ascii="宋体" w:hAnsi="宋体" w:eastAsia="宋体" w:cs="宋体"/>
          <w:b/>
          <w:bCs/>
          <w:color w:val="auto"/>
          <w:sz w:val="21"/>
          <w:szCs w:val="21"/>
          <w:highlight w:val="none"/>
          <w:lang w:val="zh-CN"/>
        </w:rPr>
      </w:pPr>
    </w:p>
    <w:p w14:paraId="137C9453">
      <w:pPr>
        <w:keepLines w:val="0"/>
        <w:pageBreakBefore w:val="0"/>
        <w:kinsoku/>
        <w:bidi w:val="0"/>
        <w:spacing w:line="360" w:lineRule="auto"/>
        <w:ind w:firstLine="413" w:firstLineChars="196"/>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注:非独立企业法人参与本次磋商的，竞争性磋商响应文件内涉及到法人签字盖章的部分均可由负责人签字盖章，授权书格式参照法人代表授权书。</w:t>
      </w:r>
    </w:p>
    <w:p w14:paraId="449222AA">
      <w:pPr>
        <w:keepLines w:val="0"/>
        <w:pageBreakBefore w:val="0"/>
        <w:kinsoku/>
        <w:autoSpaceDE w:val="0"/>
        <w:autoSpaceDN w:val="0"/>
        <w:bidi w:val="0"/>
        <w:adjustRightInd w:val="0"/>
        <w:snapToGrid w:val="0"/>
        <w:spacing w:line="360" w:lineRule="auto"/>
        <w:jc w:val="right"/>
        <w:rPr>
          <w:rFonts w:hint="eastAsia" w:ascii="宋体" w:hAnsi="宋体" w:eastAsia="宋体" w:cs="宋体"/>
          <w:b/>
          <w:bCs/>
          <w:color w:val="auto"/>
          <w:sz w:val="28"/>
          <w:szCs w:val="28"/>
          <w:highlight w:val="none"/>
          <w:lang w:val="zh-CN"/>
        </w:rPr>
      </w:pPr>
    </w:p>
    <w:p w14:paraId="32CD98F6">
      <w:pPr>
        <w:keepLines w:val="0"/>
        <w:pageBreakBefore w:val="0"/>
        <w:kinsoku/>
        <w:autoSpaceDE w:val="0"/>
        <w:autoSpaceDN w:val="0"/>
        <w:bidi w:val="0"/>
        <w:adjustRightInd w:val="0"/>
        <w:snapToGrid w:val="0"/>
        <w:spacing w:line="360" w:lineRule="auto"/>
        <w:jc w:val="right"/>
        <w:rPr>
          <w:rFonts w:hint="eastAsia" w:ascii="宋体" w:hAnsi="宋体" w:eastAsia="宋体" w:cs="宋体"/>
          <w:b/>
          <w:bCs/>
          <w:color w:val="auto"/>
          <w:sz w:val="28"/>
          <w:szCs w:val="28"/>
          <w:highlight w:val="none"/>
          <w:lang w:val="zh-CN"/>
        </w:rPr>
      </w:pPr>
    </w:p>
    <w:p w14:paraId="1A791DEE">
      <w:pPr>
        <w:keepLines w:val="0"/>
        <w:pageBreakBefore w:val="0"/>
        <w:kinsoku/>
        <w:autoSpaceDE w:val="0"/>
        <w:autoSpaceDN w:val="0"/>
        <w:bidi w:val="0"/>
        <w:adjustRightInd w:val="0"/>
        <w:snapToGrid w:val="0"/>
        <w:spacing w:line="360" w:lineRule="auto"/>
        <w:jc w:val="right"/>
        <w:rPr>
          <w:rFonts w:hint="eastAsia" w:ascii="宋体" w:hAnsi="宋体" w:eastAsia="宋体" w:cs="宋体"/>
          <w:b/>
          <w:bCs/>
          <w:color w:val="auto"/>
          <w:sz w:val="28"/>
          <w:szCs w:val="28"/>
          <w:highlight w:val="none"/>
          <w:lang w:val="zh-CN"/>
        </w:rPr>
      </w:pPr>
    </w:p>
    <w:p w14:paraId="492C4095">
      <w:pPr>
        <w:keepLines w:val="0"/>
        <w:pageBreakBefore w:val="0"/>
        <w:kinsoku/>
        <w:autoSpaceDE w:val="0"/>
        <w:autoSpaceDN w:val="0"/>
        <w:bidi w:val="0"/>
        <w:adjustRightInd w:val="0"/>
        <w:snapToGrid w:val="0"/>
        <w:spacing w:line="360" w:lineRule="auto"/>
        <w:jc w:val="right"/>
        <w:rPr>
          <w:rFonts w:hint="eastAsia" w:ascii="宋体" w:hAnsi="宋体" w:eastAsia="宋体" w:cs="宋体"/>
          <w:b/>
          <w:bCs/>
          <w:color w:val="auto"/>
          <w:sz w:val="28"/>
          <w:szCs w:val="28"/>
          <w:highlight w:val="none"/>
          <w:lang w:val="zh-CN"/>
        </w:rPr>
      </w:pPr>
    </w:p>
    <w:p w14:paraId="6F439837">
      <w:pPr>
        <w:keepLines w:val="0"/>
        <w:pageBreakBefore w:val="0"/>
        <w:kinsoku/>
        <w:autoSpaceDE w:val="0"/>
        <w:autoSpaceDN w:val="0"/>
        <w:bidi w:val="0"/>
        <w:adjustRightInd w:val="0"/>
        <w:snapToGrid w:val="0"/>
        <w:spacing w:line="360" w:lineRule="auto"/>
        <w:jc w:val="right"/>
        <w:rPr>
          <w:rFonts w:hint="eastAsia" w:ascii="宋体" w:hAnsi="宋体" w:eastAsia="宋体" w:cs="宋体"/>
          <w:b/>
          <w:bCs/>
          <w:color w:val="auto"/>
          <w:sz w:val="28"/>
          <w:szCs w:val="28"/>
          <w:highlight w:val="none"/>
          <w:lang w:val="zh-CN"/>
        </w:rPr>
      </w:pPr>
    </w:p>
    <w:p w14:paraId="262EDC69">
      <w:pPr>
        <w:keepLines w:val="0"/>
        <w:pageBreakBefore w:val="0"/>
        <w:kinsoku/>
        <w:autoSpaceDE w:val="0"/>
        <w:autoSpaceDN w:val="0"/>
        <w:bidi w:val="0"/>
        <w:adjustRightInd w:val="0"/>
        <w:snapToGrid w:val="0"/>
        <w:spacing w:line="360" w:lineRule="auto"/>
        <w:jc w:val="right"/>
        <w:rPr>
          <w:rFonts w:hint="eastAsia" w:ascii="宋体" w:hAnsi="宋体" w:eastAsia="宋体" w:cs="宋体"/>
          <w:b/>
          <w:bCs/>
          <w:color w:val="auto"/>
          <w:sz w:val="28"/>
          <w:szCs w:val="28"/>
          <w:highlight w:val="none"/>
          <w:lang w:val="zh-CN"/>
        </w:rPr>
      </w:pPr>
    </w:p>
    <w:p w14:paraId="4C90EB03">
      <w:pPr>
        <w:keepLines w:val="0"/>
        <w:pageBreakBefore w:val="0"/>
        <w:kinsoku/>
        <w:autoSpaceDE w:val="0"/>
        <w:autoSpaceDN w:val="0"/>
        <w:bidi w:val="0"/>
        <w:adjustRightInd w:val="0"/>
        <w:snapToGrid w:val="0"/>
        <w:spacing w:line="360" w:lineRule="auto"/>
        <w:jc w:val="right"/>
        <w:rPr>
          <w:rFonts w:hint="eastAsia" w:ascii="宋体" w:hAnsi="宋体" w:eastAsia="宋体" w:cs="宋体"/>
          <w:b/>
          <w:bCs/>
          <w:color w:val="auto"/>
          <w:sz w:val="28"/>
          <w:szCs w:val="28"/>
          <w:highlight w:val="none"/>
          <w:lang w:val="zh-CN"/>
        </w:rPr>
      </w:pPr>
    </w:p>
    <w:p w14:paraId="481A31C9">
      <w:pPr>
        <w:keepLines w:val="0"/>
        <w:pageBreakBefore w:val="0"/>
        <w:kinsoku/>
        <w:autoSpaceDE w:val="0"/>
        <w:autoSpaceDN w:val="0"/>
        <w:bidi w:val="0"/>
        <w:adjustRightInd w:val="0"/>
        <w:snapToGrid w:val="0"/>
        <w:spacing w:line="360" w:lineRule="auto"/>
        <w:jc w:val="right"/>
        <w:rPr>
          <w:rFonts w:hint="eastAsia" w:ascii="宋体" w:hAnsi="宋体" w:eastAsia="宋体" w:cs="宋体"/>
          <w:b/>
          <w:bCs/>
          <w:color w:val="auto"/>
          <w:sz w:val="28"/>
          <w:szCs w:val="28"/>
          <w:highlight w:val="none"/>
          <w:lang w:val="zh-CN"/>
        </w:rPr>
      </w:pPr>
    </w:p>
    <w:p w14:paraId="0365CB93">
      <w:pPr>
        <w:keepLines w:val="0"/>
        <w:pageBreakBefore w:val="0"/>
        <w:kinsoku/>
        <w:autoSpaceDE w:val="0"/>
        <w:autoSpaceDN w:val="0"/>
        <w:bidi w:val="0"/>
        <w:adjustRightInd w:val="0"/>
        <w:snapToGrid w:val="0"/>
        <w:spacing w:line="360" w:lineRule="auto"/>
        <w:jc w:val="right"/>
        <w:rPr>
          <w:rFonts w:hint="eastAsia" w:ascii="宋体" w:hAnsi="宋体" w:eastAsia="宋体" w:cs="宋体"/>
          <w:b/>
          <w:bCs/>
          <w:color w:val="auto"/>
          <w:sz w:val="28"/>
          <w:szCs w:val="28"/>
          <w:highlight w:val="none"/>
          <w:lang w:val="zh-CN"/>
        </w:rPr>
      </w:pPr>
    </w:p>
    <w:p w14:paraId="12EE00CA">
      <w:pPr>
        <w:keepLines w:val="0"/>
        <w:pageBreakBefore w:val="0"/>
        <w:kinsoku/>
        <w:autoSpaceDE w:val="0"/>
        <w:autoSpaceDN w:val="0"/>
        <w:bidi w:val="0"/>
        <w:adjustRightInd w:val="0"/>
        <w:snapToGrid w:val="0"/>
        <w:spacing w:line="360" w:lineRule="auto"/>
        <w:jc w:val="right"/>
        <w:rPr>
          <w:rFonts w:hint="eastAsia" w:ascii="宋体" w:hAnsi="宋体" w:eastAsia="宋体" w:cs="宋体"/>
          <w:b/>
          <w:bCs/>
          <w:color w:val="auto"/>
          <w:sz w:val="28"/>
          <w:szCs w:val="28"/>
          <w:highlight w:val="none"/>
          <w:lang w:val="zh-CN"/>
        </w:rPr>
      </w:pPr>
    </w:p>
    <w:p w14:paraId="70BFA258">
      <w:pPr>
        <w:keepLines w:val="0"/>
        <w:pageBreakBefore w:val="0"/>
        <w:kinsoku/>
        <w:autoSpaceDE w:val="0"/>
        <w:autoSpaceDN w:val="0"/>
        <w:bidi w:val="0"/>
        <w:adjustRightInd w:val="0"/>
        <w:snapToGrid w:val="0"/>
        <w:spacing w:line="360" w:lineRule="auto"/>
        <w:jc w:val="right"/>
        <w:rPr>
          <w:rFonts w:hint="eastAsia" w:ascii="宋体" w:hAnsi="宋体" w:eastAsia="宋体" w:cs="宋体"/>
          <w:b/>
          <w:bCs/>
          <w:color w:val="auto"/>
          <w:sz w:val="28"/>
          <w:szCs w:val="28"/>
          <w:highlight w:val="none"/>
          <w:lang w:val="zh-CN"/>
        </w:rPr>
      </w:pPr>
    </w:p>
    <w:p w14:paraId="7310F05C">
      <w:pPr>
        <w:keepLines w:val="0"/>
        <w:pageBreakBefore w:val="0"/>
        <w:kinsoku/>
        <w:autoSpaceDE w:val="0"/>
        <w:autoSpaceDN w:val="0"/>
        <w:bidi w:val="0"/>
        <w:adjustRightInd w:val="0"/>
        <w:snapToGrid w:val="0"/>
        <w:spacing w:line="360" w:lineRule="auto"/>
        <w:jc w:val="right"/>
        <w:rPr>
          <w:rFonts w:hint="eastAsia" w:ascii="宋体" w:hAnsi="宋体" w:eastAsia="宋体" w:cs="宋体"/>
          <w:b/>
          <w:bCs/>
          <w:color w:val="auto"/>
          <w:sz w:val="28"/>
          <w:szCs w:val="28"/>
          <w:highlight w:val="none"/>
          <w:lang w:val="zh-CN"/>
        </w:rPr>
      </w:pPr>
    </w:p>
    <w:p w14:paraId="5DB201F0">
      <w:pPr>
        <w:keepLines w:val="0"/>
        <w:pageBreakBefore w:val="0"/>
        <w:kinsoku/>
        <w:autoSpaceDE w:val="0"/>
        <w:autoSpaceDN w:val="0"/>
        <w:bidi w:val="0"/>
        <w:adjustRightInd w:val="0"/>
        <w:snapToGrid w:val="0"/>
        <w:spacing w:line="360" w:lineRule="auto"/>
        <w:jc w:val="right"/>
        <w:rPr>
          <w:rFonts w:hint="eastAsia" w:ascii="宋体" w:hAnsi="宋体" w:eastAsia="宋体" w:cs="宋体"/>
          <w:b/>
          <w:bCs/>
          <w:color w:val="auto"/>
          <w:sz w:val="28"/>
          <w:szCs w:val="28"/>
          <w:highlight w:val="none"/>
          <w:lang w:val="zh-CN"/>
        </w:rPr>
      </w:pPr>
    </w:p>
    <w:p w14:paraId="70DB3DB6">
      <w:pPr>
        <w:pStyle w:val="16"/>
        <w:keepLines w:val="0"/>
        <w:pageBreakBefore w:val="0"/>
        <w:kinsoku/>
        <w:bidi w:val="0"/>
        <w:spacing w:line="360" w:lineRule="auto"/>
        <w:rPr>
          <w:rFonts w:hint="eastAsia" w:ascii="宋体" w:hAnsi="宋体" w:eastAsia="宋体" w:cs="宋体"/>
          <w:b/>
          <w:bCs/>
          <w:color w:val="auto"/>
          <w:sz w:val="28"/>
          <w:szCs w:val="28"/>
          <w:highlight w:val="none"/>
          <w:lang w:val="zh-CN"/>
        </w:rPr>
      </w:pPr>
    </w:p>
    <w:p w14:paraId="7745DCE4">
      <w:pPr>
        <w:keepLines w:val="0"/>
        <w:pageBreakBefore w:val="0"/>
        <w:kinsoku/>
        <w:bidi w:val="0"/>
        <w:spacing w:line="360" w:lineRule="auto"/>
        <w:rPr>
          <w:rFonts w:hint="eastAsia" w:ascii="宋体" w:hAnsi="宋体" w:eastAsia="宋体" w:cs="宋体"/>
          <w:b/>
          <w:bCs/>
          <w:color w:val="auto"/>
          <w:sz w:val="28"/>
          <w:szCs w:val="28"/>
          <w:highlight w:val="none"/>
          <w:lang w:val="zh-CN"/>
        </w:rPr>
      </w:pPr>
    </w:p>
    <w:p w14:paraId="6877627D">
      <w:pPr>
        <w:pStyle w:val="16"/>
        <w:keepLines w:val="0"/>
        <w:pageBreakBefore w:val="0"/>
        <w:kinsoku/>
        <w:bidi w:val="0"/>
        <w:spacing w:line="360" w:lineRule="auto"/>
        <w:rPr>
          <w:rFonts w:hint="eastAsia" w:ascii="宋体" w:hAnsi="宋体" w:eastAsia="宋体" w:cs="宋体"/>
          <w:b/>
          <w:bCs/>
          <w:color w:val="auto"/>
          <w:sz w:val="28"/>
          <w:szCs w:val="28"/>
          <w:highlight w:val="none"/>
          <w:lang w:val="zh-CN"/>
        </w:rPr>
      </w:pPr>
    </w:p>
    <w:p w14:paraId="53E343A9">
      <w:pPr>
        <w:keepLines w:val="0"/>
        <w:pageBreakBefore w:val="0"/>
        <w:kinsoku/>
        <w:bidi w:val="0"/>
        <w:spacing w:line="360" w:lineRule="auto"/>
        <w:rPr>
          <w:rFonts w:hint="eastAsia" w:ascii="宋体" w:hAnsi="宋体" w:eastAsia="宋体" w:cs="宋体"/>
          <w:b/>
          <w:bCs/>
          <w:color w:val="auto"/>
          <w:sz w:val="28"/>
          <w:szCs w:val="28"/>
          <w:highlight w:val="none"/>
          <w:lang w:val="zh-CN"/>
        </w:rPr>
      </w:pPr>
    </w:p>
    <w:p w14:paraId="6DB96BDC">
      <w:pPr>
        <w:keepLines w:val="0"/>
        <w:pageBreakBefore w:val="0"/>
        <w:kinsoku/>
        <w:autoSpaceDE w:val="0"/>
        <w:autoSpaceDN w:val="0"/>
        <w:bidi w:val="0"/>
        <w:adjustRightInd w:val="0"/>
        <w:snapToGrid w:val="0"/>
        <w:spacing w:line="360" w:lineRule="auto"/>
        <w:jc w:val="both"/>
        <w:rPr>
          <w:rFonts w:hint="eastAsia" w:ascii="宋体" w:hAnsi="宋体" w:eastAsia="宋体" w:cs="宋体"/>
          <w:b/>
          <w:bCs/>
          <w:color w:val="auto"/>
          <w:sz w:val="36"/>
          <w:szCs w:val="36"/>
          <w:highlight w:val="none"/>
          <w:lang w:val="zh-CN"/>
        </w:rPr>
      </w:pPr>
    </w:p>
    <w:p w14:paraId="0819FE6B">
      <w:pPr>
        <w:keepLines w:val="0"/>
        <w:pageBreakBefore w:val="0"/>
        <w:kinsoku/>
        <w:autoSpaceDE w:val="0"/>
        <w:autoSpaceDN w:val="0"/>
        <w:bidi w:val="0"/>
        <w:adjustRightInd w:val="0"/>
        <w:snapToGrid w:val="0"/>
        <w:spacing w:line="360" w:lineRule="auto"/>
        <w:jc w:val="right"/>
        <w:rPr>
          <w:rFonts w:hint="eastAsia" w:ascii="宋体" w:hAnsi="宋体" w:eastAsia="宋体" w:cs="宋体"/>
          <w:b/>
          <w:bCs/>
          <w:color w:val="auto"/>
          <w:sz w:val="36"/>
          <w:szCs w:val="36"/>
          <w:highlight w:val="none"/>
          <w:lang w:val="zh-CN"/>
        </w:rPr>
      </w:pPr>
    </w:p>
    <w:p w14:paraId="754B1CD7">
      <w:pPr>
        <w:keepLines w:val="0"/>
        <w:pageBreakBefore w:val="0"/>
        <w:kinsoku/>
        <w:autoSpaceDE w:val="0"/>
        <w:autoSpaceDN w:val="0"/>
        <w:bidi w:val="0"/>
        <w:adjustRightInd w:val="0"/>
        <w:snapToGrid w:val="0"/>
        <w:spacing w:line="360" w:lineRule="auto"/>
        <w:jc w:val="right"/>
        <w:rPr>
          <w:rFonts w:hint="eastAsia" w:ascii="宋体" w:hAnsi="宋体" w:eastAsia="宋体" w:cs="宋体"/>
          <w:b/>
          <w:bCs/>
          <w:color w:val="auto"/>
          <w:sz w:val="36"/>
          <w:szCs w:val="36"/>
          <w:highlight w:val="none"/>
          <w:lang w:val="zh-CN"/>
        </w:rPr>
      </w:pPr>
      <w:r>
        <w:rPr>
          <w:rFonts w:hint="eastAsia" w:ascii="宋体" w:hAnsi="宋体" w:eastAsia="宋体" w:cs="宋体"/>
          <w:b/>
          <w:bCs/>
          <w:color w:val="auto"/>
          <w:sz w:val="36"/>
          <w:szCs w:val="36"/>
          <w:highlight w:val="none"/>
          <w:lang w:val="zh-CN"/>
        </w:rPr>
        <w:t>正本/副本</w:t>
      </w:r>
    </w:p>
    <w:p w14:paraId="7AA2AFD3">
      <w:pPr>
        <w:keepLines w:val="0"/>
        <w:pageBreakBefore w:val="0"/>
        <w:kinsoku/>
        <w:bidi w:val="0"/>
        <w:spacing w:line="360" w:lineRule="auto"/>
        <w:rPr>
          <w:rFonts w:hint="eastAsia" w:ascii="宋体" w:hAnsi="宋体" w:eastAsia="宋体" w:cs="宋体"/>
          <w:b/>
          <w:bCs/>
          <w:color w:val="auto"/>
          <w:sz w:val="28"/>
          <w:szCs w:val="28"/>
          <w:highlight w:val="none"/>
        </w:rPr>
      </w:pPr>
    </w:p>
    <w:p w14:paraId="6928BB64">
      <w:pPr>
        <w:keepLines w:val="0"/>
        <w:pageBreakBefore w:val="0"/>
        <w:kinsoku/>
        <w:bidi w:val="0"/>
        <w:spacing w:line="360" w:lineRule="auto"/>
        <w:rPr>
          <w:rFonts w:hint="default" w:ascii="宋体" w:hAnsi="宋体" w:eastAsia="宋体" w:cs="宋体"/>
          <w:b/>
          <w:color w:val="auto"/>
          <w:sz w:val="28"/>
          <w:szCs w:val="28"/>
          <w:highlight w:val="none"/>
          <w:u w:val="single"/>
          <w:lang w:val="en-US" w:eastAsia="zh-CN"/>
        </w:rPr>
      </w:pPr>
      <w:r>
        <w:rPr>
          <w:rFonts w:hint="eastAsia" w:ascii="宋体" w:hAnsi="宋体" w:eastAsia="宋体" w:cs="宋体"/>
          <w:b/>
          <w:bCs/>
          <w:color w:val="auto"/>
          <w:sz w:val="28"/>
          <w:szCs w:val="28"/>
          <w:highlight w:val="none"/>
        </w:rPr>
        <w:t>项目编号：</w:t>
      </w:r>
      <w:r>
        <w:rPr>
          <w:rFonts w:hint="eastAsia" w:ascii="宋体" w:hAnsi="宋体" w:cs="宋体"/>
          <w:b/>
          <w:bCs/>
          <w:color w:val="auto"/>
          <w:sz w:val="28"/>
          <w:szCs w:val="28"/>
          <w:highlight w:val="none"/>
          <w:lang w:eastAsia="zh-CN"/>
        </w:rPr>
        <w:t>ZFCG-泾阳县-2025-00014</w:t>
      </w:r>
    </w:p>
    <w:p w14:paraId="492C6023">
      <w:pPr>
        <w:pStyle w:val="5"/>
        <w:keepLines w:val="0"/>
        <w:pageBreakBefore w:val="0"/>
        <w:kinsoku/>
        <w:bidi w:val="0"/>
        <w:spacing w:line="360" w:lineRule="auto"/>
        <w:jc w:val="both"/>
        <w:rPr>
          <w:rFonts w:hint="eastAsia" w:ascii="宋体" w:hAnsi="宋体" w:eastAsia="宋体" w:cs="宋体"/>
          <w:color w:val="auto"/>
          <w:highlight w:val="none"/>
        </w:rPr>
      </w:pPr>
    </w:p>
    <w:p w14:paraId="10B63D22">
      <w:pPr>
        <w:keepLines w:val="0"/>
        <w:pageBreakBefore w:val="0"/>
        <w:widowControl w:val="0"/>
        <w:tabs>
          <w:tab w:val="left" w:pos="5670"/>
        </w:tabs>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宋体"/>
          <w:b/>
          <w:bCs/>
          <w:color w:val="auto"/>
          <w:sz w:val="52"/>
          <w:szCs w:val="52"/>
          <w:highlight w:val="none"/>
          <w:lang w:val="zh-CN"/>
        </w:rPr>
      </w:pPr>
    </w:p>
    <w:p w14:paraId="6D61F6DA">
      <w:pPr>
        <w:keepLines w:val="0"/>
        <w:pageBreakBefore w:val="0"/>
        <w:widowControl w:val="0"/>
        <w:tabs>
          <w:tab w:val="left" w:pos="5670"/>
        </w:tabs>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sz w:val="52"/>
          <w:szCs w:val="52"/>
          <w:highlight w:val="none"/>
          <w:lang w:val="zh-CN"/>
        </w:rPr>
      </w:pPr>
      <w:r>
        <w:rPr>
          <w:rFonts w:hint="eastAsia" w:ascii="宋体" w:hAnsi="宋体" w:cs="宋体"/>
          <w:b/>
          <w:bCs/>
          <w:color w:val="auto"/>
          <w:sz w:val="52"/>
          <w:szCs w:val="52"/>
          <w:highlight w:val="none"/>
          <w:lang w:val="zh-CN"/>
        </w:rPr>
        <w:t>泾阳县人民政府会议室改造项目</w:t>
      </w:r>
    </w:p>
    <w:p w14:paraId="27C53DE2">
      <w:pPr>
        <w:rPr>
          <w:rFonts w:hint="eastAsia" w:ascii="宋体" w:hAnsi="宋体" w:eastAsia="宋体" w:cs="宋体"/>
          <w:color w:val="auto"/>
          <w:highlight w:val="none"/>
        </w:rPr>
      </w:pPr>
    </w:p>
    <w:p w14:paraId="29832616">
      <w:pPr>
        <w:pStyle w:val="16"/>
        <w:rPr>
          <w:rFonts w:hint="eastAsia" w:ascii="宋体" w:hAnsi="宋体" w:eastAsia="宋体" w:cs="宋体"/>
          <w:color w:val="auto"/>
        </w:rPr>
      </w:pPr>
    </w:p>
    <w:p w14:paraId="59888F68">
      <w:pPr>
        <w:pStyle w:val="16"/>
        <w:rPr>
          <w:rFonts w:hint="eastAsia" w:ascii="宋体" w:hAnsi="宋体" w:eastAsia="宋体" w:cs="宋体"/>
          <w:color w:val="auto"/>
        </w:rPr>
      </w:pPr>
    </w:p>
    <w:p w14:paraId="0EB1AE69">
      <w:pPr>
        <w:keepLines w:val="0"/>
        <w:pageBreakBefore w:val="0"/>
        <w:widowControl w:val="0"/>
        <w:kinsoku/>
        <w:wordWrap/>
        <w:overflowPunct/>
        <w:topLinePunct w:val="0"/>
        <w:bidi w:val="0"/>
        <w:spacing w:line="360" w:lineRule="auto"/>
        <w:textAlignment w:val="auto"/>
        <w:rPr>
          <w:rFonts w:hint="eastAsia" w:ascii="宋体" w:hAnsi="宋体" w:eastAsia="宋体" w:cs="宋体"/>
          <w:color w:val="auto"/>
          <w:highlight w:val="none"/>
        </w:rPr>
      </w:pPr>
    </w:p>
    <w:p w14:paraId="1868CDA7">
      <w:pPr>
        <w:keepLines w:val="0"/>
        <w:pageBreakBefore w:val="0"/>
        <w:widowControl w:val="0"/>
        <w:tabs>
          <w:tab w:val="left" w:pos="5670"/>
        </w:tabs>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sz w:val="72"/>
          <w:szCs w:val="72"/>
          <w:highlight w:val="none"/>
          <w:lang w:val="zh-CN"/>
        </w:rPr>
      </w:pPr>
      <w:r>
        <w:rPr>
          <w:rFonts w:hint="eastAsia" w:ascii="宋体" w:hAnsi="宋体" w:eastAsia="宋体" w:cs="宋体"/>
          <w:b/>
          <w:bCs/>
          <w:color w:val="auto"/>
          <w:sz w:val="72"/>
          <w:szCs w:val="72"/>
          <w:highlight w:val="none"/>
          <w:lang w:val="zh-CN"/>
        </w:rPr>
        <w:t>竞争性磋商响应文件</w:t>
      </w:r>
    </w:p>
    <w:p w14:paraId="0AE1A914">
      <w:pPr>
        <w:keepLines w:val="0"/>
        <w:pageBreakBefore w:val="0"/>
        <w:tabs>
          <w:tab w:val="left" w:pos="5670"/>
        </w:tabs>
        <w:kinsoku/>
        <w:autoSpaceDE w:val="0"/>
        <w:autoSpaceDN w:val="0"/>
        <w:bidi w:val="0"/>
        <w:adjustRightInd w:val="0"/>
        <w:snapToGrid w:val="0"/>
        <w:spacing w:line="360" w:lineRule="auto"/>
        <w:jc w:val="both"/>
        <w:rPr>
          <w:rFonts w:hint="eastAsia" w:ascii="宋体" w:hAnsi="宋体" w:eastAsia="宋体" w:cs="宋体"/>
          <w:color w:val="auto"/>
          <w:sz w:val="28"/>
          <w:szCs w:val="28"/>
          <w:highlight w:val="none"/>
        </w:rPr>
      </w:pPr>
    </w:p>
    <w:p w14:paraId="44F24845">
      <w:pPr>
        <w:pStyle w:val="16"/>
        <w:rPr>
          <w:rFonts w:hint="eastAsia" w:ascii="宋体" w:hAnsi="宋体" w:eastAsia="宋体" w:cs="宋体"/>
          <w:color w:val="auto"/>
          <w:sz w:val="28"/>
          <w:szCs w:val="28"/>
          <w:highlight w:val="none"/>
        </w:rPr>
      </w:pPr>
    </w:p>
    <w:p w14:paraId="73B59C89">
      <w:pPr>
        <w:rPr>
          <w:rFonts w:hint="eastAsia" w:ascii="宋体" w:hAnsi="宋体" w:eastAsia="宋体" w:cs="宋体"/>
          <w:color w:val="auto"/>
          <w:highlight w:val="none"/>
        </w:rPr>
      </w:pPr>
    </w:p>
    <w:p w14:paraId="225EB62D">
      <w:pPr>
        <w:pStyle w:val="16"/>
        <w:rPr>
          <w:rFonts w:hint="eastAsia" w:ascii="宋体" w:hAnsi="宋体" w:eastAsia="宋体" w:cs="宋体"/>
          <w:color w:val="auto"/>
          <w:highlight w:val="none"/>
        </w:rPr>
      </w:pPr>
    </w:p>
    <w:p w14:paraId="742975ED">
      <w:pPr>
        <w:keepLines w:val="0"/>
        <w:pageBreakBefore w:val="0"/>
        <w:kinsoku/>
        <w:autoSpaceDE w:val="0"/>
        <w:autoSpaceDN w:val="0"/>
        <w:bidi w:val="0"/>
        <w:adjustRightInd w:val="0"/>
        <w:snapToGrid w:val="0"/>
        <w:spacing w:line="360" w:lineRule="auto"/>
        <w:rPr>
          <w:rFonts w:hint="eastAsia" w:ascii="宋体" w:hAnsi="宋体" w:eastAsia="宋体" w:cs="宋体"/>
          <w:color w:val="auto"/>
          <w:sz w:val="28"/>
          <w:szCs w:val="28"/>
          <w:highlight w:val="none"/>
          <w:u w:val="single"/>
        </w:rPr>
      </w:pPr>
    </w:p>
    <w:p w14:paraId="30E6091E">
      <w:pPr>
        <w:keepLines w:val="0"/>
        <w:pageBreakBefore w:val="0"/>
        <w:kinsoku/>
        <w:autoSpaceDE w:val="0"/>
        <w:autoSpaceDN w:val="0"/>
        <w:bidi w:val="0"/>
        <w:adjustRightInd w:val="0"/>
        <w:snapToGrid w:val="0"/>
        <w:spacing w:line="360" w:lineRule="auto"/>
        <w:ind w:firstLine="869" w:firstLineChars="309"/>
        <w:rPr>
          <w:rFonts w:hint="eastAsia" w:ascii="宋体" w:hAnsi="宋体" w:eastAsia="宋体" w:cs="宋体"/>
          <w:b/>
          <w:bCs/>
          <w:color w:val="auto"/>
          <w:sz w:val="28"/>
          <w:szCs w:val="28"/>
          <w:highlight w:val="none"/>
          <w:u w:val="single"/>
        </w:rPr>
      </w:pPr>
      <w:r>
        <w:rPr>
          <w:rFonts w:hint="eastAsia" w:ascii="宋体" w:hAnsi="宋体" w:eastAsia="宋体" w:cs="宋体"/>
          <w:b/>
          <w:bCs/>
          <w:color w:val="auto"/>
          <w:sz w:val="28"/>
          <w:szCs w:val="28"/>
          <w:highlight w:val="none"/>
          <w:lang w:val="zh-CN"/>
        </w:rPr>
        <w:t>磋商供应商：</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rPr>
        <w:t>（单位盖章）</w:t>
      </w:r>
    </w:p>
    <w:p w14:paraId="628E8CA7">
      <w:pPr>
        <w:keepLines w:val="0"/>
        <w:pageBreakBefore w:val="0"/>
        <w:kinsoku/>
        <w:autoSpaceDE w:val="0"/>
        <w:autoSpaceDN w:val="0"/>
        <w:bidi w:val="0"/>
        <w:adjustRightInd w:val="0"/>
        <w:snapToGrid w:val="0"/>
        <w:spacing w:line="360" w:lineRule="auto"/>
        <w:ind w:firstLine="869" w:firstLineChars="309"/>
        <w:jc w:val="left"/>
        <w:rPr>
          <w:rFonts w:hint="eastAsia" w:ascii="宋体" w:hAnsi="宋体" w:eastAsia="宋体" w:cs="宋体"/>
          <w:b/>
          <w:bCs/>
          <w:color w:val="auto"/>
          <w:sz w:val="28"/>
          <w:szCs w:val="28"/>
          <w:highlight w:val="none"/>
          <w:u w:val="single"/>
        </w:rPr>
      </w:pPr>
      <w:r>
        <w:rPr>
          <w:rFonts w:hint="eastAsia" w:ascii="宋体" w:hAnsi="宋体" w:eastAsia="宋体" w:cs="宋体"/>
          <w:b/>
          <w:bCs/>
          <w:color w:val="auto"/>
          <w:sz w:val="28"/>
          <w:szCs w:val="28"/>
          <w:highlight w:val="none"/>
        </w:rPr>
        <w:t>法定代表人或其授权代表：</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rPr>
        <w:t>（签字或盖章）</w:t>
      </w:r>
    </w:p>
    <w:p w14:paraId="0ABD992B">
      <w:pPr>
        <w:keepLines w:val="0"/>
        <w:pageBreakBefore w:val="0"/>
        <w:kinsoku/>
        <w:autoSpaceDE w:val="0"/>
        <w:autoSpaceDN w:val="0"/>
        <w:bidi w:val="0"/>
        <w:adjustRightInd w:val="0"/>
        <w:snapToGrid w:val="0"/>
        <w:spacing w:line="360" w:lineRule="auto"/>
        <w:ind w:firstLine="869" w:firstLineChars="309"/>
        <w:rPr>
          <w:rFonts w:hint="eastAsia" w:ascii="宋体" w:hAnsi="宋体" w:eastAsia="宋体" w:cs="宋体"/>
          <w:bCs/>
          <w:color w:val="auto"/>
          <w:sz w:val="28"/>
          <w:szCs w:val="28"/>
          <w:highlight w:val="none"/>
          <w:lang w:eastAsia="zh-CN"/>
        </w:rPr>
      </w:pPr>
      <w:r>
        <w:rPr>
          <w:rFonts w:hint="eastAsia" w:ascii="宋体" w:hAnsi="宋体" w:eastAsia="宋体" w:cs="宋体"/>
          <w:b/>
          <w:bCs/>
          <w:color w:val="auto"/>
          <w:sz w:val="28"/>
          <w:szCs w:val="28"/>
          <w:highlight w:val="none"/>
          <w:lang w:val="zh-CN"/>
        </w:rPr>
        <w:t>时</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val="zh-CN"/>
        </w:rPr>
        <w:t>间：</w:t>
      </w:r>
      <w:r>
        <w:rPr>
          <w:rFonts w:hint="eastAsia" w:ascii="宋体" w:hAnsi="宋体" w:eastAsia="宋体" w:cs="宋体"/>
          <w:b/>
          <w:bCs/>
          <w:color w:val="auto"/>
          <w:sz w:val="28"/>
          <w:szCs w:val="28"/>
          <w:highlight w:val="none"/>
          <w:u w:val="single"/>
          <w:lang w:val="en-US" w:eastAsia="zh-CN"/>
        </w:rPr>
        <w:t xml:space="preserve">                          </w:t>
      </w:r>
    </w:p>
    <w:p w14:paraId="7F489DE6">
      <w:pPr>
        <w:keepLines w:val="0"/>
        <w:pageBreakBefore w:val="0"/>
        <w:kinsoku/>
        <w:autoSpaceDE w:val="0"/>
        <w:autoSpaceDN w:val="0"/>
        <w:bidi w:val="0"/>
        <w:adjustRightInd w:val="0"/>
        <w:snapToGrid w:val="0"/>
        <w:spacing w:line="360" w:lineRule="auto"/>
        <w:rPr>
          <w:rFonts w:hint="eastAsia" w:ascii="宋体" w:hAnsi="宋体" w:eastAsia="宋体" w:cs="宋体"/>
          <w:b/>
          <w:bCs/>
          <w:color w:val="auto"/>
          <w:sz w:val="28"/>
          <w:szCs w:val="28"/>
          <w:highlight w:val="none"/>
          <w:lang w:val="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65EB82D8">
      <w:pPr>
        <w:keepLines w:val="0"/>
        <w:pageBreakBefore w:val="0"/>
        <w:kinsoku/>
        <w:autoSpaceDE w:val="0"/>
        <w:autoSpaceDN w:val="0"/>
        <w:bidi w:val="0"/>
        <w:adjustRightInd w:val="0"/>
        <w:snapToGrid w:val="0"/>
        <w:spacing w:line="360" w:lineRule="auto"/>
        <w:jc w:val="center"/>
        <w:rPr>
          <w:rFonts w:hint="eastAsia" w:ascii="宋体" w:hAnsi="宋体" w:eastAsia="宋体" w:cs="宋体"/>
          <w:b/>
          <w:bCs/>
          <w:color w:val="auto"/>
          <w:sz w:val="36"/>
          <w:szCs w:val="36"/>
          <w:highlight w:val="none"/>
          <w:lang w:val="zh-CN"/>
        </w:rPr>
      </w:pPr>
      <w:r>
        <w:rPr>
          <w:rFonts w:hint="eastAsia" w:ascii="宋体" w:hAnsi="宋体" w:eastAsia="宋体" w:cs="宋体"/>
          <w:b/>
          <w:bCs/>
          <w:color w:val="auto"/>
          <w:sz w:val="36"/>
          <w:szCs w:val="36"/>
          <w:highlight w:val="none"/>
          <w:lang w:val="zh-CN"/>
        </w:rPr>
        <w:t>目录</w:t>
      </w:r>
    </w:p>
    <w:p w14:paraId="3308B87C">
      <w:pPr>
        <w:keepLines w:val="0"/>
        <w:pageBreakBefore w:val="0"/>
        <w:kinsoku/>
        <w:autoSpaceDE w:val="0"/>
        <w:autoSpaceDN w:val="0"/>
        <w:bidi w:val="0"/>
        <w:adjustRightInd w:val="0"/>
        <w:snapToGrid w:val="0"/>
        <w:spacing w:line="360" w:lineRule="auto"/>
        <w:jc w:val="center"/>
        <w:rPr>
          <w:rFonts w:hint="eastAsia" w:ascii="宋体" w:hAnsi="宋体" w:eastAsia="宋体" w:cs="宋体"/>
          <w:b/>
          <w:bCs/>
          <w:color w:val="auto"/>
          <w:sz w:val="28"/>
          <w:szCs w:val="28"/>
          <w:highlight w:val="none"/>
          <w:lang w:val="zh-CN"/>
        </w:rPr>
      </w:pPr>
    </w:p>
    <w:p w14:paraId="71165113">
      <w:pPr>
        <w:pStyle w:val="3"/>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第一部分 磋商响应函</w:t>
      </w:r>
    </w:p>
    <w:p w14:paraId="04B2141E">
      <w:pPr>
        <w:pStyle w:val="3"/>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第二部分 第一次磋商报价表</w:t>
      </w:r>
    </w:p>
    <w:p w14:paraId="3271A299">
      <w:pPr>
        <w:pStyle w:val="3"/>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第三部分 </w:t>
      </w:r>
      <w:r>
        <w:rPr>
          <w:rFonts w:hint="eastAsia" w:ascii="宋体" w:hAnsi="宋体" w:eastAsia="宋体" w:cs="宋体"/>
          <w:color w:val="auto"/>
          <w:sz w:val="21"/>
          <w:szCs w:val="21"/>
          <w:highlight w:val="none"/>
          <w:lang w:val="zh-CN"/>
        </w:rPr>
        <w:t>已标价工程量清单</w:t>
      </w:r>
    </w:p>
    <w:p w14:paraId="4EA3B590">
      <w:pPr>
        <w:pStyle w:val="3"/>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第四部分 技术/商务条款偏差表</w:t>
      </w:r>
    </w:p>
    <w:p w14:paraId="1A0DB361">
      <w:pPr>
        <w:pStyle w:val="3"/>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第</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lang w:val="zh-CN" w:eastAsia="zh-CN"/>
        </w:rPr>
        <w:t>部分</w:t>
      </w:r>
      <w:r>
        <w:rPr>
          <w:rFonts w:hint="eastAsia" w:ascii="宋体" w:hAnsi="宋体" w:eastAsia="宋体" w:cs="宋体"/>
          <w:color w:val="auto"/>
          <w:sz w:val="21"/>
          <w:szCs w:val="21"/>
          <w:highlight w:val="none"/>
          <w:lang w:val="en-US" w:eastAsia="zh-CN"/>
        </w:rPr>
        <w:t xml:space="preserve"> 磋商方案说明</w:t>
      </w:r>
    </w:p>
    <w:p w14:paraId="0ADEF503">
      <w:pPr>
        <w:pStyle w:val="11"/>
        <w:keepLines w:val="0"/>
        <w:pageBreakBefore w:val="0"/>
        <w:widowControl w:val="0"/>
        <w:kinsoku/>
        <w:wordWrap/>
        <w:overflowPunct/>
        <w:topLinePunct w:val="0"/>
        <w:autoSpaceDE/>
        <w:autoSpaceDN/>
        <w:bidi w:val="0"/>
        <w:adjustRightInd/>
        <w:snapToGrid/>
        <w:spacing w:line="48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第六部分 供应商承诺书</w:t>
      </w:r>
    </w:p>
    <w:p w14:paraId="12124E6C">
      <w:pPr>
        <w:pStyle w:val="11"/>
        <w:keepLines w:val="0"/>
        <w:pageBreakBefore w:val="0"/>
        <w:widowControl w:val="0"/>
        <w:kinsoku/>
        <w:wordWrap/>
        <w:overflowPunct/>
        <w:topLinePunct w:val="0"/>
        <w:autoSpaceDE/>
        <w:autoSpaceDN/>
        <w:bidi w:val="0"/>
        <w:adjustRightInd/>
        <w:snapToGrid/>
        <w:spacing w:line="48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第</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lang w:val="zh-CN"/>
        </w:rPr>
        <w:t>部分</w:t>
      </w:r>
      <w:r>
        <w:rPr>
          <w:rFonts w:hint="eastAsia" w:ascii="宋体" w:hAnsi="宋体" w:eastAsia="宋体" w:cs="宋体"/>
          <w:color w:val="auto"/>
          <w:sz w:val="21"/>
          <w:szCs w:val="21"/>
          <w:highlight w:val="none"/>
          <w:lang w:val="en-US" w:eastAsia="zh-CN"/>
        </w:rPr>
        <w:t xml:space="preserve"> 项目管理机构</w:t>
      </w:r>
    </w:p>
    <w:p w14:paraId="3A072E23">
      <w:pPr>
        <w:pStyle w:val="3"/>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第八部分 供应商资质证明文件</w:t>
      </w:r>
    </w:p>
    <w:p w14:paraId="10D96652">
      <w:pPr>
        <w:pStyle w:val="3"/>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第</w:t>
      </w:r>
      <w:r>
        <w:rPr>
          <w:rFonts w:hint="eastAsia" w:ascii="宋体" w:hAnsi="宋体" w:eastAsia="宋体" w:cs="宋体"/>
          <w:color w:val="auto"/>
          <w:sz w:val="21"/>
          <w:szCs w:val="21"/>
          <w:highlight w:val="none"/>
          <w:lang w:val="en-US" w:eastAsia="zh-CN"/>
        </w:rPr>
        <w:t>九</w:t>
      </w:r>
      <w:r>
        <w:rPr>
          <w:rFonts w:hint="eastAsia" w:ascii="宋体" w:hAnsi="宋体" w:eastAsia="宋体" w:cs="宋体"/>
          <w:color w:val="auto"/>
          <w:sz w:val="21"/>
          <w:szCs w:val="21"/>
          <w:highlight w:val="none"/>
          <w:lang w:val="zh-CN" w:eastAsia="zh-CN"/>
        </w:rPr>
        <w:t>部分</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eastAsia="zh-CN"/>
        </w:rPr>
        <w:t>其他资料</w:t>
      </w:r>
    </w:p>
    <w:p w14:paraId="4A84C7AD">
      <w:pPr>
        <w:keepLines w:val="0"/>
        <w:pageBreakBefore w:val="0"/>
        <w:kinsoku/>
        <w:autoSpaceDE w:val="0"/>
        <w:autoSpaceDN w:val="0"/>
        <w:bidi w:val="0"/>
        <w:adjustRightInd w:val="0"/>
        <w:spacing w:line="360" w:lineRule="auto"/>
        <w:jc w:val="left"/>
        <w:rPr>
          <w:rFonts w:hint="eastAsia" w:ascii="宋体" w:hAnsi="宋体" w:eastAsia="宋体" w:cs="宋体"/>
          <w:b/>
          <w:bCs/>
          <w:color w:val="auto"/>
          <w:sz w:val="28"/>
          <w:szCs w:val="28"/>
          <w:highlight w:val="none"/>
          <w:lang w:val="zh-CN"/>
        </w:rPr>
      </w:pPr>
    </w:p>
    <w:p w14:paraId="78766A8B">
      <w:pPr>
        <w:keepLines w:val="0"/>
        <w:pageBreakBefore w:val="0"/>
        <w:kinsoku/>
        <w:autoSpaceDE w:val="0"/>
        <w:autoSpaceDN w:val="0"/>
        <w:bidi w:val="0"/>
        <w:adjustRightInd w:val="0"/>
        <w:spacing w:line="360" w:lineRule="auto"/>
        <w:jc w:val="left"/>
        <w:rPr>
          <w:rFonts w:hint="eastAsia" w:ascii="宋体" w:hAnsi="宋体" w:eastAsia="宋体" w:cs="宋体"/>
          <w:b/>
          <w:bCs/>
          <w:color w:val="auto"/>
          <w:sz w:val="28"/>
          <w:szCs w:val="28"/>
          <w:highlight w:val="none"/>
          <w:lang w:val="zh-CN"/>
        </w:rPr>
      </w:pPr>
    </w:p>
    <w:p w14:paraId="1DC636DD">
      <w:pPr>
        <w:keepLines w:val="0"/>
        <w:pageBreakBefore w:val="0"/>
        <w:kinsoku/>
        <w:autoSpaceDE w:val="0"/>
        <w:autoSpaceDN w:val="0"/>
        <w:bidi w:val="0"/>
        <w:adjustRightInd w:val="0"/>
        <w:spacing w:line="360" w:lineRule="auto"/>
        <w:jc w:val="left"/>
        <w:rPr>
          <w:rFonts w:hint="eastAsia" w:ascii="宋体" w:hAnsi="宋体" w:eastAsia="宋体" w:cs="宋体"/>
          <w:b/>
          <w:bCs/>
          <w:color w:val="auto"/>
          <w:sz w:val="28"/>
          <w:szCs w:val="28"/>
          <w:highlight w:val="none"/>
          <w:lang w:val="zh-CN"/>
        </w:rPr>
      </w:pPr>
    </w:p>
    <w:p w14:paraId="4000752B">
      <w:pPr>
        <w:keepLines w:val="0"/>
        <w:pageBreakBefore w:val="0"/>
        <w:kinsoku/>
        <w:autoSpaceDE w:val="0"/>
        <w:autoSpaceDN w:val="0"/>
        <w:bidi w:val="0"/>
        <w:adjustRightInd w:val="0"/>
        <w:spacing w:line="360" w:lineRule="auto"/>
        <w:jc w:val="left"/>
        <w:rPr>
          <w:rFonts w:hint="eastAsia" w:ascii="宋体" w:hAnsi="宋体" w:eastAsia="宋体" w:cs="宋体"/>
          <w:b/>
          <w:bCs/>
          <w:color w:val="auto"/>
          <w:sz w:val="28"/>
          <w:szCs w:val="28"/>
          <w:highlight w:val="none"/>
          <w:lang w:val="zh-CN"/>
        </w:rPr>
      </w:pPr>
    </w:p>
    <w:p w14:paraId="57C20EC6">
      <w:pPr>
        <w:keepLines w:val="0"/>
        <w:pageBreakBefore w:val="0"/>
        <w:kinsoku/>
        <w:autoSpaceDE w:val="0"/>
        <w:autoSpaceDN w:val="0"/>
        <w:bidi w:val="0"/>
        <w:adjustRightInd w:val="0"/>
        <w:spacing w:line="360" w:lineRule="auto"/>
        <w:jc w:val="left"/>
        <w:rPr>
          <w:rFonts w:hint="eastAsia" w:ascii="宋体" w:hAnsi="宋体" w:eastAsia="宋体" w:cs="宋体"/>
          <w:b/>
          <w:bCs/>
          <w:color w:val="auto"/>
          <w:sz w:val="28"/>
          <w:szCs w:val="28"/>
          <w:highlight w:val="none"/>
          <w:lang w:val="zh-CN"/>
        </w:rPr>
      </w:pPr>
    </w:p>
    <w:p w14:paraId="146FEB2D">
      <w:pPr>
        <w:keepLines w:val="0"/>
        <w:pageBreakBefore w:val="0"/>
        <w:kinsoku/>
        <w:autoSpaceDE w:val="0"/>
        <w:autoSpaceDN w:val="0"/>
        <w:bidi w:val="0"/>
        <w:adjustRightInd w:val="0"/>
        <w:spacing w:line="360" w:lineRule="auto"/>
        <w:jc w:val="left"/>
        <w:rPr>
          <w:rFonts w:hint="eastAsia" w:ascii="宋体" w:hAnsi="宋体" w:eastAsia="宋体" w:cs="宋体"/>
          <w:b/>
          <w:bCs/>
          <w:color w:val="auto"/>
          <w:sz w:val="28"/>
          <w:szCs w:val="28"/>
          <w:highlight w:val="none"/>
          <w:lang w:val="zh-CN"/>
        </w:rPr>
      </w:pPr>
    </w:p>
    <w:p w14:paraId="76F06B03">
      <w:pPr>
        <w:keepLines w:val="0"/>
        <w:pageBreakBefore w:val="0"/>
        <w:kinsoku/>
        <w:autoSpaceDE w:val="0"/>
        <w:autoSpaceDN w:val="0"/>
        <w:bidi w:val="0"/>
        <w:adjustRightInd w:val="0"/>
        <w:spacing w:line="360" w:lineRule="auto"/>
        <w:jc w:val="left"/>
        <w:rPr>
          <w:rFonts w:hint="eastAsia" w:ascii="宋体" w:hAnsi="宋体" w:eastAsia="宋体" w:cs="宋体"/>
          <w:b/>
          <w:bCs/>
          <w:color w:val="auto"/>
          <w:sz w:val="28"/>
          <w:szCs w:val="28"/>
          <w:highlight w:val="none"/>
          <w:lang w:val="zh-CN"/>
        </w:rPr>
      </w:pPr>
    </w:p>
    <w:p w14:paraId="4F7FDA92">
      <w:pPr>
        <w:keepLines w:val="0"/>
        <w:pageBreakBefore w:val="0"/>
        <w:kinsoku/>
        <w:autoSpaceDE w:val="0"/>
        <w:autoSpaceDN w:val="0"/>
        <w:bidi w:val="0"/>
        <w:adjustRightInd w:val="0"/>
        <w:spacing w:line="360" w:lineRule="auto"/>
        <w:jc w:val="center"/>
        <w:rPr>
          <w:rFonts w:hint="eastAsia" w:ascii="宋体" w:hAnsi="宋体" w:eastAsia="宋体" w:cs="宋体"/>
          <w:b/>
          <w:bCs/>
          <w:color w:val="auto"/>
          <w:sz w:val="28"/>
          <w:szCs w:val="28"/>
          <w:highlight w:val="none"/>
          <w:lang w:val="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6FB1957C">
      <w:pPr>
        <w:pStyle w:val="2"/>
        <w:keepLines w:val="0"/>
        <w:pageBreakBefore w:val="0"/>
        <w:kinsoku/>
        <w:bidi w:val="0"/>
        <w:spacing w:line="360" w:lineRule="auto"/>
        <w:rPr>
          <w:rFonts w:hint="eastAsia" w:ascii="宋体" w:hAnsi="宋体" w:eastAsia="宋体" w:cs="宋体"/>
          <w:b/>
          <w:bCs/>
          <w:color w:val="auto"/>
          <w:sz w:val="28"/>
          <w:szCs w:val="28"/>
          <w:highlight w:val="none"/>
          <w:lang w:val="en-US" w:eastAsia="zh-CN"/>
        </w:rPr>
      </w:pPr>
      <w:bookmarkStart w:id="527" w:name="_Toc8294"/>
      <w:bookmarkStart w:id="528" w:name="_Toc6601"/>
      <w:r>
        <w:rPr>
          <w:rFonts w:hint="eastAsia" w:ascii="宋体" w:hAnsi="宋体" w:eastAsia="宋体" w:cs="宋体"/>
          <w:b/>
          <w:bCs/>
          <w:color w:val="auto"/>
          <w:sz w:val="28"/>
          <w:szCs w:val="28"/>
          <w:highlight w:val="none"/>
          <w:lang w:val="zh-CN"/>
        </w:rPr>
        <w:t>第一部分</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val="zh-CN"/>
        </w:rPr>
        <w:t>磋商响应函</w:t>
      </w:r>
      <w:bookmarkEnd w:id="527"/>
      <w:bookmarkEnd w:id="528"/>
    </w:p>
    <w:p w14:paraId="19E81BF4">
      <w:pPr>
        <w:keepNext w:val="0"/>
        <w:keepLines w:val="0"/>
        <w:pageBreakBefore w:val="0"/>
        <w:widowControl w:val="0"/>
        <w:tabs>
          <w:tab w:val="left" w:pos="1155"/>
        </w:tabs>
        <w:kinsoku/>
        <w:wordWrap/>
        <w:overflowPunct w:val="0"/>
        <w:topLinePunct/>
        <w:autoSpaceDE/>
        <w:autoSpaceDN/>
        <w:bidi w:val="0"/>
        <w:adjustRightInd/>
        <w:spacing w:line="360" w:lineRule="auto"/>
        <w:ind w:firstLine="460" w:firstLineChars="192"/>
        <w:jc w:val="both"/>
        <w:textAlignment w:val="auto"/>
        <w:rPr>
          <w:rFonts w:hint="eastAsia" w:ascii="宋体" w:hAnsi="宋体" w:eastAsia="宋体" w:cs="宋体"/>
          <w:bCs/>
          <w:color w:val="auto"/>
          <w:sz w:val="24"/>
          <w:szCs w:val="24"/>
          <w:highlight w:val="none"/>
          <w:u w:val="single"/>
        </w:rPr>
      </w:pPr>
    </w:p>
    <w:p w14:paraId="2334C61D">
      <w:pPr>
        <w:keepNext w:val="0"/>
        <w:keepLines w:val="0"/>
        <w:pageBreakBefore w:val="0"/>
        <w:widowControl w:val="0"/>
        <w:tabs>
          <w:tab w:val="left" w:pos="1155"/>
        </w:tabs>
        <w:kinsoku/>
        <w:wordWrap/>
        <w:overflowPunct w:val="0"/>
        <w:topLinePunct/>
        <w:autoSpaceDE/>
        <w:autoSpaceDN/>
        <w:bidi w:val="0"/>
        <w:adjustRightInd/>
        <w:spacing w:line="360" w:lineRule="auto"/>
        <w:ind w:firstLine="403" w:firstLineChars="192"/>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u w:val="single"/>
        </w:rPr>
        <w:t>（采购人名称）</w:t>
      </w:r>
      <w:r>
        <w:rPr>
          <w:rFonts w:hint="eastAsia" w:ascii="宋体" w:hAnsi="宋体" w:eastAsia="宋体" w:cs="宋体"/>
          <w:bCs/>
          <w:color w:val="auto"/>
          <w:sz w:val="21"/>
          <w:szCs w:val="21"/>
          <w:highlight w:val="none"/>
        </w:rPr>
        <w:t>：</w:t>
      </w:r>
    </w:p>
    <w:p w14:paraId="41471D82">
      <w:pPr>
        <w:keepNext w:val="0"/>
        <w:keepLines w:val="0"/>
        <w:pageBreakBefore w:val="0"/>
        <w:widowControl w:val="0"/>
        <w:kinsoku/>
        <w:wordWrap/>
        <w:autoSpaceDE/>
        <w:autoSpaceDN/>
        <w:bidi w:val="0"/>
        <w:adjustRightIn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1、我方已仔细研究了（项目名称）磋商文件的全部内容，愿意以第一次报价为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（大写金额）</w:t>
      </w:r>
      <w:r>
        <w:rPr>
          <w:rFonts w:hint="eastAsia" w:ascii="宋体" w:hAnsi="宋体" w:eastAsia="宋体" w:cs="宋体"/>
          <w:color w:val="auto"/>
          <w:sz w:val="21"/>
          <w:szCs w:val="21"/>
          <w:highlight w:val="none"/>
          <w:u w:val="none"/>
        </w:rPr>
        <w:t>元</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rPr>
        <w:t>（小写金额）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元</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u w:val="none"/>
        </w:rPr>
        <w:t>工期：</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，质量目标：</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，并按合同约定的工期及质量实施和完成全部项目。</w:t>
      </w:r>
    </w:p>
    <w:p w14:paraId="352C2081">
      <w:pPr>
        <w:keepNext w:val="0"/>
        <w:keepLines w:val="0"/>
        <w:pageBreakBefore w:val="0"/>
        <w:widowControl w:val="0"/>
        <w:tabs>
          <w:tab w:val="left" w:pos="1155"/>
        </w:tabs>
        <w:kinsoku/>
        <w:wordWrap/>
        <w:overflowPunct w:val="0"/>
        <w:topLinePunct/>
        <w:autoSpaceDE/>
        <w:autoSpaceDN/>
        <w:bidi w:val="0"/>
        <w:adjustRightInd/>
        <w:spacing w:line="360" w:lineRule="auto"/>
        <w:ind w:firstLine="403" w:firstLineChars="192"/>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2、我方承诺自响应截止之日起</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日历天（同响应文件有效期）不补充、修改、替代或者撤回本响应性文件。</w:t>
      </w:r>
    </w:p>
    <w:p w14:paraId="2C3D1854">
      <w:pPr>
        <w:keepNext w:val="0"/>
        <w:keepLines w:val="0"/>
        <w:pageBreakBefore w:val="0"/>
        <w:widowControl w:val="0"/>
        <w:tabs>
          <w:tab w:val="left" w:pos="1155"/>
        </w:tabs>
        <w:kinsoku/>
        <w:wordWrap/>
        <w:overflowPunct w:val="0"/>
        <w:topLinePunct/>
        <w:autoSpaceDE/>
        <w:autoSpaceDN/>
        <w:bidi w:val="0"/>
        <w:adjustRightInd/>
        <w:spacing w:line="360" w:lineRule="auto"/>
        <w:ind w:firstLine="403" w:firstLineChars="192"/>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、如我方成交：</w:t>
      </w:r>
    </w:p>
    <w:p w14:paraId="48790A1F">
      <w:pPr>
        <w:keepNext w:val="0"/>
        <w:keepLines w:val="0"/>
        <w:pageBreakBefore w:val="0"/>
        <w:widowControl w:val="0"/>
        <w:tabs>
          <w:tab w:val="left" w:pos="1155"/>
        </w:tabs>
        <w:kinsoku/>
        <w:wordWrap/>
        <w:overflowPunct w:val="0"/>
        <w:topLinePunct/>
        <w:autoSpaceDE/>
        <w:autoSpaceDN/>
        <w:bidi w:val="0"/>
        <w:adjustRightInd/>
        <w:spacing w:line="360" w:lineRule="auto"/>
        <w:ind w:firstLine="403" w:firstLineChars="192"/>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（1）我方承诺在收到成交通知书后，在规定的期限内与采购人签订合同。</w:t>
      </w:r>
    </w:p>
    <w:p w14:paraId="76AF17EF">
      <w:pPr>
        <w:keepNext w:val="0"/>
        <w:keepLines w:val="0"/>
        <w:pageBreakBefore w:val="0"/>
        <w:widowControl w:val="0"/>
        <w:tabs>
          <w:tab w:val="left" w:pos="1155"/>
        </w:tabs>
        <w:kinsoku/>
        <w:wordWrap/>
        <w:overflowPunct w:val="0"/>
        <w:topLinePunct/>
        <w:autoSpaceDE/>
        <w:autoSpaceDN/>
        <w:bidi w:val="0"/>
        <w:adjustRightInd/>
        <w:spacing w:line="360" w:lineRule="auto"/>
        <w:ind w:firstLine="403" w:firstLineChars="192"/>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（2）本磋商函属于合同文件的组成部分。</w:t>
      </w:r>
    </w:p>
    <w:p w14:paraId="4CBE909A">
      <w:pPr>
        <w:keepNext w:val="0"/>
        <w:keepLines w:val="0"/>
        <w:pageBreakBefore w:val="0"/>
        <w:widowControl w:val="0"/>
        <w:tabs>
          <w:tab w:val="left" w:pos="1155"/>
        </w:tabs>
        <w:kinsoku/>
        <w:wordWrap/>
        <w:overflowPunct w:val="0"/>
        <w:topLinePunct/>
        <w:autoSpaceDE/>
        <w:autoSpaceDN/>
        <w:bidi w:val="0"/>
        <w:adjustRightInd/>
        <w:spacing w:line="360" w:lineRule="auto"/>
        <w:ind w:firstLine="403" w:firstLineChars="192"/>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（3）我方承诺按照磋商文件规定向你方提供要求的任何证据、资料。</w:t>
      </w:r>
    </w:p>
    <w:p w14:paraId="496974E7">
      <w:pPr>
        <w:keepNext w:val="0"/>
        <w:keepLines w:val="0"/>
        <w:pageBreakBefore w:val="0"/>
        <w:widowControl w:val="0"/>
        <w:tabs>
          <w:tab w:val="left" w:pos="1155"/>
        </w:tabs>
        <w:kinsoku/>
        <w:wordWrap/>
        <w:overflowPunct w:val="0"/>
        <w:topLinePunct/>
        <w:autoSpaceDE/>
        <w:autoSpaceDN/>
        <w:bidi w:val="0"/>
        <w:adjustRightInd/>
        <w:spacing w:line="360" w:lineRule="auto"/>
        <w:ind w:firstLine="403" w:firstLineChars="192"/>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（4）我方承诺在合同约定的期限内完成并移交全部合同项目。</w:t>
      </w:r>
    </w:p>
    <w:p w14:paraId="5F863FDB">
      <w:pPr>
        <w:keepNext w:val="0"/>
        <w:keepLines w:val="0"/>
        <w:pageBreakBefore w:val="0"/>
        <w:widowControl w:val="0"/>
        <w:tabs>
          <w:tab w:val="left" w:pos="1155"/>
        </w:tabs>
        <w:kinsoku/>
        <w:wordWrap/>
        <w:overflowPunct w:val="0"/>
        <w:topLinePunct/>
        <w:autoSpaceDE/>
        <w:autoSpaceDN/>
        <w:bidi w:val="0"/>
        <w:adjustRightInd/>
        <w:spacing w:line="360" w:lineRule="auto"/>
        <w:ind w:firstLine="403" w:firstLineChars="192"/>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、我方在此声明，所递交的磋商响应文件及有关资料内容完整、真实和准确，并愿承担法律责任。</w:t>
      </w:r>
    </w:p>
    <w:p w14:paraId="30EEECD0">
      <w:pPr>
        <w:keepNext w:val="0"/>
        <w:keepLines w:val="0"/>
        <w:pageBreakBefore w:val="0"/>
        <w:widowControl w:val="0"/>
        <w:tabs>
          <w:tab w:val="left" w:pos="1155"/>
        </w:tabs>
        <w:kinsoku/>
        <w:wordWrap/>
        <w:overflowPunct w:val="0"/>
        <w:topLinePunct/>
        <w:autoSpaceDE/>
        <w:autoSpaceDN/>
        <w:bidi w:val="0"/>
        <w:adjustRightInd/>
        <w:spacing w:line="360" w:lineRule="auto"/>
        <w:ind w:firstLine="403" w:firstLineChars="192"/>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、（其他承诺事项）：</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w:t>
      </w:r>
    </w:p>
    <w:p w14:paraId="16B16192">
      <w:pPr>
        <w:keepNext w:val="0"/>
        <w:keepLines w:val="0"/>
        <w:pageBreakBefore w:val="0"/>
        <w:widowControl w:val="0"/>
        <w:kinsoku/>
        <w:wordWrap/>
        <w:overflowPunct w:val="0"/>
        <w:topLinePunct/>
        <w:autoSpaceDE/>
        <w:autoSpaceDN/>
        <w:bidi w:val="0"/>
        <w:adjustRightInd/>
        <w:spacing w:line="360" w:lineRule="auto"/>
        <w:ind w:firstLine="2940" w:firstLineChars="1400"/>
        <w:jc w:val="both"/>
        <w:textAlignment w:val="auto"/>
        <w:rPr>
          <w:rFonts w:hint="eastAsia" w:ascii="宋体" w:hAnsi="宋体" w:eastAsia="宋体" w:cs="宋体"/>
          <w:color w:val="auto"/>
          <w:sz w:val="21"/>
          <w:szCs w:val="21"/>
          <w:highlight w:val="none"/>
          <w:lang w:eastAsia="zh-CN"/>
        </w:rPr>
      </w:pPr>
    </w:p>
    <w:p w14:paraId="3B2D8ABD">
      <w:pPr>
        <w:keepNext w:val="0"/>
        <w:keepLines w:val="0"/>
        <w:pageBreakBefore w:val="0"/>
        <w:widowControl w:val="0"/>
        <w:kinsoku/>
        <w:wordWrap/>
        <w:overflowPunct w:val="0"/>
        <w:topLinePunct/>
        <w:autoSpaceDE/>
        <w:autoSpaceDN/>
        <w:bidi w:val="0"/>
        <w:adjustRightInd/>
        <w:snapToGrid w:val="0"/>
        <w:spacing w:line="360" w:lineRule="auto"/>
        <w:ind w:firstLine="2940" w:firstLineChars="14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供</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应</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商：</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（盖单位章）</w:t>
      </w:r>
    </w:p>
    <w:p w14:paraId="2A772B68">
      <w:pPr>
        <w:keepNext w:val="0"/>
        <w:keepLines w:val="0"/>
        <w:pageBreakBefore w:val="0"/>
        <w:widowControl w:val="0"/>
        <w:kinsoku/>
        <w:wordWrap/>
        <w:overflowPunct w:val="0"/>
        <w:topLinePunct/>
        <w:autoSpaceDE/>
        <w:autoSpaceDN/>
        <w:bidi w:val="0"/>
        <w:adjustRightInd/>
        <w:snapToGrid w:val="0"/>
        <w:spacing w:line="360" w:lineRule="auto"/>
        <w:ind w:firstLine="2940" w:firstLineChars="1400"/>
        <w:jc w:val="both"/>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color w:val="auto"/>
          <w:sz w:val="21"/>
          <w:szCs w:val="21"/>
          <w:highlight w:val="none"/>
        </w:rPr>
        <w:t>法定代表人或其授权代表：</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（签字或签章）</w:t>
      </w:r>
    </w:p>
    <w:p w14:paraId="79EE6839">
      <w:pPr>
        <w:keepNext w:val="0"/>
        <w:keepLines w:val="0"/>
        <w:pageBreakBefore w:val="0"/>
        <w:widowControl w:val="0"/>
        <w:kinsoku/>
        <w:wordWrap/>
        <w:overflowPunct w:val="0"/>
        <w:topLinePunct/>
        <w:autoSpaceDE/>
        <w:autoSpaceDN/>
        <w:bidi w:val="0"/>
        <w:adjustRightInd/>
        <w:snapToGrid w:val="0"/>
        <w:spacing w:line="360" w:lineRule="auto"/>
        <w:ind w:firstLine="2940" w:firstLineChars="1400"/>
        <w:jc w:val="both"/>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址：</w:t>
      </w:r>
      <w:r>
        <w:rPr>
          <w:rFonts w:hint="eastAsia" w:ascii="宋体" w:hAnsi="宋体" w:eastAsia="宋体" w:cs="宋体"/>
          <w:color w:val="auto"/>
          <w:sz w:val="21"/>
          <w:szCs w:val="21"/>
          <w:highlight w:val="none"/>
          <w:u w:val="single"/>
          <w:lang w:val="en-US" w:eastAsia="zh-CN"/>
        </w:rPr>
        <w:t xml:space="preserve">                              </w:t>
      </w:r>
    </w:p>
    <w:p w14:paraId="3A68C346">
      <w:pPr>
        <w:keepNext w:val="0"/>
        <w:keepLines w:val="0"/>
        <w:pageBreakBefore w:val="0"/>
        <w:widowControl w:val="0"/>
        <w:kinsoku/>
        <w:wordWrap/>
        <w:overflowPunct w:val="0"/>
        <w:topLinePunct/>
        <w:autoSpaceDE/>
        <w:autoSpaceDN/>
        <w:bidi w:val="0"/>
        <w:adjustRightInd/>
        <w:snapToGrid w:val="0"/>
        <w:spacing w:line="360" w:lineRule="auto"/>
        <w:ind w:firstLine="2940" w:firstLineChars="1400"/>
        <w:jc w:val="both"/>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电</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话：</w:t>
      </w:r>
      <w:r>
        <w:rPr>
          <w:rFonts w:hint="eastAsia" w:ascii="宋体" w:hAnsi="宋体" w:eastAsia="宋体" w:cs="宋体"/>
          <w:color w:val="auto"/>
          <w:sz w:val="21"/>
          <w:szCs w:val="21"/>
          <w:highlight w:val="none"/>
          <w:u w:val="single"/>
          <w:lang w:val="en-US" w:eastAsia="zh-CN"/>
        </w:rPr>
        <w:t xml:space="preserve">                              </w:t>
      </w:r>
    </w:p>
    <w:p w14:paraId="7B08DB6D">
      <w:pPr>
        <w:keepNext w:val="0"/>
        <w:keepLines w:val="0"/>
        <w:pageBreakBefore w:val="0"/>
        <w:widowControl w:val="0"/>
        <w:kinsoku/>
        <w:wordWrap/>
        <w:overflowPunct w:val="0"/>
        <w:topLinePunct/>
        <w:autoSpaceDE/>
        <w:autoSpaceDN/>
        <w:bidi w:val="0"/>
        <w:adjustRightInd/>
        <w:snapToGrid w:val="0"/>
        <w:spacing w:line="360" w:lineRule="auto"/>
        <w:ind w:firstLine="2940" w:firstLineChars="1400"/>
        <w:jc w:val="both"/>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真：</w:t>
      </w:r>
      <w:r>
        <w:rPr>
          <w:rFonts w:hint="eastAsia" w:ascii="宋体" w:hAnsi="宋体" w:eastAsia="宋体" w:cs="宋体"/>
          <w:color w:val="auto"/>
          <w:sz w:val="21"/>
          <w:szCs w:val="21"/>
          <w:highlight w:val="none"/>
          <w:u w:val="single"/>
          <w:lang w:val="en-US" w:eastAsia="zh-CN"/>
        </w:rPr>
        <w:t xml:space="preserve">                              </w:t>
      </w:r>
    </w:p>
    <w:p w14:paraId="14BD1B80">
      <w:pPr>
        <w:keepNext w:val="0"/>
        <w:keepLines w:val="0"/>
        <w:pageBreakBefore w:val="0"/>
        <w:widowControl w:val="0"/>
        <w:tabs>
          <w:tab w:val="left" w:pos="210"/>
        </w:tabs>
        <w:kinsoku/>
        <w:wordWrap/>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w:t>
      </w:r>
    </w:p>
    <w:p w14:paraId="1756D90A">
      <w:pPr>
        <w:keepNext w:val="0"/>
        <w:keepLines w:val="0"/>
        <w:pageBreakBefore w:val="0"/>
        <w:widowControl w:val="0"/>
        <w:kinsoku/>
        <w:wordWrap/>
        <w:autoSpaceDE w:val="0"/>
        <w:autoSpaceDN w:val="0"/>
        <w:bidi w:val="0"/>
        <w:adjustRightInd w:val="0"/>
        <w:spacing w:line="360" w:lineRule="auto"/>
        <w:textAlignment w:val="auto"/>
        <w:rPr>
          <w:rFonts w:hint="eastAsia" w:ascii="宋体" w:hAnsi="宋体" w:eastAsia="宋体" w:cs="宋体"/>
          <w:b/>
          <w:bCs/>
          <w:color w:val="auto"/>
          <w:sz w:val="21"/>
          <w:szCs w:val="21"/>
          <w:highlight w:val="none"/>
          <w:lang w:val="zh-CN"/>
        </w:rPr>
      </w:pPr>
    </w:p>
    <w:p w14:paraId="258D65BE">
      <w:pPr>
        <w:pStyle w:val="48"/>
        <w:keepLines w:val="0"/>
        <w:pageBreakBefore w:val="0"/>
        <w:kinsoku/>
        <w:bidi w:val="0"/>
        <w:spacing w:line="360" w:lineRule="auto"/>
        <w:rPr>
          <w:rFonts w:hint="eastAsia" w:ascii="宋体" w:hAnsi="宋体" w:eastAsia="宋体" w:cs="宋体"/>
          <w:b/>
          <w:bCs/>
          <w:color w:val="auto"/>
          <w:sz w:val="24"/>
          <w:szCs w:val="24"/>
          <w:highlight w:val="none"/>
          <w:lang w:val="zh-CN"/>
        </w:rPr>
      </w:pPr>
    </w:p>
    <w:p w14:paraId="7CDFEAB3">
      <w:pPr>
        <w:pStyle w:val="48"/>
        <w:keepLines w:val="0"/>
        <w:pageBreakBefore w:val="0"/>
        <w:kinsoku/>
        <w:bidi w:val="0"/>
        <w:spacing w:line="360" w:lineRule="auto"/>
        <w:rPr>
          <w:rFonts w:hint="eastAsia" w:ascii="宋体" w:hAnsi="宋体" w:eastAsia="宋体" w:cs="宋体"/>
          <w:b/>
          <w:bCs/>
          <w:color w:val="auto"/>
          <w:sz w:val="24"/>
          <w:szCs w:val="24"/>
          <w:highlight w:val="none"/>
          <w:lang w:val="zh-CN"/>
        </w:rPr>
      </w:pPr>
    </w:p>
    <w:p w14:paraId="169DEFD0">
      <w:pPr>
        <w:pStyle w:val="48"/>
        <w:keepLines w:val="0"/>
        <w:pageBreakBefore w:val="0"/>
        <w:kinsoku/>
        <w:bidi w:val="0"/>
        <w:spacing w:line="360" w:lineRule="auto"/>
        <w:rPr>
          <w:rFonts w:hint="eastAsia" w:ascii="宋体" w:hAnsi="宋体" w:eastAsia="宋体" w:cs="宋体"/>
          <w:b/>
          <w:bCs/>
          <w:color w:val="auto"/>
          <w:sz w:val="24"/>
          <w:szCs w:val="24"/>
          <w:highlight w:val="none"/>
          <w:lang w:val="zh-CN"/>
        </w:rPr>
      </w:pPr>
    </w:p>
    <w:p w14:paraId="3610F3ED">
      <w:pPr>
        <w:pStyle w:val="48"/>
        <w:keepLines w:val="0"/>
        <w:pageBreakBefore w:val="0"/>
        <w:kinsoku/>
        <w:bidi w:val="0"/>
        <w:spacing w:line="360" w:lineRule="auto"/>
        <w:rPr>
          <w:rFonts w:hint="eastAsia" w:ascii="宋体" w:hAnsi="宋体" w:eastAsia="宋体" w:cs="宋体"/>
          <w:b/>
          <w:bCs/>
          <w:color w:val="auto"/>
          <w:sz w:val="24"/>
          <w:szCs w:val="24"/>
          <w:highlight w:val="none"/>
          <w:lang w:val="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1CB3AF0D">
      <w:pPr>
        <w:pStyle w:val="2"/>
        <w:keepLines w:val="0"/>
        <w:pageBreakBefore w:val="0"/>
        <w:kinsoku/>
        <w:bidi w:val="0"/>
        <w:spacing w:line="360" w:lineRule="auto"/>
        <w:rPr>
          <w:rFonts w:hint="eastAsia" w:ascii="宋体" w:hAnsi="宋体" w:eastAsia="宋体" w:cs="宋体"/>
          <w:b/>
          <w:bCs/>
          <w:color w:val="auto"/>
          <w:sz w:val="28"/>
          <w:szCs w:val="28"/>
          <w:highlight w:val="none"/>
          <w:lang w:val="zh-CN"/>
        </w:rPr>
      </w:pPr>
      <w:bookmarkStart w:id="529" w:name="_Toc16353"/>
      <w:bookmarkStart w:id="530" w:name="_Toc23189"/>
      <w:r>
        <w:rPr>
          <w:rFonts w:hint="eastAsia" w:ascii="宋体" w:hAnsi="宋体" w:eastAsia="宋体" w:cs="宋体"/>
          <w:b/>
          <w:bCs/>
          <w:color w:val="auto"/>
          <w:sz w:val="28"/>
          <w:szCs w:val="28"/>
          <w:highlight w:val="none"/>
          <w:lang w:val="zh-CN"/>
        </w:rPr>
        <w:t>第二部分</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val="zh-CN"/>
        </w:rPr>
        <w:t>第一次磋商报价表</w:t>
      </w:r>
      <w:bookmarkEnd w:id="529"/>
      <w:bookmarkEnd w:id="530"/>
    </w:p>
    <w:p w14:paraId="7DC8FBF4">
      <w:pPr>
        <w:keepLines w:val="0"/>
        <w:pageBreakBefore w:val="0"/>
        <w:kinsoku/>
        <w:autoSpaceDE w:val="0"/>
        <w:autoSpaceDN w:val="0"/>
        <w:bidi w:val="0"/>
        <w:adjustRightInd w:val="0"/>
        <w:spacing w:line="360" w:lineRule="auto"/>
        <w:jc w:val="both"/>
        <w:rPr>
          <w:rFonts w:hint="eastAsia" w:ascii="宋体" w:hAnsi="宋体" w:eastAsia="宋体" w:cs="宋体"/>
          <w:b/>
          <w:bCs/>
          <w:color w:val="auto"/>
          <w:sz w:val="21"/>
          <w:szCs w:val="21"/>
          <w:highlight w:val="none"/>
          <w:lang w:val="zh-CN"/>
        </w:rPr>
      </w:pPr>
    </w:p>
    <w:p w14:paraId="7B75BB9C">
      <w:pPr>
        <w:keepLines w:val="0"/>
        <w:pageBreakBefore w:val="0"/>
        <w:tabs>
          <w:tab w:val="left" w:pos="8180"/>
          <w:tab w:val="left" w:pos="8400"/>
        </w:tabs>
        <w:kinsoku/>
        <w:autoSpaceDE w:val="0"/>
        <w:autoSpaceDN w:val="0"/>
        <w:bidi w:val="0"/>
        <w:adjustRightInd w:val="0"/>
        <w:snapToGrid w:val="0"/>
        <w:spacing w:line="360" w:lineRule="auto"/>
        <w:ind w:right="670" w:rightChars="0" w:firstLine="525" w:firstLineChars="250"/>
        <w:rPr>
          <w:rFonts w:hint="eastAsia" w:ascii="宋体" w:hAnsi="宋体" w:eastAsia="宋体" w:cs="宋体"/>
          <w:color w:val="auto"/>
          <w:sz w:val="21"/>
          <w:szCs w:val="21"/>
          <w:highlight w:val="none"/>
          <w:lang w:val="zh-CN"/>
        </w:rPr>
      </w:pPr>
      <w:r>
        <w:rPr>
          <w:rFonts w:hint="eastAsia" w:ascii="宋体" w:hAnsi="宋体" w:eastAsia="宋体" w:cs="宋体"/>
          <w:bCs/>
          <w:color w:val="auto"/>
          <w:kern w:val="0"/>
          <w:sz w:val="21"/>
          <w:szCs w:val="21"/>
          <w:highlight w:val="none"/>
        </w:rPr>
        <w:t>项目编号：</w:t>
      </w:r>
      <w:r>
        <w:rPr>
          <w:rFonts w:hint="eastAsia" w:ascii="宋体" w:hAnsi="宋体" w:eastAsia="宋体" w:cs="宋体"/>
          <w:bCs/>
          <w:color w:val="auto"/>
          <w:kern w:val="0"/>
          <w:sz w:val="21"/>
          <w:szCs w:val="21"/>
          <w:highlight w:val="none"/>
          <w:lang w:val="en-US" w:eastAsia="zh-CN"/>
        </w:rPr>
        <w:t xml:space="preserve">                                                     </w:t>
      </w:r>
      <w:r>
        <w:rPr>
          <w:rFonts w:hint="eastAsia" w:ascii="宋体" w:hAnsi="宋体" w:eastAsia="宋体" w:cs="宋体"/>
          <w:bCs/>
          <w:color w:val="auto"/>
          <w:kern w:val="0"/>
          <w:sz w:val="21"/>
          <w:szCs w:val="21"/>
          <w:highlight w:val="none"/>
        </w:rPr>
        <w:t>单位:</w:t>
      </w:r>
      <w:r>
        <w:rPr>
          <w:rFonts w:hint="eastAsia" w:ascii="宋体" w:hAnsi="宋体" w:eastAsia="宋体" w:cs="宋体"/>
          <w:color w:val="auto"/>
          <w:sz w:val="21"/>
          <w:szCs w:val="21"/>
          <w:highlight w:val="none"/>
          <w:lang w:val="zh-CN"/>
        </w:rPr>
        <w:t>元</w:t>
      </w:r>
    </w:p>
    <w:tbl>
      <w:tblPr>
        <w:tblStyle w:val="37"/>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921"/>
        <w:gridCol w:w="6136"/>
      </w:tblGrid>
      <w:tr w14:paraId="542AF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82" w:type="dxa"/>
            <w:vAlign w:val="center"/>
          </w:tcPr>
          <w:p w14:paraId="4BC8BB79">
            <w:pPr>
              <w:keepLines w:val="0"/>
              <w:pageBreakBefore w:val="0"/>
              <w:kinsoku/>
              <w:bidi w:val="0"/>
              <w:spacing w:line="360" w:lineRule="auto"/>
              <w:jc w:val="center"/>
              <w:rPr>
                <w:rFonts w:hint="eastAsia" w:ascii="宋体" w:hAnsi="宋体" w:eastAsia="宋体" w:cs="宋体"/>
                <w:b/>
                <w:bCs/>
                <w:color w:val="auto"/>
                <w:sz w:val="21"/>
                <w:szCs w:val="21"/>
                <w:highlight w:val="none"/>
              </w:rPr>
            </w:pPr>
            <w:bookmarkStart w:id="531" w:name="_Toc363558512"/>
            <w:bookmarkStart w:id="532" w:name="_Toc443640378"/>
            <w:bookmarkStart w:id="533" w:name="_Toc443640468"/>
            <w:bookmarkStart w:id="534" w:name="_Toc375125038"/>
            <w:bookmarkStart w:id="535" w:name="_Toc443639914"/>
            <w:r>
              <w:rPr>
                <w:rFonts w:hint="eastAsia" w:ascii="宋体" w:hAnsi="宋体" w:eastAsia="宋体" w:cs="宋体"/>
                <w:b/>
                <w:bCs/>
                <w:color w:val="auto"/>
                <w:sz w:val="21"/>
                <w:szCs w:val="21"/>
                <w:highlight w:val="none"/>
              </w:rPr>
              <w:t>序号</w:t>
            </w:r>
            <w:bookmarkEnd w:id="531"/>
            <w:bookmarkEnd w:id="532"/>
            <w:bookmarkEnd w:id="533"/>
            <w:bookmarkEnd w:id="534"/>
            <w:bookmarkEnd w:id="535"/>
          </w:p>
        </w:tc>
        <w:tc>
          <w:tcPr>
            <w:tcW w:w="1921" w:type="dxa"/>
            <w:vAlign w:val="center"/>
          </w:tcPr>
          <w:p w14:paraId="79325C04">
            <w:pPr>
              <w:keepLines w:val="0"/>
              <w:pageBreakBefore w:val="0"/>
              <w:kinsoku/>
              <w:bidi w:val="0"/>
              <w:spacing w:line="360" w:lineRule="auto"/>
              <w:jc w:val="center"/>
              <w:rPr>
                <w:rFonts w:hint="eastAsia" w:ascii="宋体" w:hAnsi="宋体" w:eastAsia="宋体" w:cs="宋体"/>
                <w:b/>
                <w:bCs/>
                <w:color w:val="auto"/>
                <w:sz w:val="21"/>
                <w:szCs w:val="21"/>
                <w:highlight w:val="none"/>
              </w:rPr>
            </w:pPr>
            <w:bookmarkStart w:id="536" w:name="_Toc375125039"/>
            <w:bookmarkStart w:id="537" w:name="_Toc443640379"/>
            <w:bookmarkStart w:id="538" w:name="_Toc443639915"/>
            <w:bookmarkStart w:id="539" w:name="_Toc443640469"/>
            <w:bookmarkStart w:id="540" w:name="_Toc363558513"/>
            <w:r>
              <w:rPr>
                <w:rFonts w:hint="eastAsia" w:ascii="宋体" w:hAnsi="宋体" w:eastAsia="宋体" w:cs="宋体"/>
                <w:b/>
                <w:bCs/>
                <w:color w:val="auto"/>
                <w:sz w:val="21"/>
                <w:szCs w:val="21"/>
                <w:highlight w:val="none"/>
              </w:rPr>
              <w:t>名称</w:t>
            </w:r>
            <w:bookmarkEnd w:id="536"/>
            <w:bookmarkEnd w:id="537"/>
            <w:bookmarkEnd w:id="538"/>
            <w:bookmarkEnd w:id="539"/>
            <w:bookmarkEnd w:id="540"/>
          </w:p>
        </w:tc>
        <w:tc>
          <w:tcPr>
            <w:tcW w:w="6136" w:type="dxa"/>
            <w:vAlign w:val="center"/>
          </w:tcPr>
          <w:p w14:paraId="79371A09">
            <w:pPr>
              <w:keepLines w:val="0"/>
              <w:pageBreakBefore w:val="0"/>
              <w:kinsoku/>
              <w:bidi w:val="0"/>
              <w:spacing w:line="360" w:lineRule="auto"/>
              <w:jc w:val="center"/>
              <w:rPr>
                <w:rFonts w:hint="eastAsia" w:ascii="宋体" w:hAnsi="宋体" w:eastAsia="宋体" w:cs="宋体"/>
                <w:b/>
                <w:bCs/>
                <w:color w:val="auto"/>
                <w:sz w:val="21"/>
                <w:szCs w:val="21"/>
                <w:highlight w:val="none"/>
              </w:rPr>
            </w:pPr>
            <w:bookmarkStart w:id="541" w:name="_Toc375125040"/>
            <w:bookmarkStart w:id="542" w:name="_Toc363558514"/>
            <w:bookmarkStart w:id="543" w:name="_Toc443640470"/>
            <w:bookmarkStart w:id="544" w:name="_Toc443639916"/>
            <w:bookmarkStart w:id="545" w:name="_Toc443640380"/>
            <w:r>
              <w:rPr>
                <w:rFonts w:hint="eastAsia" w:ascii="宋体" w:hAnsi="宋体" w:eastAsia="宋体" w:cs="宋体"/>
                <w:b/>
                <w:bCs/>
                <w:color w:val="auto"/>
                <w:sz w:val="21"/>
                <w:szCs w:val="21"/>
                <w:highlight w:val="none"/>
              </w:rPr>
              <w:t>内容</w:t>
            </w:r>
            <w:bookmarkEnd w:id="541"/>
            <w:bookmarkEnd w:id="542"/>
            <w:bookmarkEnd w:id="543"/>
            <w:bookmarkEnd w:id="544"/>
            <w:bookmarkEnd w:id="545"/>
          </w:p>
        </w:tc>
      </w:tr>
      <w:tr w14:paraId="02621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682" w:type="dxa"/>
            <w:vAlign w:val="center"/>
          </w:tcPr>
          <w:p w14:paraId="26348E87">
            <w:pPr>
              <w:keepLines w:val="0"/>
              <w:pageBreakBefore w:val="0"/>
              <w:kinsoku/>
              <w:bidi w:val="0"/>
              <w:spacing w:line="360" w:lineRule="auto"/>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p>
        </w:tc>
        <w:tc>
          <w:tcPr>
            <w:tcW w:w="1921" w:type="dxa"/>
            <w:vAlign w:val="center"/>
          </w:tcPr>
          <w:p w14:paraId="282FDB4E">
            <w:pPr>
              <w:keepLines w:val="0"/>
              <w:pageBreakBefore w:val="0"/>
              <w:kinsoku/>
              <w:bidi w:val="0"/>
              <w:spacing w:line="360" w:lineRule="auto"/>
              <w:jc w:val="center"/>
              <w:rPr>
                <w:rFonts w:hint="eastAsia" w:ascii="宋体" w:hAnsi="宋体" w:eastAsia="宋体" w:cs="宋体"/>
                <w:b/>
                <w:bCs/>
                <w:color w:val="auto"/>
                <w:sz w:val="21"/>
                <w:szCs w:val="21"/>
                <w:highlight w:val="none"/>
              </w:rPr>
            </w:pPr>
            <w:bookmarkStart w:id="546" w:name="_Toc443640476"/>
            <w:bookmarkStart w:id="547" w:name="_Toc443640386"/>
            <w:bookmarkStart w:id="548" w:name="_Toc443639922"/>
            <w:bookmarkStart w:id="549" w:name="_Toc363558520"/>
            <w:bookmarkStart w:id="550" w:name="_Toc375125046"/>
            <w:r>
              <w:rPr>
                <w:rFonts w:hint="eastAsia" w:ascii="宋体" w:hAnsi="宋体" w:eastAsia="宋体" w:cs="宋体"/>
                <w:b/>
                <w:bCs/>
                <w:color w:val="auto"/>
                <w:sz w:val="21"/>
                <w:szCs w:val="21"/>
                <w:highlight w:val="none"/>
              </w:rPr>
              <w:t>第一次报价</w:t>
            </w:r>
            <w:bookmarkEnd w:id="546"/>
            <w:bookmarkEnd w:id="547"/>
            <w:bookmarkEnd w:id="548"/>
            <w:bookmarkEnd w:id="549"/>
            <w:bookmarkEnd w:id="550"/>
          </w:p>
        </w:tc>
        <w:tc>
          <w:tcPr>
            <w:tcW w:w="6136" w:type="dxa"/>
            <w:vAlign w:val="center"/>
          </w:tcPr>
          <w:p w14:paraId="43473C00">
            <w:pPr>
              <w:keepLines w:val="0"/>
              <w:pageBreakBefore w:val="0"/>
              <w:kinsoku/>
              <w:bidi w:val="0"/>
              <w:spacing w:line="360" w:lineRule="auto"/>
              <w:jc w:val="both"/>
              <w:rPr>
                <w:rFonts w:hint="eastAsia" w:ascii="宋体" w:hAnsi="宋体" w:eastAsia="宋体" w:cs="宋体"/>
                <w:i w:val="0"/>
                <w:color w:val="auto"/>
                <w:sz w:val="21"/>
                <w:szCs w:val="21"/>
                <w:highlight w:val="none"/>
                <w:u w:val="none"/>
                <w:lang w:val="en-US" w:eastAsia="zh-CN"/>
              </w:rPr>
            </w:pPr>
          </w:p>
          <w:p w14:paraId="24D22B77">
            <w:pPr>
              <w:keepLines w:val="0"/>
              <w:pageBreakBefore w:val="0"/>
              <w:kinsoku/>
              <w:bidi w:val="0"/>
              <w:spacing w:line="360" w:lineRule="auto"/>
              <w:jc w:val="both"/>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大写：</w:t>
            </w:r>
            <w:r>
              <w:rPr>
                <w:rFonts w:hint="eastAsia" w:ascii="宋体" w:hAnsi="宋体" w:eastAsia="宋体" w:cs="宋体"/>
                <w:color w:val="auto"/>
                <w:sz w:val="21"/>
                <w:szCs w:val="21"/>
                <w:highlight w:val="none"/>
                <w:u w:val="single"/>
                <w:lang w:val="en-US" w:eastAsia="zh-CN"/>
              </w:rPr>
              <w:t xml:space="preserve">                              </w:t>
            </w:r>
          </w:p>
          <w:p w14:paraId="4D7F5E33">
            <w:pPr>
              <w:keepLines w:val="0"/>
              <w:pageBreakBefore w:val="0"/>
              <w:kinsoku/>
              <w:bidi w:val="0"/>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sz w:val="21"/>
                <w:szCs w:val="21"/>
                <w:highlight w:val="none"/>
                <w:u w:val="none"/>
                <w:lang w:val="en-US" w:eastAsia="zh-CN"/>
              </w:rPr>
              <w:t>小写：</w:t>
            </w:r>
            <w:r>
              <w:rPr>
                <w:rFonts w:hint="eastAsia" w:ascii="宋体" w:hAnsi="宋体" w:eastAsia="宋体" w:cs="宋体"/>
                <w:color w:val="auto"/>
                <w:sz w:val="21"/>
                <w:szCs w:val="21"/>
                <w:highlight w:val="none"/>
                <w:u w:val="single"/>
                <w:lang w:val="en-US" w:eastAsia="zh-CN"/>
              </w:rPr>
              <w:t xml:space="preserve">                              </w:t>
            </w:r>
          </w:p>
        </w:tc>
      </w:tr>
      <w:tr w14:paraId="14363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82" w:type="dxa"/>
            <w:vAlign w:val="center"/>
          </w:tcPr>
          <w:p w14:paraId="2620A81E">
            <w:pPr>
              <w:keepLines w:val="0"/>
              <w:pageBreakBefore w:val="0"/>
              <w:kinsoku/>
              <w:bidi w:val="0"/>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1921" w:type="dxa"/>
            <w:vAlign w:val="center"/>
          </w:tcPr>
          <w:p w14:paraId="0C0793DA">
            <w:pPr>
              <w:keepLines w:val="0"/>
              <w:pageBreakBefore w:val="0"/>
              <w:kinsoku/>
              <w:bidi w:val="0"/>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工期</w:t>
            </w:r>
          </w:p>
        </w:tc>
        <w:tc>
          <w:tcPr>
            <w:tcW w:w="6136" w:type="dxa"/>
            <w:vAlign w:val="center"/>
          </w:tcPr>
          <w:p w14:paraId="4448D2E0">
            <w:pPr>
              <w:keepLines w:val="0"/>
              <w:pageBreakBefore w:val="0"/>
              <w:kinsoku/>
              <w:bidi w:val="0"/>
              <w:spacing w:line="360" w:lineRule="auto"/>
              <w:jc w:val="center"/>
              <w:rPr>
                <w:rFonts w:hint="eastAsia" w:ascii="宋体" w:hAnsi="宋体" w:eastAsia="宋体" w:cs="宋体"/>
                <w:b/>
                <w:bCs/>
                <w:color w:val="auto"/>
                <w:sz w:val="21"/>
                <w:szCs w:val="21"/>
                <w:highlight w:val="none"/>
              </w:rPr>
            </w:pPr>
          </w:p>
        </w:tc>
      </w:tr>
      <w:tr w14:paraId="08986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682" w:type="dxa"/>
            <w:vAlign w:val="center"/>
          </w:tcPr>
          <w:p w14:paraId="1ED6B2A5">
            <w:pPr>
              <w:keepLines w:val="0"/>
              <w:pageBreakBefore w:val="0"/>
              <w:kinsoku/>
              <w:bidi w:val="0"/>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4"/>
                <w:szCs w:val="24"/>
                <w:highlight w:val="none"/>
                <w:lang w:val="en-US" w:eastAsia="zh-CN"/>
              </w:rPr>
              <w:t>3</w:t>
            </w:r>
          </w:p>
        </w:tc>
        <w:tc>
          <w:tcPr>
            <w:tcW w:w="1921" w:type="dxa"/>
            <w:vAlign w:val="center"/>
          </w:tcPr>
          <w:p w14:paraId="33892C41">
            <w:pPr>
              <w:keepLines w:val="0"/>
              <w:pageBreakBefore w:val="0"/>
              <w:kinsoku/>
              <w:wordWrap/>
              <w:bidi w:val="0"/>
              <w:spacing w:line="42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项目经理</w:t>
            </w:r>
          </w:p>
        </w:tc>
        <w:tc>
          <w:tcPr>
            <w:tcW w:w="6136" w:type="dxa"/>
            <w:vAlign w:val="center"/>
          </w:tcPr>
          <w:p w14:paraId="790E5B42">
            <w:pPr>
              <w:keepLines w:val="0"/>
              <w:pageBreakBefore w:val="0"/>
              <w:kinsoku/>
              <w:bidi w:val="0"/>
              <w:spacing w:line="36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姓名：</w:t>
            </w:r>
            <w:r>
              <w:rPr>
                <w:rFonts w:hint="eastAsia" w:ascii="宋体" w:hAnsi="宋体" w:eastAsia="宋体" w:cs="宋体"/>
                <w:color w:val="auto"/>
                <w:sz w:val="21"/>
                <w:szCs w:val="21"/>
                <w:highlight w:val="none"/>
                <w:u w:val="single"/>
                <w:lang w:val="en-US" w:eastAsia="zh-CN"/>
              </w:rPr>
              <w:t xml:space="preserve">                              </w:t>
            </w:r>
          </w:p>
          <w:p w14:paraId="03A40534">
            <w:pPr>
              <w:keepLines w:val="0"/>
              <w:pageBreakBefore w:val="0"/>
              <w:kinsoku/>
              <w:bidi w:val="0"/>
              <w:spacing w:line="36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专业：</w:t>
            </w:r>
            <w:r>
              <w:rPr>
                <w:rFonts w:hint="eastAsia" w:ascii="宋体" w:hAnsi="宋体" w:eastAsia="宋体" w:cs="宋体"/>
                <w:color w:val="auto"/>
                <w:sz w:val="21"/>
                <w:szCs w:val="21"/>
                <w:highlight w:val="none"/>
                <w:u w:val="single"/>
                <w:lang w:val="en-US" w:eastAsia="zh-CN"/>
              </w:rPr>
              <w:t xml:space="preserve">                              </w:t>
            </w:r>
          </w:p>
          <w:p w14:paraId="7480201D">
            <w:pPr>
              <w:keepLines w:val="0"/>
              <w:pageBreakBefore w:val="0"/>
              <w:kinsoku/>
              <w:bidi w:val="0"/>
              <w:spacing w:line="360" w:lineRule="auto"/>
              <w:jc w:val="both"/>
              <w:rPr>
                <w:rFonts w:hint="eastAsia" w:ascii="宋体" w:hAnsi="宋体" w:eastAsia="宋体" w:cs="宋体"/>
                <w:b/>
                <w:bCs/>
                <w:color w:val="auto"/>
                <w:sz w:val="21"/>
                <w:szCs w:val="21"/>
                <w:highlight w:val="none"/>
              </w:rPr>
            </w:pPr>
            <w:r>
              <w:rPr>
                <w:rFonts w:hint="eastAsia" w:ascii="宋体" w:hAnsi="宋体" w:eastAsia="宋体" w:cs="宋体"/>
                <w:b w:val="0"/>
                <w:bCs w:val="0"/>
                <w:color w:val="auto"/>
                <w:sz w:val="21"/>
                <w:szCs w:val="21"/>
                <w:highlight w:val="none"/>
              </w:rPr>
              <w:t>证号</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 xml:space="preserve">                              </w:t>
            </w:r>
          </w:p>
        </w:tc>
      </w:tr>
      <w:tr w14:paraId="28FDD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82" w:type="dxa"/>
            <w:vAlign w:val="center"/>
          </w:tcPr>
          <w:p w14:paraId="50D870F2">
            <w:pPr>
              <w:keepLines w:val="0"/>
              <w:pageBreakBefore w:val="0"/>
              <w:kinsoku/>
              <w:bidi w:val="0"/>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p>
        </w:tc>
        <w:tc>
          <w:tcPr>
            <w:tcW w:w="1921" w:type="dxa"/>
            <w:vAlign w:val="center"/>
          </w:tcPr>
          <w:p w14:paraId="30B6970E">
            <w:pPr>
              <w:keepLines w:val="0"/>
              <w:pageBreakBefore w:val="0"/>
              <w:kinsoku/>
              <w:bidi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质量保修期</w:t>
            </w:r>
          </w:p>
        </w:tc>
        <w:tc>
          <w:tcPr>
            <w:tcW w:w="6136" w:type="dxa"/>
            <w:vAlign w:val="center"/>
          </w:tcPr>
          <w:p w14:paraId="5C63F781">
            <w:pPr>
              <w:keepLines w:val="0"/>
              <w:pageBreakBefore w:val="0"/>
              <w:kinsoku/>
              <w:bidi w:val="0"/>
              <w:spacing w:line="360" w:lineRule="auto"/>
              <w:jc w:val="center"/>
              <w:rPr>
                <w:rFonts w:hint="eastAsia" w:ascii="宋体" w:hAnsi="宋体" w:eastAsia="宋体" w:cs="宋体"/>
                <w:b/>
                <w:bCs/>
                <w:color w:val="auto"/>
                <w:sz w:val="21"/>
                <w:szCs w:val="21"/>
                <w:highlight w:val="none"/>
              </w:rPr>
            </w:pPr>
          </w:p>
        </w:tc>
      </w:tr>
      <w:tr w14:paraId="6A64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82" w:type="dxa"/>
            <w:vAlign w:val="center"/>
          </w:tcPr>
          <w:p w14:paraId="16ECCEA2">
            <w:pPr>
              <w:keepLines w:val="0"/>
              <w:pageBreakBefore w:val="0"/>
              <w:kinsoku/>
              <w:bidi w:val="0"/>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1921" w:type="dxa"/>
            <w:vAlign w:val="center"/>
          </w:tcPr>
          <w:p w14:paraId="6D6FA2D6">
            <w:pPr>
              <w:keepLines w:val="0"/>
              <w:pageBreakBefore w:val="0"/>
              <w:kinsoku/>
              <w:bidi w:val="0"/>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质量标准</w:t>
            </w:r>
          </w:p>
        </w:tc>
        <w:tc>
          <w:tcPr>
            <w:tcW w:w="6136" w:type="dxa"/>
            <w:vAlign w:val="center"/>
          </w:tcPr>
          <w:p w14:paraId="1E03B983">
            <w:pPr>
              <w:keepLines w:val="0"/>
              <w:pageBreakBefore w:val="0"/>
              <w:kinsoku/>
              <w:bidi w:val="0"/>
              <w:spacing w:line="360" w:lineRule="auto"/>
              <w:jc w:val="center"/>
              <w:rPr>
                <w:rFonts w:hint="eastAsia" w:ascii="宋体" w:hAnsi="宋体" w:eastAsia="宋体" w:cs="宋体"/>
                <w:b/>
                <w:bCs/>
                <w:color w:val="auto"/>
                <w:sz w:val="21"/>
                <w:szCs w:val="21"/>
                <w:highlight w:val="none"/>
              </w:rPr>
            </w:pPr>
          </w:p>
        </w:tc>
      </w:tr>
      <w:tr w14:paraId="0F7E5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682" w:type="dxa"/>
            <w:vAlign w:val="center"/>
          </w:tcPr>
          <w:p w14:paraId="6308243E">
            <w:pPr>
              <w:keepLines w:val="0"/>
              <w:pageBreakBefore w:val="0"/>
              <w:kinsoku/>
              <w:bidi w:val="0"/>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p>
        </w:tc>
        <w:tc>
          <w:tcPr>
            <w:tcW w:w="1921" w:type="dxa"/>
            <w:vAlign w:val="center"/>
          </w:tcPr>
          <w:p w14:paraId="581E1ED3">
            <w:pPr>
              <w:keepLines w:val="0"/>
              <w:pageBreakBefore w:val="0"/>
              <w:kinsoku/>
              <w:bidi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c>
          <w:tcPr>
            <w:tcW w:w="6136" w:type="dxa"/>
            <w:vAlign w:val="center"/>
          </w:tcPr>
          <w:p w14:paraId="70A8F10C">
            <w:pPr>
              <w:keepLines w:val="0"/>
              <w:pageBreakBefore w:val="0"/>
              <w:kinsoku/>
              <w:bidi w:val="0"/>
              <w:spacing w:line="360" w:lineRule="auto"/>
              <w:jc w:val="center"/>
              <w:rPr>
                <w:rFonts w:hint="eastAsia" w:ascii="宋体" w:hAnsi="宋体" w:eastAsia="宋体" w:cs="宋体"/>
                <w:b/>
                <w:bCs/>
                <w:color w:val="auto"/>
                <w:sz w:val="21"/>
                <w:szCs w:val="21"/>
                <w:highlight w:val="none"/>
              </w:rPr>
            </w:pPr>
          </w:p>
        </w:tc>
      </w:tr>
    </w:tbl>
    <w:p w14:paraId="7EEDB626">
      <w:pPr>
        <w:keepNext w:val="0"/>
        <w:keepLines w:val="0"/>
        <w:pageBreakBefore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val="0"/>
          <w:bCs w:val="0"/>
          <w:color w:val="auto"/>
          <w:sz w:val="21"/>
          <w:szCs w:val="21"/>
          <w:highlight w:val="none"/>
        </w:rPr>
      </w:pPr>
    </w:p>
    <w:p w14:paraId="3A39C018">
      <w:pPr>
        <w:keepNext w:val="0"/>
        <w:keepLines w:val="0"/>
        <w:pageBreakBefore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注：</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报价应按磋商总价填写，最多保留小数点后两位，大小写不一致时，以大写为准</w:t>
      </w:r>
      <w:r>
        <w:rPr>
          <w:rFonts w:hint="eastAsia" w:ascii="宋体" w:hAnsi="宋体" w:eastAsia="宋体" w:cs="宋体"/>
          <w:b w:val="0"/>
          <w:bCs w:val="0"/>
          <w:color w:val="auto"/>
          <w:sz w:val="21"/>
          <w:szCs w:val="21"/>
          <w:highlight w:val="none"/>
          <w:lang w:eastAsia="zh-CN"/>
        </w:rPr>
        <w:t>。</w:t>
      </w:r>
    </w:p>
    <w:p w14:paraId="38B4FF4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各供应商必须严格按照上表要求填写。</w:t>
      </w:r>
    </w:p>
    <w:p w14:paraId="64429EF0">
      <w:pPr>
        <w:keepLines w:val="0"/>
        <w:pageBreakBefore w:val="0"/>
        <w:kinsoku/>
        <w:autoSpaceDE w:val="0"/>
        <w:autoSpaceDN w:val="0"/>
        <w:bidi w:val="0"/>
        <w:adjustRightInd w:val="0"/>
        <w:snapToGrid w:val="0"/>
        <w:spacing w:line="360" w:lineRule="auto"/>
        <w:rPr>
          <w:rFonts w:hint="eastAsia" w:ascii="宋体" w:hAnsi="宋体" w:eastAsia="宋体" w:cs="宋体"/>
          <w:b/>
          <w:bCs/>
          <w:color w:val="auto"/>
          <w:sz w:val="21"/>
          <w:szCs w:val="21"/>
          <w:highlight w:val="none"/>
        </w:rPr>
      </w:pPr>
    </w:p>
    <w:p w14:paraId="3217BB24">
      <w:pPr>
        <w:keepLines w:val="0"/>
        <w:pageBreakBefore w:val="0"/>
        <w:kinsoku/>
        <w:autoSpaceDE w:val="0"/>
        <w:autoSpaceDN w:val="0"/>
        <w:bidi w:val="0"/>
        <w:adjustRightInd w:val="0"/>
        <w:snapToGrid w:val="0"/>
        <w:spacing w:line="360" w:lineRule="auto"/>
        <w:rPr>
          <w:rFonts w:hint="eastAsia" w:ascii="宋体" w:hAnsi="宋体" w:eastAsia="宋体" w:cs="宋体"/>
          <w:b/>
          <w:bCs/>
          <w:color w:val="auto"/>
          <w:sz w:val="21"/>
          <w:szCs w:val="21"/>
          <w:highlight w:val="none"/>
        </w:rPr>
      </w:pPr>
    </w:p>
    <w:p w14:paraId="742F9C89">
      <w:pPr>
        <w:keepLines w:val="0"/>
        <w:pageBreakBefore w:val="0"/>
        <w:kinsoku/>
        <w:autoSpaceDE w:val="0"/>
        <w:autoSpaceDN w:val="0"/>
        <w:bidi w:val="0"/>
        <w:adjustRightInd w:val="0"/>
        <w:snapToGrid w:val="0"/>
        <w:spacing w:line="360" w:lineRule="auto"/>
        <w:ind w:firstLine="211" w:firstLineChars="100"/>
        <w:rPr>
          <w:rFonts w:hint="eastAsia" w:ascii="宋体" w:hAnsi="宋体" w:eastAsia="宋体" w:cs="宋体"/>
          <w:b/>
          <w:color w:val="auto"/>
          <w:sz w:val="21"/>
          <w:szCs w:val="21"/>
          <w:highlight w:val="none"/>
          <w:lang w:val="zh-CN"/>
        </w:rPr>
      </w:pPr>
    </w:p>
    <w:p w14:paraId="1DAEB75C">
      <w:pPr>
        <w:keepLines w:val="0"/>
        <w:pageBreakBefore w:val="0"/>
        <w:kinsoku/>
        <w:autoSpaceDE w:val="0"/>
        <w:autoSpaceDN w:val="0"/>
        <w:bidi w:val="0"/>
        <w:adjustRightInd w:val="0"/>
        <w:snapToGrid w:val="0"/>
        <w:spacing w:line="360" w:lineRule="auto"/>
        <w:ind w:firstLine="210" w:firstLine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rPr>
        <w:t>供应商名称（单位公章）：</w:t>
      </w:r>
    </w:p>
    <w:p w14:paraId="2EFD1286">
      <w:pPr>
        <w:keepLines w:val="0"/>
        <w:pageBreakBefore w:val="0"/>
        <w:kinsoku/>
        <w:autoSpaceDE w:val="0"/>
        <w:autoSpaceDN w:val="0"/>
        <w:bidi w:val="0"/>
        <w:adjustRightInd w:val="0"/>
        <w:snapToGrid w:val="0"/>
        <w:spacing w:line="360" w:lineRule="auto"/>
        <w:ind w:firstLine="210" w:firstLineChars="1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法定代表人或其授权代表</w:t>
      </w:r>
      <w:r>
        <w:rPr>
          <w:rFonts w:hint="eastAsia" w:ascii="宋体" w:hAnsi="宋体" w:eastAsia="宋体" w:cs="宋体"/>
          <w:color w:val="auto"/>
          <w:sz w:val="21"/>
          <w:szCs w:val="21"/>
          <w:highlight w:val="none"/>
          <w:lang w:val="zh-CN"/>
        </w:rPr>
        <w:t>（签名或盖章）：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日</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期：</w:t>
      </w:r>
    </w:p>
    <w:p w14:paraId="78F3619E">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br w:type="page"/>
      </w:r>
    </w:p>
    <w:p w14:paraId="337E05D6">
      <w:pPr>
        <w:pStyle w:val="2"/>
        <w:keepLines w:val="0"/>
        <w:pageBreakBefore w:val="0"/>
        <w:numPr>
          <w:ilvl w:val="0"/>
          <w:numId w:val="10"/>
        </w:numPr>
        <w:kinsoku/>
        <w:bidi w:val="0"/>
        <w:spacing w:line="360" w:lineRule="auto"/>
        <w:jc w:val="center"/>
        <w:rPr>
          <w:rFonts w:hint="eastAsia" w:ascii="宋体" w:hAnsi="宋体" w:eastAsia="宋体" w:cs="宋体"/>
          <w:b/>
          <w:bCs/>
          <w:color w:val="auto"/>
          <w:sz w:val="28"/>
          <w:szCs w:val="28"/>
          <w:highlight w:val="none"/>
          <w:lang w:val="zh-CN"/>
        </w:rPr>
      </w:pPr>
      <w:bookmarkStart w:id="551" w:name="_Toc20309"/>
      <w:bookmarkStart w:id="552" w:name="_Toc44955246"/>
      <w:bookmarkStart w:id="553" w:name="_Toc18045"/>
      <w:r>
        <w:rPr>
          <w:rFonts w:hint="eastAsia" w:ascii="宋体" w:hAnsi="宋体" w:eastAsia="宋体" w:cs="宋体"/>
          <w:b/>
          <w:bCs/>
          <w:color w:val="auto"/>
          <w:sz w:val="28"/>
          <w:szCs w:val="28"/>
          <w:highlight w:val="none"/>
          <w:lang w:val="zh-CN"/>
        </w:rPr>
        <w:t>已标价工程量清单</w:t>
      </w:r>
      <w:bookmarkEnd w:id="551"/>
      <w:bookmarkEnd w:id="552"/>
      <w:bookmarkEnd w:id="553"/>
    </w:p>
    <w:p w14:paraId="23A2913F">
      <w:pPr>
        <w:numPr>
          <w:ilvl w:val="0"/>
          <w:numId w:val="0"/>
        </w:numPr>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rPr>
        <w:t>（</w:t>
      </w:r>
      <w:r>
        <w:rPr>
          <w:rFonts w:hint="eastAsia" w:ascii="宋体" w:hAnsi="宋体" w:eastAsia="宋体" w:cs="宋体"/>
          <w:b/>
          <w:bCs/>
          <w:color w:val="auto"/>
          <w:kern w:val="0"/>
          <w:sz w:val="21"/>
          <w:szCs w:val="21"/>
        </w:rPr>
        <w:t>格式以广联达软件格式为准）</w:t>
      </w:r>
    </w:p>
    <w:p w14:paraId="313B7A4A">
      <w:pPr>
        <w:spacing w:line="440" w:lineRule="exact"/>
        <w:jc w:val="center"/>
        <w:rPr>
          <w:rFonts w:hint="eastAsia" w:ascii="宋体" w:hAnsi="宋体" w:eastAsia="宋体" w:cs="宋体"/>
          <w:b/>
          <w:bCs/>
          <w:color w:val="auto"/>
          <w:kern w:val="0"/>
          <w:sz w:val="21"/>
          <w:szCs w:val="21"/>
        </w:rPr>
      </w:pPr>
      <w:r>
        <w:rPr>
          <w:rFonts w:hint="eastAsia" w:ascii="宋体" w:hAnsi="宋体" w:eastAsia="宋体" w:cs="宋体"/>
          <w:b/>
          <w:bCs/>
          <w:color w:val="auto"/>
          <w:sz w:val="21"/>
          <w:szCs w:val="21"/>
          <w:highlight w:val="none"/>
          <w:lang w:val="zh-CN"/>
        </w:rPr>
        <w:br w:type="page"/>
      </w:r>
    </w:p>
    <w:p w14:paraId="2867D5CC">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bCs/>
          <w:color w:val="auto"/>
          <w:sz w:val="28"/>
          <w:szCs w:val="28"/>
          <w:highlight w:val="none"/>
          <w:lang w:val="en-US" w:eastAsia="zh-CN"/>
        </w:rPr>
      </w:pPr>
      <w:bookmarkStart w:id="554" w:name="_Toc65937618"/>
      <w:bookmarkStart w:id="555" w:name="_Toc46500226"/>
      <w:r>
        <w:rPr>
          <w:rFonts w:hint="eastAsia" w:ascii="宋体" w:hAnsi="宋体" w:eastAsia="宋体" w:cs="宋体"/>
          <w:b/>
          <w:bCs/>
          <w:color w:val="auto"/>
          <w:sz w:val="28"/>
          <w:szCs w:val="28"/>
          <w:highlight w:val="none"/>
          <w:lang w:val="en-US" w:eastAsia="zh-CN"/>
        </w:rPr>
        <w:t>第四部分</w:t>
      </w:r>
      <w:bookmarkStart w:id="556" w:name="_Toc11411"/>
      <w:r>
        <w:rPr>
          <w:rFonts w:hint="eastAsia" w:ascii="宋体" w:hAnsi="宋体" w:eastAsia="宋体" w:cs="宋体"/>
          <w:b/>
          <w:bCs/>
          <w:color w:val="auto"/>
          <w:sz w:val="28"/>
          <w:szCs w:val="28"/>
          <w:highlight w:val="none"/>
          <w:lang w:val="en-US" w:eastAsia="zh-CN"/>
        </w:rPr>
        <w:t xml:space="preserve"> </w:t>
      </w:r>
      <w:bookmarkEnd w:id="554"/>
      <w:bookmarkEnd w:id="555"/>
      <w:bookmarkEnd w:id="556"/>
      <w:r>
        <w:rPr>
          <w:rFonts w:hint="eastAsia" w:ascii="宋体" w:hAnsi="宋体" w:eastAsia="宋体" w:cs="宋体"/>
          <w:b/>
          <w:bCs/>
          <w:color w:val="auto"/>
          <w:sz w:val="28"/>
          <w:szCs w:val="28"/>
          <w:highlight w:val="none"/>
          <w:lang w:val="en-US" w:eastAsia="zh-CN"/>
        </w:rPr>
        <w:t>技术/商务条款偏差表</w:t>
      </w:r>
    </w:p>
    <w:tbl>
      <w:tblPr>
        <w:tblStyle w:val="37"/>
        <w:tblW w:w="96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66"/>
        <w:gridCol w:w="3232"/>
        <w:gridCol w:w="3266"/>
        <w:gridCol w:w="1226"/>
        <w:gridCol w:w="1167"/>
      </w:tblGrid>
      <w:tr w14:paraId="7E876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084" w:hRule="atLeast"/>
          <w:jc w:val="center"/>
        </w:trPr>
        <w:tc>
          <w:tcPr>
            <w:tcW w:w="766" w:type="dxa"/>
            <w:tcBorders>
              <w:top w:val="single" w:color="auto" w:sz="4" w:space="0"/>
              <w:left w:val="single" w:color="auto" w:sz="4" w:space="0"/>
              <w:bottom w:val="single" w:color="auto" w:sz="4" w:space="0"/>
            </w:tcBorders>
            <w:noWrap w:val="0"/>
            <w:vAlign w:val="center"/>
          </w:tcPr>
          <w:p w14:paraId="17CD71B9">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232" w:type="dxa"/>
            <w:noWrap w:val="0"/>
            <w:vAlign w:val="center"/>
          </w:tcPr>
          <w:p w14:paraId="1BAC373F">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磋商文件条款明细</w:t>
            </w:r>
          </w:p>
        </w:tc>
        <w:tc>
          <w:tcPr>
            <w:tcW w:w="3266" w:type="dxa"/>
            <w:noWrap w:val="0"/>
            <w:vAlign w:val="center"/>
          </w:tcPr>
          <w:p w14:paraId="5F5FA8E5">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响应文件实际响应</w:t>
            </w:r>
          </w:p>
        </w:tc>
        <w:tc>
          <w:tcPr>
            <w:tcW w:w="1226" w:type="dxa"/>
            <w:noWrap w:val="0"/>
            <w:vAlign w:val="center"/>
          </w:tcPr>
          <w:p w14:paraId="5D2E3F32">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w:t>
            </w:r>
          </w:p>
          <w:p w14:paraId="57976C6B">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c>
          <w:tcPr>
            <w:tcW w:w="1167" w:type="dxa"/>
            <w:noWrap w:val="0"/>
            <w:vAlign w:val="center"/>
          </w:tcPr>
          <w:p w14:paraId="40971B8C">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备注</w:t>
            </w:r>
          </w:p>
        </w:tc>
      </w:tr>
      <w:tr w14:paraId="6958F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47" w:hRule="atLeast"/>
          <w:jc w:val="center"/>
        </w:trPr>
        <w:tc>
          <w:tcPr>
            <w:tcW w:w="9657" w:type="dxa"/>
            <w:gridSpan w:val="5"/>
            <w:tcBorders>
              <w:top w:val="single" w:color="auto" w:sz="4" w:space="0"/>
              <w:left w:val="single" w:color="auto" w:sz="4" w:space="0"/>
              <w:bottom w:val="single" w:color="auto" w:sz="4" w:space="0"/>
            </w:tcBorders>
            <w:noWrap w:val="0"/>
            <w:vAlign w:val="center"/>
          </w:tcPr>
          <w:p w14:paraId="4B27ABA6">
            <w:pPr>
              <w:keepNext w:val="0"/>
              <w:keepLines w:val="0"/>
              <w:pageBreakBefore w:val="0"/>
              <w:widowControl w:val="0"/>
              <w:kinsoku/>
              <w:wordWrap/>
              <w:overflowPunct/>
              <w:topLinePunct w:val="0"/>
              <w:bidi w:val="0"/>
              <w:spacing w:line="420" w:lineRule="exact"/>
              <w:jc w:val="both"/>
              <w:textAlignment w:val="auto"/>
              <w:rPr>
                <w:rFonts w:hint="eastAsia" w:ascii="宋体" w:hAnsi="宋体" w:eastAsia="宋体" w:cs="宋体"/>
                <w:color w:val="auto"/>
                <w:sz w:val="21"/>
                <w:szCs w:val="21"/>
                <w:highlight w:val="yellow"/>
              </w:rPr>
            </w:pPr>
            <w:r>
              <w:rPr>
                <w:rFonts w:hint="eastAsia" w:ascii="宋体" w:hAnsi="宋体" w:cs="宋体"/>
                <w:color w:val="auto"/>
                <w:sz w:val="21"/>
                <w:szCs w:val="21"/>
                <w:highlight w:val="none"/>
                <w:lang w:val="en-US" w:eastAsia="zh-CN"/>
              </w:rPr>
              <w:t>一</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技术</w:t>
            </w:r>
            <w:r>
              <w:rPr>
                <w:rFonts w:hint="eastAsia" w:ascii="宋体" w:hAnsi="宋体" w:eastAsia="宋体" w:cs="宋体"/>
                <w:color w:val="auto"/>
                <w:sz w:val="21"/>
                <w:szCs w:val="21"/>
                <w:highlight w:val="none"/>
              </w:rPr>
              <w:t>要求偏差</w:t>
            </w:r>
          </w:p>
        </w:tc>
      </w:tr>
      <w:tr w14:paraId="003D7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42" w:hRule="atLeast"/>
          <w:jc w:val="center"/>
        </w:trPr>
        <w:tc>
          <w:tcPr>
            <w:tcW w:w="766" w:type="dxa"/>
            <w:tcBorders>
              <w:top w:val="single" w:color="auto" w:sz="4" w:space="0"/>
              <w:left w:val="single" w:color="auto" w:sz="4" w:space="0"/>
              <w:bottom w:val="single" w:color="auto" w:sz="4" w:space="0"/>
            </w:tcBorders>
            <w:noWrap w:val="0"/>
            <w:vAlign w:val="center"/>
          </w:tcPr>
          <w:p w14:paraId="67ED61F8">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yellow"/>
              </w:rPr>
            </w:pPr>
          </w:p>
        </w:tc>
        <w:tc>
          <w:tcPr>
            <w:tcW w:w="3232" w:type="dxa"/>
            <w:noWrap w:val="0"/>
            <w:vAlign w:val="top"/>
          </w:tcPr>
          <w:p w14:paraId="2458FD17">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yellow"/>
              </w:rPr>
            </w:pPr>
          </w:p>
        </w:tc>
        <w:tc>
          <w:tcPr>
            <w:tcW w:w="3266" w:type="dxa"/>
            <w:noWrap w:val="0"/>
            <w:vAlign w:val="top"/>
          </w:tcPr>
          <w:p w14:paraId="26DDE813">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yellow"/>
              </w:rPr>
            </w:pPr>
          </w:p>
        </w:tc>
        <w:tc>
          <w:tcPr>
            <w:tcW w:w="1226" w:type="dxa"/>
            <w:noWrap w:val="0"/>
            <w:vAlign w:val="top"/>
          </w:tcPr>
          <w:p w14:paraId="1920B3B3">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yellow"/>
              </w:rPr>
            </w:pPr>
          </w:p>
        </w:tc>
        <w:tc>
          <w:tcPr>
            <w:tcW w:w="1167" w:type="dxa"/>
            <w:noWrap w:val="0"/>
            <w:vAlign w:val="top"/>
          </w:tcPr>
          <w:p w14:paraId="50598E2F">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yellow"/>
              </w:rPr>
            </w:pPr>
          </w:p>
        </w:tc>
      </w:tr>
      <w:tr w14:paraId="37F77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47" w:hRule="atLeast"/>
          <w:jc w:val="center"/>
        </w:trPr>
        <w:tc>
          <w:tcPr>
            <w:tcW w:w="766" w:type="dxa"/>
            <w:tcBorders>
              <w:top w:val="single" w:color="auto" w:sz="4" w:space="0"/>
              <w:left w:val="single" w:color="auto" w:sz="4" w:space="0"/>
              <w:bottom w:val="single" w:color="auto" w:sz="4" w:space="0"/>
            </w:tcBorders>
            <w:noWrap w:val="0"/>
            <w:vAlign w:val="center"/>
          </w:tcPr>
          <w:p w14:paraId="0AD5843F">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yellow"/>
              </w:rPr>
            </w:pPr>
          </w:p>
        </w:tc>
        <w:tc>
          <w:tcPr>
            <w:tcW w:w="3232" w:type="dxa"/>
            <w:noWrap w:val="0"/>
            <w:vAlign w:val="top"/>
          </w:tcPr>
          <w:p w14:paraId="233000B0">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yellow"/>
              </w:rPr>
            </w:pPr>
          </w:p>
        </w:tc>
        <w:tc>
          <w:tcPr>
            <w:tcW w:w="3266" w:type="dxa"/>
            <w:noWrap w:val="0"/>
            <w:vAlign w:val="top"/>
          </w:tcPr>
          <w:p w14:paraId="1FD7790E">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yellow"/>
              </w:rPr>
            </w:pPr>
          </w:p>
        </w:tc>
        <w:tc>
          <w:tcPr>
            <w:tcW w:w="1226" w:type="dxa"/>
            <w:noWrap w:val="0"/>
            <w:vAlign w:val="top"/>
          </w:tcPr>
          <w:p w14:paraId="230B92AB">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yellow"/>
              </w:rPr>
            </w:pPr>
          </w:p>
        </w:tc>
        <w:tc>
          <w:tcPr>
            <w:tcW w:w="1167" w:type="dxa"/>
            <w:noWrap w:val="0"/>
            <w:vAlign w:val="top"/>
          </w:tcPr>
          <w:p w14:paraId="4C93CAC2">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yellow"/>
              </w:rPr>
            </w:pPr>
          </w:p>
        </w:tc>
      </w:tr>
      <w:tr w14:paraId="23416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47" w:hRule="atLeast"/>
          <w:jc w:val="center"/>
        </w:trPr>
        <w:tc>
          <w:tcPr>
            <w:tcW w:w="9657" w:type="dxa"/>
            <w:gridSpan w:val="5"/>
            <w:tcBorders>
              <w:top w:val="single" w:color="auto" w:sz="4" w:space="0"/>
              <w:left w:val="single" w:color="auto" w:sz="4" w:space="0"/>
              <w:bottom w:val="single" w:color="auto" w:sz="4" w:space="0"/>
            </w:tcBorders>
            <w:noWrap w:val="0"/>
            <w:vAlign w:val="center"/>
          </w:tcPr>
          <w:p w14:paraId="087BC7E9">
            <w:pPr>
              <w:keepNext w:val="0"/>
              <w:keepLines w:val="0"/>
              <w:pageBreakBefore w:val="0"/>
              <w:widowControl w:val="0"/>
              <w:kinsoku/>
              <w:wordWrap/>
              <w:overflowPunct/>
              <w:topLinePunct w:val="0"/>
              <w:bidi w:val="0"/>
              <w:spacing w:line="420" w:lineRule="exact"/>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rPr>
              <w:t>、商务要求偏差</w:t>
            </w:r>
          </w:p>
        </w:tc>
      </w:tr>
      <w:tr w14:paraId="10A54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47" w:hRule="atLeast"/>
          <w:jc w:val="center"/>
        </w:trPr>
        <w:tc>
          <w:tcPr>
            <w:tcW w:w="766" w:type="dxa"/>
            <w:tcBorders>
              <w:top w:val="single" w:color="auto" w:sz="4" w:space="0"/>
              <w:left w:val="single" w:color="auto" w:sz="4" w:space="0"/>
              <w:bottom w:val="single" w:color="auto" w:sz="4" w:space="0"/>
            </w:tcBorders>
            <w:noWrap w:val="0"/>
            <w:vAlign w:val="center"/>
          </w:tcPr>
          <w:p w14:paraId="2E1E7F37">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p>
        </w:tc>
        <w:tc>
          <w:tcPr>
            <w:tcW w:w="3232" w:type="dxa"/>
            <w:noWrap w:val="0"/>
            <w:vAlign w:val="top"/>
          </w:tcPr>
          <w:p w14:paraId="6CCCACBE">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p>
        </w:tc>
        <w:tc>
          <w:tcPr>
            <w:tcW w:w="3266" w:type="dxa"/>
            <w:noWrap w:val="0"/>
            <w:vAlign w:val="top"/>
          </w:tcPr>
          <w:p w14:paraId="0EDADEAC">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p>
        </w:tc>
        <w:tc>
          <w:tcPr>
            <w:tcW w:w="1226" w:type="dxa"/>
            <w:noWrap w:val="0"/>
            <w:vAlign w:val="top"/>
          </w:tcPr>
          <w:p w14:paraId="5C4C6086">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p>
        </w:tc>
        <w:tc>
          <w:tcPr>
            <w:tcW w:w="1167" w:type="dxa"/>
            <w:noWrap w:val="0"/>
            <w:vAlign w:val="top"/>
          </w:tcPr>
          <w:p w14:paraId="2F2D4DB4">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p>
        </w:tc>
      </w:tr>
      <w:tr w14:paraId="3E079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61" w:hRule="atLeast"/>
          <w:jc w:val="center"/>
        </w:trPr>
        <w:tc>
          <w:tcPr>
            <w:tcW w:w="766" w:type="dxa"/>
            <w:tcBorders>
              <w:top w:val="single" w:color="auto" w:sz="4" w:space="0"/>
              <w:left w:val="single" w:color="auto" w:sz="4" w:space="0"/>
              <w:bottom w:val="single" w:color="auto" w:sz="4" w:space="0"/>
            </w:tcBorders>
            <w:noWrap w:val="0"/>
            <w:vAlign w:val="center"/>
          </w:tcPr>
          <w:p w14:paraId="64C2427C">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p>
        </w:tc>
        <w:tc>
          <w:tcPr>
            <w:tcW w:w="3232" w:type="dxa"/>
            <w:noWrap w:val="0"/>
            <w:vAlign w:val="top"/>
          </w:tcPr>
          <w:p w14:paraId="4CA41F9B">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p>
        </w:tc>
        <w:tc>
          <w:tcPr>
            <w:tcW w:w="3266" w:type="dxa"/>
            <w:noWrap w:val="0"/>
            <w:vAlign w:val="top"/>
          </w:tcPr>
          <w:p w14:paraId="30035580">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p>
        </w:tc>
        <w:tc>
          <w:tcPr>
            <w:tcW w:w="1226" w:type="dxa"/>
            <w:noWrap w:val="0"/>
            <w:vAlign w:val="top"/>
          </w:tcPr>
          <w:p w14:paraId="33412D06">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p>
        </w:tc>
        <w:tc>
          <w:tcPr>
            <w:tcW w:w="1167" w:type="dxa"/>
            <w:noWrap w:val="0"/>
            <w:vAlign w:val="top"/>
          </w:tcPr>
          <w:p w14:paraId="3B3DA1C1">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p>
        </w:tc>
      </w:tr>
      <w:tr w14:paraId="473D0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2575" w:hRule="atLeast"/>
          <w:jc w:val="center"/>
        </w:trPr>
        <w:tc>
          <w:tcPr>
            <w:tcW w:w="766" w:type="dxa"/>
            <w:tcBorders>
              <w:top w:val="single" w:color="auto" w:sz="4" w:space="0"/>
              <w:left w:val="single" w:color="auto" w:sz="4" w:space="0"/>
              <w:bottom w:val="single" w:color="auto" w:sz="4" w:space="0"/>
            </w:tcBorders>
            <w:noWrap w:val="0"/>
            <w:vAlign w:val="center"/>
          </w:tcPr>
          <w:p w14:paraId="3DDD2D7D">
            <w:pPr>
              <w:keepNext w:val="0"/>
              <w:keepLines w:val="0"/>
              <w:pageBreakBefore w:val="0"/>
              <w:widowControl w:val="0"/>
              <w:kinsoku/>
              <w:wordWrap/>
              <w:overflowPunct/>
              <w:topLinePunct w:val="0"/>
              <w:bidi w:val="0"/>
              <w:spacing w:line="42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备注</w:t>
            </w:r>
          </w:p>
        </w:tc>
        <w:tc>
          <w:tcPr>
            <w:tcW w:w="8891" w:type="dxa"/>
            <w:gridSpan w:val="4"/>
            <w:tcBorders>
              <w:top w:val="single" w:color="auto" w:sz="4" w:space="0"/>
              <w:left w:val="single" w:color="auto" w:sz="4" w:space="0"/>
              <w:bottom w:val="single" w:color="auto" w:sz="4" w:space="0"/>
            </w:tcBorders>
            <w:noWrap w:val="0"/>
            <w:vAlign w:val="center"/>
          </w:tcPr>
          <w:p w14:paraId="71D654D3">
            <w:pPr>
              <w:keepNext w:val="0"/>
              <w:keepLines w:val="0"/>
              <w:pageBreakBefore w:val="0"/>
              <w:widowControl w:val="0"/>
              <w:kinsoku/>
              <w:wordWrap/>
              <w:overflowPunct/>
              <w:topLinePunct w:val="0"/>
              <w:bidi w:val="0"/>
              <w:spacing w:line="420" w:lineRule="exact"/>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1、对“第五章施工内容及技术要求、第七章合同协议书”中的技术要求/</w:t>
            </w:r>
            <w:r>
              <w:rPr>
                <w:rFonts w:hint="eastAsia" w:ascii="宋体" w:hAnsi="宋体" w:eastAsia="宋体" w:cs="宋体"/>
                <w:color w:val="auto"/>
                <w:sz w:val="21"/>
                <w:szCs w:val="21"/>
                <w:highlight w:val="none"/>
              </w:rPr>
              <w:t>商务要求</w:t>
            </w:r>
            <w:r>
              <w:rPr>
                <w:rFonts w:hint="eastAsia" w:ascii="宋体" w:hAnsi="宋体" w:cs="宋体"/>
                <w:color w:val="auto"/>
                <w:sz w:val="21"/>
                <w:szCs w:val="21"/>
                <w:highlight w:val="none"/>
                <w:lang w:val="en-US" w:eastAsia="zh-CN"/>
              </w:rPr>
              <w:t>进行响应。</w:t>
            </w:r>
          </w:p>
          <w:p w14:paraId="69F26D1A">
            <w:pPr>
              <w:keepNext w:val="0"/>
              <w:keepLines w:val="0"/>
              <w:pageBreakBefore w:val="0"/>
              <w:widowControl w:val="0"/>
              <w:kinsoku/>
              <w:wordWrap/>
              <w:overflowPunct/>
              <w:topLinePunct w:val="0"/>
              <w:bidi w:val="0"/>
              <w:spacing w:line="420" w:lineRule="exact"/>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2、响应说明按实际响应情况填写“优于”、“响应”、“不响应”。当且仅当某项条款响应说明为“响应”时，该项条款及其响应可省略不填，按表格下方声明处理。</w:t>
            </w:r>
          </w:p>
          <w:p w14:paraId="2248BBA4">
            <w:pPr>
              <w:keepNext w:val="0"/>
              <w:keepLines w:val="0"/>
              <w:pageBreakBefore w:val="0"/>
              <w:widowControl w:val="0"/>
              <w:kinsoku/>
              <w:wordWrap/>
              <w:overflowPunct/>
              <w:topLinePunct w:val="0"/>
              <w:bidi w:val="0"/>
              <w:spacing w:line="420" w:lineRule="exact"/>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3、表格空间不足以容纳响应内容时可自行扩展，也可在单元格中注明引用位置，如“见响应文件第×页××位置”。</w:t>
            </w:r>
          </w:p>
        </w:tc>
      </w:tr>
    </w:tbl>
    <w:p w14:paraId="7AA53016">
      <w:pPr>
        <w:keepNext w:val="0"/>
        <w:keepLines w:val="0"/>
        <w:pageBreakBefore w:val="0"/>
        <w:widowControl w:val="0"/>
        <w:kinsoku/>
        <w:wordWrap/>
        <w:overflowPunct/>
        <w:topLinePunct w:val="0"/>
        <w:autoSpaceDE w:val="0"/>
        <w:autoSpaceDN w:val="0"/>
        <w:bidi w:val="0"/>
        <w:adjustRightInd w:val="0"/>
        <w:snapToGrid w:val="0"/>
        <w:spacing w:line="420" w:lineRule="exact"/>
        <w:ind w:firstLine="210" w:firstLineChars="100"/>
        <w:textAlignment w:val="auto"/>
        <w:rPr>
          <w:rFonts w:hint="eastAsia" w:ascii="宋体" w:hAnsi="宋体" w:cs="宋体"/>
          <w:color w:val="auto"/>
          <w:sz w:val="21"/>
          <w:szCs w:val="21"/>
          <w:lang w:val="zh-CN"/>
        </w:rPr>
      </w:pPr>
      <w:r>
        <w:rPr>
          <w:rFonts w:hint="eastAsia" w:ascii="宋体" w:hAnsi="宋体" w:cs="宋体"/>
          <w:color w:val="auto"/>
          <w:sz w:val="21"/>
          <w:szCs w:val="21"/>
          <w:lang w:val="zh-CN"/>
        </w:rPr>
        <w:t>声明：除本偏差表所列的各项条款外，响应文件均完全响应磋商文件中的要求。</w:t>
      </w:r>
    </w:p>
    <w:p w14:paraId="634A4248">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 w:val="21"/>
          <w:szCs w:val="21"/>
          <w:lang w:val="zh-CN"/>
        </w:rPr>
      </w:pPr>
    </w:p>
    <w:p w14:paraId="7463F5F8">
      <w:pPr>
        <w:keepNext w:val="0"/>
        <w:keepLines w:val="0"/>
        <w:pageBreakBefore w:val="0"/>
        <w:widowControl w:val="0"/>
        <w:kinsoku/>
        <w:wordWrap/>
        <w:overflowPunct/>
        <w:topLinePunct w:val="0"/>
        <w:autoSpaceDE w:val="0"/>
        <w:autoSpaceDN w:val="0"/>
        <w:bidi w:val="0"/>
        <w:adjustRightInd w:val="0"/>
        <w:snapToGrid w:val="0"/>
        <w:spacing w:line="360" w:lineRule="auto"/>
        <w:ind w:firstLine="210" w:firstLineChars="1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zh-CN"/>
        </w:rPr>
        <w:t>供应商名称（单位公章）：</w:t>
      </w:r>
    </w:p>
    <w:p w14:paraId="61388203">
      <w:pPr>
        <w:keepNext w:val="0"/>
        <w:keepLines w:val="0"/>
        <w:pageBreakBefore w:val="0"/>
        <w:widowControl w:val="0"/>
        <w:kinsoku/>
        <w:wordWrap/>
        <w:overflowPunct/>
        <w:topLinePunct w:val="0"/>
        <w:autoSpaceDE w:val="0"/>
        <w:autoSpaceDN w:val="0"/>
        <w:bidi w:val="0"/>
        <w:adjustRightInd w:val="0"/>
        <w:snapToGrid w:val="0"/>
        <w:spacing w:line="360" w:lineRule="auto"/>
        <w:ind w:firstLine="210" w:firstLineChars="1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highlight w:val="none"/>
        </w:rPr>
        <w:t>法定代表人或其授权代表</w:t>
      </w:r>
      <w:r>
        <w:rPr>
          <w:rFonts w:hint="eastAsia" w:ascii="宋体" w:hAnsi="宋体" w:eastAsia="宋体" w:cs="宋体"/>
          <w:color w:val="auto"/>
          <w:sz w:val="21"/>
          <w:szCs w:val="21"/>
          <w:lang w:val="zh-CN"/>
        </w:rPr>
        <w:t>（签名或盖章）：</w:t>
      </w:r>
    </w:p>
    <w:p w14:paraId="3805B531">
      <w:pPr>
        <w:keepNext w:val="0"/>
        <w:keepLines w:val="0"/>
        <w:pageBreakBefore w:val="0"/>
        <w:widowControl w:val="0"/>
        <w:kinsoku/>
        <w:wordWrap/>
        <w:overflowPunct/>
        <w:topLinePunct w:val="0"/>
        <w:autoSpaceDE w:val="0"/>
        <w:autoSpaceDN w:val="0"/>
        <w:bidi w:val="0"/>
        <w:adjustRightInd w:val="0"/>
        <w:snapToGrid w:val="0"/>
        <w:spacing w:line="360" w:lineRule="auto"/>
        <w:ind w:firstLine="210" w:firstLineChars="100"/>
        <w:textAlignment w:val="auto"/>
        <w:rPr>
          <w:rFonts w:hint="eastAsia" w:ascii="宋体" w:hAnsi="宋体" w:eastAsia="宋体" w:cs="宋体"/>
          <w:color w:val="auto"/>
          <w:sz w:val="24"/>
          <w:szCs w:val="24"/>
          <w:lang w:val="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r>
        <w:rPr>
          <w:rFonts w:hint="eastAsia" w:ascii="宋体" w:hAnsi="宋体" w:eastAsia="宋体" w:cs="宋体"/>
          <w:color w:val="auto"/>
          <w:sz w:val="21"/>
          <w:szCs w:val="21"/>
          <w:lang w:val="zh-CN"/>
        </w:rPr>
        <w:t>日</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zh-CN"/>
        </w:rPr>
        <w:t>期：</w:t>
      </w:r>
    </w:p>
    <w:p w14:paraId="6845F879">
      <w:pPr>
        <w:pStyle w:val="2"/>
        <w:keepLines w:val="0"/>
        <w:pageBreakBefore w:val="0"/>
        <w:kinsoku/>
        <w:bidi w:val="0"/>
        <w:spacing w:line="360" w:lineRule="auto"/>
        <w:rPr>
          <w:rFonts w:hint="eastAsia" w:ascii="宋体" w:hAnsi="宋体" w:eastAsia="宋体" w:cs="宋体"/>
          <w:b/>
          <w:bCs/>
          <w:color w:val="auto"/>
          <w:sz w:val="32"/>
          <w:szCs w:val="32"/>
          <w:highlight w:val="none"/>
          <w:lang w:val="zh-CN"/>
        </w:rPr>
      </w:pPr>
      <w:bookmarkStart w:id="557" w:name="_Toc1142"/>
      <w:bookmarkStart w:id="558" w:name="_Toc22109"/>
      <w:r>
        <w:rPr>
          <w:rFonts w:hint="eastAsia" w:ascii="宋体" w:hAnsi="宋体" w:eastAsia="宋体" w:cs="宋体"/>
          <w:b/>
          <w:bCs/>
          <w:color w:val="auto"/>
          <w:sz w:val="28"/>
          <w:szCs w:val="28"/>
          <w:highlight w:val="none"/>
          <w:lang w:val="zh-CN"/>
        </w:rPr>
        <w:t>第</w:t>
      </w:r>
      <w:r>
        <w:rPr>
          <w:rFonts w:hint="eastAsia" w:ascii="宋体" w:hAnsi="宋体" w:eastAsia="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lang w:val="zh-CN"/>
        </w:rPr>
        <w:t>部分</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val="zh-CN"/>
        </w:rPr>
        <w:t>磋商方案说明</w:t>
      </w:r>
      <w:bookmarkEnd w:id="557"/>
      <w:bookmarkEnd w:id="558"/>
    </w:p>
    <w:p w14:paraId="37A6FE9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内容不限于此，供应商可补充：</w:t>
      </w:r>
    </w:p>
    <w:p w14:paraId="7F4B8D12">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确保工程质量的技术组织措施</w:t>
      </w:r>
    </w:p>
    <w:p w14:paraId="0AB4C829">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施工方案及应急预案</w:t>
      </w:r>
    </w:p>
    <w:p w14:paraId="3E466B4C">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确保安全生产的技术组织措施</w:t>
      </w:r>
    </w:p>
    <w:p w14:paraId="295BE0EC">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确保文明施工、环保施工、防尘降噪等技术保证措施</w:t>
      </w:r>
    </w:p>
    <w:p w14:paraId="3087F720">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项目部组成人员</w:t>
      </w:r>
    </w:p>
    <w:p w14:paraId="5C71D170">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确保工期的技术组织措施</w:t>
      </w:r>
    </w:p>
    <w:p w14:paraId="30F9FB69">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施工设备和材料投入计划</w:t>
      </w:r>
    </w:p>
    <w:p w14:paraId="337822C4">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新技术、新产品、新工艺、新材料应用</w:t>
      </w:r>
    </w:p>
    <w:p w14:paraId="61039BB8">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保修</w:t>
      </w:r>
      <w:r>
        <w:rPr>
          <w:rFonts w:hint="eastAsia" w:ascii="宋体" w:hAnsi="宋体" w:eastAsia="宋体" w:cs="宋体"/>
          <w:color w:val="auto"/>
          <w:sz w:val="21"/>
          <w:szCs w:val="21"/>
          <w:highlight w:val="none"/>
          <w:lang w:val="zh-CN" w:eastAsia="zh-CN"/>
        </w:rPr>
        <w:t>服务措施</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lang w:val="zh-CN" w:eastAsia="zh-CN"/>
        </w:rPr>
        <w:t>承诺</w:t>
      </w:r>
    </w:p>
    <w:p w14:paraId="322F312C">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合理化建议</w:t>
      </w:r>
    </w:p>
    <w:p w14:paraId="20CDCA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textAlignment w:val="auto"/>
        <w:rPr>
          <w:rFonts w:hint="eastAsia" w:ascii="宋体" w:hAnsi="宋体" w:eastAsia="宋体" w:cs="宋体"/>
          <w:b/>
          <w:bCs/>
          <w:color w:val="auto"/>
          <w:sz w:val="21"/>
          <w:szCs w:val="21"/>
          <w:highlight w:val="none"/>
        </w:rPr>
      </w:pPr>
    </w:p>
    <w:p w14:paraId="1ABEE9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注意：磋商方案是磋商小组对磋商响应文件进行评分的重要依据，请结合本项目竞争性磋商文件中关于采购项目要求及磋商办法进行认真编制。</w:t>
      </w:r>
    </w:p>
    <w:p w14:paraId="35D9AD02">
      <w:pPr>
        <w:pStyle w:val="48"/>
        <w:keepLines w:val="0"/>
        <w:pageBreakBefore w:val="0"/>
        <w:kinsoku/>
        <w:bidi w:val="0"/>
        <w:spacing w:line="360" w:lineRule="auto"/>
        <w:rPr>
          <w:rFonts w:hint="eastAsia" w:ascii="宋体" w:hAnsi="宋体" w:eastAsia="宋体" w:cs="宋体"/>
          <w:b/>
          <w:bCs/>
          <w:color w:val="auto"/>
          <w:sz w:val="28"/>
          <w:szCs w:val="28"/>
          <w:highlight w:val="none"/>
          <w:lang w:val="zh-CN"/>
        </w:rPr>
      </w:pPr>
    </w:p>
    <w:p w14:paraId="67660696">
      <w:pPr>
        <w:pStyle w:val="48"/>
        <w:keepLines w:val="0"/>
        <w:pageBreakBefore w:val="0"/>
        <w:kinsoku/>
        <w:bidi w:val="0"/>
        <w:spacing w:line="360" w:lineRule="auto"/>
        <w:rPr>
          <w:rFonts w:hint="eastAsia" w:ascii="宋体" w:hAnsi="宋体" w:eastAsia="宋体" w:cs="宋体"/>
          <w:b/>
          <w:bCs/>
          <w:color w:val="auto"/>
          <w:sz w:val="28"/>
          <w:szCs w:val="28"/>
          <w:highlight w:val="none"/>
          <w:lang w:val="zh-CN"/>
        </w:rPr>
      </w:pPr>
    </w:p>
    <w:p w14:paraId="78FD33C8">
      <w:pPr>
        <w:pStyle w:val="48"/>
        <w:keepLines w:val="0"/>
        <w:pageBreakBefore w:val="0"/>
        <w:kinsoku/>
        <w:bidi w:val="0"/>
        <w:spacing w:line="360" w:lineRule="auto"/>
        <w:rPr>
          <w:rFonts w:hint="eastAsia" w:ascii="宋体" w:hAnsi="宋体" w:eastAsia="宋体" w:cs="宋体"/>
          <w:b/>
          <w:bCs/>
          <w:color w:val="auto"/>
          <w:sz w:val="28"/>
          <w:szCs w:val="28"/>
          <w:highlight w:val="none"/>
          <w:lang w:val="zh-CN"/>
        </w:rPr>
      </w:pPr>
    </w:p>
    <w:p w14:paraId="39E5C86B">
      <w:pPr>
        <w:pStyle w:val="48"/>
        <w:keepLines w:val="0"/>
        <w:pageBreakBefore w:val="0"/>
        <w:kinsoku/>
        <w:bidi w:val="0"/>
        <w:spacing w:line="360" w:lineRule="auto"/>
        <w:rPr>
          <w:rFonts w:hint="eastAsia" w:ascii="宋体" w:hAnsi="宋体" w:eastAsia="宋体" w:cs="宋体"/>
          <w:b/>
          <w:bCs/>
          <w:color w:val="auto"/>
          <w:sz w:val="28"/>
          <w:szCs w:val="28"/>
          <w:highlight w:val="none"/>
          <w:lang w:val="zh-CN"/>
        </w:rPr>
      </w:pPr>
    </w:p>
    <w:p w14:paraId="36E3DAE4">
      <w:pPr>
        <w:pStyle w:val="48"/>
        <w:keepLines w:val="0"/>
        <w:pageBreakBefore w:val="0"/>
        <w:kinsoku/>
        <w:bidi w:val="0"/>
        <w:spacing w:line="360" w:lineRule="auto"/>
        <w:rPr>
          <w:rFonts w:hint="eastAsia" w:ascii="宋体" w:hAnsi="宋体" w:eastAsia="宋体" w:cs="宋体"/>
          <w:b/>
          <w:bCs/>
          <w:color w:val="auto"/>
          <w:sz w:val="28"/>
          <w:szCs w:val="28"/>
          <w:highlight w:val="none"/>
          <w:lang w:val="zh-CN"/>
        </w:rPr>
      </w:pPr>
    </w:p>
    <w:p w14:paraId="7DE38D6C">
      <w:pPr>
        <w:pStyle w:val="48"/>
        <w:keepLines w:val="0"/>
        <w:pageBreakBefore w:val="0"/>
        <w:kinsoku/>
        <w:bidi w:val="0"/>
        <w:spacing w:line="360" w:lineRule="auto"/>
        <w:rPr>
          <w:rFonts w:hint="eastAsia" w:ascii="宋体" w:hAnsi="宋体" w:eastAsia="宋体" w:cs="宋体"/>
          <w:b/>
          <w:bCs/>
          <w:color w:val="auto"/>
          <w:sz w:val="28"/>
          <w:szCs w:val="28"/>
          <w:highlight w:val="none"/>
          <w:lang w:val="zh-CN"/>
        </w:rPr>
      </w:pPr>
    </w:p>
    <w:p w14:paraId="748983FB">
      <w:pPr>
        <w:pStyle w:val="48"/>
        <w:keepLines w:val="0"/>
        <w:pageBreakBefore w:val="0"/>
        <w:kinsoku/>
        <w:bidi w:val="0"/>
        <w:spacing w:line="360" w:lineRule="auto"/>
        <w:rPr>
          <w:rFonts w:hint="eastAsia" w:ascii="宋体" w:hAnsi="宋体" w:eastAsia="宋体" w:cs="宋体"/>
          <w:b/>
          <w:bCs/>
          <w:color w:val="auto"/>
          <w:sz w:val="28"/>
          <w:szCs w:val="28"/>
          <w:highlight w:val="none"/>
          <w:lang w:val="zh-CN"/>
        </w:rPr>
      </w:pPr>
    </w:p>
    <w:p w14:paraId="40460D56">
      <w:pPr>
        <w:pStyle w:val="48"/>
        <w:keepLines w:val="0"/>
        <w:pageBreakBefore w:val="0"/>
        <w:kinsoku/>
        <w:bidi w:val="0"/>
        <w:spacing w:line="360" w:lineRule="auto"/>
        <w:rPr>
          <w:rFonts w:hint="eastAsia" w:ascii="宋体" w:hAnsi="宋体" w:eastAsia="宋体" w:cs="宋体"/>
          <w:b/>
          <w:bCs/>
          <w:color w:val="auto"/>
          <w:sz w:val="28"/>
          <w:szCs w:val="28"/>
          <w:highlight w:val="none"/>
          <w:lang w:val="zh-CN"/>
        </w:rPr>
      </w:pPr>
    </w:p>
    <w:p w14:paraId="61CD6DCC">
      <w:pPr>
        <w:pStyle w:val="48"/>
        <w:keepLines w:val="0"/>
        <w:pageBreakBefore w:val="0"/>
        <w:kinsoku/>
        <w:bidi w:val="0"/>
        <w:spacing w:line="360" w:lineRule="auto"/>
        <w:rPr>
          <w:rFonts w:hint="eastAsia" w:ascii="宋体" w:hAnsi="宋体" w:eastAsia="宋体" w:cs="宋体"/>
          <w:b/>
          <w:bCs/>
          <w:color w:val="auto"/>
          <w:sz w:val="28"/>
          <w:szCs w:val="28"/>
          <w:highlight w:val="none"/>
          <w:lang w:val="zh-CN"/>
        </w:rPr>
      </w:pPr>
    </w:p>
    <w:p w14:paraId="751026E1">
      <w:pPr>
        <w:pStyle w:val="48"/>
        <w:keepLines w:val="0"/>
        <w:pageBreakBefore w:val="0"/>
        <w:kinsoku/>
        <w:bidi w:val="0"/>
        <w:spacing w:line="360" w:lineRule="auto"/>
        <w:rPr>
          <w:rFonts w:hint="eastAsia" w:ascii="宋体" w:hAnsi="宋体" w:eastAsia="宋体" w:cs="宋体"/>
          <w:b/>
          <w:bCs/>
          <w:color w:val="auto"/>
          <w:sz w:val="28"/>
          <w:szCs w:val="28"/>
          <w:highlight w:val="none"/>
          <w:lang w:val="zh-CN"/>
        </w:rPr>
      </w:pPr>
    </w:p>
    <w:p w14:paraId="450E1F1C">
      <w:pPr>
        <w:pStyle w:val="48"/>
        <w:keepLines w:val="0"/>
        <w:pageBreakBefore w:val="0"/>
        <w:kinsoku/>
        <w:bidi w:val="0"/>
        <w:spacing w:line="360" w:lineRule="auto"/>
        <w:rPr>
          <w:rFonts w:hint="eastAsia" w:ascii="宋体" w:hAnsi="宋体" w:eastAsia="宋体" w:cs="宋体"/>
          <w:b/>
          <w:bCs/>
          <w:color w:val="auto"/>
          <w:sz w:val="28"/>
          <w:szCs w:val="28"/>
          <w:highlight w:val="none"/>
          <w:lang w:val="zh-CN"/>
        </w:rPr>
      </w:pPr>
    </w:p>
    <w:p w14:paraId="181BD81F">
      <w:pPr>
        <w:pStyle w:val="48"/>
        <w:keepLines w:val="0"/>
        <w:pageBreakBefore w:val="0"/>
        <w:kinsoku/>
        <w:bidi w:val="0"/>
        <w:spacing w:line="360" w:lineRule="auto"/>
        <w:rPr>
          <w:rFonts w:hint="eastAsia" w:ascii="宋体" w:hAnsi="宋体" w:eastAsia="宋体" w:cs="宋体"/>
          <w:b/>
          <w:bCs/>
          <w:color w:val="auto"/>
          <w:sz w:val="28"/>
          <w:szCs w:val="28"/>
          <w:highlight w:val="none"/>
          <w:lang w:val="zh-CN"/>
        </w:rPr>
      </w:pPr>
    </w:p>
    <w:p w14:paraId="6AEC4B09">
      <w:pPr>
        <w:pStyle w:val="48"/>
        <w:keepLines w:val="0"/>
        <w:pageBreakBefore w:val="0"/>
        <w:kinsoku/>
        <w:bidi w:val="0"/>
        <w:spacing w:line="360" w:lineRule="auto"/>
        <w:rPr>
          <w:rFonts w:hint="eastAsia" w:ascii="宋体" w:hAnsi="宋体" w:eastAsia="宋体" w:cs="宋体"/>
          <w:b/>
          <w:bCs/>
          <w:color w:val="auto"/>
          <w:sz w:val="28"/>
          <w:szCs w:val="28"/>
          <w:highlight w:val="none"/>
          <w:lang w:val="zh-CN"/>
        </w:rPr>
      </w:pPr>
    </w:p>
    <w:p w14:paraId="41105DB2">
      <w:pPr>
        <w:pStyle w:val="48"/>
        <w:keepLines w:val="0"/>
        <w:pageBreakBefore w:val="0"/>
        <w:kinsoku/>
        <w:bidi w:val="0"/>
        <w:spacing w:line="360" w:lineRule="auto"/>
        <w:rPr>
          <w:rFonts w:hint="eastAsia" w:ascii="宋体" w:hAnsi="宋体" w:eastAsia="宋体" w:cs="宋体"/>
          <w:b/>
          <w:bCs/>
          <w:color w:val="auto"/>
          <w:sz w:val="28"/>
          <w:szCs w:val="28"/>
          <w:highlight w:val="none"/>
          <w:lang w:val="zh-CN"/>
        </w:rPr>
      </w:pPr>
    </w:p>
    <w:p w14:paraId="299142F7">
      <w:pPr>
        <w:pStyle w:val="137"/>
        <w:keepLines w:val="0"/>
        <w:pageBreakBefore w:val="0"/>
        <w:kinsoku/>
        <w:wordWrap/>
        <w:overflowPunct/>
        <w:topLinePunct w:val="0"/>
        <w:bidi w:val="0"/>
        <w:spacing w:before="0" w:after="0" w:line="360" w:lineRule="auto"/>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附件1：</w:t>
      </w:r>
    </w:p>
    <w:p w14:paraId="5C6D8163">
      <w:pPr>
        <w:pStyle w:val="3"/>
        <w:spacing w:line="5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lang w:val="en-US" w:eastAsia="zh-CN"/>
        </w:rPr>
        <w:t>近三年完成的类似项目表</w:t>
      </w:r>
    </w:p>
    <w:tbl>
      <w:tblPr>
        <w:tblStyle w:val="37"/>
        <w:tblW w:w="8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2"/>
        <w:gridCol w:w="6182"/>
      </w:tblGrid>
      <w:tr w14:paraId="73450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672" w:type="dxa"/>
            <w:vAlign w:val="center"/>
          </w:tcPr>
          <w:p w14:paraId="207EAE16">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182" w:type="dxa"/>
            <w:vAlign w:val="center"/>
          </w:tcPr>
          <w:p w14:paraId="388C99D0">
            <w:pPr>
              <w:keepLines w:val="0"/>
              <w:pageBreakBefore w:val="0"/>
              <w:kinsoku/>
              <w:bidi w:val="0"/>
              <w:spacing w:line="360" w:lineRule="auto"/>
              <w:jc w:val="center"/>
              <w:rPr>
                <w:rFonts w:hint="eastAsia" w:ascii="宋体" w:hAnsi="宋体" w:eastAsia="宋体" w:cs="宋体"/>
                <w:color w:val="auto"/>
                <w:sz w:val="21"/>
                <w:szCs w:val="21"/>
                <w:highlight w:val="none"/>
              </w:rPr>
            </w:pPr>
          </w:p>
        </w:tc>
      </w:tr>
      <w:tr w14:paraId="540F9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672" w:type="dxa"/>
            <w:vAlign w:val="center"/>
          </w:tcPr>
          <w:p w14:paraId="53D1F838">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项目所在地</w:t>
            </w:r>
          </w:p>
        </w:tc>
        <w:tc>
          <w:tcPr>
            <w:tcW w:w="6182" w:type="dxa"/>
            <w:vAlign w:val="center"/>
          </w:tcPr>
          <w:p w14:paraId="5D21A293">
            <w:pPr>
              <w:keepLines w:val="0"/>
              <w:pageBreakBefore w:val="0"/>
              <w:kinsoku/>
              <w:bidi w:val="0"/>
              <w:spacing w:line="360" w:lineRule="auto"/>
              <w:jc w:val="center"/>
              <w:rPr>
                <w:rFonts w:hint="eastAsia" w:ascii="宋体" w:hAnsi="宋体" w:eastAsia="宋体" w:cs="宋体"/>
                <w:color w:val="auto"/>
                <w:sz w:val="21"/>
                <w:szCs w:val="21"/>
                <w:highlight w:val="none"/>
              </w:rPr>
            </w:pPr>
          </w:p>
        </w:tc>
      </w:tr>
      <w:tr w14:paraId="5B0DE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672" w:type="dxa"/>
            <w:vAlign w:val="center"/>
          </w:tcPr>
          <w:p w14:paraId="79053401">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发包人名称</w:t>
            </w:r>
          </w:p>
        </w:tc>
        <w:tc>
          <w:tcPr>
            <w:tcW w:w="6182" w:type="dxa"/>
            <w:vAlign w:val="center"/>
          </w:tcPr>
          <w:p w14:paraId="61F5BD69">
            <w:pPr>
              <w:keepLines w:val="0"/>
              <w:pageBreakBefore w:val="0"/>
              <w:kinsoku/>
              <w:bidi w:val="0"/>
              <w:spacing w:line="360" w:lineRule="auto"/>
              <w:jc w:val="center"/>
              <w:rPr>
                <w:rFonts w:hint="eastAsia" w:ascii="宋体" w:hAnsi="宋体" w:eastAsia="宋体" w:cs="宋体"/>
                <w:color w:val="auto"/>
                <w:sz w:val="21"/>
                <w:szCs w:val="21"/>
                <w:highlight w:val="none"/>
              </w:rPr>
            </w:pPr>
          </w:p>
        </w:tc>
      </w:tr>
      <w:tr w14:paraId="24F09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672" w:type="dxa"/>
            <w:vAlign w:val="center"/>
          </w:tcPr>
          <w:p w14:paraId="038E16D7">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发包人地址</w:t>
            </w:r>
          </w:p>
        </w:tc>
        <w:tc>
          <w:tcPr>
            <w:tcW w:w="6182" w:type="dxa"/>
            <w:vAlign w:val="center"/>
          </w:tcPr>
          <w:p w14:paraId="0B9EFA06">
            <w:pPr>
              <w:keepLines w:val="0"/>
              <w:pageBreakBefore w:val="0"/>
              <w:kinsoku/>
              <w:bidi w:val="0"/>
              <w:spacing w:line="360" w:lineRule="auto"/>
              <w:jc w:val="center"/>
              <w:rPr>
                <w:rFonts w:hint="eastAsia" w:ascii="宋体" w:hAnsi="宋体" w:eastAsia="宋体" w:cs="宋体"/>
                <w:color w:val="auto"/>
                <w:sz w:val="21"/>
                <w:szCs w:val="21"/>
                <w:highlight w:val="none"/>
              </w:rPr>
            </w:pPr>
          </w:p>
        </w:tc>
      </w:tr>
      <w:tr w14:paraId="11026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672" w:type="dxa"/>
            <w:vAlign w:val="center"/>
          </w:tcPr>
          <w:p w14:paraId="068A2AA6">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发包人联系人及电话</w:t>
            </w:r>
          </w:p>
        </w:tc>
        <w:tc>
          <w:tcPr>
            <w:tcW w:w="6182" w:type="dxa"/>
            <w:vAlign w:val="center"/>
          </w:tcPr>
          <w:p w14:paraId="1F9A29C1">
            <w:pPr>
              <w:keepLines w:val="0"/>
              <w:pageBreakBefore w:val="0"/>
              <w:kinsoku/>
              <w:bidi w:val="0"/>
              <w:spacing w:line="360" w:lineRule="auto"/>
              <w:jc w:val="center"/>
              <w:rPr>
                <w:rFonts w:hint="eastAsia" w:ascii="宋体" w:hAnsi="宋体" w:eastAsia="宋体" w:cs="宋体"/>
                <w:color w:val="auto"/>
                <w:sz w:val="21"/>
                <w:szCs w:val="21"/>
                <w:highlight w:val="none"/>
              </w:rPr>
            </w:pPr>
          </w:p>
        </w:tc>
      </w:tr>
      <w:tr w14:paraId="264EF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672" w:type="dxa"/>
            <w:vAlign w:val="center"/>
          </w:tcPr>
          <w:p w14:paraId="6F85B6C6">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合同价格</w:t>
            </w:r>
          </w:p>
        </w:tc>
        <w:tc>
          <w:tcPr>
            <w:tcW w:w="6182" w:type="dxa"/>
            <w:vAlign w:val="center"/>
          </w:tcPr>
          <w:p w14:paraId="5800F937">
            <w:pPr>
              <w:keepLines w:val="0"/>
              <w:pageBreakBefore w:val="0"/>
              <w:kinsoku/>
              <w:bidi w:val="0"/>
              <w:spacing w:line="360" w:lineRule="auto"/>
              <w:jc w:val="center"/>
              <w:rPr>
                <w:rFonts w:hint="eastAsia" w:ascii="宋体" w:hAnsi="宋体" w:eastAsia="宋体" w:cs="宋体"/>
                <w:color w:val="auto"/>
                <w:sz w:val="21"/>
                <w:szCs w:val="21"/>
                <w:highlight w:val="none"/>
              </w:rPr>
            </w:pPr>
          </w:p>
        </w:tc>
      </w:tr>
      <w:tr w14:paraId="3903E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672" w:type="dxa"/>
            <w:vAlign w:val="center"/>
          </w:tcPr>
          <w:p w14:paraId="342C356D">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开工日期</w:t>
            </w:r>
          </w:p>
        </w:tc>
        <w:tc>
          <w:tcPr>
            <w:tcW w:w="6182" w:type="dxa"/>
            <w:vAlign w:val="center"/>
          </w:tcPr>
          <w:p w14:paraId="2CF947A9">
            <w:pPr>
              <w:keepLines w:val="0"/>
              <w:pageBreakBefore w:val="0"/>
              <w:kinsoku/>
              <w:bidi w:val="0"/>
              <w:spacing w:line="360" w:lineRule="auto"/>
              <w:jc w:val="center"/>
              <w:rPr>
                <w:rFonts w:hint="eastAsia" w:ascii="宋体" w:hAnsi="宋体" w:eastAsia="宋体" w:cs="宋体"/>
                <w:color w:val="auto"/>
                <w:sz w:val="21"/>
                <w:szCs w:val="21"/>
                <w:highlight w:val="none"/>
              </w:rPr>
            </w:pPr>
          </w:p>
        </w:tc>
      </w:tr>
      <w:tr w14:paraId="7ADE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672" w:type="dxa"/>
            <w:vAlign w:val="center"/>
          </w:tcPr>
          <w:p w14:paraId="7E050219">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竣工日期</w:t>
            </w:r>
          </w:p>
        </w:tc>
        <w:tc>
          <w:tcPr>
            <w:tcW w:w="6182" w:type="dxa"/>
            <w:vAlign w:val="center"/>
          </w:tcPr>
          <w:p w14:paraId="75ED5966">
            <w:pPr>
              <w:keepLines w:val="0"/>
              <w:pageBreakBefore w:val="0"/>
              <w:kinsoku/>
              <w:bidi w:val="0"/>
              <w:spacing w:line="360" w:lineRule="auto"/>
              <w:jc w:val="center"/>
              <w:rPr>
                <w:rFonts w:hint="eastAsia" w:ascii="宋体" w:hAnsi="宋体" w:eastAsia="宋体" w:cs="宋体"/>
                <w:color w:val="auto"/>
                <w:sz w:val="21"/>
                <w:szCs w:val="21"/>
                <w:highlight w:val="none"/>
              </w:rPr>
            </w:pPr>
          </w:p>
        </w:tc>
      </w:tr>
      <w:tr w14:paraId="32A52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672" w:type="dxa"/>
            <w:vAlign w:val="center"/>
          </w:tcPr>
          <w:p w14:paraId="68590211">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承担的工作</w:t>
            </w:r>
          </w:p>
        </w:tc>
        <w:tc>
          <w:tcPr>
            <w:tcW w:w="6182" w:type="dxa"/>
            <w:vAlign w:val="center"/>
          </w:tcPr>
          <w:p w14:paraId="5DCF955C">
            <w:pPr>
              <w:keepLines w:val="0"/>
              <w:pageBreakBefore w:val="0"/>
              <w:kinsoku/>
              <w:bidi w:val="0"/>
              <w:spacing w:line="360" w:lineRule="auto"/>
              <w:jc w:val="center"/>
              <w:rPr>
                <w:rFonts w:hint="eastAsia" w:ascii="宋体" w:hAnsi="宋体" w:eastAsia="宋体" w:cs="宋体"/>
                <w:color w:val="auto"/>
                <w:sz w:val="21"/>
                <w:szCs w:val="21"/>
                <w:highlight w:val="none"/>
              </w:rPr>
            </w:pPr>
          </w:p>
        </w:tc>
      </w:tr>
      <w:tr w14:paraId="45F50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672" w:type="dxa"/>
            <w:vAlign w:val="center"/>
          </w:tcPr>
          <w:p w14:paraId="5B54207E">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w:t>
            </w:r>
          </w:p>
        </w:tc>
        <w:tc>
          <w:tcPr>
            <w:tcW w:w="6182" w:type="dxa"/>
            <w:vAlign w:val="center"/>
          </w:tcPr>
          <w:p w14:paraId="779E7758">
            <w:pPr>
              <w:keepLines w:val="0"/>
              <w:pageBreakBefore w:val="0"/>
              <w:kinsoku/>
              <w:bidi w:val="0"/>
              <w:spacing w:line="360" w:lineRule="auto"/>
              <w:jc w:val="center"/>
              <w:rPr>
                <w:rFonts w:hint="eastAsia" w:ascii="宋体" w:hAnsi="宋体" w:eastAsia="宋体" w:cs="宋体"/>
                <w:color w:val="auto"/>
                <w:sz w:val="21"/>
                <w:szCs w:val="21"/>
                <w:highlight w:val="none"/>
              </w:rPr>
            </w:pPr>
          </w:p>
        </w:tc>
      </w:tr>
      <w:tr w14:paraId="544E4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672" w:type="dxa"/>
            <w:vAlign w:val="center"/>
          </w:tcPr>
          <w:p w14:paraId="17138684">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6182" w:type="dxa"/>
            <w:vAlign w:val="center"/>
          </w:tcPr>
          <w:p w14:paraId="5466D22E">
            <w:pPr>
              <w:keepLines w:val="0"/>
              <w:pageBreakBefore w:val="0"/>
              <w:kinsoku/>
              <w:bidi w:val="0"/>
              <w:spacing w:line="360" w:lineRule="auto"/>
              <w:jc w:val="center"/>
              <w:rPr>
                <w:rFonts w:hint="eastAsia" w:ascii="宋体" w:hAnsi="宋体" w:eastAsia="宋体" w:cs="宋体"/>
                <w:color w:val="auto"/>
                <w:sz w:val="21"/>
                <w:szCs w:val="21"/>
                <w:highlight w:val="none"/>
              </w:rPr>
            </w:pPr>
          </w:p>
        </w:tc>
      </w:tr>
      <w:tr w14:paraId="21F11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672" w:type="dxa"/>
            <w:vAlign w:val="center"/>
          </w:tcPr>
          <w:p w14:paraId="66ACF6FF">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w:t>
            </w:r>
          </w:p>
        </w:tc>
        <w:tc>
          <w:tcPr>
            <w:tcW w:w="6182" w:type="dxa"/>
            <w:vAlign w:val="center"/>
          </w:tcPr>
          <w:p w14:paraId="14A64013">
            <w:pPr>
              <w:keepLines w:val="0"/>
              <w:pageBreakBefore w:val="0"/>
              <w:kinsoku/>
              <w:bidi w:val="0"/>
              <w:spacing w:line="360" w:lineRule="auto"/>
              <w:jc w:val="center"/>
              <w:rPr>
                <w:rFonts w:hint="eastAsia" w:ascii="宋体" w:hAnsi="宋体" w:eastAsia="宋体" w:cs="宋体"/>
                <w:color w:val="auto"/>
                <w:sz w:val="21"/>
                <w:szCs w:val="21"/>
                <w:highlight w:val="none"/>
              </w:rPr>
            </w:pPr>
          </w:p>
        </w:tc>
      </w:tr>
      <w:tr w14:paraId="268AB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672" w:type="dxa"/>
            <w:vAlign w:val="center"/>
          </w:tcPr>
          <w:p w14:paraId="74879BDE">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总监理工程师及电话</w:t>
            </w:r>
          </w:p>
        </w:tc>
        <w:tc>
          <w:tcPr>
            <w:tcW w:w="6182" w:type="dxa"/>
            <w:vAlign w:val="center"/>
          </w:tcPr>
          <w:p w14:paraId="6131839A">
            <w:pPr>
              <w:keepLines w:val="0"/>
              <w:pageBreakBefore w:val="0"/>
              <w:kinsoku/>
              <w:bidi w:val="0"/>
              <w:spacing w:line="360" w:lineRule="auto"/>
              <w:jc w:val="center"/>
              <w:rPr>
                <w:rFonts w:hint="eastAsia" w:ascii="宋体" w:hAnsi="宋体" w:eastAsia="宋体" w:cs="宋体"/>
                <w:color w:val="auto"/>
                <w:sz w:val="21"/>
                <w:szCs w:val="21"/>
                <w:highlight w:val="none"/>
              </w:rPr>
            </w:pPr>
          </w:p>
        </w:tc>
      </w:tr>
      <w:tr w14:paraId="25110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2672" w:type="dxa"/>
            <w:vAlign w:val="center"/>
          </w:tcPr>
          <w:p w14:paraId="7A365ED0">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项目描述</w:t>
            </w:r>
          </w:p>
        </w:tc>
        <w:tc>
          <w:tcPr>
            <w:tcW w:w="6182" w:type="dxa"/>
            <w:vAlign w:val="center"/>
          </w:tcPr>
          <w:p w14:paraId="2EC53B07">
            <w:pPr>
              <w:keepLines w:val="0"/>
              <w:pageBreakBefore w:val="0"/>
              <w:kinsoku/>
              <w:bidi w:val="0"/>
              <w:spacing w:line="360" w:lineRule="auto"/>
              <w:jc w:val="center"/>
              <w:rPr>
                <w:rFonts w:hint="eastAsia" w:ascii="宋体" w:hAnsi="宋体" w:eastAsia="宋体" w:cs="宋体"/>
                <w:color w:val="auto"/>
                <w:sz w:val="21"/>
                <w:szCs w:val="21"/>
                <w:highlight w:val="none"/>
              </w:rPr>
            </w:pPr>
          </w:p>
        </w:tc>
      </w:tr>
      <w:tr w14:paraId="58536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672" w:type="dxa"/>
            <w:vAlign w:val="center"/>
          </w:tcPr>
          <w:p w14:paraId="22CA27A0">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6182" w:type="dxa"/>
            <w:vAlign w:val="center"/>
          </w:tcPr>
          <w:p w14:paraId="0B0083A3">
            <w:pPr>
              <w:keepLines w:val="0"/>
              <w:pageBreakBefore w:val="0"/>
              <w:kinsoku/>
              <w:bidi w:val="0"/>
              <w:spacing w:line="360" w:lineRule="auto"/>
              <w:jc w:val="center"/>
              <w:rPr>
                <w:rFonts w:hint="eastAsia" w:ascii="宋体" w:hAnsi="宋体" w:eastAsia="宋体" w:cs="宋体"/>
                <w:color w:val="auto"/>
                <w:sz w:val="21"/>
                <w:szCs w:val="21"/>
                <w:highlight w:val="none"/>
              </w:rPr>
            </w:pPr>
          </w:p>
        </w:tc>
      </w:tr>
    </w:tbl>
    <w:p w14:paraId="3439763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注：供应商按以上表格填写相关信息，响应性文件中</w:t>
      </w:r>
      <w:r>
        <w:rPr>
          <w:rFonts w:hint="eastAsia" w:ascii="宋体" w:hAnsi="宋体" w:eastAsia="宋体" w:cs="宋体"/>
          <w:color w:val="auto"/>
          <w:sz w:val="21"/>
          <w:szCs w:val="21"/>
          <w:highlight w:val="none"/>
          <w:lang w:val="en-US" w:eastAsia="zh-CN"/>
        </w:rPr>
        <w:t>附</w:t>
      </w:r>
      <w:r>
        <w:rPr>
          <w:rFonts w:hint="eastAsia" w:ascii="宋体" w:hAnsi="宋体" w:eastAsia="宋体" w:cs="宋体"/>
          <w:color w:val="auto"/>
          <w:sz w:val="21"/>
          <w:szCs w:val="21"/>
          <w:highlight w:val="none"/>
        </w:rPr>
        <w:t>合同协议书等相关证明材料</w:t>
      </w:r>
      <w:r>
        <w:rPr>
          <w:rFonts w:hint="eastAsia" w:ascii="宋体" w:hAnsi="宋体" w:eastAsia="宋体" w:cs="宋体"/>
          <w:color w:val="auto"/>
          <w:sz w:val="21"/>
          <w:szCs w:val="21"/>
          <w:highlight w:val="none"/>
          <w:lang w:eastAsia="zh-CN"/>
        </w:rPr>
        <w:t>；每个项目标注序号，已合同签订日期为准。</w:t>
      </w:r>
    </w:p>
    <w:p w14:paraId="2452962E">
      <w:pPr>
        <w:keepNext w:val="0"/>
        <w:keepLines w:val="0"/>
        <w:pageBreakBefore w:val="0"/>
        <w:widowControl w:val="0"/>
        <w:kinsoku/>
        <w:wordWrap/>
        <w:overflowPunct/>
        <w:topLinePunct w:val="0"/>
        <w:bidi w:val="0"/>
        <w:adjustRightInd w:val="0"/>
        <w:snapToGrid/>
        <w:spacing w:line="360" w:lineRule="auto"/>
        <w:jc w:val="left"/>
        <w:textAlignment w:val="auto"/>
        <w:rPr>
          <w:rFonts w:hint="eastAsia" w:ascii="宋体" w:hAnsi="宋体" w:eastAsia="宋体" w:cs="宋体"/>
          <w:color w:val="auto"/>
          <w:sz w:val="21"/>
          <w:szCs w:val="21"/>
          <w:highlight w:val="none"/>
        </w:rPr>
      </w:pPr>
    </w:p>
    <w:p w14:paraId="78290F11">
      <w:pPr>
        <w:keepNext w:val="0"/>
        <w:keepLines w:val="0"/>
        <w:pageBreakBefore w:val="0"/>
        <w:widowControl w:val="0"/>
        <w:kinsoku/>
        <w:wordWrap/>
        <w:overflowPunct/>
        <w:topLinePunct w:val="0"/>
        <w:bidi w:val="0"/>
        <w:adjustRightInd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供应商名称：（盖章）</w:t>
      </w:r>
    </w:p>
    <w:p w14:paraId="4B7B3A86">
      <w:pPr>
        <w:pStyle w:val="48"/>
        <w:keepLines w:val="0"/>
        <w:pageBreakBefore w:val="0"/>
        <w:kinsoku/>
        <w:bidi w:val="0"/>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法定代表人或其授权代表（签名或盖章）</w:t>
      </w:r>
      <w:r>
        <w:rPr>
          <w:rFonts w:hint="eastAsia" w:ascii="宋体" w:hAnsi="宋体" w:eastAsia="宋体" w:cs="宋体"/>
          <w:bCs/>
          <w:color w:val="auto"/>
          <w:sz w:val="21"/>
          <w:szCs w:val="21"/>
          <w:highlight w:val="none"/>
        </w:rPr>
        <w:t>：</w:t>
      </w:r>
    </w:p>
    <w:p w14:paraId="4628D917">
      <w:pPr>
        <w:pStyle w:val="48"/>
        <w:keepLines w:val="0"/>
        <w:pageBreakBefore w:val="0"/>
        <w:kinsoku/>
        <w:bidi w:val="0"/>
        <w:spacing w:line="36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日</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期:</w:t>
      </w:r>
    </w:p>
    <w:p w14:paraId="5D6D35E2">
      <w:pPr>
        <w:pStyle w:val="48"/>
        <w:keepLines w:val="0"/>
        <w:pageBreakBefore w:val="0"/>
        <w:kinsoku/>
        <w:bidi w:val="0"/>
        <w:spacing w:line="360" w:lineRule="auto"/>
        <w:rPr>
          <w:rFonts w:hint="eastAsia" w:ascii="宋体" w:hAnsi="宋体" w:eastAsia="宋体" w:cs="宋体"/>
          <w:bCs/>
          <w:color w:val="auto"/>
          <w:sz w:val="21"/>
          <w:szCs w:val="21"/>
          <w:highlight w:val="none"/>
        </w:rPr>
      </w:pPr>
    </w:p>
    <w:p w14:paraId="11CB8C5A">
      <w:pPr>
        <w:pStyle w:val="2"/>
        <w:keepLines w:val="0"/>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lang w:val="en-US" w:eastAsia="zh-CN"/>
        </w:rPr>
      </w:pPr>
      <w:bookmarkStart w:id="559" w:name="_Toc4690"/>
      <w:bookmarkStart w:id="560" w:name="_Toc12640"/>
      <w:r>
        <w:rPr>
          <w:rFonts w:hint="eastAsia" w:ascii="宋体" w:hAnsi="宋体" w:eastAsia="宋体" w:cs="宋体"/>
          <w:b/>
          <w:bCs/>
          <w:color w:val="auto"/>
          <w:sz w:val="28"/>
          <w:szCs w:val="28"/>
          <w:highlight w:val="none"/>
          <w:lang w:val="zh-CN"/>
        </w:rPr>
        <w:t>第</w:t>
      </w:r>
      <w:r>
        <w:rPr>
          <w:rFonts w:hint="eastAsia" w:ascii="宋体" w:hAnsi="宋体" w:eastAsia="宋体" w:cs="宋体"/>
          <w:b/>
          <w:bCs/>
          <w:color w:val="auto"/>
          <w:sz w:val="28"/>
          <w:szCs w:val="28"/>
          <w:highlight w:val="none"/>
          <w:lang w:val="en-US" w:eastAsia="zh-CN"/>
        </w:rPr>
        <w:t>六</w:t>
      </w:r>
      <w:r>
        <w:rPr>
          <w:rFonts w:hint="eastAsia" w:ascii="宋体" w:hAnsi="宋体" w:eastAsia="宋体" w:cs="宋体"/>
          <w:b/>
          <w:bCs/>
          <w:color w:val="auto"/>
          <w:sz w:val="28"/>
          <w:szCs w:val="28"/>
          <w:highlight w:val="none"/>
          <w:lang w:val="zh-CN"/>
        </w:rPr>
        <w:t>部分</w:t>
      </w:r>
      <w:r>
        <w:rPr>
          <w:rFonts w:hint="eastAsia" w:ascii="宋体" w:hAnsi="宋体" w:eastAsia="宋体" w:cs="宋体"/>
          <w:b/>
          <w:bCs/>
          <w:color w:val="auto"/>
          <w:sz w:val="28"/>
          <w:szCs w:val="28"/>
          <w:highlight w:val="none"/>
          <w:lang w:val="en-US" w:eastAsia="zh-CN"/>
        </w:rPr>
        <w:t xml:space="preserve"> 供应商承诺书</w:t>
      </w:r>
      <w:bookmarkEnd w:id="559"/>
      <w:bookmarkEnd w:id="560"/>
    </w:p>
    <w:p w14:paraId="22710001">
      <w:pPr>
        <w:pStyle w:val="137"/>
        <w:keepLines w:val="0"/>
        <w:pageBreakBefore w:val="0"/>
        <w:kinsoku/>
        <w:wordWrap/>
        <w:overflowPunct/>
        <w:topLinePunct w:val="0"/>
        <w:bidi w:val="0"/>
        <w:spacing w:before="0" w:after="0" w:line="360" w:lineRule="auto"/>
        <w:jc w:val="center"/>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val="zh-CN"/>
        </w:rPr>
        <w:t>政府采购供应商拒绝政府采购</w:t>
      </w:r>
      <w:bookmarkStart w:id="561" w:name="_Toc435777821"/>
      <w:bookmarkStart w:id="562" w:name="_Toc438541326"/>
      <w:bookmarkStart w:id="563" w:name="_Toc28167"/>
      <w:bookmarkStart w:id="564" w:name="_Toc437247481"/>
      <w:bookmarkStart w:id="565" w:name="_Toc437425973"/>
      <w:r>
        <w:rPr>
          <w:rFonts w:hint="eastAsia" w:ascii="宋体" w:hAnsi="宋体" w:eastAsia="宋体" w:cs="宋体"/>
          <w:b/>
          <w:bCs/>
          <w:color w:val="auto"/>
          <w:sz w:val="24"/>
          <w:szCs w:val="24"/>
          <w:highlight w:val="none"/>
          <w:lang w:val="zh-CN"/>
        </w:rPr>
        <w:t>领域</w:t>
      </w:r>
      <w:bookmarkStart w:id="566" w:name="_Toc435777721"/>
      <w:bookmarkStart w:id="567" w:name="_Toc435776434"/>
      <w:r>
        <w:rPr>
          <w:rFonts w:hint="eastAsia" w:ascii="宋体" w:hAnsi="宋体" w:eastAsia="宋体" w:cs="宋体"/>
          <w:b/>
          <w:bCs/>
          <w:color w:val="auto"/>
          <w:sz w:val="24"/>
          <w:szCs w:val="24"/>
          <w:highlight w:val="none"/>
          <w:lang w:val="zh-CN"/>
        </w:rPr>
        <w:t>商业</w:t>
      </w:r>
      <w:bookmarkEnd w:id="561"/>
      <w:bookmarkEnd w:id="562"/>
      <w:bookmarkEnd w:id="563"/>
      <w:bookmarkEnd w:id="564"/>
      <w:bookmarkEnd w:id="565"/>
      <w:bookmarkEnd w:id="566"/>
      <w:bookmarkEnd w:id="567"/>
      <w:r>
        <w:rPr>
          <w:rFonts w:hint="eastAsia" w:ascii="宋体" w:hAnsi="宋体" w:eastAsia="宋体" w:cs="宋体"/>
          <w:b/>
          <w:bCs/>
          <w:color w:val="auto"/>
          <w:sz w:val="24"/>
          <w:szCs w:val="24"/>
          <w:highlight w:val="none"/>
          <w:lang w:val="zh-CN"/>
        </w:rPr>
        <w:t>贿赂承诺书</w:t>
      </w:r>
    </w:p>
    <w:p w14:paraId="05B77726">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为响应党中央、国务院关于治理政府采购领域商业贿赂行为的号召，我单位在此庄严承诺：</w:t>
      </w:r>
    </w:p>
    <w:p w14:paraId="2D4BF53F">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在参与政府采购活动中遵纪守法、诚信经营、公平竞标。</w:t>
      </w:r>
    </w:p>
    <w:p w14:paraId="35A99CC6">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不向采购人、采购代理机构和政府采购评审专家进行任何形式的商业贿赂以谋取交易机会。</w:t>
      </w:r>
    </w:p>
    <w:p w14:paraId="23464620">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不向采购代理机构和采购人提供虚假资质文件或采用虚假应标方式参与政府采购市场竞争并谋取</w:t>
      </w:r>
      <w:r>
        <w:rPr>
          <w:rFonts w:hint="eastAsia" w:ascii="宋体" w:hAnsi="宋体" w:eastAsia="宋体" w:cs="宋体"/>
          <w:color w:val="auto"/>
          <w:kern w:val="0"/>
          <w:sz w:val="21"/>
          <w:szCs w:val="21"/>
          <w:highlight w:val="none"/>
          <w:lang w:val="en-US" w:eastAsia="zh-CN"/>
        </w:rPr>
        <w:t>中标</w:t>
      </w:r>
      <w:r>
        <w:rPr>
          <w:rFonts w:hint="eastAsia" w:ascii="宋体" w:hAnsi="宋体" w:eastAsia="宋体" w:cs="宋体"/>
          <w:color w:val="auto"/>
          <w:kern w:val="0"/>
          <w:sz w:val="21"/>
          <w:szCs w:val="21"/>
          <w:highlight w:val="none"/>
        </w:rPr>
        <w:t>、成交。</w:t>
      </w:r>
    </w:p>
    <w:p w14:paraId="0399CF8E">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不采取“围标、陪标”等商业欺诈手段获得政府采购</w:t>
      </w:r>
      <w:r>
        <w:rPr>
          <w:rFonts w:hint="eastAsia" w:ascii="宋体" w:hAnsi="宋体" w:eastAsia="宋体" w:cs="宋体"/>
          <w:color w:val="auto"/>
          <w:kern w:val="0"/>
          <w:sz w:val="21"/>
          <w:szCs w:val="21"/>
          <w:highlight w:val="none"/>
          <w:lang w:val="en-US" w:eastAsia="zh-CN"/>
        </w:rPr>
        <w:t>订</w:t>
      </w:r>
      <w:r>
        <w:rPr>
          <w:rFonts w:hint="eastAsia" w:ascii="宋体" w:hAnsi="宋体" w:eastAsia="宋体" w:cs="宋体"/>
          <w:color w:val="auto"/>
          <w:kern w:val="0"/>
          <w:sz w:val="21"/>
          <w:szCs w:val="21"/>
          <w:highlight w:val="none"/>
        </w:rPr>
        <w:t>单。</w:t>
      </w:r>
    </w:p>
    <w:p w14:paraId="2B9AB9A8">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不采取不正当手段</w:t>
      </w:r>
      <w:r>
        <w:rPr>
          <w:rFonts w:hint="eastAsia" w:ascii="宋体" w:hAnsi="宋体" w:eastAsia="宋体" w:cs="宋体"/>
          <w:color w:val="auto"/>
          <w:kern w:val="0"/>
          <w:sz w:val="21"/>
          <w:szCs w:val="21"/>
          <w:highlight w:val="none"/>
          <w:lang w:val="en-US" w:eastAsia="zh-CN"/>
        </w:rPr>
        <w:t>诋</w:t>
      </w:r>
      <w:r>
        <w:rPr>
          <w:rFonts w:hint="eastAsia" w:ascii="宋体" w:hAnsi="宋体" w:eastAsia="宋体" w:cs="宋体"/>
          <w:color w:val="auto"/>
          <w:kern w:val="0"/>
          <w:sz w:val="21"/>
          <w:szCs w:val="21"/>
          <w:highlight w:val="none"/>
        </w:rPr>
        <w:t>毁、排挤其他供应商。</w:t>
      </w:r>
    </w:p>
    <w:p w14:paraId="05826ACA">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不在提供商品和服务时“偷梁换柱、以次充好”损害采购人的合法权益。</w:t>
      </w:r>
    </w:p>
    <w:p w14:paraId="0BE64DCB">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不与采购人、采购代理机构、政府采购评审专家或其它供应商恶意串通，进行质疑和投诉，维护政府采购市场秩序。</w:t>
      </w:r>
    </w:p>
    <w:p w14:paraId="3C649BF7">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尊重和接受政府采购监督管理部门的监督和采购代理机构的招标要求，承担因违约行为给采购人造成的损失。</w:t>
      </w:r>
    </w:p>
    <w:p w14:paraId="155E6CE5">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不发生其他有悖于政府采购公开、公平、公正和诚信原则的行为。</w:t>
      </w:r>
    </w:p>
    <w:p w14:paraId="070EE1B6">
      <w:pPr>
        <w:pStyle w:val="115"/>
        <w:keepNext w:val="0"/>
        <w:keepLines w:val="0"/>
        <w:pageBreakBefore w:val="0"/>
        <w:kinsoku/>
        <w:wordWrap/>
        <w:overflowPunct/>
        <w:topLinePunct w:val="0"/>
        <w:bidi w:val="0"/>
        <w:snapToGrid/>
        <w:spacing w:line="360" w:lineRule="auto"/>
        <w:ind w:left="200" w:firstLine="0" w:firstLineChars="0"/>
        <w:textAlignment w:val="auto"/>
        <w:rPr>
          <w:rFonts w:hint="eastAsia" w:ascii="宋体" w:hAnsi="宋体" w:eastAsia="宋体" w:cs="宋体"/>
          <w:color w:val="auto"/>
          <w:sz w:val="21"/>
          <w:szCs w:val="21"/>
          <w:highlight w:val="none"/>
        </w:rPr>
      </w:pPr>
    </w:p>
    <w:p w14:paraId="22A8C5AE">
      <w:pPr>
        <w:keepNext w:val="0"/>
        <w:keepLines w:val="0"/>
        <w:pageBreakBefore w:val="0"/>
        <w:widowControl/>
        <w:tabs>
          <w:tab w:val="left" w:pos="2394"/>
        </w:tabs>
        <w:kinsoku/>
        <w:wordWrap/>
        <w:overflowPunct/>
        <w:topLinePunct w:val="0"/>
        <w:bidi w:val="0"/>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承诺单位：（公章）</w:t>
      </w:r>
    </w:p>
    <w:p w14:paraId="47EC3B6E">
      <w:pPr>
        <w:keepNext w:val="0"/>
        <w:keepLines w:val="0"/>
        <w:pageBreakBefore w:val="0"/>
        <w:widowControl/>
        <w:tabs>
          <w:tab w:val="left" w:pos="2394"/>
        </w:tabs>
        <w:kinsoku/>
        <w:wordWrap/>
        <w:overflowPunct/>
        <w:topLinePunct w:val="0"/>
        <w:bidi w:val="0"/>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法定代表人或其授权代表</w:t>
      </w:r>
      <w:r>
        <w:rPr>
          <w:rFonts w:hint="eastAsia" w:ascii="宋体" w:hAnsi="宋体" w:eastAsia="宋体" w:cs="宋体"/>
          <w:color w:val="auto"/>
          <w:kern w:val="0"/>
          <w:sz w:val="21"/>
          <w:szCs w:val="21"/>
          <w:highlight w:val="none"/>
        </w:rPr>
        <w:t>：（签字或盖章）</w:t>
      </w:r>
    </w:p>
    <w:p w14:paraId="72FFA121">
      <w:pPr>
        <w:keepNext w:val="0"/>
        <w:keepLines w:val="0"/>
        <w:pageBreakBefore w:val="0"/>
        <w:widowControl/>
        <w:tabs>
          <w:tab w:val="left" w:pos="2394"/>
        </w:tabs>
        <w:kinsoku/>
        <w:wordWrap/>
        <w:overflowPunct/>
        <w:topLinePunct w:val="0"/>
        <w:bidi w:val="0"/>
        <w:snapToGrid/>
        <w:spacing w:line="36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地址：</w:t>
      </w:r>
    </w:p>
    <w:p w14:paraId="61614AD3">
      <w:pPr>
        <w:keepNext w:val="0"/>
        <w:keepLines w:val="0"/>
        <w:pageBreakBefore w:val="0"/>
        <w:widowControl/>
        <w:tabs>
          <w:tab w:val="left" w:pos="2394"/>
        </w:tabs>
        <w:kinsoku/>
        <w:wordWrap/>
        <w:overflowPunct/>
        <w:topLinePunct w:val="0"/>
        <w:bidi w:val="0"/>
        <w:snapToGrid/>
        <w:spacing w:line="36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邮编：</w:t>
      </w:r>
    </w:p>
    <w:p w14:paraId="613C5694">
      <w:pPr>
        <w:keepNext w:val="0"/>
        <w:keepLines w:val="0"/>
        <w:pageBreakBefore w:val="0"/>
        <w:tabs>
          <w:tab w:val="left" w:pos="5580"/>
        </w:tabs>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电话：</w:t>
      </w:r>
    </w:p>
    <w:p w14:paraId="292EDF1B">
      <w:pPr>
        <w:pStyle w:val="16"/>
        <w:keepNext w:val="0"/>
        <w:keepLines w:val="0"/>
        <w:pageBreakBefore w:val="0"/>
        <w:kinsoku/>
        <w:wordWrap/>
        <w:overflowPunct/>
        <w:topLinePunct w:val="0"/>
        <w:bidi w:val="0"/>
        <w:spacing w:line="360" w:lineRule="auto"/>
        <w:ind w:firstLine="42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日期：</w:t>
      </w:r>
    </w:p>
    <w:p w14:paraId="722F69C1">
      <w:pPr>
        <w:keepNext w:val="0"/>
        <w:keepLines w:val="0"/>
        <w:pageBreakBefore w:val="0"/>
        <w:kinsoku/>
        <w:wordWrap/>
        <w:overflowPunct/>
        <w:topLinePunct w:val="0"/>
        <w:bidi w:val="0"/>
        <w:spacing w:line="360" w:lineRule="auto"/>
        <w:ind w:firstLine="420"/>
        <w:textAlignment w:val="auto"/>
        <w:rPr>
          <w:rFonts w:hint="eastAsia" w:ascii="宋体" w:hAnsi="宋体" w:eastAsia="宋体" w:cs="宋体"/>
          <w:color w:val="auto"/>
          <w:highlight w:val="none"/>
          <w:lang w:val="en-US" w:eastAsia="zh-CN"/>
        </w:rPr>
      </w:pPr>
    </w:p>
    <w:p w14:paraId="1918CB7F">
      <w:pPr>
        <w:pStyle w:val="16"/>
        <w:keepNext w:val="0"/>
        <w:keepLines w:val="0"/>
        <w:pageBreakBefore w:val="0"/>
        <w:kinsoku/>
        <w:wordWrap/>
        <w:overflowPunct/>
        <w:topLinePunct w:val="0"/>
        <w:bidi w:val="0"/>
        <w:spacing w:line="360" w:lineRule="auto"/>
        <w:textAlignment w:val="auto"/>
        <w:rPr>
          <w:rFonts w:hint="eastAsia" w:ascii="宋体" w:hAnsi="宋体" w:eastAsia="宋体" w:cs="宋体"/>
          <w:color w:val="auto"/>
          <w:highlight w:val="none"/>
          <w:lang w:val="en-US" w:eastAsia="zh-CN"/>
        </w:rPr>
      </w:pPr>
    </w:p>
    <w:p w14:paraId="2DBEF76E">
      <w:pPr>
        <w:rPr>
          <w:rFonts w:hint="eastAsia" w:ascii="宋体" w:hAnsi="宋体" w:eastAsia="宋体" w:cs="宋体"/>
          <w:color w:val="auto"/>
          <w:highlight w:val="none"/>
          <w:lang w:val="en-US" w:eastAsia="zh-CN"/>
        </w:rPr>
      </w:pPr>
    </w:p>
    <w:p w14:paraId="29F63EC2">
      <w:pPr>
        <w:pStyle w:val="22"/>
        <w:rPr>
          <w:rFonts w:hint="eastAsia" w:ascii="宋体" w:hAnsi="宋体" w:eastAsia="宋体" w:cs="宋体"/>
          <w:color w:val="auto"/>
          <w:highlight w:val="none"/>
          <w:lang w:val="en-US" w:eastAsia="zh-CN"/>
        </w:rPr>
      </w:pPr>
    </w:p>
    <w:p w14:paraId="2388142F">
      <w:pPr>
        <w:pStyle w:val="22"/>
        <w:rPr>
          <w:rFonts w:hint="eastAsia" w:ascii="宋体" w:hAnsi="宋体" w:eastAsia="宋体" w:cs="宋体"/>
          <w:color w:val="auto"/>
          <w:highlight w:val="none"/>
          <w:lang w:val="en-US" w:eastAsia="zh-CN"/>
        </w:rPr>
      </w:pPr>
    </w:p>
    <w:p w14:paraId="10322942">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highlight w:val="none"/>
          <w:lang w:val="en-US" w:eastAsia="zh-CN"/>
        </w:rPr>
      </w:pPr>
    </w:p>
    <w:p w14:paraId="1DAD786F">
      <w:pPr>
        <w:pStyle w:val="16"/>
        <w:keepNext w:val="0"/>
        <w:keepLines w:val="0"/>
        <w:pageBreakBefore w:val="0"/>
        <w:kinsoku/>
        <w:wordWrap/>
        <w:overflowPunct/>
        <w:topLinePunct w:val="0"/>
        <w:bidi w:val="0"/>
        <w:spacing w:line="360" w:lineRule="auto"/>
        <w:textAlignment w:val="auto"/>
        <w:rPr>
          <w:rFonts w:hint="eastAsia" w:ascii="宋体" w:hAnsi="宋体" w:eastAsia="宋体" w:cs="宋体"/>
          <w:color w:val="auto"/>
          <w:highlight w:val="none"/>
          <w:lang w:val="en-US" w:eastAsia="zh-CN"/>
        </w:rPr>
      </w:pPr>
    </w:p>
    <w:p w14:paraId="3F0EC089">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highlight w:val="none"/>
          <w:lang w:val="en-US" w:eastAsia="zh-CN"/>
        </w:rPr>
      </w:pPr>
    </w:p>
    <w:p w14:paraId="4820B929">
      <w:pPr>
        <w:pStyle w:val="16"/>
        <w:keepLines w:val="0"/>
        <w:pageBreakBefore w:val="0"/>
        <w:kinsoku/>
        <w:wordWrap/>
        <w:overflowPunct/>
        <w:topLinePunct w:val="0"/>
        <w:bidi w:val="0"/>
        <w:spacing w:line="360" w:lineRule="auto"/>
        <w:textAlignment w:val="auto"/>
        <w:rPr>
          <w:rFonts w:hint="eastAsia" w:ascii="宋体" w:hAnsi="宋体" w:eastAsia="宋体" w:cs="宋体"/>
          <w:color w:val="auto"/>
          <w:highlight w:val="none"/>
          <w:lang w:val="en-US" w:eastAsia="zh-CN"/>
        </w:rPr>
      </w:pPr>
    </w:p>
    <w:p w14:paraId="34733B30">
      <w:pPr>
        <w:pStyle w:val="16"/>
        <w:keepNext w:val="0"/>
        <w:keepLines w:val="0"/>
        <w:pageBreakBefore w:val="0"/>
        <w:kinsoku/>
        <w:wordWrap/>
        <w:overflowPunct/>
        <w:topLinePunct w:val="0"/>
        <w:bidi w:val="0"/>
        <w:spacing w:line="360" w:lineRule="auto"/>
        <w:textAlignment w:val="auto"/>
        <w:rPr>
          <w:rFonts w:hint="eastAsia" w:ascii="宋体" w:hAnsi="宋体" w:eastAsia="宋体" w:cs="宋体"/>
          <w:color w:val="auto"/>
          <w:highlight w:val="none"/>
          <w:lang w:val="en-US" w:eastAsia="zh-CN"/>
        </w:rPr>
      </w:pPr>
    </w:p>
    <w:p w14:paraId="7DAAC9E8">
      <w:pPr>
        <w:pStyle w:val="137"/>
        <w:keepLines w:val="0"/>
        <w:pageBreakBefore w:val="0"/>
        <w:kinsoku/>
        <w:wordWrap/>
        <w:overflowPunct/>
        <w:topLinePunct w:val="0"/>
        <w:bidi w:val="0"/>
        <w:spacing w:before="0" w:after="0" w:line="360" w:lineRule="auto"/>
        <w:jc w:val="center"/>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zh-CN" w:eastAsia="zh-CN"/>
        </w:rPr>
        <w:t>供应商书面声明</w:t>
      </w:r>
    </w:p>
    <w:p w14:paraId="3D2AEA0C">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bCs/>
          <w:color w:val="auto"/>
          <w:sz w:val="21"/>
          <w:szCs w:val="21"/>
          <w:highlight w:val="none"/>
          <w:lang w:val="zh-CN"/>
        </w:rPr>
      </w:pPr>
    </w:p>
    <w:p w14:paraId="2318BC23">
      <w:pPr>
        <w:pStyle w:val="16"/>
        <w:keepNext w:val="0"/>
        <w:keepLines w:val="0"/>
        <w:pageBreakBefore w:val="0"/>
        <w:kinsoku/>
        <w:wordWrap/>
        <w:overflowPunct/>
        <w:topLinePunct w:val="0"/>
        <w:bidi w:val="0"/>
        <w:spacing w:line="360" w:lineRule="auto"/>
        <w:textAlignment w:val="auto"/>
        <w:rPr>
          <w:rFonts w:hint="eastAsia" w:ascii="宋体" w:hAnsi="宋体" w:eastAsia="宋体" w:cs="宋体"/>
          <w:b/>
          <w:color w:val="auto"/>
          <w:sz w:val="21"/>
          <w:szCs w:val="21"/>
          <w:highlight w:val="none"/>
        </w:rPr>
      </w:pPr>
      <w:r>
        <w:rPr>
          <w:rFonts w:hint="eastAsia" w:ascii="宋体" w:hAnsi="宋体" w:cs="宋体"/>
          <w:color w:val="auto"/>
          <w:sz w:val="21"/>
          <w:szCs w:val="21"/>
          <w:highlight w:val="none"/>
          <w:lang w:eastAsia="zh-CN"/>
        </w:rPr>
        <w:t>泾阳县政府采购中心</w:t>
      </w:r>
      <w:r>
        <w:rPr>
          <w:rFonts w:hint="eastAsia" w:ascii="宋体" w:hAnsi="宋体" w:eastAsia="宋体" w:cs="宋体"/>
          <w:color w:val="auto"/>
          <w:sz w:val="21"/>
          <w:szCs w:val="21"/>
          <w:highlight w:val="none"/>
        </w:rPr>
        <w:t>：</w:t>
      </w:r>
    </w:p>
    <w:p w14:paraId="0095E0EC">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作为参加贵单位组织的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的供应商，本公司郑重承诺：</w:t>
      </w:r>
    </w:p>
    <w:p w14:paraId="30DE989C">
      <w:pPr>
        <w:keepNext w:val="0"/>
        <w:keepLines w:val="0"/>
        <w:pageBreakBefore w:val="0"/>
        <w:widowControl w:val="0"/>
        <w:numPr>
          <w:ilvl w:val="0"/>
          <w:numId w:val="13"/>
        </w:numPr>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在参加本项目磋商之前不存在被依法禁止经营行为、财产被接管或冻结的情况，如有隐瞒实情，愿承担一切责任及后果。</w:t>
      </w:r>
    </w:p>
    <w:p w14:paraId="51DCBBB8">
      <w:pPr>
        <w:keepNext w:val="0"/>
        <w:keepLines w:val="0"/>
        <w:pageBreakBefore w:val="0"/>
        <w:widowControl w:val="0"/>
        <w:numPr>
          <w:ilvl w:val="0"/>
          <w:numId w:val="13"/>
        </w:numPr>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近三年受到有关行政主管部门的行政处理、不良行为记录为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次（没有填零），如有隐瞒实情，愿承担一切责任及后果。</w:t>
      </w:r>
    </w:p>
    <w:p w14:paraId="4B892C40">
      <w:pPr>
        <w:keepNext w:val="0"/>
        <w:keepLines w:val="0"/>
        <w:pageBreakBefore w:val="0"/>
        <w:widowControl w:val="0"/>
        <w:numPr>
          <w:ilvl w:val="0"/>
          <w:numId w:val="13"/>
        </w:numPr>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参加本次磋商提交的所有资质证明文件及业绩证明文件是真实的、有效的，如有隐瞒实情，愿承担一切责任及后果。</w:t>
      </w:r>
    </w:p>
    <w:p w14:paraId="48FE5048">
      <w:pPr>
        <w:keepNext w:val="0"/>
        <w:keepLines w:val="0"/>
        <w:pageBreakBefore w:val="0"/>
        <w:widowControl w:val="0"/>
        <w:kinsoku/>
        <w:wordWrap/>
        <w:overflowPunct/>
        <w:topLinePunct w:val="0"/>
        <w:autoSpaceDE w:val="0"/>
        <w:autoSpaceDN w:val="0"/>
        <w:bidi w:val="0"/>
        <w:adjustRightInd w:val="0"/>
        <w:spacing w:line="360" w:lineRule="auto"/>
        <w:ind w:firstLine="422" w:firstLineChars="200"/>
        <w:textAlignment w:val="auto"/>
        <w:rPr>
          <w:rFonts w:hint="eastAsia" w:ascii="宋体" w:hAnsi="宋体" w:eastAsia="宋体" w:cs="宋体"/>
          <w:b/>
          <w:color w:val="auto"/>
          <w:sz w:val="21"/>
          <w:szCs w:val="21"/>
          <w:highlight w:val="none"/>
        </w:rPr>
      </w:pPr>
    </w:p>
    <w:p w14:paraId="6B85B1B5">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 xml:space="preserve"> </w:t>
      </w:r>
    </w:p>
    <w:p w14:paraId="2ECBF4C9">
      <w:pPr>
        <w:keepNext w:val="0"/>
        <w:keepLines w:val="0"/>
        <w:pageBreakBefore w:val="0"/>
        <w:widowControl w:val="0"/>
        <w:kinsoku/>
        <w:wordWrap/>
        <w:overflowPunct/>
        <w:topLinePunct w:val="0"/>
        <w:bidi w:val="0"/>
        <w:adjustRightInd w:val="0"/>
        <w:snapToGrid w:val="0"/>
        <w:spacing w:line="360" w:lineRule="auto"/>
        <w:ind w:firstLine="315" w:firstLineChars="15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供应商（单位公章）：</w:t>
      </w:r>
      <w:r>
        <w:rPr>
          <w:rFonts w:hint="eastAsia" w:ascii="宋体" w:hAnsi="宋体" w:eastAsia="宋体" w:cs="宋体"/>
          <w:color w:val="auto"/>
          <w:sz w:val="21"/>
          <w:szCs w:val="21"/>
          <w:highlight w:val="none"/>
          <w:lang w:val="en-US" w:eastAsia="zh-CN"/>
        </w:rPr>
        <w:t xml:space="preserve">                                  </w:t>
      </w:r>
    </w:p>
    <w:p w14:paraId="0217E8D8">
      <w:pPr>
        <w:keepNext w:val="0"/>
        <w:keepLines w:val="0"/>
        <w:pageBreakBefore w:val="0"/>
        <w:widowControl w:val="0"/>
        <w:kinsoku/>
        <w:wordWrap/>
        <w:overflowPunct/>
        <w:topLinePunct w:val="0"/>
        <w:bidi w:val="0"/>
        <w:adjustRightInd w:val="0"/>
        <w:snapToGrid w:val="0"/>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法定代表人或其授权代表（签字或盖章）：</w:t>
      </w:r>
    </w:p>
    <w:p w14:paraId="641D559D">
      <w:pPr>
        <w:keepNext w:val="0"/>
        <w:keepLines w:val="0"/>
        <w:pageBreakBefore w:val="0"/>
        <w:widowControl w:val="0"/>
        <w:kinsoku/>
        <w:wordWrap/>
        <w:overflowPunct/>
        <w:topLinePunct w:val="0"/>
        <w:bidi w:val="0"/>
        <w:adjustRightInd w:val="0"/>
        <w:snapToGrid w:val="0"/>
        <w:spacing w:line="360" w:lineRule="auto"/>
        <w:ind w:firstLine="630" w:firstLineChars="3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none"/>
          <w:lang w:val="en-US" w:eastAsia="zh-CN"/>
        </w:rPr>
        <w:t>日</w:t>
      </w:r>
    </w:p>
    <w:p w14:paraId="761C67BF">
      <w:pPr>
        <w:pStyle w:val="16"/>
        <w:keepLines w:val="0"/>
        <w:pageBreakBefore w:val="0"/>
        <w:kinsoku/>
        <w:bidi w:val="0"/>
        <w:spacing w:line="360" w:lineRule="auto"/>
        <w:rPr>
          <w:rFonts w:hint="eastAsia" w:ascii="宋体" w:hAnsi="宋体" w:eastAsia="宋体" w:cs="宋体"/>
          <w:color w:val="auto"/>
          <w:sz w:val="24"/>
          <w:szCs w:val="24"/>
          <w:highlight w:val="none"/>
          <w:u w:val="single"/>
        </w:rPr>
      </w:pPr>
    </w:p>
    <w:p w14:paraId="723192D2">
      <w:pPr>
        <w:keepLines w:val="0"/>
        <w:pageBreakBefore w:val="0"/>
        <w:kinsoku/>
        <w:bidi w:val="0"/>
        <w:spacing w:line="360" w:lineRule="auto"/>
        <w:rPr>
          <w:rFonts w:hint="eastAsia" w:ascii="宋体" w:hAnsi="宋体" w:eastAsia="宋体" w:cs="宋体"/>
          <w:color w:val="auto"/>
          <w:sz w:val="24"/>
          <w:szCs w:val="24"/>
          <w:highlight w:val="none"/>
          <w:u w:val="single"/>
        </w:rPr>
      </w:pPr>
    </w:p>
    <w:p w14:paraId="499B3799">
      <w:pPr>
        <w:pStyle w:val="35"/>
        <w:rPr>
          <w:rFonts w:hint="eastAsia" w:ascii="宋体" w:hAnsi="宋体" w:eastAsia="宋体" w:cs="宋体"/>
          <w:color w:val="auto"/>
          <w:sz w:val="24"/>
          <w:szCs w:val="24"/>
          <w:highlight w:val="none"/>
          <w:u w:val="single"/>
        </w:rPr>
      </w:pPr>
    </w:p>
    <w:p w14:paraId="57F18E31">
      <w:pPr>
        <w:pStyle w:val="36"/>
        <w:rPr>
          <w:rFonts w:hint="eastAsia" w:ascii="宋体" w:hAnsi="宋体" w:eastAsia="宋体" w:cs="宋体"/>
          <w:color w:val="auto"/>
          <w:sz w:val="24"/>
          <w:szCs w:val="24"/>
          <w:highlight w:val="none"/>
          <w:u w:val="single"/>
        </w:rPr>
      </w:pPr>
    </w:p>
    <w:p w14:paraId="7FF0FC58">
      <w:pPr>
        <w:pStyle w:val="16"/>
        <w:rPr>
          <w:rFonts w:hint="eastAsia" w:ascii="宋体" w:hAnsi="宋体" w:eastAsia="宋体" w:cs="宋体"/>
          <w:color w:val="auto"/>
          <w:sz w:val="24"/>
          <w:szCs w:val="24"/>
          <w:highlight w:val="none"/>
          <w:u w:val="single"/>
        </w:rPr>
      </w:pPr>
    </w:p>
    <w:p w14:paraId="5C721E5D">
      <w:pPr>
        <w:rPr>
          <w:rFonts w:hint="eastAsia" w:ascii="宋体" w:hAnsi="宋体" w:eastAsia="宋体" w:cs="宋体"/>
          <w:color w:val="auto"/>
          <w:sz w:val="24"/>
          <w:szCs w:val="24"/>
          <w:highlight w:val="none"/>
          <w:u w:val="single"/>
        </w:rPr>
      </w:pPr>
    </w:p>
    <w:p w14:paraId="699303A1">
      <w:pPr>
        <w:pStyle w:val="35"/>
        <w:rPr>
          <w:rFonts w:hint="eastAsia" w:ascii="宋体" w:hAnsi="宋体" w:eastAsia="宋体" w:cs="宋体"/>
          <w:color w:val="auto"/>
          <w:sz w:val="24"/>
          <w:szCs w:val="24"/>
          <w:highlight w:val="none"/>
          <w:u w:val="single"/>
        </w:rPr>
      </w:pPr>
    </w:p>
    <w:p w14:paraId="1C202512">
      <w:pPr>
        <w:pStyle w:val="36"/>
        <w:rPr>
          <w:rFonts w:hint="eastAsia" w:ascii="宋体" w:hAnsi="宋体" w:eastAsia="宋体" w:cs="宋体"/>
          <w:color w:val="auto"/>
          <w:sz w:val="24"/>
          <w:szCs w:val="24"/>
          <w:highlight w:val="none"/>
          <w:u w:val="single"/>
        </w:rPr>
      </w:pPr>
    </w:p>
    <w:p w14:paraId="0C99C8D5">
      <w:pPr>
        <w:pStyle w:val="16"/>
        <w:rPr>
          <w:rFonts w:hint="eastAsia" w:ascii="宋体" w:hAnsi="宋体" w:eastAsia="宋体" w:cs="宋体"/>
          <w:color w:val="auto"/>
          <w:sz w:val="24"/>
          <w:szCs w:val="24"/>
          <w:highlight w:val="none"/>
          <w:u w:val="single"/>
        </w:rPr>
      </w:pPr>
    </w:p>
    <w:p w14:paraId="29931660">
      <w:pPr>
        <w:rPr>
          <w:rFonts w:hint="eastAsia" w:ascii="宋体" w:hAnsi="宋体" w:eastAsia="宋体" w:cs="宋体"/>
          <w:color w:val="auto"/>
          <w:highlight w:val="none"/>
        </w:rPr>
      </w:pPr>
    </w:p>
    <w:p w14:paraId="07F7CC0C">
      <w:pPr>
        <w:pStyle w:val="16"/>
        <w:keepLines w:val="0"/>
        <w:pageBreakBefore w:val="0"/>
        <w:kinsoku/>
        <w:bidi w:val="0"/>
        <w:spacing w:line="360" w:lineRule="auto"/>
        <w:rPr>
          <w:rFonts w:hint="eastAsia" w:ascii="宋体" w:hAnsi="宋体" w:eastAsia="宋体" w:cs="宋体"/>
          <w:color w:val="auto"/>
          <w:sz w:val="24"/>
          <w:szCs w:val="24"/>
          <w:highlight w:val="none"/>
          <w:u w:val="single"/>
        </w:rPr>
      </w:pPr>
    </w:p>
    <w:p w14:paraId="38F06CBC">
      <w:pPr>
        <w:rPr>
          <w:rFonts w:hint="eastAsia" w:ascii="宋体" w:hAnsi="宋体" w:eastAsia="宋体" w:cs="宋体"/>
          <w:color w:val="auto"/>
          <w:sz w:val="24"/>
          <w:szCs w:val="24"/>
          <w:highlight w:val="none"/>
          <w:u w:val="single"/>
        </w:rPr>
      </w:pPr>
    </w:p>
    <w:p w14:paraId="1F0A1F9D">
      <w:pPr>
        <w:pStyle w:val="35"/>
        <w:rPr>
          <w:rFonts w:hint="eastAsia" w:ascii="宋体" w:hAnsi="宋体" w:eastAsia="宋体" w:cs="宋体"/>
          <w:color w:val="auto"/>
          <w:sz w:val="24"/>
          <w:szCs w:val="24"/>
          <w:highlight w:val="none"/>
          <w:u w:val="single"/>
        </w:rPr>
      </w:pPr>
    </w:p>
    <w:p w14:paraId="014B9547">
      <w:pPr>
        <w:pStyle w:val="36"/>
        <w:rPr>
          <w:rFonts w:hint="eastAsia" w:ascii="宋体" w:hAnsi="宋体" w:eastAsia="宋体" w:cs="宋体"/>
          <w:color w:val="auto"/>
          <w:sz w:val="24"/>
          <w:szCs w:val="24"/>
          <w:highlight w:val="none"/>
          <w:u w:val="single"/>
        </w:rPr>
      </w:pPr>
    </w:p>
    <w:p w14:paraId="35946EBD">
      <w:pPr>
        <w:pStyle w:val="16"/>
        <w:rPr>
          <w:rFonts w:hint="eastAsia" w:ascii="宋体" w:hAnsi="宋体" w:eastAsia="宋体" w:cs="宋体"/>
          <w:color w:val="auto"/>
          <w:sz w:val="24"/>
          <w:szCs w:val="24"/>
          <w:highlight w:val="none"/>
          <w:u w:val="single"/>
        </w:rPr>
      </w:pPr>
    </w:p>
    <w:p w14:paraId="691CE859">
      <w:pPr>
        <w:pStyle w:val="36"/>
        <w:ind w:left="0" w:leftChars="0" w:firstLine="0" w:firstLineChars="0"/>
        <w:rPr>
          <w:rFonts w:hint="eastAsia" w:ascii="宋体" w:hAnsi="宋体" w:eastAsia="宋体" w:cs="宋体"/>
          <w:color w:val="auto"/>
          <w:sz w:val="24"/>
          <w:szCs w:val="24"/>
          <w:highlight w:val="none"/>
          <w:u w:val="single"/>
        </w:rPr>
      </w:pPr>
    </w:p>
    <w:p w14:paraId="225293AA">
      <w:pPr>
        <w:pStyle w:val="2"/>
        <w:keepLines w:val="0"/>
        <w:pageBreakBefore w:val="0"/>
        <w:kinsoku/>
        <w:wordWrap/>
        <w:overflowPunct/>
        <w:topLinePunct w:val="0"/>
        <w:bidi w:val="0"/>
        <w:spacing w:line="360" w:lineRule="auto"/>
        <w:textAlignment w:val="auto"/>
        <w:rPr>
          <w:rFonts w:hint="eastAsia" w:ascii="宋体" w:hAnsi="宋体" w:eastAsia="宋体" w:cs="宋体"/>
          <w:b/>
          <w:bCs/>
          <w:color w:val="auto"/>
          <w:sz w:val="28"/>
          <w:szCs w:val="28"/>
          <w:highlight w:val="none"/>
          <w:lang w:val="zh-CN"/>
        </w:rPr>
      </w:pPr>
      <w:bookmarkStart w:id="568" w:name="_Toc22366"/>
      <w:bookmarkStart w:id="569" w:name="_Toc6616"/>
      <w:bookmarkStart w:id="570" w:name="_Toc12344"/>
      <w:r>
        <w:rPr>
          <w:rFonts w:hint="eastAsia" w:ascii="宋体" w:hAnsi="宋体" w:eastAsia="宋体" w:cs="宋体"/>
          <w:b/>
          <w:bCs/>
          <w:color w:val="auto"/>
          <w:sz w:val="28"/>
          <w:szCs w:val="28"/>
          <w:highlight w:val="none"/>
          <w:lang w:val="zh-CN"/>
        </w:rPr>
        <w:t>第</w:t>
      </w:r>
      <w:r>
        <w:rPr>
          <w:rFonts w:hint="eastAsia" w:ascii="宋体" w:hAnsi="宋体" w:eastAsia="宋体" w:cs="宋体"/>
          <w:b/>
          <w:bCs/>
          <w:color w:val="auto"/>
          <w:sz w:val="28"/>
          <w:szCs w:val="28"/>
          <w:highlight w:val="none"/>
          <w:lang w:val="en-US" w:eastAsia="zh-CN"/>
        </w:rPr>
        <w:t>七</w:t>
      </w:r>
      <w:r>
        <w:rPr>
          <w:rFonts w:hint="eastAsia" w:ascii="宋体" w:hAnsi="宋体" w:eastAsia="宋体" w:cs="宋体"/>
          <w:b/>
          <w:bCs/>
          <w:color w:val="auto"/>
          <w:sz w:val="28"/>
          <w:szCs w:val="28"/>
          <w:highlight w:val="none"/>
          <w:lang w:val="zh-CN"/>
        </w:rPr>
        <w:t>部分</w:t>
      </w:r>
      <w:bookmarkEnd w:id="568"/>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val="zh-CN"/>
        </w:rPr>
        <w:t>项目管理机构</w:t>
      </w:r>
      <w:bookmarkEnd w:id="569"/>
      <w:bookmarkEnd w:id="570"/>
    </w:p>
    <w:p w14:paraId="507B1CB3">
      <w:pPr>
        <w:pStyle w:val="137"/>
        <w:keepLines w:val="0"/>
        <w:pageBreakBefore w:val="0"/>
        <w:kinsoku/>
        <w:wordWrap/>
        <w:overflowPunct/>
        <w:topLinePunct w:val="0"/>
        <w:bidi w:val="0"/>
        <w:spacing w:before="0" w:after="0" w:line="36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（一）项目管理机构组成表</w:t>
      </w:r>
    </w:p>
    <w:tbl>
      <w:tblPr>
        <w:tblStyle w:val="37"/>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37"/>
        <w:gridCol w:w="1025"/>
        <w:gridCol w:w="1674"/>
        <w:gridCol w:w="1038"/>
        <w:gridCol w:w="1246"/>
        <w:gridCol w:w="1695"/>
        <w:gridCol w:w="859"/>
      </w:tblGrid>
      <w:tr w14:paraId="28395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23" w:type="dxa"/>
            <w:vMerge w:val="restart"/>
            <w:vAlign w:val="center"/>
          </w:tcPr>
          <w:p w14:paraId="48E05D74">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837" w:type="dxa"/>
            <w:vMerge w:val="restart"/>
            <w:vAlign w:val="center"/>
          </w:tcPr>
          <w:p w14:paraId="131BE6AC">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025" w:type="dxa"/>
            <w:vMerge w:val="restart"/>
            <w:vAlign w:val="center"/>
          </w:tcPr>
          <w:p w14:paraId="6725BA92">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5653" w:type="dxa"/>
            <w:gridSpan w:val="4"/>
            <w:vAlign w:val="center"/>
          </w:tcPr>
          <w:p w14:paraId="2973D7CE">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执业或职业资格证明</w:t>
            </w:r>
          </w:p>
        </w:tc>
        <w:tc>
          <w:tcPr>
            <w:tcW w:w="859" w:type="dxa"/>
            <w:vAlign w:val="center"/>
          </w:tcPr>
          <w:p w14:paraId="2C2D1191">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59527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23" w:type="dxa"/>
            <w:vMerge w:val="continue"/>
            <w:vAlign w:val="top"/>
          </w:tcPr>
          <w:p w14:paraId="4402B480">
            <w:pPr>
              <w:keepLines w:val="0"/>
              <w:pageBreakBefore w:val="0"/>
              <w:kinsoku/>
              <w:bidi w:val="0"/>
              <w:spacing w:line="360" w:lineRule="auto"/>
              <w:rPr>
                <w:rFonts w:hint="eastAsia" w:ascii="宋体" w:hAnsi="宋体" w:eastAsia="宋体" w:cs="宋体"/>
                <w:color w:val="auto"/>
                <w:sz w:val="21"/>
                <w:szCs w:val="21"/>
                <w:highlight w:val="none"/>
              </w:rPr>
            </w:pPr>
          </w:p>
        </w:tc>
        <w:tc>
          <w:tcPr>
            <w:tcW w:w="837" w:type="dxa"/>
            <w:vMerge w:val="continue"/>
            <w:vAlign w:val="top"/>
          </w:tcPr>
          <w:p w14:paraId="0DB16AD6">
            <w:pPr>
              <w:keepLines w:val="0"/>
              <w:pageBreakBefore w:val="0"/>
              <w:kinsoku/>
              <w:bidi w:val="0"/>
              <w:spacing w:line="360" w:lineRule="auto"/>
              <w:rPr>
                <w:rFonts w:hint="eastAsia" w:ascii="宋体" w:hAnsi="宋体" w:eastAsia="宋体" w:cs="宋体"/>
                <w:color w:val="auto"/>
                <w:sz w:val="21"/>
                <w:szCs w:val="21"/>
                <w:highlight w:val="none"/>
              </w:rPr>
            </w:pPr>
          </w:p>
        </w:tc>
        <w:tc>
          <w:tcPr>
            <w:tcW w:w="1025" w:type="dxa"/>
            <w:vMerge w:val="continue"/>
            <w:vAlign w:val="top"/>
          </w:tcPr>
          <w:p w14:paraId="3433FA2B">
            <w:pPr>
              <w:keepLines w:val="0"/>
              <w:pageBreakBefore w:val="0"/>
              <w:kinsoku/>
              <w:bidi w:val="0"/>
              <w:spacing w:line="360" w:lineRule="auto"/>
              <w:rPr>
                <w:rFonts w:hint="eastAsia" w:ascii="宋体" w:hAnsi="宋体" w:eastAsia="宋体" w:cs="宋体"/>
                <w:color w:val="auto"/>
                <w:sz w:val="21"/>
                <w:szCs w:val="21"/>
                <w:highlight w:val="none"/>
              </w:rPr>
            </w:pPr>
          </w:p>
        </w:tc>
        <w:tc>
          <w:tcPr>
            <w:tcW w:w="1674" w:type="dxa"/>
            <w:vAlign w:val="center"/>
          </w:tcPr>
          <w:p w14:paraId="377ACB56">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证书名称</w:t>
            </w:r>
          </w:p>
        </w:tc>
        <w:tc>
          <w:tcPr>
            <w:tcW w:w="1038" w:type="dxa"/>
            <w:vAlign w:val="center"/>
          </w:tcPr>
          <w:p w14:paraId="5F506FFF">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级别</w:t>
            </w:r>
          </w:p>
        </w:tc>
        <w:tc>
          <w:tcPr>
            <w:tcW w:w="1246" w:type="dxa"/>
            <w:vAlign w:val="center"/>
          </w:tcPr>
          <w:p w14:paraId="0808FB30">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证号</w:t>
            </w:r>
          </w:p>
        </w:tc>
        <w:tc>
          <w:tcPr>
            <w:tcW w:w="1695" w:type="dxa"/>
            <w:vAlign w:val="center"/>
          </w:tcPr>
          <w:p w14:paraId="4A6FB7C4">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w:t>
            </w:r>
          </w:p>
        </w:tc>
        <w:tc>
          <w:tcPr>
            <w:tcW w:w="859" w:type="dxa"/>
            <w:vAlign w:val="top"/>
          </w:tcPr>
          <w:p w14:paraId="1131C6D6">
            <w:pPr>
              <w:keepLines w:val="0"/>
              <w:pageBreakBefore w:val="0"/>
              <w:kinsoku/>
              <w:bidi w:val="0"/>
              <w:spacing w:line="360" w:lineRule="auto"/>
              <w:rPr>
                <w:rFonts w:hint="eastAsia" w:ascii="宋体" w:hAnsi="宋体" w:eastAsia="宋体" w:cs="宋体"/>
                <w:color w:val="auto"/>
                <w:sz w:val="21"/>
                <w:szCs w:val="21"/>
                <w:highlight w:val="none"/>
              </w:rPr>
            </w:pPr>
          </w:p>
        </w:tc>
      </w:tr>
      <w:tr w14:paraId="79DCA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23" w:type="dxa"/>
            <w:vAlign w:val="top"/>
          </w:tcPr>
          <w:p w14:paraId="00C106C5">
            <w:pPr>
              <w:keepLines w:val="0"/>
              <w:pageBreakBefore w:val="0"/>
              <w:kinsoku/>
              <w:bidi w:val="0"/>
              <w:spacing w:line="360" w:lineRule="auto"/>
              <w:rPr>
                <w:rFonts w:hint="eastAsia" w:ascii="宋体" w:hAnsi="宋体" w:eastAsia="宋体" w:cs="宋体"/>
                <w:color w:val="auto"/>
                <w:sz w:val="21"/>
                <w:szCs w:val="21"/>
                <w:highlight w:val="none"/>
              </w:rPr>
            </w:pPr>
          </w:p>
        </w:tc>
        <w:tc>
          <w:tcPr>
            <w:tcW w:w="837" w:type="dxa"/>
            <w:vAlign w:val="top"/>
          </w:tcPr>
          <w:p w14:paraId="6C0B07BA">
            <w:pPr>
              <w:keepLines w:val="0"/>
              <w:pageBreakBefore w:val="0"/>
              <w:kinsoku/>
              <w:bidi w:val="0"/>
              <w:spacing w:line="360" w:lineRule="auto"/>
              <w:rPr>
                <w:rFonts w:hint="eastAsia" w:ascii="宋体" w:hAnsi="宋体" w:eastAsia="宋体" w:cs="宋体"/>
                <w:color w:val="auto"/>
                <w:sz w:val="21"/>
                <w:szCs w:val="21"/>
                <w:highlight w:val="none"/>
              </w:rPr>
            </w:pPr>
          </w:p>
        </w:tc>
        <w:tc>
          <w:tcPr>
            <w:tcW w:w="1025" w:type="dxa"/>
            <w:vAlign w:val="top"/>
          </w:tcPr>
          <w:p w14:paraId="57E230EB">
            <w:pPr>
              <w:keepLines w:val="0"/>
              <w:pageBreakBefore w:val="0"/>
              <w:kinsoku/>
              <w:bidi w:val="0"/>
              <w:spacing w:line="360" w:lineRule="auto"/>
              <w:rPr>
                <w:rFonts w:hint="eastAsia" w:ascii="宋体" w:hAnsi="宋体" w:eastAsia="宋体" w:cs="宋体"/>
                <w:color w:val="auto"/>
                <w:sz w:val="21"/>
                <w:szCs w:val="21"/>
                <w:highlight w:val="none"/>
              </w:rPr>
            </w:pPr>
          </w:p>
        </w:tc>
        <w:tc>
          <w:tcPr>
            <w:tcW w:w="1674" w:type="dxa"/>
            <w:vAlign w:val="top"/>
          </w:tcPr>
          <w:p w14:paraId="63760A0F">
            <w:pPr>
              <w:keepLines w:val="0"/>
              <w:pageBreakBefore w:val="0"/>
              <w:kinsoku/>
              <w:bidi w:val="0"/>
              <w:spacing w:line="360" w:lineRule="auto"/>
              <w:rPr>
                <w:rFonts w:hint="eastAsia" w:ascii="宋体" w:hAnsi="宋体" w:eastAsia="宋体" w:cs="宋体"/>
                <w:color w:val="auto"/>
                <w:sz w:val="21"/>
                <w:szCs w:val="21"/>
                <w:highlight w:val="none"/>
              </w:rPr>
            </w:pPr>
          </w:p>
        </w:tc>
        <w:tc>
          <w:tcPr>
            <w:tcW w:w="1038" w:type="dxa"/>
            <w:vAlign w:val="top"/>
          </w:tcPr>
          <w:p w14:paraId="59CA80F8">
            <w:pPr>
              <w:keepLines w:val="0"/>
              <w:pageBreakBefore w:val="0"/>
              <w:kinsoku/>
              <w:bidi w:val="0"/>
              <w:spacing w:line="360" w:lineRule="auto"/>
              <w:rPr>
                <w:rFonts w:hint="eastAsia" w:ascii="宋体" w:hAnsi="宋体" w:eastAsia="宋体" w:cs="宋体"/>
                <w:color w:val="auto"/>
                <w:sz w:val="21"/>
                <w:szCs w:val="21"/>
                <w:highlight w:val="none"/>
              </w:rPr>
            </w:pPr>
          </w:p>
        </w:tc>
        <w:tc>
          <w:tcPr>
            <w:tcW w:w="1246" w:type="dxa"/>
            <w:vAlign w:val="top"/>
          </w:tcPr>
          <w:p w14:paraId="634F4632">
            <w:pPr>
              <w:keepLines w:val="0"/>
              <w:pageBreakBefore w:val="0"/>
              <w:kinsoku/>
              <w:bidi w:val="0"/>
              <w:spacing w:line="360" w:lineRule="auto"/>
              <w:rPr>
                <w:rFonts w:hint="eastAsia" w:ascii="宋体" w:hAnsi="宋体" w:eastAsia="宋体" w:cs="宋体"/>
                <w:color w:val="auto"/>
                <w:sz w:val="21"/>
                <w:szCs w:val="21"/>
                <w:highlight w:val="none"/>
              </w:rPr>
            </w:pPr>
          </w:p>
        </w:tc>
        <w:tc>
          <w:tcPr>
            <w:tcW w:w="1695" w:type="dxa"/>
            <w:vAlign w:val="top"/>
          </w:tcPr>
          <w:p w14:paraId="00A32A14">
            <w:pPr>
              <w:keepLines w:val="0"/>
              <w:pageBreakBefore w:val="0"/>
              <w:kinsoku/>
              <w:bidi w:val="0"/>
              <w:spacing w:line="360" w:lineRule="auto"/>
              <w:rPr>
                <w:rFonts w:hint="eastAsia" w:ascii="宋体" w:hAnsi="宋体" w:eastAsia="宋体" w:cs="宋体"/>
                <w:color w:val="auto"/>
                <w:sz w:val="21"/>
                <w:szCs w:val="21"/>
                <w:highlight w:val="none"/>
              </w:rPr>
            </w:pPr>
          </w:p>
        </w:tc>
        <w:tc>
          <w:tcPr>
            <w:tcW w:w="859" w:type="dxa"/>
            <w:vAlign w:val="top"/>
          </w:tcPr>
          <w:p w14:paraId="30F72CAA">
            <w:pPr>
              <w:keepLines w:val="0"/>
              <w:pageBreakBefore w:val="0"/>
              <w:kinsoku/>
              <w:bidi w:val="0"/>
              <w:spacing w:line="360" w:lineRule="auto"/>
              <w:rPr>
                <w:rFonts w:hint="eastAsia" w:ascii="宋体" w:hAnsi="宋体" w:eastAsia="宋体" w:cs="宋体"/>
                <w:color w:val="auto"/>
                <w:sz w:val="21"/>
                <w:szCs w:val="21"/>
                <w:highlight w:val="none"/>
              </w:rPr>
            </w:pPr>
          </w:p>
        </w:tc>
      </w:tr>
      <w:tr w14:paraId="21207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23" w:type="dxa"/>
            <w:vAlign w:val="top"/>
          </w:tcPr>
          <w:p w14:paraId="3139B622">
            <w:pPr>
              <w:keepLines w:val="0"/>
              <w:pageBreakBefore w:val="0"/>
              <w:kinsoku/>
              <w:bidi w:val="0"/>
              <w:spacing w:line="360" w:lineRule="auto"/>
              <w:rPr>
                <w:rFonts w:hint="eastAsia" w:ascii="宋体" w:hAnsi="宋体" w:eastAsia="宋体" w:cs="宋体"/>
                <w:color w:val="auto"/>
                <w:sz w:val="21"/>
                <w:szCs w:val="21"/>
                <w:highlight w:val="none"/>
              </w:rPr>
            </w:pPr>
          </w:p>
        </w:tc>
        <w:tc>
          <w:tcPr>
            <w:tcW w:w="837" w:type="dxa"/>
            <w:vAlign w:val="top"/>
          </w:tcPr>
          <w:p w14:paraId="2B5AF664">
            <w:pPr>
              <w:keepLines w:val="0"/>
              <w:pageBreakBefore w:val="0"/>
              <w:kinsoku/>
              <w:bidi w:val="0"/>
              <w:spacing w:line="360" w:lineRule="auto"/>
              <w:rPr>
                <w:rFonts w:hint="eastAsia" w:ascii="宋体" w:hAnsi="宋体" w:eastAsia="宋体" w:cs="宋体"/>
                <w:color w:val="auto"/>
                <w:sz w:val="21"/>
                <w:szCs w:val="21"/>
                <w:highlight w:val="none"/>
              </w:rPr>
            </w:pPr>
          </w:p>
        </w:tc>
        <w:tc>
          <w:tcPr>
            <w:tcW w:w="1025" w:type="dxa"/>
            <w:vAlign w:val="top"/>
          </w:tcPr>
          <w:p w14:paraId="50D82906">
            <w:pPr>
              <w:keepLines w:val="0"/>
              <w:pageBreakBefore w:val="0"/>
              <w:kinsoku/>
              <w:bidi w:val="0"/>
              <w:spacing w:line="360" w:lineRule="auto"/>
              <w:rPr>
                <w:rFonts w:hint="eastAsia" w:ascii="宋体" w:hAnsi="宋体" w:eastAsia="宋体" w:cs="宋体"/>
                <w:color w:val="auto"/>
                <w:sz w:val="21"/>
                <w:szCs w:val="21"/>
                <w:highlight w:val="none"/>
              </w:rPr>
            </w:pPr>
          </w:p>
        </w:tc>
        <w:tc>
          <w:tcPr>
            <w:tcW w:w="1674" w:type="dxa"/>
            <w:vAlign w:val="top"/>
          </w:tcPr>
          <w:p w14:paraId="482B61BD">
            <w:pPr>
              <w:keepLines w:val="0"/>
              <w:pageBreakBefore w:val="0"/>
              <w:kinsoku/>
              <w:bidi w:val="0"/>
              <w:spacing w:line="360" w:lineRule="auto"/>
              <w:rPr>
                <w:rFonts w:hint="eastAsia" w:ascii="宋体" w:hAnsi="宋体" w:eastAsia="宋体" w:cs="宋体"/>
                <w:color w:val="auto"/>
                <w:sz w:val="21"/>
                <w:szCs w:val="21"/>
                <w:highlight w:val="none"/>
              </w:rPr>
            </w:pPr>
          </w:p>
        </w:tc>
        <w:tc>
          <w:tcPr>
            <w:tcW w:w="1038" w:type="dxa"/>
            <w:vAlign w:val="top"/>
          </w:tcPr>
          <w:p w14:paraId="2795908E">
            <w:pPr>
              <w:keepLines w:val="0"/>
              <w:pageBreakBefore w:val="0"/>
              <w:kinsoku/>
              <w:bidi w:val="0"/>
              <w:spacing w:line="360" w:lineRule="auto"/>
              <w:rPr>
                <w:rFonts w:hint="eastAsia" w:ascii="宋体" w:hAnsi="宋体" w:eastAsia="宋体" w:cs="宋体"/>
                <w:color w:val="auto"/>
                <w:sz w:val="21"/>
                <w:szCs w:val="21"/>
                <w:highlight w:val="none"/>
              </w:rPr>
            </w:pPr>
          </w:p>
        </w:tc>
        <w:tc>
          <w:tcPr>
            <w:tcW w:w="1246" w:type="dxa"/>
            <w:vAlign w:val="top"/>
          </w:tcPr>
          <w:p w14:paraId="24ECE992">
            <w:pPr>
              <w:keepLines w:val="0"/>
              <w:pageBreakBefore w:val="0"/>
              <w:kinsoku/>
              <w:bidi w:val="0"/>
              <w:spacing w:line="360" w:lineRule="auto"/>
              <w:rPr>
                <w:rFonts w:hint="eastAsia" w:ascii="宋体" w:hAnsi="宋体" w:eastAsia="宋体" w:cs="宋体"/>
                <w:color w:val="auto"/>
                <w:sz w:val="21"/>
                <w:szCs w:val="21"/>
                <w:highlight w:val="none"/>
              </w:rPr>
            </w:pPr>
          </w:p>
        </w:tc>
        <w:tc>
          <w:tcPr>
            <w:tcW w:w="1695" w:type="dxa"/>
            <w:vAlign w:val="top"/>
          </w:tcPr>
          <w:p w14:paraId="648374D2">
            <w:pPr>
              <w:keepLines w:val="0"/>
              <w:pageBreakBefore w:val="0"/>
              <w:kinsoku/>
              <w:bidi w:val="0"/>
              <w:spacing w:line="360" w:lineRule="auto"/>
              <w:rPr>
                <w:rFonts w:hint="eastAsia" w:ascii="宋体" w:hAnsi="宋体" w:eastAsia="宋体" w:cs="宋体"/>
                <w:color w:val="auto"/>
                <w:sz w:val="21"/>
                <w:szCs w:val="21"/>
                <w:highlight w:val="none"/>
              </w:rPr>
            </w:pPr>
          </w:p>
        </w:tc>
        <w:tc>
          <w:tcPr>
            <w:tcW w:w="859" w:type="dxa"/>
            <w:vAlign w:val="top"/>
          </w:tcPr>
          <w:p w14:paraId="477EEC69">
            <w:pPr>
              <w:keepLines w:val="0"/>
              <w:pageBreakBefore w:val="0"/>
              <w:kinsoku/>
              <w:bidi w:val="0"/>
              <w:spacing w:line="360" w:lineRule="auto"/>
              <w:rPr>
                <w:rFonts w:hint="eastAsia" w:ascii="宋体" w:hAnsi="宋体" w:eastAsia="宋体" w:cs="宋体"/>
                <w:color w:val="auto"/>
                <w:sz w:val="21"/>
                <w:szCs w:val="21"/>
                <w:highlight w:val="none"/>
              </w:rPr>
            </w:pPr>
          </w:p>
        </w:tc>
      </w:tr>
      <w:tr w14:paraId="366EF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23" w:type="dxa"/>
            <w:vAlign w:val="top"/>
          </w:tcPr>
          <w:p w14:paraId="7BC3ACF2">
            <w:pPr>
              <w:keepLines w:val="0"/>
              <w:pageBreakBefore w:val="0"/>
              <w:kinsoku/>
              <w:bidi w:val="0"/>
              <w:spacing w:line="360" w:lineRule="auto"/>
              <w:rPr>
                <w:rFonts w:hint="eastAsia" w:ascii="宋体" w:hAnsi="宋体" w:eastAsia="宋体" w:cs="宋体"/>
                <w:color w:val="auto"/>
                <w:sz w:val="21"/>
                <w:szCs w:val="21"/>
                <w:highlight w:val="none"/>
              </w:rPr>
            </w:pPr>
          </w:p>
        </w:tc>
        <w:tc>
          <w:tcPr>
            <w:tcW w:w="837" w:type="dxa"/>
            <w:vAlign w:val="top"/>
          </w:tcPr>
          <w:p w14:paraId="0713A852">
            <w:pPr>
              <w:keepLines w:val="0"/>
              <w:pageBreakBefore w:val="0"/>
              <w:kinsoku/>
              <w:bidi w:val="0"/>
              <w:spacing w:line="360" w:lineRule="auto"/>
              <w:rPr>
                <w:rFonts w:hint="eastAsia" w:ascii="宋体" w:hAnsi="宋体" w:eastAsia="宋体" w:cs="宋体"/>
                <w:color w:val="auto"/>
                <w:sz w:val="21"/>
                <w:szCs w:val="21"/>
                <w:highlight w:val="none"/>
              </w:rPr>
            </w:pPr>
          </w:p>
        </w:tc>
        <w:tc>
          <w:tcPr>
            <w:tcW w:w="1025" w:type="dxa"/>
            <w:vAlign w:val="top"/>
          </w:tcPr>
          <w:p w14:paraId="761CCBA8">
            <w:pPr>
              <w:keepLines w:val="0"/>
              <w:pageBreakBefore w:val="0"/>
              <w:kinsoku/>
              <w:bidi w:val="0"/>
              <w:spacing w:line="360" w:lineRule="auto"/>
              <w:rPr>
                <w:rFonts w:hint="eastAsia" w:ascii="宋体" w:hAnsi="宋体" w:eastAsia="宋体" w:cs="宋体"/>
                <w:color w:val="auto"/>
                <w:sz w:val="21"/>
                <w:szCs w:val="21"/>
                <w:highlight w:val="none"/>
              </w:rPr>
            </w:pPr>
          </w:p>
        </w:tc>
        <w:tc>
          <w:tcPr>
            <w:tcW w:w="1674" w:type="dxa"/>
            <w:vAlign w:val="top"/>
          </w:tcPr>
          <w:p w14:paraId="6C7EAABA">
            <w:pPr>
              <w:keepLines w:val="0"/>
              <w:pageBreakBefore w:val="0"/>
              <w:kinsoku/>
              <w:bidi w:val="0"/>
              <w:spacing w:line="360" w:lineRule="auto"/>
              <w:rPr>
                <w:rFonts w:hint="eastAsia" w:ascii="宋体" w:hAnsi="宋体" w:eastAsia="宋体" w:cs="宋体"/>
                <w:color w:val="auto"/>
                <w:sz w:val="21"/>
                <w:szCs w:val="21"/>
                <w:highlight w:val="none"/>
              </w:rPr>
            </w:pPr>
          </w:p>
        </w:tc>
        <w:tc>
          <w:tcPr>
            <w:tcW w:w="1038" w:type="dxa"/>
            <w:vAlign w:val="top"/>
          </w:tcPr>
          <w:p w14:paraId="23F55F0C">
            <w:pPr>
              <w:keepLines w:val="0"/>
              <w:pageBreakBefore w:val="0"/>
              <w:kinsoku/>
              <w:bidi w:val="0"/>
              <w:spacing w:line="360" w:lineRule="auto"/>
              <w:rPr>
                <w:rFonts w:hint="eastAsia" w:ascii="宋体" w:hAnsi="宋体" w:eastAsia="宋体" w:cs="宋体"/>
                <w:color w:val="auto"/>
                <w:sz w:val="21"/>
                <w:szCs w:val="21"/>
                <w:highlight w:val="none"/>
              </w:rPr>
            </w:pPr>
          </w:p>
        </w:tc>
        <w:tc>
          <w:tcPr>
            <w:tcW w:w="1246" w:type="dxa"/>
            <w:vAlign w:val="top"/>
          </w:tcPr>
          <w:p w14:paraId="436C9F8C">
            <w:pPr>
              <w:keepLines w:val="0"/>
              <w:pageBreakBefore w:val="0"/>
              <w:kinsoku/>
              <w:bidi w:val="0"/>
              <w:spacing w:line="360" w:lineRule="auto"/>
              <w:rPr>
                <w:rFonts w:hint="eastAsia" w:ascii="宋体" w:hAnsi="宋体" w:eastAsia="宋体" w:cs="宋体"/>
                <w:color w:val="auto"/>
                <w:sz w:val="21"/>
                <w:szCs w:val="21"/>
                <w:highlight w:val="none"/>
              </w:rPr>
            </w:pPr>
          </w:p>
        </w:tc>
        <w:tc>
          <w:tcPr>
            <w:tcW w:w="1695" w:type="dxa"/>
            <w:vAlign w:val="top"/>
          </w:tcPr>
          <w:p w14:paraId="2454E456">
            <w:pPr>
              <w:keepLines w:val="0"/>
              <w:pageBreakBefore w:val="0"/>
              <w:kinsoku/>
              <w:bidi w:val="0"/>
              <w:spacing w:line="360" w:lineRule="auto"/>
              <w:rPr>
                <w:rFonts w:hint="eastAsia" w:ascii="宋体" w:hAnsi="宋体" w:eastAsia="宋体" w:cs="宋体"/>
                <w:color w:val="auto"/>
                <w:sz w:val="21"/>
                <w:szCs w:val="21"/>
                <w:highlight w:val="none"/>
              </w:rPr>
            </w:pPr>
          </w:p>
        </w:tc>
        <w:tc>
          <w:tcPr>
            <w:tcW w:w="859" w:type="dxa"/>
            <w:vAlign w:val="top"/>
          </w:tcPr>
          <w:p w14:paraId="530BF503">
            <w:pPr>
              <w:keepLines w:val="0"/>
              <w:pageBreakBefore w:val="0"/>
              <w:kinsoku/>
              <w:bidi w:val="0"/>
              <w:spacing w:line="360" w:lineRule="auto"/>
              <w:rPr>
                <w:rFonts w:hint="eastAsia" w:ascii="宋体" w:hAnsi="宋体" w:eastAsia="宋体" w:cs="宋体"/>
                <w:color w:val="auto"/>
                <w:sz w:val="21"/>
                <w:szCs w:val="21"/>
                <w:highlight w:val="none"/>
              </w:rPr>
            </w:pPr>
          </w:p>
        </w:tc>
      </w:tr>
      <w:tr w14:paraId="3EDC4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23" w:type="dxa"/>
            <w:vAlign w:val="top"/>
          </w:tcPr>
          <w:p w14:paraId="31C8E5FD">
            <w:pPr>
              <w:keepLines w:val="0"/>
              <w:pageBreakBefore w:val="0"/>
              <w:kinsoku/>
              <w:bidi w:val="0"/>
              <w:spacing w:line="360" w:lineRule="auto"/>
              <w:rPr>
                <w:rFonts w:hint="eastAsia" w:ascii="宋体" w:hAnsi="宋体" w:eastAsia="宋体" w:cs="宋体"/>
                <w:color w:val="auto"/>
                <w:sz w:val="21"/>
                <w:szCs w:val="21"/>
                <w:highlight w:val="none"/>
              </w:rPr>
            </w:pPr>
          </w:p>
        </w:tc>
        <w:tc>
          <w:tcPr>
            <w:tcW w:w="837" w:type="dxa"/>
            <w:vAlign w:val="top"/>
          </w:tcPr>
          <w:p w14:paraId="61B7D18F">
            <w:pPr>
              <w:keepLines w:val="0"/>
              <w:pageBreakBefore w:val="0"/>
              <w:kinsoku/>
              <w:bidi w:val="0"/>
              <w:spacing w:line="360" w:lineRule="auto"/>
              <w:rPr>
                <w:rFonts w:hint="eastAsia" w:ascii="宋体" w:hAnsi="宋体" w:eastAsia="宋体" w:cs="宋体"/>
                <w:color w:val="auto"/>
                <w:sz w:val="21"/>
                <w:szCs w:val="21"/>
                <w:highlight w:val="none"/>
              </w:rPr>
            </w:pPr>
          </w:p>
        </w:tc>
        <w:tc>
          <w:tcPr>
            <w:tcW w:w="1025" w:type="dxa"/>
            <w:vAlign w:val="top"/>
          </w:tcPr>
          <w:p w14:paraId="667E61C9">
            <w:pPr>
              <w:keepLines w:val="0"/>
              <w:pageBreakBefore w:val="0"/>
              <w:kinsoku/>
              <w:bidi w:val="0"/>
              <w:spacing w:line="360" w:lineRule="auto"/>
              <w:rPr>
                <w:rFonts w:hint="eastAsia" w:ascii="宋体" w:hAnsi="宋体" w:eastAsia="宋体" w:cs="宋体"/>
                <w:color w:val="auto"/>
                <w:sz w:val="21"/>
                <w:szCs w:val="21"/>
                <w:highlight w:val="none"/>
              </w:rPr>
            </w:pPr>
          </w:p>
        </w:tc>
        <w:tc>
          <w:tcPr>
            <w:tcW w:w="1674" w:type="dxa"/>
            <w:vAlign w:val="top"/>
          </w:tcPr>
          <w:p w14:paraId="490C2E00">
            <w:pPr>
              <w:keepLines w:val="0"/>
              <w:pageBreakBefore w:val="0"/>
              <w:kinsoku/>
              <w:bidi w:val="0"/>
              <w:spacing w:line="360" w:lineRule="auto"/>
              <w:rPr>
                <w:rFonts w:hint="eastAsia" w:ascii="宋体" w:hAnsi="宋体" w:eastAsia="宋体" w:cs="宋体"/>
                <w:color w:val="auto"/>
                <w:sz w:val="21"/>
                <w:szCs w:val="21"/>
                <w:highlight w:val="none"/>
              </w:rPr>
            </w:pPr>
          </w:p>
        </w:tc>
        <w:tc>
          <w:tcPr>
            <w:tcW w:w="1038" w:type="dxa"/>
            <w:vAlign w:val="top"/>
          </w:tcPr>
          <w:p w14:paraId="6F0FA508">
            <w:pPr>
              <w:keepLines w:val="0"/>
              <w:pageBreakBefore w:val="0"/>
              <w:kinsoku/>
              <w:bidi w:val="0"/>
              <w:spacing w:line="360" w:lineRule="auto"/>
              <w:rPr>
                <w:rFonts w:hint="eastAsia" w:ascii="宋体" w:hAnsi="宋体" w:eastAsia="宋体" w:cs="宋体"/>
                <w:color w:val="auto"/>
                <w:sz w:val="21"/>
                <w:szCs w:val="21"/>
                <w:highlight w:val="none"/>
              </w:rPr>
            </w:pPr>
          </w:p>
        </w:tc>
        <w:tc>
          <w:tcPr>
            <w:tcW w:w="1246" w:type="dxa"/>
            <w:vAlign w:val="top"/>
          </w:tcPr>
          <w:p w14:paraId="5E095B82">
            <w:pPr>
              <w:keepLines w:val="0"/>
              <w:pageBreakBefore w:val="0"/>
              <w:kinsoku/>
              <w:bidi w:val="0"/>
              <w:spacing w:line="360" w:lineRule="auto"/>
              <w:rPr>
                <w:rFonts w:hint="eastAsia" w:ascii="宋体" w:hAnsi="宋体" w:eastAsia="宋体" w:cs="宋体"/>
                <w:color w:val="auto"/>
                <w:sz w:val="21"/>
                <w:szCs w:val="21"/>
                <w:highlight w:val="none"/>
              </w:rPr>
            </w:pPr>
          </w:p>
        </w:tc>
        <w:tc>
          <w:tcPr>
            <w:tcW w:w="1695" w:type="dxa"/>
            <w:vAlign w:val="top"/>
          </w:tcPr>
          <w:p w14:paraId="4F8DBB71">
            <w:pPr>
              <w:keepLines w:val="0"/>
              <w:pageBreakBefore w:val="0"/>
              <w:kinsoku/>
              <w:bidi w:val="0"/>
              <w:spacing w:line="360" w:lineRule="auto"/>
              <w:rPr>
                <w:rFonts w:hint="eastAsia" w:ascii="宋体" w:hAnsi="宋体" w:eastAsia="宋体" w:cs="宋体"/>
                <w:color w:val="auto"/>
                <w:sz w:val="21"/>
                <w:szCs w:val="21"/>
                <w:highlight w:val="none"/>
              </w:rPr>
            </w:pPr>
          </w:p>
        </w:tc>
        <w:tc>
          <w:tcPr>
            <w:tcW w:w="859" w:type="dxa"/>
            <w:vAlign w:val="top"/>
          </w:tcPr>
          <w:p w14:paraId="7C61CB1B">
            <w:pPr>
              <w:keepLines w:val="0"/>
              <w:pageBreakBefore w:val="0"/>
              <w:kinsoku/>
              <w:bidi w:val="0"/>
              <w:spacing w:line="360" w:lineRule="auto"/>
              <w:rPr>
                <w:rFonts w:hint="eastAsia" w:ascii="宋体" w:hAnsi="宋体" w:eastAsia="宋体" w:cs="宋体"/>
                <w:color w:val="auto"/>
                <w:sz w:val="21"/>
                <w:szCs w:val="21"/>
                <w:highlight w:val="none"/>
              </w:rPr>
            </w:pPr>
          </w:p>
        </w:tc>
      </w:tr>
      <w:tr w14:paraId="0AC8A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23" w:type="dxa"/>
            <w:vAlign w:val="top"/>
          </w:tcPr>
          <w:p w14:paraId="6645E8C7">
            <w:pPr>
              <w:keepLines w:val="0"/>
              <w:pageBreakBefore w:val="0"/>
              <w:kinsoku/>
              <w:bidi w:val="0"/>
              <w:spacing w:line="360" w:lineRule="auto"/>
              <w:rPr>
                <w:rFonts w:hint="eastAsia" w:ascii="宋体" w:hAnsi="宋体" w:eastAsia="宋体" w:cs="宋体"/>
                <w:color w:val="auto"/>
                <w:sz w:val="21"/>
                <w:szCs w:val="21"/>
                <w:highlight w:val="none"/>
              </w:rPr>
            </w:pPr>
          </w:p>
        </w:tc>
        <w:tc>
          <w:tcPr>
            <w:tcW w:w="837" w:type="dxa"/>
            <w:vAlign w:val="top"/>
          </w:tcPr>
          <w:p w14:paraId="7D5FDC89">
            <w:pPr>
              <w:keepLines w:val="0"/>
              <w:pageBreakBefore w:val="0"/>
              <w:kinsoku/>
              <w:bidi w:val="0"/>
              <w:spacing w:line="360" w:lineRule="auto"/>
              <w:rPr>
                <w:rFonts w:hint="eastAsia" w:ascii="宋体" w:hAnsi="宋体" w:eastAsia="宋体" w:cs="宋体"/>
                <w:color w:val="auto"/>
                <w:sz w:val="21"/>
                <w:szCs w:val="21"/>
                <w:highlight w:val="none"/>
              </w:rPr>
            </w:pPr>
          </w:p>
        </w:tc>
        <w:tc>
          <w:tcPr>
            <w:tcW w:w="1025" w:type="dxa"/>
            <w:vAlign w:val="top"/>
          </w:tcPr>
          <w:p w14:paraId="3832FA60">
            <w:pPr>
              <w:keepLines w:val="0"/>
              <w:pageBreakBefore w:val="0"/>
              <w:kinsoku/>
              <w:bidi w:val="0"/>
              <w:spacing w:line="360" w:lineRule="auto"/>
              <w:rPr>
                <w:rFonts w:hint="eastAsia" w:ascii="宋体" w:hAnsi="宋体" w:eastAsia="宋体" w:cs="宋体"/>
                <w:color w:val="auto"/>
                <w:sz w:val="21"/>
                <w:szCs w:val="21"/>
                <w:highlight w:val="none"/>
              </w:rPr>
            </w:pPr>
          </w:p>
        </w:tc>
        <w:tc>
          <w:tcPr>
            <w:tcW w:w="1674" w:type="dxa"/>
            <w:vAlign w:val="top"/>
          </w:tcPr>
          <w:p w14:paraId="1903AB25">
            <w:pPr>
              <w:keepLines w:val="0"/>
              <w:pageBreakBefore w:val="0"/>
              <w:kinsoku/>
              <w:bidi w:val="0"/>
              <w:spacing w:line="360" w:lineRule="auto"/>
              <w:rPr>
                <w:rFonts w:hint="eastAsia" w:ascii="宋体" w:hAnsi="宋体" w:eastAsia="宋体" w:cs="宋体"/>
                <w:color w:val="auto"/>
                <w:sz w:val="21"/>
                <w:szCs w:val="21"/>
                <w:highlight w:val="none"/>
              </w:rPr>
            </w:pPr>
          </w:p>
        </w:tc>
        <w:tc>
          <w:tcPr>
            <w:tcW w:w="1038" w:type="dxa"/>
            <w:vAlign w:val="top"/>
          </w:tcPr>
          <w:p w14:paraId="0482E698">
            <w:pPr>
              <w:keepLines w:val="0"/>
              <w:pageBreakBefore w:val="0"/>
              <w:kinsoku/>
              <w:bidi w:val="0"/>
              <w:spacing w:line="360" w:lineRule="auto"/>
              <w:rPr>
                <w:rFonts w:hint="eastAsia" w:ascii="宋体" w:hAnsi="宋体" w:eastAsia="宋体" w:cs="宋体"/>
                <w:color w:val="auto"/>
                <w:sz w:val="21"/>
                <w:szCs w:val="21"/>
                <w:highlight w:val="none"/>
              </w:rPr>
            </w:pPr>
          </w:p>
        </w:tc>
        <w:tc>
          <w:tcPr>
            <w:tcW w:w="1246" w:type="dxa"/>
            <w:vAlign w:val="top"/>
          </w:tcPr>
          <w:p w14:paraId="42C13170">
            <w:pPr>
              <w:keepLines w:val="0"/>
              <w:pageBreakBefore w:val="0"/>
              <w:kinsoku/>
              <w:bidi w:val="0"/>
              <w:spacing w:line="360" w:lineRule="auto"/>
              <w:rPr>
                <w:rFonts w:hint="eastAsia" w:ascii="宋体" w:hAnsi="宋体" w:eastAsia="宋体" w:cs="宋体"/>
                <w:color w:val="auto"/>
                <w:sz w:val="21"/>
                <w:szCs w:val="21"/>
                <w:highlight w:val="none"/>
              </w:rPr>
            </w:pPr>
          </w:p>
        </w:tc>
        <w:tc>
          <w:tcPr>
            <w:tcW w:w="1695" w:type="dxa"/>
            <w:vAlign w:val="top"/>
          </w:tcPr>
          <w:p w14:paraId="24FD35C4">
            <w:pPr>
              <w:keepLines w:val="0"/>
              <w:pageBreakBefore w:val="0"/>
              <w:kinsoku/>
              <w:bidi w:val="0"/>
              <w:spacing w:line="360" w:lineRule="auto"/>
              <w:rPr>
                <w:rFonts w:hint="eastAsia" w:ascii="宋体" w:hAnsi="宋体" w:eastAsia="宋体" w:cs="宋体"/>
                <w:color w:val="auto"/>
                <w:sz w:val="21"/>
                <w:szCs w:val="21"/>
                <w:highlight w:val="none"/>
              </w:rPr>
            </w:pPr>
          </w:p>
        </w:tc>
        <w:tc>
          <w:tcPr>
            <w:tcW w:w="859" w:type="dxa"/>
            <w:vAlign w:val="top"/>
          </w:tcPr>
          <w:p w14:paraId="6E40F1B0">
            <w:pPr>
              <w:keepLines w:val="0"/>
              <w:pageBreakBefore w:val="0"/>
              <w:kinsoku/>
              <w:bidi w:val="0"/>
              <w:spacing w:line="360" w:lineRule="auto"/>
              <w:rPr>
                <w:rFonts w:hint="eastAsia" w:ascii="宋体" w:hAnsi="宋体" w:eastAsia="宋体" w:cs="宋体"/>
                <w:color w:val="auto"/>
                <w:sz w:val="21"/>
                <w:szCs w:val="21"/>
                <w:highlight w:val="none"/>
              </w:rPr>
            </w:pPr>
          </w:p>
        </w:tc>
      </w:tr>
      <w:tr w14:paraId="72DFB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23" w:type="dxa"/>
            <w:vAlign w:val="top"/>
          </w:tcPr>
          <w:p w14:paraId="1CABC17C">
            <w:pPr>
              <w:keepLines w:val="0"/>
              <w:pageBreakBefore w:val="0"/>
              <w:kinsoku/>
              <w:bidi w:val="0"/>
              <w:spacing w:line="360" w:lineRule="auto"/>
              <w:rPr>
                <w:rFonts w:hint="eastAsia" w:ascii="宋体" w:hAnsi="宋体" w:eastAsia="宋体" w:cs="宋体"/>
                <w:color w:val="auto"/>
                <w:sz w:val="21"/>
                <w:szCs w:val="21"/>
                <w:highlight w:val="none"/>
              </w:rPr>
            </w:pPr>
          </w:p>
        </w:tc>
        <w:tc>
          <w:tcPr>
            <w:tcW w:w="837" w:type="dxa"/>
            <w:vAlign w:val="top"/>
          </w:tcPr>
          <w:p w14:paraId="411D61E6">
            <w:pPr>
              <w:keepLines w:val="0"/>
              <w:pageBreakBefore w:val="0"/>
              <w:kinsoku/>
              <w:bidi w:val="0"/>
              <w:spacing w:line="360" w:lineRule="auto"/>
              <w:rPr>
                <w:rFonts w:hint="eastAsia" w:ascii="宋体" w:hAnsi="宋体" w:eastAsia="宋体" w:cs="宋体"/>
                <w:color w:val="auto"/>
                <w:sz w:val="21"/>
                <w:szCs w:val="21"/>
                <w:highlight w:val="none"/>
              </w:rPr>
            </w:pPr>
          </w:p>
        </w:tc>
        <w:tc>
          <w:tcPr>
            <w:tcW w:w="1025" w:type="dxa"/>
            <w:vAlign w:val="top"/>
          </w:tcPr>
          <w:p w14:paraId="1D6C3D64">
            <w:pPr>
              <w:keepLines w:val="0"/>
              <w:pageBreakBefore w:val="0"/>
              <w:kinsoku/>
              <w:bidi w:val="0"/>
              <w:spacing w:line="360" w:lineRule="auto"/>
              <w:rPr>
                <w:rFonts w:hint="eastAsia" w:ascii="宋体" w:hAnsi="宋体" w:eastAsia="宋体" w:cs="宋体"/>
                <w:color w:val="auto"/>
                <w:sz w:val="21"/>
                <w:szCs w:val="21"/>
                <w:highlight w:val="none"/>
              </w:rPr>
            </w:pPr>
          </w:p>
        </w:tc>
        <w:tc>
          <w:tcPr>
            <w:tcW w:w="1674" w:type="dxa"/>
            <w:vAlign w:val="top"/>
          </w:tcPr>
          <w:p w14:paraId="6387AA54">
            <w:pPr>
              <w:keepLines w:val="0"/>
              <w:pageBreakBefore w:val="0"/>
              <w:kinsoku/>
              <w:bidi w:val="0"/>
              <w:spacing w:line="360" w:lineRule="auto"/>
              <w:rPr>
                <w:rFonts w:hint="eastAsia" w:ascii="宋体" w:hAnsi="宋体" w:eastAsia="宋体" w:cs="宋体"/>
                <w:color w:val="auto"/>
                <w:sz w:val="21"/>
                <w:szCs w:val="21"/>
                <w:highlight w:val="none"/>
              </w:rPr>
            </w:pPr>
          </w:p>
        </w:tc>
        <w:tc>
          <w:tcPr>
            <w:tcW w:w="1038" w:type="dxa"/>
            <w:vAlign w:val="top"/>
          </w:tcPr>
          <w:p w14:paraId="7F5AF39F">
            <w:pPr>
              <w:keepLines w:val="0"/>
              <w:pageBreakBefore w:val="0"/>
              <w:kinsoku/>
              <w:bidi w:val="0"/>
              <w:spacing w:line="360" w:lineRule="auto"/>
              <w:rPr>
                <w:rFonts w:hint="eastAsia" w:ascii="宋体" w:hAnsi="宋体" w:eastAsia="宋体" w:cs="宋体"/>
                <w:color w:val="auto"/>
                <w:sz w:val="21"/>
                <w:szCs w:val="21"/>
                <w:highlight w:val="none"/>
              </w:rPr>
            </w:pPr>
          </w:p>
        </w:tc>
        <w:tc>
          <w:tcPr>
            <w:tcW w:w="1246" w:type="dxa"/>
            <w:vAlign w:val="top"/>
          </w:tcPr>
          <w:p w14:paraId="30DB43AF">
            <w:pPr>
              <w:keepLines w:val="0"/>
              <w:pageBreakBefore w:val="0"/>
              <w:kinsoku/>
              <w:bidi w:val="0"/>
              <w:spacing w:line="360" w:lineRule="auto"/>
              <w:rPr>
                <w:rFonts w:hint="eastAsia" w:ascii="宋体" w:hAnsi="宋体" w:eastAsia="宋体" w:cs="宋体"/>
                <w:color w:val="auto"/>
                <w:sz w:val="21"/>
                <w:szCs w:val="21"/>
                <w:highlight w:val="none"/>
              </w:rPr>
            </w:pPr>
          </w:p>
        </w:tc>
        <w:tc>
          <w:tcPr>
            <w:tcW w:w="1695" w:type="dxa"/>
            <w:vAlign w:val="top"/>
          </w:tcPr>
          <w:p w14:paraId="04DF96DB">
            <w:pPr>
              <w:keepLines w:val="0"/>
              <w:pageBreakBefore w:val="0"/>
              <w:kinsoku/>
              <w:bidi w:val="0"/>
              <w:spacing w:line="360" w:lineRule="auto"/>
              <w:rPr>
                <w:rFonts w:hint="eastAsia" w:ascii="宋体" w:hAnsi="宋体" w:eastAsia="宋体" w:cs="宋体"/>
                <w:color w:val="auto"/>
                <w:sz w:val="21"/>
                <w:szCs w:val="21"/>
                <w:highlight w:val="none"/>
              </w:rPr>
            </w:pPr>
          </w:p>
        </w:tc>
        <w:tc>
          <w:tcPr>
            <w:tcW w:w="859" w:type="dxa"/>
            <w:vAlign w:val="top"/>
          </w:tcPr>
          <w:p w14:paraId="50FEEE8B">
            <w:pPr>
              <w:keepLines w:val="0"/>
              <w:pageBreakBefore w:val="0"/>
              <w:kinsoku/>
              <w:bidi w:val="0"/>
              <w:spacing w:line="360" w:lineRule="auto"/>
              <w:rPr>
                <w:rFonts w:hint="eastAsia" w:ascii="宋体" w:hAnsi="宋体" w:eastAsia="宋体" w:cs="宋体"/>
                <w:color w:val="auto"/>
                <w:sz w:val="21"/>
                <w:szCs w:val="21"/>
                <w:highlight w:val="none"/>
              </w:rPr>
            </w:pPr>
          </w:p>
        </w:tc>
      </w:tr>
      <w:tr w14:paraId="3473A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23" w:type="dxa"/>
            <w:vAlign w:val="top"/>
          </w:tcPr>
          <w:p w14:paraId="7039DDC8">
            <w:pPr>
              <w:keepLines w:val="0"/>
              <w:pageBreakBefore w:val="0"/>
              <w:kinsoku/>
              <w:bidi w:val="0"/>
              <w:spacing w:line="360" w:lineRule="auto"/>
              <w:rPr>
                <w:rFonts w:hint="eastAsia" w:ascii="宋体" w:hAnsi="宋体" w:eastAsia="宋体" w:cs="宋体"/>
                <w:color w:val="auto"/>
                <w:sz w:val="21"/>
                <w:szCs w:val="21"/>
                <w:highlight w:val="none"/>
              </w:rPr>
            </w:pPr>
          </w:p>
        </w:tc>
        <w:tc>
          <w:tcPr>
            <w:tcW w:w="837" w:type="dxa"/>
            <w:vAlign w:val="top"/>
          </w:tcPr>
          <w:p w14:paraId="684F45DF">
            <w:pPr>
              <w:keepLines w:val="0"/>
              <w:pageBreakBefore w:val="0"/>
              <w:kinsoku/>
              <w:bidi w:val="0"/>
              <w:spacing w:line="360" w:lineRule="auto"/>
              <w:rPr>
                <w:rFonts w:hint="eastAsia" w:ascii="宋体" w:hAnsi="宋体" w:eastAsia="宋体" w:cs="宋体"/>
                <w:color w:val="auto"/>
                <w:sz w:val="21"/>
                <w:szCs w:val="21"/>
                <w:highlight w:val="none"/>
              </w:rPr>
            </w:pPr>
          </w:p>
        </w:tc>
        <w:tc>
          <w:tcPr>
            <w:tcW w:w="1025" w:type="dxa"/>
            <w:vAlign w:val="top"/>
          </w:tcPr>
          <w:p w14:paraId="69869451">
            <w:pPr>
              <w:keepLines w:val="0"/>
              <w:pageBreakBefore w:val="0"/>
              <w:kinsoku/>
              <w:bidi w:val="0"/>
              <w:spacing w:line="360" w:lineRule="auto"/>
              <w:rPr>
                <w:rFonts w:hint="eastAsia" w:ascii="宋体" w:hAnsi="宋体" w:eastAsia="宋体" w:cs="宋体"/>
                <w:color w:val="auto"/>
                <w:sz w:val="21"/>
                <w:szCs w:val="21"/>
                <w:highlight w:val="none"/>
              </w:rPr>
            </w:pPr>
          </w:p>
        </w:tc>
        <w:tc>
          <w:tcPr>
            <w:tcW w:w="1674" w:type="dxa"/>
            <w:vAlign w:val="top"/>
          </w:tcPr>
          <w:p w14:paraId="5CCA64BB">
            <w:pPr>
              <w:keepLines w:val="0"/>
              <w:pageBreakBefore w:val="0"/>
              <w:kinsoku/>
              <w:bidi w:val="0"/>
              <w:spacing w:line="360" w:lineRule="auto"/>
              <w:rPr>
                <w:rFonts w:hint="eastAsia" w:ascii="宋体" w:hAnsi="宋体" w:eastAsia="宋体" w:cs="宋体"/>
                <w:color w:val="auto"/>
                <w:sz w:val="21"/>
                <w:szCs w:val="21"/>
                <w:highlight w:val="none"/>
              </w:rPr>
            </w:pPr>
          </w:p>
        </w:tc>
        <w:tc>
          <w:tcPr>
            <w:tcW w:w="1038" w:type="dxa"/>
            <w:vAlign w:val="top"/>
          </w:tcPr>
          <w:p w14:paraId="041095E9">
            <w:pPr>
              <w:keepLines w:val="0"/>
              <w:pageBreakBefore w:val="0"/>
              <w:kinsoku/>
              <w:bidi w:val="0"/>
              <w:spacing w:line="360" w:lineRule="auto"/>
              <w:rPr>
                <w:rFonts w:hint="eastAsia" w:ascii="宋体" w:hAnsi="宋体" w:eastAsia="宋体" w:cs="宋体"/>
                <w:color w:val="auto"/>
                <w:sz w:val="21"/>
                <w:szCs w:val="21"/>
                <w:highlight w:val="none"/>
              </w:rPr>
            </w:pPr>
          </w:p>
        </w:tc>
        <w:tc>
          <w:tcPr>
            <w:tcW w:w="1246" w:type="dxa"/>
            <w:vAlign w:val="top"/>
          </w:tcPr>
          <w:p w14:paraId="483C9917">
            <w:pPr>
              <w:keepLines w:val="0"/>
              <w:pageBreakBefore w:val="0"/>
              <w:kinsoku/>
              <w:bidi w:val="0"/>
              <w:spacing w:line="360" w:lineRule="auto"/>
              <w:rPr>
                <w:rFonts w:hint="eastAsia" w:ascii="宋体" w:hAnsi="宋体" w:eastAsia="宋体" w:cs="宋体"/>
                <w:color w:val="auto"/>
                <w:sz w:val="21"/>
                <w:szCs w:val="21"/>
                <w:highlight w:val="none"/>
              </w:rPr>
            </w:pPr>
          </w:p>
        </w:tc>
        <w:tc>
          <w:tcPr>
            <w:tcW w:w="1695" w:type="dxa"/>
            <w:vAlign w:val="top"/>
          </w:tcPr>
          <w:p w14:paraId="40007540">
            <w:pPr>
              <w:keepLines w:val="0"/>
              <w:pageBreakBefore w:val="0"/>
              <w:kinsoku/>
              <w:bidi w:val="0"/>
              <w:spacing w:line="360" w:lineRule="auto"/>
              <w:rPr>
                <w:rFonts w:hint="eastAsia" w:ascii="宋体" w:hAnsi="宋体" w:eastAsia="宋体" w:cs="宋体"/>
                <w:color w:val="auto"/>
                <w:sz w:val="21"/>
                <w:szCs w:val="21"/>
                <w:highlight w:val="none"/>
              </w:rPr>
            </w:pPr>
          </w:p>
        </w:tc>
        <w:tc>
          <w:tcPr>
            <w:tcW w:w="859" w:type="dxa"/>
            <w:vAlign w:val="top"/>
          </w:tcPr>
          <w:p w14:paraId="0587AE0A">
            <w:pPr>
              <w:keepLines w:val="0"/>
              <w:pageBreakBefore w:val="0"/>
              <w:kinsoku/>
              <w:bidi w:val="0"/>
              <w:spacing w:line="360" w:lineRule="auto"/>
              <w:rPr>
                <w:rFonts w:hint="eastAsia" w:ascii="宋体" w:hAnsi="宋体" w:eastAsia="宋体" w:cs="宋体"/>
                <w:color w:val="auto"/>
                <w:sz w:val="21"/>
                <w:szCs w:val="21"/>
                <w:highlight w:val="none"/>
              </w:rPr>
            </w:pPr>
          </w:p>
        </w:tc>
      </w:tr>
      <w:tr w14:paraId="4E81B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23" w:type="dxa"/>
            <w:vAlign w:val="top"/>
          </w:tcPr>
          <w:p w14:paraId="6C8A459A">
            <w:pPr>
              <w:keepLines w:val="0"/>
              <w:pageBreakBefore w:val="0"/>
              <w:kinsoku/>
              <w:bidi w:val="0"/>
              <w:spacing w:line="360" w:lineRule="auto"/>
              <w:rPr>
                <w:rFonts w:hint="eastAsia" w:ascii="宋体" w:hAnsi="宋体" w:eastAsia="宋体" w:cs="宋体"/>
                <w:color w:val="auto"/>
                <w:sz w:val="21"/>
                <w:szCs w:val="21"/>
                <w:highlight w:val="none"/>
              </w:rPr>
            </w:pPr>
          </w:p>
        </w:tc>
        <w:tc>
          <w:tcPr>
            <w:tcW w:w="837" w:type="dxa"/>
            <w:vAlign w:val="top"/>
          </w:tcPr>
          <w:p w14:paraId="1C1B145E">
            <w:pPr>
              <w:keepLines w:val="0"/>
              <w:pageBreakBefore w:val="0"/>
              <w:kinsoku/>
              <w:bidi w:val="0"/>
              <w:spacing w:line="360" w:lineRule="auto"/>
              <w:rPr>
                <w:rFonts w:hint="eastAsia" w:ascii="宋体" w:hAnsi="宋体" w:eastAsia="宋体" w:cs="宋体"/>
                <w:color w:val="auto"/>
                <w:sz w:val="21"/>
                <w:szCs w:val="21"/>
                <w:highlight w:val="none"/>
              </w:rPr>
            </w:pPr>
          </w:p>
        </w:tc>
        <w:tc>
          <w:tcPr>
            <w:tcW w:w="1025" w:type="dxa"/>
            <w:vAlign w:val="top"/>
          </w:tcPr>
          <w:p w14:paraId="652DBAF6">
            <w:pPr>
              <w:keepLines w:val="0"/>
              <w:pageBreakBefore w:val="0"/>
              <w:kinsoku/>
              <w:bidi w:val="0"/>
              <w:spacing w:line="360" w:lineRule="auto"/>
              <w:rPr>
                <w:rFonts w:hint="eastAsia" w:ascii="宋体" w:hAnsi="宋体" w:eastAsia="宋体" w:cs="宋体"/>
                <w:color w:val="auto"/>
                <w:sz w:val="21"/>
                <w:szCs w:val="21"/>
                <w:highlight w:val="none"/>
              </w:rPr>
            </w:pPr>
          </w:p>
        </w:tc>
        <w:tc>
          <w:tcPr>
            <w:tcW w:w="1674" w:type="dxa"/>
            <w:vAlign w:val="top"/>
          </w:tcPr>
          <w:p w14:paraId="007B7028">
            <w:pPr>
              <w:keepLines w:val="0"/>
              <w:pageBreakBefore w:val="0"/>
              <w:kinsoku/>
              <w:bidi w:val="0"/>
              <w:spacing w:line="360" w:lineRule="auto"/>
              <w:rPr>
                <w:rFonts w:hint="eastAsia" w:ascii="宋体" w:hAnsi="宋体" w:eastAsia="宋体" w:cs="宋体"/>
                <w:color w:val="auto"/>
                <w:sz w:val="21"/>
                <w:szCs w:val="21"/>
                <w:highlight w:val="none"/>
              </w:rPr>
            </w:pPr>
          </w:p>
        </w:tc>
        <w:tc>
          <w:tcPr>
            <w:tcW w:w="1038" w:type="dxa"/>
            <w:vAlign w:val="top"/>
          </w:tcPr>
          <w:p w14:paraId="16F6AEB0">
            <w:pPr>
              <w:keepLines w:val="0"/>
              <w:pageBreakBefore w:val="0"/>
              <w:kinsoku/>
              <w:bidi w:val="0"/>
              <w:spacing w:line="360" w:lineRule="auto"/>
              <w:rPr>
                <w:rFonts w:hint="eastAsia" w:ascii="宋体" w:hAnsi="宋体" w:eastAsia="宋体" w:cs="宋体"/>
                <w:color w:val="auto"/>
                <w:sz w:val="21"/>
                <w:szCs w:val="21"/>
                <w:highlight w:val="none"/>
              </w:rPr>
            </w:pPr>
          </w:p>
        </w:tc>
        <w:tc>
          <w:tcPr>
            <w:tcW w:w="1246" w:type="dxa"/>
            <w:vAlign w:val="top"/>
          </w:tcPr>
          <w:p w14:paraId="05394899">
            <w:pPr>
              <w:keepLines w:val="0"/>
              <w:pageBreakBefore w:val="0"/>
              <w:kinsoku/>
              <w:bidi w:val="0"/>
              <w:spacing w:line="360" w:lineRule="auto"/>
              <w:rPr>
                <w:rFonts w:hint="eastAsia" w:ascii="宋体" w:hAnsi="宋体" w:eastAsia="宋体" w:cs="宋体"/>
                <w:color w:val="auto"/>
                <w:sz w:val="21"/>
                <w:szCs w:val="21"/>
                <w:highlight w:val="none"/>
              </w:rPr>
            </w:pPr>
          </w:p>
        </w:tc>
        <w:tc>
          <w:tcPr>
            <w:tcW w:w="1695" w:type="dxa"/>
            <w:vAlign w:val="top"/>
          </w:tcPr>
          <w:p w14:paraId="551913D2">
            <w:pPr>
              <w:keepLines w:val="0"/>
              <w:pageBreakBefore w:val="0"/>
              <w:kinsoku/>
              <w:bidi w:val="0"/>
              <w:spacing w:line="360" w:lineRule="auto"/>
              <w:rPr>
                <w:rFonts w:hint="eastAsia" w:ascii="宋体" w:hAnsi="宋体" w:eastAsia="宋体" w:cs="宋体"/>
                <w:color w:val="auto"/>
                <w:sz w:val="21"/>
                <w:szCs w:val="21"/>
                <w:highlight w:val="none"/>
              </w:rPr>
            </w:pPr>
          </w:p>
        </w:tc>
        <w:tc>
          <w:tcPr>
            <w:tcW w:w="859" w:type="dxa"/>
            <w:vAlign w:val="top"/>
          </w:tcPr>
          <w:p w14:paraId="072EC782">
            <w:pPr>
              <w:keepLines w:val="0"/>
              <w:pageBreakBefore w:val="0"/>
              <w:kinsoku/>
              <w:bidi w:val="0"/>
              <w:spacing w:line="360" w:lineRule="auto"/>
              <w:rPr>
                <w:rFonts w:hint="eastAsia" w:ascii="宋体" w:hAnsi="宋体" w:eastAsia="宋体" w:cs="宋体"/>
                <w:color w:val="auto"/>
                <w:sz w:val="21"/>
                <w:szCs w:val="21"/>
                <w:highlight w:val="none"/>
              </w:rPr>
            </w:pPr>
          </w:p>
        </w:tc>
      </w:tr>
      <w:tr w14:paraId="3A55E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23" w:type="dxa"/>
            <w:vAlign w:val="top"/>
          </w:tcPr>
          <w:p w14:paraId="2C20A2DC">
            <w:pPr>
              <w:keepLines w:val="0"/>
              <w:pageBreakBefore w:val="0"/>
              <w:kinsoku/>
              <w:bidi w:val="0"/>
              <w:spacing w:line="360" w:lineRule="auto"/>
              <w:rPr>
                <w:rFonts w:hint="eastAsia" w:ascii="宋体" w:hAnsi="宋体" w:eastAsia="宋体" w:cs="宋体"/>
                <w:color w:val="auto"/>
                <w:sz w:val="21"/>
                <w:szCs w:val="21"/>
                <w:highlight w:val="none"/>
              </w:rPr>
            </w:pPr>
          </w:p>
        </w:tc>
        <w:tc>
          <w:tcPr>
            <w:tcW w:w="837" w:type="dxa"/>
            <w:vAlign w:val="top"/>
          </w:tcPr>
          <w:p w14:paraId="476313B1">
            <w:pPr>
              <w:keepLines w:val="0"/>
              <w:pageBreakBefore w:val="0"/>
              <w:kinsoku/>
              <w:bidi w:val="0"/>
              <w:spacing w:line="360" w:lineRule="auto"/>
              <w:rPr>
                <w:rFonts w:hint="eastAsia" w:ascii="宋体" w:hAnsi="宋体" w:eastAsia="宋体" w:cs="宋体"/>
                <w:color w:val="auto"/>
                <w:sz w:val="21"/>
                <w:szCs w:val="21"/>
                <w:highlight w:val="none"/>
              </w:rPr>
            </w:pPr>
          </w:p>
        </w:tc>
        <w:tc>
          <w:tcPr>
            <w:tcW w:w="1025" w:type="dxa"/>
            <w:vAlign w:val="top"/>
          </w:tcPr>
          <w:p w14:paraId="420794D4">
            <w:pPr>
              <w:keepLines w:val="0"/>
              <w:pageBreakBefore w:val="0"/>
              <w:kinsoku/>
              <w:bidi w:val="0"/>
              <w:spacing w:line="360" w:lineRule="auto"/>
              <w:rPr>
                <w:rFonts w:hint="eastAsia" w:ascii="宋体" w:hAnsi="宋体" w:eastAsia="宋体" w:cs="宋体"/>
                <w:color w:val="auto"/>
                <w:sz w:val="21"/>
                <w:szCs w:val="21"/>
                <w:highlight w:val="none"/>
              </w:rPr>
            </w:pPr>
          </w:p>
        </w:tc>
        <w:tc>
          <w:tcPr>
            <w:tcW w:w="1674" w:type="dxa"/>
            <w:vAlign w:val="top"/>
          </w:tcPr>
          <w:p w14:paraId="1F002E9E">
            <w:pPr>
              <w:keepLines w:val="0"/>
              <w:pageBreakBefore w:val="0"/>
              <w:kinsoku/>
              <w:bidi w:val="0"/>
              <w:spacing w:line="360" w:lineRule="auto"/>
              <w:rPr>
                <w:rFonts w:hint="eastAsia" w:ascii="宋体" w:hAnsi="宋体" w:eastAsia="宋体" w:cs="宋体"/>
                <w:color w:val="auto"/>
                <w:sz w:val="21"/>
                <w:szCs w:val="21"/>
                <w:highlight w:val="none"/>
              </w:rPr>
            </w:pPr>
          </w:p>
        </w:tc>
        <w:tc>
          <w:tcPr>
            <w:tcW w:w="1038" w:type="dxa"/>
            <w:vAlign w:val="top"/>
          </w:tcPr>
          <w:p w14:paraId="1BC6D936">
            <w:pPr>
              <w:keepLines w:val="0"/>
              <w:pageBreakBefore w:val="0"/>
              <w:kinsoku/>
              <w:bidi w:val="0"/>
              <w:spacing w:line="360" w:lineRule="auto"/>
              <w:rPr>
                <w:rFonts w:hint="eastAsia" w:ascii="宋体" w:hAnsi="宋体" w:eastAsia="宋体" w:cs="宋体"/>
                <w:color w:val="auto"/>
                <w:sz w:val="21"/>
                <w:szCs w:val="21"/>
                <w:highlight w:val="none"/>
              </w:rPr>
            </w:pPr>
          </w:p>
        </w:tc>
        <w:tc>
          <w:tcPr>
            <w:tcW w:w="1246" w:type="dxa"/>
            <w:vAlign w:val="top"/>
          </w:tcPr>
          <w:p w14:paraId="49304352">
            <w:pPr>
              <w:keepLines w:val="0"/>
              <w:pageBreakBefore w:val="0"/>
              <w:kinsoku/>
              <w:bidi w:val="0"/>
              <w:spacing w:line="360" w:lineRule="auto"/>
              <w:rPr>
                <w:rFonts w:hint="eastAsia" w:ascii="宋体" w:hAnsi="宋体" w:eastAsia="宋体" w:cs="宋体"/>
                <w:color w:val="auto"/>
                <w:sz w:val="21"/>
                <w:szCs w:val="21"/>
                <w:highlight w:val="none"/>
              </w:rPr>
            </w:pPr>
          </w:p>
        </w:tc>
        <w:tc>
          <w:tcPr>
            <w:tcW w:w="1695" w:type="dxa"/>
            <w:vAlign w:val="top"/>
          </w:tcPr>
          <w:p w14:paraId="784F1EE9">
            <w:pPr>
              <w:keepLines w:val="0"/>
              <w:pageBreakBefore w:val="0"/>
              <w:kinsoku/>
              <w:bidi w:val="0"/>
              <w:spacing w:line="360" w:lineRule="auto"/>
              <w:rPr>
                <w:rFonts w:hint="eastAsia" w:ascii="宋体" w:hAnsi="宋体" w:eastAsia="宋体" w:cs="宋体"/>
                <w:color w:val="auto"/>
                <w:sz w:val="21"/>
                <w:szCs w:val="21"/>
                <w:highlight w:val="none"/>
              </w:rPr>
            </w:pPr>
          </w:p>
        </w:tc>
        <w:tc>
          <w:tcPr>
            <w:tcW w:w="859" w:type="dxa"/>
            <w:vAlign w:val="top"/>
          </w:tcPr>
          <w:p w14:paraId="36C6EB12">
            <w:pPr>
              <w:keepLines w:val="0"/>
              <w:pageBreakBefore w:val="0"/>
              <w:kinsoku/>
              <w:bidi w:val="0"/>
              <w:spacing w:line="360" w:lineRule="auto"/>
              <w:rPr>
                <w:rFonts w:hint="eastAsia" w:ascii="宋体" w:hAnsi="宋体" w:eastAsia="宋体" w:cs="宋体"/>
                <w:color w:val="auto"/>
                <w:sz w:val="21"/>
                <w:szCs w:val="21"/>
                <w:highlight w:val="none"/>
              </w:rPr>
            </w:pPr>
          </w:p>
        </w:tc>
      </w:tr>
      <w:tr w14:paraId="141C5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23" w:type="dxa"/>
            <w:vAlign w:val="top"/>
          </w:tcPr>
          <w:p w14:paraId="2FEB79FB">
            <w:pPr>
              <w:keepLines w:val="0"/>
              <w:pageBreakBefore w:val="0"/>
              <w:kinsoku/>
              <w:bidi w:val="0"/>
              <w:spacing w:line="360" w:lineRule="auto"/>
              <w:rPr>
                <w:rFonts w:hint="eastAsia" w:ascii="宋体" w:hAnsi="宋体" w:eastAsia="宋体" w:cs="宋体"/>
                <w:color w:val="auto"/>
                <w:sz w:val="21"/>
                <w:szCs w:val="21"/>
                <w:highlight w:val="none"/>
              </w:rPr>
            </w:pPr>
          </w:p>
        </w:tc>
        <w:tc>
          <w:tcPr>
            <w:tcW w:w="837" w:type="dxa"/>
            <w:vAlign w:val="top"/>
          </w:tcPr>
          <w:p w14:paraId="23DC640B">
            <w:pPr>
              <w:keepLines w:val="0"/>
              <w:pageBreakBefore w:val="0"/>
              <w:kinsoku/>
              <w:bidi w:val="0"/>
              <w:spacing w:line="360" w:lineRule="auto"/>
              <w:rPr>
                <w:rFonts w:hint="eastAsia" w:ascii="宋体" w:hAnsi="宋体" w:eastAsia="宋体" w:cs="宋体"/>
                <w:color w:val="auto"/>
                <w:sz w:val="21"/>
                <w:szCs w:val="21"/>
                <w:highlight w:val="none"/>
              </w:rPr>
            </w:pPr>
          </w:p>
        </w:tc>
        <w:tc>
          <w:tcPr>
            <w:tcW w:w="1025" w:type="dxa"/>
            <w:vAlign w:val="top"/>
          </w:tcPr>
          <w:p w14:paraId="2A14E5B3">
            <w:pPr>
              <w:keepLines w:val="0"/>
              <w:pageBreakBefore w:val="0"/>
              <w:kinsoku/>
              <w:bidi w:val="0"/>
              <w:spacing w:line="360" w:lineRule="auto"/>
              <w:rPr>
                <w:rFonts w:hint="eastAsia" w:ascii="宋体" w:hAnsi="宋体" w:eastAsia="宋体" w:cs="宋体"/>
                <w:color w:val="auto"/>
                <w:sz w:val="21"/>
                <w:szCs w:val="21"/>
                <w:highlight w:val="none"/>
              </w:rPr>
            </w:pPr>
          </w:p>
        </w:tc>
        <w:tc>
          <w:tcPr>
            <w:tcW w:w="1674" w:type="dxa"/>
            <w:vAlign w:val="top"/>
          </w:tcPr>
          <w:p w14:paraId="46A7DCA1">
            <w:pPr>
              <w:keepLines w:val="0"/>
              <w:pageBreakBefore w:val="0"/>
              <w:kinsoku/>
              <w:bidi w:val="0"/>
              <w:spacing w:line="360" w:lineRule="auto"/>
              <w:rPr>
                <w:rFonts w:hint="eastAsia" w:ascii="宋体" w:hAnsi="宋体" w:eastAsia="宋体" w:cs="宋体"/>
                <w:color w:val="auto"/>
                <w:sz w:val="21"/>
                <w:szCs w:val="21"/>
                <w:highlight w:val="none"/>
              </w:rPr>
            </w:pPr>
          </w:p>
        </w:tc>
        <w:tc>
          <w:tcPr>
            <w:tcW w:w="1038" w:type="dxa"/>
            <w:vAlign w:val="top"/>
          </w:tcPr>
          <w:p w14:paraId="61013B8A">
            <w:pPr>
              <w:keepLines w:val="0"/>
              <w:pageBreakBefore w:val="0"/>
              <w:kinsoku/>
              <w:bidi w:val="0"/>
              <w:spacing w:line="360" w:lineRule="auto"/>
              <w:rPr>
                <w:rFonts w:hint="eastAsia" w:ascii="宋体" w:hAnsi="宋体" w:eastAsia="宋体" w:cs="宋体"/>
                <w:color w:val="auto"/>
                <w:sz w:val="21"/>
                <w:szCs w:val="21"/>
                <w:highlight w:val="none"/>
              </w:rPr>
            </w:pPr>
          </w:p>
        </w:tc>
        <w:tc>
          <w:tcPr>
            <w:tcW w:w="1246" w:type="dxa"/>
            <w:vAlign w:val="top"/>
          </w:tcPr>
          <w:p w14:paraId="2F4BF088">
            <w:pPr>
              <w:keepLines w:val="0"/>
              <w:pageBreakBefore w:val="0"/>
              <w:kinsoku/>
              <w:bidi w:val="0"/>
              <w:spacing w:line="360" w:lineRule="auto"/>
              <w:rPr>
                <w:rFonts w:hint="eastAsia" w:ascii="宋体" w:hAnsi="宋体" w:eastAsia="宋体" w:cs="宋体"/>
                <w:color w:val="auto"/>
                <w:sz w:val="21"/>
                <w:szCs w:val="21"/>
                <w:highlight w:val="none"/>
              </w:rPr>
            </w:pPr>
          </w:p>
        </w:tc>
        <w:tc>
          <w:tcPr>
            <w:tcW w:w="1695" w:type="dxa"/>
            <w:vAlign w:val="top"/>
          </w:tcPr>
          <w:p w14:paraId="02CF3EAF">
            <w:pPr>
              <w:keepLines w:val="0"/>
              <w:pageBreakBefore w:val="0"/>
              <w:kinsoku/>
              <w:bidi w:val="0"/>
              <w:spacing w:line="360" w:lineRule="auto"/>
              <w:rPr>
                <w:rFonts w:hint="eastAsia" w:ascii="宋体" w:hAnsi="宋体" w:eastAsia="宋体" w:cs="宋体"/>
                <w:color w:val="auto"/>
                <w:sz w:val="21"/>
                <w:szCs w:val="21"/>
                <w:highlight w:val="none"/>
              </w:rPr>
            </w:pPr>
          </w:p>
        </w:tc>
        <w:tc>
          <w:tcPr>
            <w:tcW w:w="859" w:type="dxa"/>
            <w:vAlign w:val="top"/>
          </w:tcPr>
          <w:p w14:paraId="014FF541">
            <w:pPr>
              <w:keepLines w:val="0"/>
              <w:pageBreakBefore w:val="0"/>
              <w:kinsoku/>
              <w:bidi w:val="0"/>
              <w:spacing w:line="360" w:lineRule="auto"/>
              <w:rPr>
                <w:rFonts w:hint="eastAsia" w:ascii="宋体" w:hAnsi="宋体" w:eastAsia="宋体" w:cs="宋体"/>
                <w:color w:val="auto"/>
                <w:sz w:val="21"/>
                <w:szCs w:val="21"/>
                <w:highlight w:val="none"/>
              </w:rPr>
            </w:pPr>
          </w:p>
        </w:tc>
      </w:tr>
      <w:tr w14:paraId="64180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23" w:type="dxa"/>
            <w:vAlign w:val="top"/>
          </w:tcPr>
          <w:p w14:paraId="2709E08A">
            <w:pPr>
              <w:keepLines w:val="0"/>
              <w:pageBreakBefore w:val="0"/>
              <w:kinsoku/>
              <w:bidi w:val="0"/>
              <w:spacing w:line="360" w:lineRule="auto"/>
              <w:rPr>
                <w:rFonts w:hint="eastAsia" w:ascii="宋体" w:hAnsi="宋体" w:eastAsia="宋体" w:cs="宋体"/>
                <w:color w:val="auto"/>
                <w:sz w:val="21"/>
                <w:szCs w:val="21"/>
                <w:highlight w:val="none"/>
              </w:rPr>
            </w:pPr>
          </w:p>
        </w:tc>
        <w:tc>
          <w:tcPr>
            <w:tcW w:w="837" w:type="dxa"/>
            <w:vAlign w:val="top"/>
          </w:tcPr>
          <w:p w14:paraId="21983040">
            <w:pPr>
              <w:keepLines w:val="0"/>
              <w:pageBreakBefore w:val="0"/>
              <w:kinsoku/>
              <w:bidi w:val="0"/>
              <w:spacing w:line="360" w:lineRule="auto"/>
              <w:rPr>
                <w:rFonts w:hint="eastAsia" w:ascii="宋体" w:hAnsi="宋体" w:eastAsia="宋体" w:cs="宋体"/>
                <w:color w:val="auto"/>
                <w:sz w:val="21"/>
                <w:szCs w:val="21"/>
                <w:highlight w:val="none"/>
              </w:rPr>
            </w:pPr>
          </w:p>
        </w:tc>
        <w:tc>
          <w:tcPr>
            <w:tcW w:w="1025" w:type="dxa"/>
            <w:vAlign w:val="top"/>
          </w:tcPr>
          <w:p w14:paraId="58C8063B">
            <w:pPr>
              <w:keepLines w:val="0"/>
              <w:pageBreakBefore w:val="0"/>
              <w:kinsoku/>
              <w:bidi w:val="0"/>
              <w:spacing w:line="360" w:lineRule="auto"/>
              <w:rPr>
                <w:rFonts w:hint="eastAsia" w:ascii="宋体" w:hAnsi="宋体" w:eastAsia="宋体" w:cs="宋体"/>
                <w:color w:val="auto"/>
                <w:sz w:val="21"/>
                <w:szCs w:val="21"/>
                <w:highlight w:val="none"/>
              </w:rPr>
            </w:pPr>
          </w:p>
        </w:tc>
        <w:tc>
          <w:tcPr>
            <w:tcW w:w="1674" w:type="dxa"/>
            <w:vAlign w:val="top"/>
          </w:tcPr>
          <w:p w14:paraId="6234C8A3">
            <w:pPr>
              <w:keepLines w:val="0"/>
              <w:pageBreakBefore w:val="0"/>
              <w:kinsoku/>
              <w:bidi w:val="0"/>
              <w:spacing w:line="360" w:lineRule="auto"/>
              <w:rPr>
                <w:rFonts w:hint="eastAsia" w:ascii="宋体" w:hAnsi="宋体" w:eastAsia="宋体" w:cs="宋体"/>
                <w:color w:val="auto"/>
                <w:sz w:val="21"/>
                <w:szCs w:val="21"/>
                <w:highlight w:val="none"/>
              </w:rPr>
            </w:pPr>
          </w:p>
        </w:tc>
        <w:tc>
          <w:tcPr>
            <w:tcW w:w="1038" w:type="dxa"/>
            <w:vAlign w:val="top"/>
          </w:tcPr>
          <w:p w14:paraId="2582D6A8">
            <w:pPr>
              <w:keepLines w:val="0"/>
              <w:pageBreakBefore w:val="0"/>
              <w:kinsoku/>
              <w:bidi w:val="0"/>
              <w:spacing w:line="360" w:lineRule="auto"/>
              <w:rPr>
                <w:rFonts w:hint="eastAsia" w:ascii="宋体" w:hAnsi="宋体" w:eastAsia="宋体" w:cs="宋体"/>
                <w:color w:val="auto"/>
                <w:sz w:val="21"/>
                <w:szCs w:val="21"/>
                <w:highlight w:val="none"/>
              </w:rPr>
            </w:pPr>
          </w:p>
        </w:tc>
        <w:tc>
          <w:tcPr>
            <w:tcW w:w="1246" w:type="dxa"/>
            <w:vAlign w:val="top"/>
          </w:tcPr>
          <w:p w14:paraId="0B1FA64F">
            <w:pPr>
              <w:keepLines w:val="0"/>
              <w:pageBreakBefore w:val="0"/>
              <w:kinsoku/>
              <w:bidi w:val="0"/>
              <w:spacing w:line="360" w:lineRule="auto"/>
              <w:rPr>
                <w:rFonts w:hint="eastAsia" w:ascii="宋体" w:hAnsi="宋体" w:eastAsia="宋体" w:cs="宋体"/>
                <w:color w:val="auto"/>
                <w:sz w:val="21"/>
                <w:szCs w:val="21"/>
                <w:highlight w:val="none"/>
              </w:rPr>
            </w:pPr>
          </w:p>
        </w:tc>
        <w:tc>
          <w:tcPr>
            <w:tcW w:w="1695" w:type="dxa"/>
            <w:vAlign w:val="top"/>
          </w:tcPr>
          <w:p w14:paraId="70F9F054">
            <w:pPr>
              <w:keepLines w:val="0"/>
              <w:pageBreakBefore w:val="0"/>
              <w:kinsoku/>
              <w:bidi w:val="0"/>
              <w:spacing w:line="360" w:lineRule="auto"/>
              <w:rPr>
                <w:rFonts w:hint="eastAsia" w:ascii="宋体" w:hAnsi="宋体" w:eastAsia="宋体" w:cs="宋体"/>
                <w:color w:val="auto"/>
                <w:sz w:val="21"/>
                <w:szCs w:val="21"/>
                <w:highlight w:val="none"/>
              </w:rPr>
            </w:pPr>
          </w:p>
        </w:tc>
        <w:tc>
          <w:tcPr>
            <w:tcW w:w="859" w:type="dxa"/>
            <w:vAlign w:val="top"/>
          </w:tcPr>
          <w:p w14:paraId="77998808">
            <w:pPr>
              <w:keepLines w:val="0"/>
              <w:pageBreakBefore w:val="0"/>
              <w:kinsoku/>
              <w:bidi w:val="0"/>
              <w:spacing w:line="360" w:lineRule="auto"/>
              <w:rPr>
                <w:rFonts w:hint="eastAsia" w:ascii="宋体" w:hAnsi="宋体" w:eastAsia="宋体" w:cs="宋体"/>
                <w:color w:val="auto"/>
                <w:sz w:val="21"/>
                <w:szCs w:val="21"/>
                <w:highlight w:val="none"/>
              </w:rPr>
            </w:pPr>
          </w:p>
        </w:tc>
      </w:tr>
      <w:tr w14:paraId="62CBF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23" w:type="dxa"/>
            <w:vAlign w:val="top"/>
          </w:tcPr>
          <w:p w14:paraId="760614EC">
            <w:pPr>
              <w:keepLines w:val="0"/>
              <w:pageBreakBefore w:val="0"/>
              <w:kinsoku/>
              <w:bidi w:val="0"/>
              <w:spacing w:line="360" w:lineRule="auto"/>
              <w:rPr>
                <w:rFonts w:hint="eastAsia" w:ascii="宋体" w:hAnsi="宋体" w:eastAsia="宋体" w:cs="宋体"/>
                <w:color w:val="auto"/>
                <w:sz w:val="21"/>
                <w:szCs w:val="21"/>
                <w:highlight w:val="none"/>
              </w:rPr>
            </w:pPr>
          </w:p>
        </w:tc>
        <w:tc>
          <w:tcPr>
            <w:tcW w:w="837" w:type="dxa"/>
            <w:vAlign w:val="top"/>
          </w:tcPr>
          <w:p w14:paraId="687512C4">
            <w:pPr>
              <w:keepLines w:val="0"/>
              <w:pageBreakBefore w:val="0"/>
              <w:kinsoku/>
              <w:bidi w:val="0"/>
              <w:spacing w:line="360" w:lineRule="auto"/>
              <w:rPr>
                <w:rFonts w:hint="eastAsia" w:ascii="宋体" w:hAnsi="宋体" w:eastAsia="宋体" w:cs="宋体"/>
                <w:color w:val="auto"/>
                <w:sz w:val="21"/>
                <w:szCs w:val="21"/>
                <w:highlight w:val="none"/>
              </w:rPr>
            </w:pPr>
          </w:p>
        </w:tc>
        <w:tc>
          <w:tcPr>
            <w:tcW w:w="1025" w:type="dxa"/>
            <w:vAlign w:val="top"/>
          </w:tcPr>
          <w:p w14:paraId="20FBC1BE">
            <w:pPr>
              <w:keepLines w:val="0"/>
              <w:pageBreakBefore w:val="0"/>
              <w:kinsoku/>
              <w:bidi w:val="0"/>
              <w:spacing w:line="360" w:lineRule="auto"/>
              <w:rPr>
                <w:rFonts w:hint="eastAsia" w:ascii="宋体" w:hAnsi="宋体" w:eastAsia="宋体" w:cs="宋体"/>
                <w:color w:val="auto"/>
                <w:sz w:val="21"/>
                <w:szCs w:val="21"/>
                <w:highlight w:val="none"/>
              </w:rPr>
            </w:pPr>
          </w:p>
        </w:tc>
        <w:tc>
          <w:tcPr>
            <w:tcW w:w="1674" w:type="dxa"/>
            <w:vAlign w:val="top"/>
          </w:tcPr>
          <w:p w14:paraId="2AC37475">
            <w:pPr>
              <w:keepLines w:val="0"/>
              <w:pageBreakBefore w:val="0"/>
              <w:kinsoku/>
              <w:bidi w:val="0"/>
              <w:spacing w:line="360" w:lineRule="auto"/>
              <w:rPr>
                <w:rFonts w:hint="eastAsia" w:ascii="宋体" w:hAnsi="宋体" w:eastAsia="宋体" w:cs="宋体"/>
                <w:color w:val="auto"/>
                <w:sz w:val="21"/>
                <w:szCs w:val="21"/>
                <w:highlight w:val="none"/>
              </w:rPr>
            </w:pPr>
          </w:p>
        </w:tc>
        <w:tc>
          <w:tcPr>
            <w:tcW w:w="1038" w:type="dxa"/>
            <w:vAlign w:val="top"/>
          </w:tcPr>
          <w:p w14:paraId="6BF9A7F5">
            <w:pPr>
              <w:keepLines w:val="0"/>
              <w:pageBreakBefore w:val="0"/>
              <w:kinsoku/>
              <w:bidi w:val="0"/>
              <w:spacing w:line="360" w:lineRule="auto"/>
              <w:rPr>
                <w:rFonts w:hint="eastAsia" w:ascii="宋体" w:hAnsi="宋体" w:eastAsia="宋体" w:cs="宋体"/>
                <w:color w:val="auto"/>
                <w:sz w:val="21"/>
                <w:szCs w:val="21"/>
                <w:highlight w:val="none"/>
              </w:rPr>
            </w:pPr>
          </w:p>
        </w:tc>
        <w:tc>
          <w:tcPr>
            <w:tcW w:w="1246" w:type="dxa"/>
            <w:vAlign w:val="top"/>
          </w:tcPr>
          <w:p w14:paraId="1084C095">
            <w:pPr>
              <w:keepLines w:val="0"/>
              <w:pageBreakBefore w:val="0"/>
              <w:kinsoku/>
              <w:bidi w:val="0"/>
              <w:spacing w:line="360" w:lineRule="auto"/>
              <w:rPr>
                <w:rFonts w:hint="eastAsia" w:ascii="宋体" w:hAnsi="宋体" w:eastAsia="宋体" w:cs="宋体"/>
                <w:color w:val="auto"/>
                <w:sz w:val="21"/>
                <w:szCs w:val="21"/>
                <w:highlight w:val="none"/>
              </w:rPr>
            </w:pPr>
          </w:p>
        </w:tc>
        <w:tc>
          <w:tcPr>
            <w:tcW w:w="1695" w:type="dxa"/>
            <w:vAlign w:val="top"/>
          </w:tcPr>
          <w:p w14:paraId="4D1B94FA">
            <w:pPr>
              <w:keepLines w:val="0"/>
              <w:pageBreakBefore w:val="0"/>
              <w:kinsoku/>
              <w:bidi w:val="0"/>
              <w:spacing w:line="360" w:lineRule="auto"/>
              <w:rPr>
                <w:rFonts w:hint="eastAsia" w:ascii="宋体" w:hAnsi="宋体" w:eastAsia="宋体" w:cs="宋体"/>
                <w:color w:val="auto"/>
                <w:sz w:val="21"/>
                <w:szCs w:val="21"/>
                <w:highlight w:val="none"/>
              </w:rPr>
            </w:pPr>
          </w:p>
        </w:tc>
        <w:tc>
          <w:tcPr>
            <w:tcW w:w="859" w:type="dxa"/>
            <w:vAlign w:val="top"/>
          </w:tcPr>
          <w:p w14:paraId="3AF93DF7">
            <w:pPr>
              <w:keepLines w:val="0"/>
              <w:pageBreakBefore w:val="0"/>
              <w:kinsoku/>
              <w:bidi w:val="0"/>
              <w:spacing w:line="360" w:lineRule="auto"/>
              <w:rPr>
                <w:rFonts w:hint="eastAsia" w:ascii="宋体" w:hAnsi="宋体" w:eastAsia="宋体" w:cs="宋体"/>
                <w:color w:val="auto"/>
                <w:sz w:val="21"/>
                <w:szCs w:val="21"/>
                <w:highlight w:val="none"/>
              </w:rPr>
            </w:pPr>
          </w:p>
        </w:tc>
      </w:tr>
      <w:tr w14:paraId="7F4A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23" w:type="dxa"/>
            <w:vAlign w:val="top"/>
          </w:tcPr>
          <w:p w14:paraId="7091735A">
            <w:pPr>
              <w:keepLines w:val="0"/>
              <w:pageBreakBefore w:val="0"/>
              <w:kinsoku/>
              <w:bidi w:val="0"/>
              <w:spacing w:line="360" w:lineRule="auto"/>
              <w:rPr>
                <w:rFonts w:hint="eastAsia" w:ascii="宋体" w:hAnsi="宋体" w:eastAsia="宋体" w:cs="宋体"/>
                <w:color w:val="auto"/>
                <w:sz w:val="21"/>
                <w:szCs w:val="21"/>
                <w:highlight w:val="none"/>
              </w:rPr>
            </w:pPr>
          </w:p>
        </w:tc>
        <w:tc>
          <w:tcPr>
            <w:tcW w:w="837" w:type="dxa"/>
            <w:vAlign w:val="top"/>
          </w:tcPr>
          <w:p w14:paraId="6D311655">
            <w:pPr>
              <w:keepLines w:val="0"/>
              <w:pageBreakBefore w:val="0"/>
              <w:kinsoku/>
              <w:bidi w:val="0"/>
              <w:spacing w:line="360" w:lineRule="auto"/>
              <w:rPr>
                <w:rFonts w:hint="eastAsia" w:ascii="宋体" w:hAnsi="宋体" w:eastAsia="宋体" w:cs="宋体"/>
                <w:color w:val="auto"/>
                <w:sz w:val="21"/>
                <w:szCs w:val="21"/>
                <w:highlight w:val="none"/>
              </w:rPr>
            </w:pPr>
          </w:p>
        </w:tc>
        <w:tc>
          <w:tcPr>
            <w:tcW w:w="1025" w:type="dxa"/>
            <w:vAlign w:val="top"/>
          </w:tcPr>
          <w:p w14:paraId="2B7A08D5">
            <w:pPr>
              <w:keepLines w:val="0"/>
              <w:pageBreakBefore w:val="0"/>
              <w:kinsoku/>
              <w:bidi w:val="0"/>
              <w:spacing w:line="360" w:lineRule="auto"/>
              <w:rPr>
                <w:rFonts w:hint="eastAsia" w:ascii="宋体" w:hAnsi="宋体" w:eastAsia="宋体" w:cs="宋体"/>
                <w:color w:val="auto"/>
                <w:sz w:val="21"/>
                <w:szCs w:val="21"/>
                <w:highlight w:val="none"/>
              </w:rPr>
            </w:pPr>
          </w:p>
        </w:tc>
        <w:tc>
          <w:tcPr>
            <w:tcW w:w="1674" w:type="dxa"/>
            <w:vAlign w:val="top"/>
          </w:tcPr>
          <w:p w14:paraId="41879AE8">
            <w:pPr>
              <w:keepLines w:val="0"/>
              <w:pageBreakBefore w:val="0"/>
              <w:kinsoku/>
              <w:bidi w:val="0"/>
              <w:spacing w:line="360" w:lineRule="auto"/>
              <w:rPr>
                <w:rFonts w:hint="eastAsia" w:ascii="宋体" w:hAnsi="宋体" w:eastAsia="宋体" w:cs="宋体"/>
                <w:color w:val="auto"/>
                <w:sz w:val="21"/>
                <w:szCs w:val="21"/>
                <w:highlight w:val="none"/>
              </w:rPr>
            </w:pPr>
          </w:p>
        </w:tc>
        <w:tc>
          <w:tcPr>
            <w:tcW w:w="1038" w:type="dxa"/>
            <w:vAlign w:val="top"/>
          </w:tcPr>
          <w:p w14:paraId="50BC1632">
            <w:pPr>
              <w:keepLines w:val="0"/>
              <w:pageBreakBefore w:val="0"/>
              <w:kinsoku/>
              <w:bidi w:val="0"/>
              <w:spacing w:line="360" w:lineRule="auto"/>
              <w:rPr>
                <w:rFonts w:hint="eastAsia" w:ascii="宋体" w:hAnsi="宋体" w:eastAsia="宋体" w:cs="宋体"/>
                <w:color w:val="auto"/>
                <w:sz w:val="21"/>
                <w:szCs w:val="21"/>
                <w:highlight w:val="none"/>
              </w:rPr>
            </w:pPr>
          </w:p>
        </w:tc>
        <w:tc>
          <w:tcPr>
            <w:tcW w:w="1246" w:type="dxa"/>
            <w:vAlign w:val="top"/>
          </w:tcPr>
          <w:p w14:paraId="62FBC142">
            <w:pPr>
              <w:keepLines w:val="0"/>
              <w:pageBreakBefore w:val="0"/>
              <w:kinsoku/>
              <w:bidi w:val="0"/>
              <w:spacing w:line="360" w:lineRule="auto"/>
              <w:rPr>
                <w:rFonts w:hint="eastAsia" w:ascii="宋体" w:hAnsi="宋体" w:eastAsia="宋体" w:cs="宋体"/>
                <w:color w:val="auto"/>
                <w:sz w:val="21"/>
                <w:szCs w:val="21"/>
                <w:highlight w:val="none"/>
              </w:rPr>
            </w:pPr>
          </w:p>
        </w:tc>
        <w:tc>
          <w:tcPr>
            <w:tcW w:w="1695" w:type="dxa"/>
            <w:vAlign w:val="top"/>
          </w:tcPr>
          <w:p w14:paraId="0FC28722">
            <w:pPr>
              <w:keepLines w:val="0"/>
              <w:pageBreakBefore w:val="0"/>
              <w:kinsoku/>
              <w:bidi w:val="0"/>
              <w:spacing w:line="360" w:lineRule="auto"/>
              <w:rPr>
                <w:rFonts w:hint="eastAsia" w:ascii="宋体" w:hAnsi="宋体" w:eastAsia="宋体" w:cs="宋体"/>
                <w:color w:val="auto"/>
                <w:sz w:val="21"/>
                <w:szCs w:val="21"/>
                <w:highlight w:val="none"/>
              </w:rPr>
            </w:pPr>
          </w:p>
        </w:tc>
        <w:tc>
          <w:tcPr>
            <w:tcW w:w="859" w:type="dxa"/>
            <w:vAlign w:val="top"/>
          </w:tcPr>
          <w:p w14:paraId="7C7A2331">
            <w:pPr>
              <w:keepLines w:val="0"/>
              <w:pageBreakBefore w:val="0"/>
              <w:kinsoku/>
              <w:bidi w:val="0"/>
              <w:spacing w:line="360" w:lineRule="auto"/>
              <w:rPr>
                <w:rFonts w:hint="eastAsia" w:ascii="宋体" w:hAnsi="宋体" w:eastAsia="宋体" w:cs="宋体"/>
                <w:color w:val="auto"/>
                <w:sz w:val="21"/>
                <w:szCs w:val="21"/>
                <w:highlight w:val="none"/>
              </w:rPr>
            </w:pPr>
          </w:p>
        </w:tc>
      </w:tr>
      <w:tr w14:paraId="22BE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23" w:type="dxa"/>
            <w:vAlign w:val="top"/>
          </w:tcPr>
          <w:p w14:paraId="2694A8B4">
            <w:pPr>
              <w:keepLines w:val="0"/>
              <w:pageBreakBefore w:val="0"/>
              <w:kinsoku/>
              <w:bidi w:val="0"/>
              <w:spacing w:line="360" w:lineRule="auto"/>
              <w:rPr>
                <w:rFonts w:hint="eastAsia" w:ascii="宋体" w:hAnsi="宋体" w:eastAsia="宋体" w:cs="宋体"/>
                <w:color w:val="auto"/>
                <w:sz w:val="21"/>
                <w:szCs w:val="21"/>
                <w:highlight w:val="none"/>
              </w:rPr>
            </w:pPr>
          </w:p>
        </w:tc>
        <w:tc>
          <w:tcPr>
            <w:tcW w:w="837" w:type="dxa"/>
            <w:vAlign w:val="top"/>
          </w:tcPr>
          <w:p w14:paraId="4AC044EB">
            <w:pPr>
              <w:keepLines w:val="0"/>
              <w:pageBreakBefore w:val="0"/>
              <w:kinsoku/>
              <w:bidi w:val="0"/>
              <w:spacing w:line="360" w:lineRule="auto"/>
              <w:rPr>
                <w:rFonts w:hint="eastAsia" w:ascii="宋体" w:hAnsi="宋体" w:eastAsia="宋体" w:cs="宋体"/>
                <w:color w:val="auto"/>
                <w:sz w:val="21"/>
                <w:szCs w:val="21"/>
                <w:highlight w:val="none"/>
              </w:rPr>
            </w:pPr>
          </w:p>
        </w:tc>
        <w:tc>
          <w:tcPr>
            <w:tcW w:w="1025" w:type="dxa"/>
            <w:vAlign w:val="top"/>
          </w:tcPr>
          <w:p w14:paraId="1604C277">
            <w:pPr>
              <w:keepLines w:val="0"/>
              <w:pageBreakBefore w:val="0"/>
              <w:kinsoku/>
              <w:bidi w:val="0"/>
              <w:spacing w:line="360" w:lineRule="auto"/>
              <w:rPr>
                <w:rFonts w:hint="eastAsia" w:ascii="宋体" w:hAnsi="宋体" w:eastAsia="宋体" w:cs="宋体"/>
                <w:color w:val="auto"/>
                <w:sz w:val="21"/>
                <w:szCs w:val="21"/>
                <w:highlight w:val="none"/>
              </w:rPr>
            </w:pPr>
          </w:p>
        </w:tc>
        <w:tc>
          <w:tcPr>
            <w:tcW w:w="1674" w:type="dxa"/>
            <w:vAlign w:val="top"/>
          </w:tcPr>
          <w:p w14:paraId="74708999">
            <w:pPr>
              <w:keepLines w:val="0"/>
              <w:pageBreakBefore w:val="0"/>
              <w:kinsoku/>
              <w:bidi w:val="0"/>
              <w:spacing w:line="360" w:lineRule="auto"/>
              <w:rPr>
                <w:rFonts w:hint="eastAsia" w:ascii="宋体" w:hAnsi="宋体" w:eastAsia="宋体" w:cs="宋体"/>
                <w:color w:val="auto"/>
                <w:sz w:val="21"/>
                <w:szCs w:val="21"/>
                <w:highlight w:val="none"/>
              </w:rPr>
            </w:pPr>
          </w:p>
        </w:tc>
        <w:tc>
          <w:tcPr>
            <w:tcW w:w="1038" w:type="dxa"/>
            <w:vAlign w:val="top"/>
          </w:tcPr>
          <w:p w14:paraId="7CA1E1BD">
            <w:pPr>
              <w:keepLines w:val="0"/>
              <w:pageBreakBefore w:val="0"/>
              <w:kinsoku/>
              <w:bidi w:val="0"/>
              <w:spacing w:line="360" w:lineRule="auto"/>
              <w:rPr>
                <w:rFonts w:hint="eastAsia" w:ascii="宋体" w:hAnsi="宋体" w:eastAsia="宋体" w:cs="宋体"/>
                <w:color w:val="auto"/>
                <w:sz w:val="21"/>
                <w:szCs w:val="21"/>
                <w:highlight w:val="none"/>
              </w:rPr>
            </w:pPr>
          </w:p>
        </w:tc>
        <w:tc>
          <w:tcPr>
            <w:tcW w:w="1246" w:type="dxa"/>
            <w:vAlign w:val="top"/>
          </w:tcPr>
          <w:p w14:paraId="6C93A904">
            <w:pPr>
              <w:keepLines w:val="0"/>
              <w:pageBreakBefore w:val="0"/>
              <w:kinsoku/>
              <w:bidi w:val="0"/>
              <w:spacing w:line="360" w:lineRule="auto"/>
              <w:rPr>
                <w:rFonts w:hint="eastAsia" w:ascii="宋体" w:hAnsi="宋体" w:eastAsia="宋体" w:cs="宋体"/>
                <w:color w:val="auto"/>
                <w:sz w:val="21"/>
                <w:szCs w:val="21"/>
                <w:highlight w:val="none"/>
              </w:rPr>
            </w:pPr>
          </w:p>
        </w:tc>
        <w:tc>
          <w:tcPr>
            <w:tcW w:w="1695" w:type="dxa"/>
            <w:vAlign w:val="top"/>
          </w:tcPr>
          <w:p w14:paraId="715981C8">
            <w:pPr>
              <w:keepLines w:val="0"/>
              <w:pageBreakBefore w:val="0"/>
              <w:kinsoku/>
              <w:bidi w:val="0"/>
              <w:spacing w:line="360" w:lineRule="auto"/>
              <w:rPr>
                <w:rFonts w:hint="eastAsia" w:ascii="宋体" w:hAnsi="宋体" w:eastAsia="宋体" w:cs="宋体"/>
                <w:color w:val="auto"/>
                <w:sz w:val="21"/>
                <w:szCs w:val="21"/>
                <w:highlight w:val="none"/>
              </w:rPr>
            </w:pPr>
          </w:p>
        </w:tc>
        <w:tc>
          <w:tcPr>
            <w:tcW w:w="859" w:type="dxa"/>
            <w:vAlign w:val="top"/>
          </w:tcPr>
          <w:p w14:paraId="53194AF0">
            <w:pPr>
              <w:keepLines w:val="0"/>
              <w:pageBreakBefore w:val="0"/>
              <w:kinsoku/>
              <w:bidi w:val="0"/>
              <w:spacing w:line="360" w:lineRule="auto"/>
              <w:rPr>
                <w:rFonts w:hint="eastAsia" w:ascii="宋体" w:hAnsi="宋体" w:eastAsia="宋体" w:cs="宋体"/>
                <w:color w:val="auto"/>
                <w:sz w:val="21"/>
                <w:szCs w:val="21"/>
                <w:highlight w:val="none"/>
              </w:rPr>
            </w:pPr>
          </w:p>
        </w:tc>
      </w:tr>
    </w:tbl>
    <w:p w14:paraId="7C5ECE39">
      <w:pPr>
        <w:pStyle w:val="35"/>
        <w:ind w:left="0" w:leftChars="0" w:firstLine="0" w:firstLineChars="0"/>
        <w:rPr>
          <w:rFonts w:hint="eastAsia" w:ascii="宋体" w:hAnsi="宋体" w:eastAsia="宋体" w:cs="宋体"/>
          <w:color w:val="auto"/>
          <w:sz w:val="21"/>
          <w:szCs w:val="21"/>
          <w:highlight w:val="none"/>
        </w:rPr>
      </w:pPr>
    </w:p>
    <w:p w14:paraId="2CDD6BD5">
      <w:pPr>
        <w:pStyle w:val="36"/>
        <w:rPr>
          <w:rFonts w:hint="eastAsia" w:ascii="宋体" w:hAnsi="宋体" w:eastAsia="宋体" w:cs="宋体"/>
          <w:color w:val="auto"/>
          <w:highlight w:val="none"/>
        </w:rPr>
      </w:pPr>
    </w:p>
    <w:p w14:paraId="78F94397">
      <w:pPr>
        <w:pStyle w:val="36"/>
        <w:rPr>
          <w:rFonts w:hint="eastAsia" w:ascii="宋体" w:hAnsi="宋体" w:eastAsia="宋体" w:cs="宋体"/>
          <w:color w:val="auto"/>
          <w:sz w:val="21"/>
          <w:szCs w:val="21"/>
          <w:highlight w:val="none"/>
        </w:rPr>
      </w:pPr>
    </w:p>
    <w:p w14:paraId="4F710069">
      <w:pPr>
        <w:pStyle w:val="36"/>
        <w:ind w:left="0" w:leftChars="0" w:firstLine="0" w:firstLineChars="0"/>
        <w:rPr>
          <w:rFonts w:hint="eastAsia" w:ascii="宋体" w:hAnsi="宋体" w:eastAsia="宋体" w:cs="宋体"/>
          <w:color w:val="auto"/>
          <w:highlight w:val="none"/>
        </w:rPr>
      </w:pPr>
    </w:p>
    <w:p w14:paraId="2832F6B7">
      <w:pPr>
        <w:pStyle w:val="16"/>
        <w:rPr>
          <w:rFonts w:hint="eastAsia" w:ascii="宋体" w:hAnsi="宋体" w:eastAsia="宋体" w:cs="宋体"/>
          <w:color w:val="auto"/>
          <w:highlight w:val="none"/>
        </w:rPr>
      </w:pPr>
    </w:p>
    <w:p w14:paraId="4310A077">
      <w:pPr>
        <w:pStyle w:val="137"/>
        <w:keepLines w:val="0"/>
        <w:pageBreakBefore w:val="0"/>
        <w:numPr>
          <w:ilvl w:val="0"/>
          <w:numId w:val="14"/>
        </w:numPr>
        <w:kinsoku/>
        <w:bidi w:val="0"/>
        <w:spacing w:before="0" w:after="0" w:line="360" w:lineRule="auto"/>
        <w:jc w:val="center"/>
        <w:rPr>
          <w:rFonts w:hint="eastAsia" w:ascii="宋体" w:hAnsi="宋体" w:eastAsia="宋体" w:cs="宋体"/>
          <w:b/>
          <w:bCs/>
          <w:color w:val="auto"/>
          <w:sz w:val="24"/>
          <w:szCs w:val="24"/>
          <w:highlight w:val="none"/>
        </w:rPr>
      </w:pPr>
      <w:bookmarkStart w:id="571" w:name="_Toc44955254"/>
      <w:bookmarkStart w:id="572" w:name="_Toc1116"/>
      <w:bookmarkStart w:id="573" w:name="_Toc152042594"/>
      <w:bookmarkStart w:id="574" w:name="_Toc152045805"/>
      <w:bookmarkStart w:id="575" w:name="_Toc144974873"/>
      <w:bookmarkStart w:id="576" w:name="_Toc44245300"/>
      <w:bookmarkStart w:id="577" w:name="_Toc42008310"/>
      <w:r>
        <w:rPr>
          <w:rFonts w:hint="eastAsia" w:ascii="宋体" w:hAnsi="宋体" w:eastAsia="宋体" w:cs="宋体"/>
          <w:b/>
          <w:bCs/>
          <w:color w:val="auto"/>
          <w:sz w:val="24"/>
          <w:szCs w:val="24"/>
          <w:highlight w:val="none"/>
        </w:rPr>
        <w:t>主要人员简历表</w:t>
      </w:r>
      <w:bookmarkEnd w:id="571"/>
      <w:bookmarkEnd w:id="572"/>
      <w:bookmarkEnd w:id="573"/>
      <w:bookmarkEnd w:id="574"/>
      <w:bookmarkEnd w:id="575"/>
      <w:bookmarkEnd w:id="576"/>
      <w:bookmarkEnd w:id="577"/>
    </w:p>
    <w:tbl>
      <w:tblPr>
        <w:tblStyle w:val="3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594"/>
        <w:gridCol w:w="721"/>
        <w:gridCol w:w="928"/>
        <w:gridCol w:w="1066"/>
        <w:gridCol w:w="710"/>
        <w:gridCol w:w="1263"/>
        <w:gridCol w:w="160"/>
        <w:gridCol w:w="2138"/>
      </w:tblGrid>
      <w:tr w14:paraId="14378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257" w:type="dxa"/>
            <w:vAlign w:val="center"/>
          </w:tcPr>
          <w:p w14:paraId="304891AD">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姓</w:t>
            </w:r>
            <w:r>
              <w:rPr>
                <w:rFonts w:hint="eastAsia" w:ascii="宋体" w:hAnsi="宋体" w:eastAsia="宋体" w:cs="宋体"/>
                <w:color w:val="auto"/>
                <w:sz w:val="21"/>
                <w:szCs w:val="21"/>
                <w:highlight w:val="none"/>
              </w:rPr>
              <w:t>名</w:t>
            </w:r>
          </w:p>
        </w:tc>
        <w:tc>
          <w:tcPr>
            <w:tcW w:w="1315" w:type="dxa"/>
            <w:gridSpan w:val="2"/>
            <w:vAlign w:val="center"/>
          </w:tcPr>
          <w:p w14:paraId="06CDD02B">
            <w:pPr>
              <w:keepLines w:val="0"/>
              <w:pageBreakBefore w:val="0"/>
              <w:kinsoku/>
              <w:bidi w:val="0"/>
              <w:spacing w:line="360" w:lineRule="auto"/>
              <w:rPr>
                <w:rFonts w:hint="eastAsia" w:ascii="宋体" w:hAnsi="宋体" w:eastAsia="宋体" w:cs="宋体"/>
                <w:color w:val="auto"/>
                <w:sz w:val="21"/>
                <w:szCs w:val="21"/>
                <w:highlight w:val="none"/>
              </w:rPr>
            </w:pPr>
          </w:p>
        </w:tc>
        <w:tc>
          <w:tcPr>
            <w:tcW w:w="928" w:type="dxa"/>
            <w:vAlign w:val="center"/>
          </w:tcPr>
          <w:p w14:paraId="71E5F08C">
            <w:pPr>
              <w:keepLines w:val="0"/>
              <w:pageBreakBefore w:val="0"/>
              <w:kinsoku/>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1066" w:type="dxa"/>
            <w:vAlign w:val="center"/>
          </w:tcPr>
          <w:p w14:paraId="746023D9">
            <w:pPr>
              <w:keepLines w:val="0"/>
              <w:pageBreakBefore w:val="0"/>
              <w:kinsoku/>
              <w:bidi w:val="0"/>
              <w:spacing w:line="360" w:lineRule="auto"/>
              <w:rPr>
                <w:rFonts w:hint="eastAsia" w:ascii="宋体" w:hAnsi="宋体" w:eastAsia="宋体" w:cs="宋体"/>
                <w:color w:val="auto"/>
                <w:sz w:val="21"/>
                <w:szCs w:val="21"/>
                <w:highlight w:val="none"/>
              </w:rPr>
            </w:pPr>
          </w:p>
        </w:tc>
        <w:tc>
          <w:tcPr>
            <w:tcW w:w="2133" w:type="dxa"/>
            <w:gridSpan w:val="3"/>
            <w:vAlign w:val="center"/>
          </w:tcPr>
          <w:p w14:paraId="7625749E">
            <w:pPr>
              <w:keepLines w:val="0"/>
              <w:pageBreakBefore w:val="0"/>
              <w:kinsoku/>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2138" w:type="dxa"/>
            <w:vAlign w:val="center"/>
          </w:tcPr>
          <w:p w14:paraId="3DD9AECE">
            <w:pPr>
              <w:keepLines w:val="0"/>
              <w:pageBreakBefore w:val="0"/>
              <w:kinsoku/>
              <w:bidi w:val="0"/>
              <w:spacing w:line="360" w:lineRule="auto"/>
              <w:rPr>
                <w:rFonts w:hint="eastAsia" w:ascii="宋体" w:hAnsi="宋体" w:eastAsia="宋体" w:cs="宋体"/>
                <w:color w:val="auto"/>
                <w:sz w:val="21"/>
                <w:szCs w:val="21"/>
                <w:highlight w:val="none"/>
              </w:rPr>
            </w:pPr>
          </w:p>
        </w:tc>
      </w:tr>
      <w:tr w14:paraId="78A73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257" w:type="dxa"/>
            <w:vAlign w:val="center"/>
          </w:tcPr>
          <w:p w14:paraId="78522FD4">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315" w:type="dxa"/>
            <w:gridSpan w:val="2"/>
            <w:vAlign w:val="center"/>
          </w:tcPr>
          <w:p w14:paraId="42F6982B">
            <w:pPr>
              <w:keepLines w:val="0"/>
              <w:pageBreakBefore w:val="0"/>
              <w:kinsoku/>
              <w:bidi w:val="0"/>
              <w:spacing w:line="360" w:lineRule="auto"/>
              <w:rPr>
                <w:rFonts w:hint="eastAsia" w:ascii="宋体" w:hAnsi="宋体" w:eastAsia="宋体" w:cs="宋体"/>
                <w:color w:val="auto"/>
                <w:sz w:val="21"/>
                <w:szCs w:val="21"/>
                <w:highlight w:val="none"/>
              </w:rPr>
            </w:pPr>
          </w:p>
        </w:tc>
        <w:tc>
          <w:tcPr>
            <w:tcW w:w="928" w:type="dxa"/>
            <w:vAlign w:val="center"/>
          </w:tcPr>
          <w:p w14:paraId="5E6A0BFF">
            <w:pPr>
              <w:keepLines w:val="0"/>
              <w:pageBreakBefore w:val="0"/>
              <w:kinsoku/>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066" w:type="dxa"/>
            <w:vAlign w:val="center"/>
          </w:tcPr>
          <w:p w14:paraId="6347251D">
            <w:pPr>
              <w:keepLines w:val="0"/>
              <w:pageBreakBefore w:val="0"/>
              <w:kinsoku/>
              <w:bidi w:val="0"/>
              <w:spacing w:line="360" w:lineRule="auto"/>
              <w:rPr>
                <w:rFonts w:hint="eastAsia" w:ascii="宋体" w:hAnsi="宋体" w:eastAsia="宋体" w:cs="宋体"/>
                <w:color w:val="auto"/>
                <w:sz w:val="21"/>
                <w:szCs w:val="21"/>
                <w:highlight w:val="none"/>
              </w:rPr>
            </w:pPr>
          </w:p>
        </w:tc>
        <w:tc>
          <w:tcPr>
            <w:tcW w:w="2133" w:type="dxa"/>
            <w:gridSpan w:val="3"/>
            <w:vAlign w:val="center"/>
          </w:tcPr>
          <w:p w14:paraId="1EDE8FC7">
            <w:pPr>
              <w:keepLines w:val="0"/>
              <w:pageBreakBefore w:val="0"/>
              <w:kinsoku/>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拟在本合同任职</w:t>
            </w:r>
          </w:p>
        </w:tc>
        <w:tc>
          <w:tcPr>
            <w:tcW w:w="2138" w:type="dxa"/>
            <w:vAlign w:val="center"/>
          </w:tcPr>
          <w:p w14:paraId="7E6FDD06">
            <w:pPr>
              <w:keepLines w:val="0"/>
              <w:pageBreakBefore w:val="0"/>
              <w:kinsoku/>
              <w:bidi w:val="0"/>
              <w:spacing w:line="360" w:lineRule="auto"/>
              <w:rPr>
                <w:rFonts w:hint="eastAsia" w:ascii="宋体" w:hAnsi="宋体" w:eastAsia="宋体" w:cs="宋体"/>
                <w:color w:val="auto"/>
                <w:sz w:val="21"/>
                <w:szCs w:val="21"/>
                <w:highlight w:val="none"/>
              </w:rPr>
            </w:pPr>
          </w:p>
        </w:tc>
      </w:tr>
      <w:tr w14:paraId="67C90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257" w:type="dxa"/>
            <w:vAlign w:val="center"/>
          </w:tcPr>
          <w:p w14:paraId="484E7D23">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毕业学校</w:t>
            </w:r>
          </w:p>
        </w:tc>
        <w:tc>
          <w:tcPr>
            <w:tcW w:w="7580" w:type="dxa"/>
            <w:gridSpan w:val="8"/>
            <w:vAlign w:val="center"/>
          </w:tcPr>
          <w:p w14:paraId="75131D2F">
            <w:pPr>
              <w:keepLines w:val="0"/>
              <w:pageBreakBefore w:val="0"/>
              <w:kinsoku/>
              <w:bidi w:val="0"/>
              <w:spacing w:line="360" w:lineRule="auto"/>
              <w:ind w:firstLine="1260" w:firstLineChars="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毕业于</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学校</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专业</w:t>
            </w:r>
          </w:p>
        </w:tc>
      </w:tr>
      <w:tr w14:paraId="6AA6D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837" w:type="dxa"/>
            <w:gridSpan w:val="9"/>
            <w:vAlign w:val="center"/>
          </w:tcPr>
          <w:p w14:paraId="66D7651A">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主要工作经历</w:t>
            </w:r>
          </w:p>
        </w:tc>
      </w:tr>
      <w:tr w14:paraId="097E3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51" w:type="dxa"/>
            <w:gridSpan w:val="2"/>
            <w:vAlign w:val="center"/>
          </w:tcPr>
          <w:p w14:paraId="6E1BD3D0">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p>
        </w:tc>
        <w:tc>
          <w:tcPr>
            <w:tcW w:w="3425" w:type="dxa"/>
            <w:gridSpan w:val="4"/>
            <w:vAlign w:val="center"/>
          </w:tcPr>
          <w:p w14:paraId="3769A906">
            <w:pPr>
              <w:keepLines w:val="0"/>
              <w:pageBreakBefore w:val="0"/>
              <w:kinsoku/>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参加过的类似项目</w:t>
            </w:r>
          </w:p>
        </w:tc>
        <w:tc>
          <w:tcPr>
            <w:tcW w:w="1263" w:type="dxa"/>
            <w:vAlign w:val="center"/>
          </w:tcPr>
          <w:p w14:paraId="049C8D06">
            <w:pPr>
              <w:keepLines w:val="0"/>
              <w:pageBreakBefore w:val="0"/>
              <w:kinsoku/>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担任职务</w:t>
            </w:r>
          </w:p>
        </w:tc>
        <w:tc>
          <w:tcPr>
            <w:tcW w:w="2298" w:type="dxa"/>
            <w:gridSpan w:val="2"/>
            <w:vAlign w:val="center"/>
          </w:tcPr>
          <w:p w14:paraId="59EC599A">
            <w:pPr>
              <w:keepLines w:val="0"/>
              <w:pageBreakBefore w:val="0"/>
              <w:kinsoku/>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发包人及联系电话</w:t>
            </w:r>
          </w:p>
        </w:tc>
      </w:tr>
      <w:tr w14:paraId="029E0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51" w:type="dxa"/>
            <w:gridSpan w:val="2"/>
            <w:vAlign w:val="center"/>
          </w:tcPr>
          <w:p w14:paraId="4B9420CF">
            <w:pPr>
              <w:keepLines w:val="0"/>
              <w:pageBreakBefore w:val="0"/>
              <w:kinsoku/>
              <w:bidi w:val="0"/>
              <w:spacing w:line="360" w:lineRule="auto"/>
              <w:jc w:val="center"/>
              <w:rPr>
                <w:rFonts w:hint="eastAsia" w:ascii="宋体" w:hAnsi="宋体" w:eastAsia="宋体" w:cs="宋体"/>
                <w:color w:val="auto"/>
                <w:sz w:val="21"/>
                <w:szCs w:val="21"/>
                <w:highlight w:val="none"/>
              </w:rPr>
            </w:pPr>
          </w:p>
        </w:tc>
        <w:tc>
          <w:tcPr>
            <w:tcW w:w="3425" w:type="dxa"/>
            <w:gridSpan w:val="4"/>
            <w:vAlign w:val="center"/>
          </w:tcPr>
          <w:p w14:paraId="6D500DF3">
            <w:pPr>
              <w:keepLines w:val="0"/>
              <w:pageBreakBefore w:val="0"/>
              <w:kinsoku/>
              <w:bidi w:val="0"/>
              <w:spacing w:line="360" w:lineRule="auto"/>
              <w:rPr>
                <w:rFonts w:hint="eastAsia" w:ascii="宋体" w:hAnsi="宋体" w:eastAsia="宋体" w:cs="宋体"/>
                <w:color w:val="auto"/>
                <w:sz w:val="21"/>
                <w:szCs w:val="21"/>
                <w:highlight w:val="none"/>
              </w:rPr>
            </w:pPr>
          </w:p>
        </w:tc>
        <w:tc>
          <w:tcPr>
            <w:tcW w:w="1263" w:type="dxa"/>
            <w:vAlign w:val="center"/>
          </w:tcPr>
          <w:p w14:paraId="5D1BE085">
            <w:pPr>
              <w:keepLines w:val="0"/>
              <w:pageBreakBefore w:val="0"/>
              <w:kinsoku/>
              <w:bidi w:val="0"/>
              <w:spacing w:line="360" w:lineRule="auto"/>
              <w:rPr>
                <w:rFonts w:hint="eastAsia" w:ascii="宋体" w:hAnsi="宋体" w:eastAsia="宋体" w:cs="宋体"/>
                <w:color w:val="auto"/>
                <w:sz w:val="21"/>
                <w:szCs w:val="21"/>
                <w:highlight w:val="none"/>
              </w:rPr>
            </w:pPr>
          </w:p>
        </w:tc>
        <w:tc>
          <w:tcPr>
            <w:tcW w:w="2298" w:type="dxa"/>
            <w:gridSpan w:val="2"/>
            <w:vAlign w:val="center"/>
          </w:tcPr>
          <w:p w14:paraId="10F2C985">
            <w:pPr>
              <w:keepLines w:val="0"/>
              <w:pageBreakBefore w:val="0"/>
              <w:kinsoku/>
              <w:bidi w:val="0"/>
              <w:spacing w:line="360" w:lineRule="auto"/>
              <w:rPr>
                <w:rFonts w:hint="eastAsia" w:ascii="宋体" w:hAnsi="宋体" w:eastAsia="宋体" w:cs="宋体"/>
                <w:color w:val="auto"/>
                <w:sz w:val="21"/>
                <w:szCs w:val="21"/>
                <w:highlight w:val="none"/>
              </w:rPr>
            </w:pPr>
          </w:p>
        </w:tc>
      </w:tr>
      <w:tr w14:paraId="7BC89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51" w:type="dxa"/>
            <w:gridSpan w:val="2"/>
            <w:vAlign w:val="center"/>
          </w:tcPr>
          <w:p w14:paraId="7095C2C8">
            <w:pPr>
              <w:keepLines w:val="0"/>
              <w:pageBreakBefore w:val="0"/>
              <w:kinsoku/>
              <w:bidi w:val="0"/>
              <w:spacing w:line="360" w:lineRule="auto"/>
              <w:jc w:val="center"/>
              <w:rPr>
                <w:rFonts w:hint="eastAsia" w:ascii="宋体" w:hAnsi="宋体" w:eastAsia="宋体" w:cs="宋体"/>
                <w:color w:val="auto"/>
                <w:sz w:val="21"/>
                <w:szCs w:val="21"/>
                <w:highlight w:val="none"/>
              </w:rPr>
            </w:pPr>
          </w:p>
        </w:tc>
        <w:tc>
          <w:tcPr>
            <w:tcW w:w="3425" w:type="dxa"/>
            <w:gridSpan w:val="4"/>
            <w:vAlign w:val="center"/>
          </w:tcPr>
          <w:p w14:paraId="1ABD16B2">
            <w:pPr>
              <w:keepLines w:val="0"/>
              <w:pageBreakBefore w:val="0"/>
              <w:kinsoku/>
              <w:bidi w:val="0"/>
              <w:spacing w:line="360" w:lineRule="auto"/>
              <w:rPr>
                <w:rFonts w:hint="eastAsia" w:ascii="宋体" w:hAnsi="宋体" w:eastAsia="宋体" w:cs="宋体"/>
                <w:color w:val="auto"/>
                <w:sz w:val="21"/>
                <w:szCs w:val="21"/>
                <w:highlight w:val="none"/>
              </w:rPr>
            </w:pPr>
          </w:p>
        </w:tc>
        <w:tc>
          <w:tcPr>
            <w:tcW w:w="1263" w:type="dxa"/>
            <w:vAlign w:val="center"/>
          </w:tcPr>
          <w:p w14:paraId="7D3A2AF9">
            <w:pPr>
              <w:keepLines w:val="0"/>
              <w:pageBreakBefore w:val="0"/>
              <w:kinsoku/>
              <w:bidi w:val="0"/>
              <w:spacing w:line="360" w:lineRule="auto"/>
              <w:rPr>
                <w:rFonts w:hint="eastAsia" w:ascii="宋体" w:hAnsi="宋体" w:eastAsia="宋体" w:cs="宋体"/>
                <w:color w:val="auto"/>
                <w:sz w:val="21"/>
                <w:szCs w:val="21"/>
                <w:highlight w:val="none"/>
              </w:rPr>
            </w:pPr>
          </w:p>
        </w:tc>
        <w:tc>
          <w:tcPr>
            <w:tcW w:w="2298" w:type="dxa"/>
            <w:gridSpan w:val="2"/>
            <w:vAlign w:val="center"/>
          </w:tcPr>
          <w:p w14:paraId="4049D3D8">
            <w:pPr>
              <w:keepLines w:val="0"/>
              <w:pageBreakBefore w:val="0"/>
              <w:kinsoku/>
              <w:bidi w:val="0"/>
              <w:spacing w:line="360" w:lineRule="auto"/>
              <w:rPr>
                <w:rFonts w:hint="eastAsia" w:ascii="宋体" w:hAnsi="宋体" w:eastAsia="宋体" w:cs="宋体"/>
                <w:color w:val="auto"/>
                <w:sz w:val="21"/>
                <w:szCs w:val="21"/>
                <w:highlight w:val="none"/>
              </w:rPr>
            </w:pPr>
          </w:p>
        </w:tc>
      </w:tr>
      <w:tr w14:paraId="50569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51" w:type="dxa"/>
            <w:gridSpan w:val="2"/>
            <w:vAlign w:val="center"/>
          </w:tcPr>
          <w:p w14:paraId="23F0FCA9">
            <w:pPr>
              <w:keepLines w:val="0"/>
              <w:pageBreakBefore w:val="0"/>
              <w:kinsoku/>
              <w:bidi w:val="0"/>
              <w:spacing w:line="360" w:lineRule="auto"/>
              <w:jc w:val="center"/>
              <w:rPr>
                <w:rFonts w:hint="eastAsia" w:ascii="宋体" w:hAnsi="宋体" w:eastAsia="宋体" w:cs="宋体"/>
                <w:color w:val="auto"/>
                <w:sz w:val="21"/>
                <w:szCs w:val="21"/>
                <w:highlight w:val="none"/>
              </w:rPr>
            </w:pPr>
          </w:p>
        </w:tc>
        <w:tc>
          <w:tcPr>
            <w:tcW w:w="3425" w:type="dxa"/>
            <w:gridSpan w:val="4"/>
            <w:vAlign w:val="center"/>
          </w:tcPr>
          <w:p w14:paraId="4A1E4962">
            <w:pPr>
              <w:keepLines w:val="0"/>
              <w:pageBreakBefore w:val="0"/>
              <w:kinsoku/>
              <w:bidi w:val="0"/>
              <w:spacing w:line="360" w:lineRule="auto"/>
              <w:rPr>
                <w:rFonts w:hint="eastAsia" w:ascii="宋体" w:hAnsi="宋体" w:eastAsia="宋体" w:cs="宋体"/>
                <w:color w:val="auto"/>
                <w:sz w:val="21"/>
                <w:szCs w:val="21"/>
                <w:highlight w:val="none"/>
              </w:rPr>
            </w:pPr>
          </w:p>
        </w:tc>
        <w:tc>
          <w:tcPr>
            <w:tcW w:w="1263" w:type="dxa"/>
            <w:vAlign w:val="center"/>
          </w:tcPr>
          <w:p w14:paraId="484A76B9">
            <w:pPr>
              <w:keepLines w:val="0"/>
              <w:pageBreakBefore w:val="0"/>
              <w:kinsoku/>
              <w:bidi w:val="0"/>
              <w:spacing w:line="360" w:lineRule="auto"/>
              <w:rPr>
                <w:rFonts w:hint="eastAsia" w:ascii="宋体" w:hAnsi="宋体" w:eastAsia="宋体" w:cs="宋体"/>
                <w:color w:val="auto"/>
                <w:sz w:val="21"/>
                <w:szCs w:val="21"/>
                <w:highlight w:val="none"/>
              </w:rPr>
            </w:pPr>
          </w:p>
        </w:tc>
        <w:tc>
          <w:tcPr>
            <w:tcW w:w="2298" w:type="dxa"/>
            <w:gridSpan w:val="2"/>
            <w:vAlign w:val="center"/>
          </w:tcPr>
          <w:p w14:paraId="0C91505F">
            <w:pPr>
              <w:keepLines w:val="0"/>
              <w:pageBreakBefore w:val="0"/>
              <w:kinsoku/>
              <w:bidi w:val="0"/>
              <w:spacing w:line="360" w:lineRule="auto"/>
              <w:rPr>
                <w:rFonts w:hint="eastAsia" w:ascii="宋体" w:hAnsi="宋体" w:eastAsia="宋体" w:cs="宋体"/>
                <w:color w:val="auto"/>
                <w:sz w:val="21"/>
                <w:szCs w:val="21"/>
                <w:highlight w:val="none"/>
              </w:rPr>
            </w:pPr>
          </w:p>
        </w:tc>
      </w:tr>
      <w:tr w14:paraId="4EE14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51" w:type="dxa"/>
            <w:gridSpan w:val="2"/>
            <w:vAlign w:val="center"/>
          </w:tcPr>
          <w:p w14:paraId="037E5D4B">
            <w:pPr>
              <w:keepLines w:val="0"/>
              <w:pageBreakBefore w:val="0"/>
              <w:kinsoku/>
              <w:bidi w:val="0"/>
              <w:spacing w:line="360" w:lineRule="auto"/>
              <w:jc w:val="center"/>
              <w:rPr>
                <w:rFonts w:hint="eastAsia" w:ascii="宋体" w:hAnsi="宋体" w:eastAsia="宋体" w:cs="宋体"/>
                <w:color w:val="auto"/>
                <w:sz w:val="21"/>
                <w:szCs w:val="21"/>
                <w:highlight w:val="none"/>
              </w:rPr>
            </w:pPr>
          </w:p>
        </w:tc>
        <w:tc>
          <w:tcPr>
            <w:tcW w:w="3425" w:type="dxa"/>
            <w:gridSpan w:val="4"/>
            <w:vAlign w:val="center"/>
          </w:tcPr>
          <w:p w14:paraId="2963B600">
            <w:pPr>
              <w:keepLines w:val="0"/>
              <w:pageBreakBefore w:val="0"/>
              <w:kinsoku/>
              <w:bidi w:val="0"/>
              <w:spacing w:line="360" w:lineRule="auto"/>
              <w:rPr>
                <w:rFonts w:hint="eastAsia" w:ascii="宋体" w:hAnsi="宋体" w:eastAsia="宋体" w:cs="宋体"/>
                <w:color w:val="auto"/>
                <w:sz w:val="21"/>
                <w:szCs w:val="21"/>
                <w:highlight w:val="none"/>
              </w:rPr>
            </w:pPr>
          </w:p>
        </w:tc>
        <w:tc>
          <w:tcPr>
            <w:tcW w:w="1263" w:type="dxa"/>
            <w:vAlign w:val="center"/>
          </w:tcPr>
          <w:p w14:paraId="09588AD5">
            <w:pPr>
              <w:keepLines w:val="0"/>
              <w:pageBreakBefore w:val="0"/>
              <w:kinsoku/>
              <w:bidi w:val="0"/>
              <w:spacing w:line="360" w:lineRule="auto"/>
              <w:rPr>
                <w:rFonts w:hint="eastAsia" w:ascii="宋体" w:hAnsi="宋体" w:eastAsia="宋体" w:cs="宋体"/>
                <w:color w:val="auto"/>
                <w:sz w:val="21"/>
                <w:szCs w:val="21"/>
                <w:highlight w:val="none"/>
              </w:rPr>
            </w:pPr>
          </w:p>
        </w:tc>
        <w:tc>
          <w:tcPr>
            <w:tcW w:w="2298" w:type="dxa"/>
            <w:gridSpan w:val="2"/>
            <w:vAlign w:val="center"/>
          </w:tcPr>
          <w:p w14:paraId="236DEA84">
            <w:pPr>
              <w:keepLines w:val="0"/>
              <w:pageBreakBefore w:val="0"/>
              <w:kinsoku/>
              <w:bidi w:val="0"/>
              <w:spacing w:line="360" w:lineRule="auto"/>
              <w:rPr>
                <w:rFonts w:hint="eastAsia" w:ascii="宋体" w:hAnsi="宋体" w:eastAsia="宋体" w:cs="宋体"/>
                <w:color w:val="auto"/>
                <w:sz w:val="21"/>
                <w:szCs w:val="21"/>
                <w:highlight w:val="none"/>
              </w:rPr>
            </w:pPr>
          </w:p>
        </w:tc>
      </w:tr>
      <w:tr w14:paraId="640DE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51" w:type="dxa"/>
            <w:gridSpan w:val="2"/>
            <w:vAlign w:val="center"/>
          </w:tcPr>
          <w:p w14:paraId="704F7057">
            <w:pPr>
              <w:keepLines w:val="0"/>
              <w:pageBreakBefore w:val="0"/>
              <w:kinsoku/>
              <w:bidi w:val="0"/>
              <w:spacing w:line="360" w:lineRule="auto"/>
              <w:jc w:val="center"/>
              <w:rPr>
                <w:rFonts w:hint="eastAsia" w:ascii="宋体" w:hAnsi="宋体" w:eastAsia="宋体" w:cs="宋体"/>
                <w:color w:val="auto"/>
                <w:sz w:val="21"/>
                <w:szCs w:val="21"/>
                <w:highlight w:val="none"/>
              </w:rPr>
            </w:pPr>
          </w:p>
        </w:tc>
        <w:tc>
          <w:tcPr>
            <w:tcW w:w="3425" w:type="dxa"/>
            <w:gridSpan w:val="4"/>
            <w:vAlign w:val="center"/>
          </w:tcPr>
          <w:p w14:paraId="5810F669">
            <w:pPr>
              <w:keepLines w:val="0"/>
              <w:pageBreakBefore w:val="0"/>
              <w:kinsoku/>
              <w:bidi w:val="0"/>
              <w:spacing w:line="360" w:lineRule="auto"/>
              <w:rPr>
                <w:rFonts w:hint="eastAsia" w:ascii="宋体" w:hAnsi="宋体" w:eastAsia="宋体" w:cs="宋体"/>
                <w:color w:val="auto"/>
                <w:sz w:val="21"/>
                <w:szCs w:val="21"/>
                <w:highlight w:val="none"/>
              </w:rPr>
            </w:pPr>
          </w:p>
        </w:tc>
        <w:tc>
          <w:tcPr>
            <w:tcW w:w="1263" w:type="dxa"/>
            <w:vAlign w:val="center"/>
          </w:tcPr>
          <w:p w14:paraId="0BA49B45">
            <w:pPr>
              <w:keepLines w:val="0"/>
              <w:pageBreakBefore w:val="0"/>
              <w:kinsoku/>
              <w:bidi w:val="0"/>
              <w:spacing w:line="360" w:lineRule="auto"/>
              <w:rPr>
                <w:rFonts w:hint="eastAsia" w:ascii="宋体" w:hAnsi="宋体" w:eastAsia="宋体" w:cs="宋体"/>
                <w:color w:val="auto"/>
                <w:sz w:val="21"/>
                <w:szCs w:val="21"/>
                <w:highlight w:val="none"/>
              </w:rPr>
            </w:pPr>
          </w:p>
        </w:tc>
        <w:tc>
          <w:tcPr>
            <w:tcW w:w="2298" w:type="dxa"/>
            <w:gridSpan w:val="2"/>
            <w:vAlign w:val="center"/>
          </w:tcPr>
          <w:p w14:paraId="3FF6338D">
            <w:pPr>
              <w:keepLines w:val="0"/>
              <w:pageBreakBefore w:val="0"/>
              <w:kinsoku/>
              <w:bidi w:val="0"/>
              <w:spacing w:line="360" w:lineRule="auto"/>
              <w:rPr>
                <w:rFonts w:hint="eastAsia" w:ascii="宋体" w:hAnsi="宋体" w:eastAsia="宋体" w:cs="宋体"/>
                <w:color w:val="auto"/>
                <w:sz w:val="21"/>
                <w:szCs w:val="21"/>
                <w:highlight w:val="none"/>
              </w:rPr>
            </w:pPr>
          </w:p>
        </w:tc>
      </w:tr>
      <w:tr w14:paraId="0398A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51" w:type="dxa"/>
            <w:gridSpan w:val="2"/>
            <w:vAlign w:val="center"/>
          </w:tcPr>
          <w:p w14:paraId="70250D0B">
            <w:pPr>
              <w:keepLines w:val="0"/>
              <w:pageBreakBefore w:val="0"/>
              <w:kinsoku/>
              <w:bidi w:val="0"/>
              <w:spacing w:line="360" w:lineRule="auto"/>
              <w:jc w:val="center"/>
              <w:rPr>
                <w:rFonts w:hint="eastAsia" w:ascii="宋体" w:hAnsi="宋体" w:eastAsia="宋体" w:cs="宋体"/>
                <w:color w:val="auto"/>
                <w:sz w:val="21"/>
                <w:szCs w:val="21"/>
                <w:highlight w:val="none"/>
              </w:rPr>
            </w:pPr>
          </w:p>
        </w:tc>
        <w:tc>
          <w:tcPr>
            <w:tcW w:w="3425" w:type="dxa"/>
            <w:gridSpan w:val="4"/>
            <w:vAlign w:val="center"/>
          </w:tcPr>
          <w:p w14:paraId="75217E99">
            <w:pPr>
              <w:keepLines w:val="0"/>
              <w:pageBreakBefore w:val="0"/>
              <w:kinsoku/>
              <w:bidi w:val="0"/>
              <w:spacing w:line="360" w:lineRule="auto"/>
              <w:rPr>
                <w:rFonts w:hint="eastAsia" w:ascii="宋体" w:hAnsi="宋体" w:eastAsia="宋体" w:cs="宋体"/>
                <w:color w:val="auto"/>
                <w:sz w:val="21"/>
                <w:szCs w:val="21"/>
                <w:highlight w:val="none"/>
              </w:rPr>
            </w:pPr>
          </w:p>
        </w:tc>
        <w:tc>
          <w:tcPr>
            <w:tcW w:w="1263" w:type="dxa"/>
            <w:vAlign w:val="center"/>
          </w:tcPr>
          <w:p w14:paraId="0482F57A">
            <w:pPr>
              <w:keepLines w:val="0"/>
              <w:pageBreakBefore w:val="0"/>
              <w:kinsoku/>
              <w:bidi w:val="0"/>
              <w:spacing w:line="360" w:lineRule="auto"/>
              <w:rPr>
                <w:rFonts w:hint="eastAsia" w:ascii="宋体" w:hAnsi="宋体" w:eastAsia="宋体" w:cs="宋体"/>
                <w:color w:val="auto"/>
                <w:sz w:val="21"/>
                <w:szCs w:val="21"/>
                <w:highlight w:val="none"/>
              </w:rPr>
            </w:pPr>
          </w:p>
        </w:tc>
        <w:tc>
          <w:tcPr>
            <w:tcW w:w="2298" w:type="dxa"/>
            <w:gridSpan w:val="2"/>
            <w:vAlign w:val="center"/>
          </w:tcPr>
          <w:p w14:paraId="525D75FF">
            <w:pPr>
              <w:keepLines w:val="0"/>
              <w:pageBreakBefore w:val="0"/>
              <w:kinsoku/>
              <w:bidi w:val="0"/>
              <w:spacing w:line="360" w:lineRule="auto"/>
              <w:rPr>
                <w:rFonts w:hint="eastAsia" w:ascii="宋体" w:hAnsi="宋体" w:eastAsia="宋体" w:cs="宋体"/>
                <w:color w:val="auto"/>
                <w:sz w:val="21"/>
                <w:szCs w:val="21"/>
                <w:highlight w:val="none"/>
              </w:rPr>
            </w:pPr>
          </w:p>
        </w:tc>
      </w:tr>
      <w:tr w14:paraId="28BE6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51" w:type="dxa"/>
            <w:gridSpan w:val="2"/>
            <w:vAlign w:val="center"/>
          </w:tcPr>
          <w:p w14:paraId="40EAFA7F">
            <w:pPr>
              <w:keepLines w:val="0"/>
              <w:pageBreakBefore w:val="0"/>
              <w:kinsoku/>
              <w:bidi w:val="0"/>
              <w:spacing w:line="360" w:lineRule="auto"/>
              <w:jc w:val="center"/>
              <w:rPr>
                <w:rFonts w:hint="eastAsia" w:ascii="宋体" w:hAnsi="宋体" w:eastAsia="宋体" w:cs="宋体"/>
                <w:color w:val="auto"/>
                <w:sz w:val="21"/>
                <w:szCs w:val="21"/>
                <w:highlight w:val="none"/>
              </w:rPr>
            </w:pPr>
          </w:p>
        </w:tc>
        <w:tc>
          <w:tcPr>
            <w:tcW w:w="3425" w:type="dxa"/>
            <w:gridSpan w:val="4"/>
            <w:vAlign w:val="center"/>
          </w:tcPr>
          <w:p w14:paraId="5D795380">
            <w:pPr>
              <w:keepLines w:val="0"/>
              <w:pageBreakBefore w:val="0"/>
              <w:kinsoku/>
              <w:bidi w:val="0"/>
              <w:spacing w:line="360" w:lineRule="auto"/>
              <w:rPr>
                <w:rFonts w:hint="eastAsia" w:ascii="宋体" w:hAnsi="宋体" w:eastAsia="宋体" w:cs="宋体"/>
                <w:color w:val="auto"/>
                <w:sz w:val="21"/>
                <w:szCs w:val="21"/>
                <w:highlight w:val="none"/>
              </w:rPr>
            </w:pPr>
          </w:p>
        </w:tc>
        <w:tc>
          <w:tcPr>
            <w:tcW w:w="1263" w:type="dxa"/>
            <w:vAlign w:val="center"/>
          </w:tcPr>
          <w:p w14:paraId="2DA12FEE">
            <w:pPr>
              <w:keepLines w:val="0"/>
              <w:pageBreakBefore w:val="0"/>
              <w:kinsoku/>
              <w:bidi w:val="0"/>
              <w:spacing w:line="360" w:lineRule="auto"/>
              <w:rPr>
                <w:rFonts w:hint="eastAsia" w:ascii="宋体" w:hAnsi="宋体" w:eastAsia="宋体" w:cs="宋体"/>
                <w:color w:val="auto"/>
                <w:sz w:val="21"/>
                <w:szCs w:val="21"/>
                <w:highlight w:val="none"/>
              </w:rPr>
            </w:pPr>
          </w:p>
        </w:tc>
        <w:tc>
          <w:tcPr>
            <w:tcW w:w="2298" w:type="dxa"/>
            <w:gridSpan w:val="2"/>
            <w:vAlign w:val="center"/>
          </w:tcPr>
          <w:p w14:paraId="1FF3E36A">
            <w:pPr>
              <w:keepLines w:val="0"/>
              <w:pageBreakBefore w:val="0"/>
              <w:kinsoku/>
              <w:bidi w:val="0"/>
              <w:spacing w:line="360" w:lineRule="auto"/>
              <w:rPr>
                <w:rFonts w:hint="eastAsia" w:ascii="宋体" w:hAnsi="宋体" w:eastAsia="宋体" w:cs="宋体"/>
                <w:color w:val="auto"/>
                <w:sz w:val="21"/>
                <w:szCs w:val="21"/>
                <w:highlight w:val="none"/>
              </w:rPr>
            </w:pPr>
          </w:p>
        </w:tc>
      </w:tr>
      <w:tr w14:paraId="1DC24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51" w:type="dxa"/>
            <w:gridSpan w:val="2"/>
            <w:vAlign w:val="center"/>
          </w:tcPr>
          <w:p w14:paraId="71373649">
            <w:pPr>
              <w:keepLines w:val="0"/>
              <w:pageBreakBefore w:val="0"/>
              <w:kinsoku/>
              <w:bidi w:val="0"/>
              <w:spacing w:line="360" w:lineRule="auto"/>
              <w:jc w:val="center"/>
              <w:rPr>
                <w:rFonts w:hint="eastAsia" w:ascii="宋体" w:hAnsi="宋体" w:eastAsia="宋体" w:cs="宋体"/>
                <w:color w:val="auto"/>
                <w:sz w:val="21"/>
                <w:szCs w:val="21"/>
                <w:highlight w:val="none"/>
              </w:rPr>
            </w:pPr>
          </w:p>
        </w:tc>
        <w:tc>
          <w:tcPr>
            <w:tcW w:w="3425" w:type="dxa"/>
            <w:gridSpan w:val="4"/>
            <w:vAlign w:val="center"/>
          </w:tcPr>
          <w:p w14:paraId="71C6A4E9">
            <w:pPr>
              <w:keepLines w:val="0"/>
              <w:pageBreakBefore w:val="0"/>
              <w:kinsoku/>
              <w:bidi w:val="0"/>
              <w:spacing w:line="360" w:lineRule="auto"/>
              <w:rPr>
                <w:rFonts w:hint="eastAsia" w:ascii="宋体" w:hAnsi="宋体" w:eastAsia="宋体" w:cs="宋体"/>
                <w:color w:val="auto"/>
                <w:sz w:val="21"/>
                <w:szCs w:val="21"/>
                <w:highlight w:val="none"/>
              </w:rPr>
            </w:pPr>
          </w:p>
        </w:tc>
        <w:tc>
          <w:tcPr>
            <w:tcW w:w="1263" w:type="dxa"/>
            <w:vAlign w:val="center"/>
          </w:tcPr>
          <w:p w14:paraId="564499EF">
            <w:pPr>
              <w:keepLines w:val="0"/>
              <w:pageBreakBefore w:val="0"/>
              <w:kinsoku/>
              <w:bidi w:val="0"/>
              <w:spacing w:line="360" w:lineRule="auto"/>
              <w:rPr>
                <w:rFonts w:hint="eastAsia" w:ascii="宋体" w:hAnsi="宋体" w:eastAsia="宋体" w:cs="宋体"/>
                <w:color w:val="auto"/>
                <w:sz w:val="21"/>
                <w:szCs w:val="21"/>
                <w:highlight w:val="none"/>
              </w:rPr>
            </w:pPr>
          </w:p>
        </w:tc>
        <w:tc>
          <w:tcPr>
            <w:tcW w:w="2298" w:type="dxa"/>
            <w:gridSpan w:val="2"/>
            <w:vAlign w:val="center"/>
          </w:tcPr>
          <w:p w14:paraId="65EFA970">
            <w:pPr>
              <w:keepLines w:val="0"/>
              <w:pageBreakBefore w:val="0"/>
              <w:kinsoku/>
              <w:bidi w:val="0"/>
              <w:spacing w:line="360" w:lineRule="auto"/>
              <w:rPr>
                <w:rFonts w:hint="eastAsia" w:ascii="宋体" w:hAnsi="宋体" w:eastAsia="宋体" w:cs="宋体"/>
                <w:color w:val="auto"/>
                <w:sz w:val="21"/>
                <w:szCs w:val="21"/>
                <w:highlight w:val="none"/>
              </w:rPr>
            </w:pPr>
          </w:p>
        </w:tc>
      </w:tr>
      <w:tr w14:paraId="27AD8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51" w:type="dxa"/>
            <w:gridSpan w:val="2"/>
            <w:vAlign w:val="center"/>
          </w:tcPr>
          <w:p w14:paraId="00548024">
            <w:pPr>
              <w:keepLines w:val="0"/>
              <w:pageBreakBefore w:val="0"/>
              <w:kinsoku/>
              <w:bidi w:val="0"/>
              <w:spacing w:line="360" w:lineRule="auto"/>
              <w:jc w:val="center"/>
              <w:rPr>
                <w:rFonts w:hint="eastAsia" w:ascii="宋体" w:hAnsi="宋体" w:eastAsia="宋体" w:cs="宋体"/>
                <w:color w:val="auto"/>
                <w:sz w:val="21"/>
                <w:szCs w:val="21"/>
                <w:highlight w:val="none"/>
              </w:rPr>
            </w:pPr>
          </w:p>
        </w:tc>
        <w:tc>
          <w:tcPr>
            <w:tcW w:w="3425" w:type="dxa"/>
            <w:gridSpan w:val="4"/>
            <w:vAlign w:val="center"/>
          </w:tcPr>
          <w:p w14:paraId="18354CD9">
            <w:pPr>
              <w:keepLines w:val="0"/>
              <w:pageBreakBefore w:val="0"/>
              <w:kinsoku/>
              <w:bidi w:val="0"/>
              <w:spacing w:line="360" w:lineRule="auto"/>
              <w:rPr>
                <w:rFonts w:hint="eastAsia" w:ascii="宋体" w:hAnsi="宋体" w:eastAsia="宋体" w:cs="宋体"/>
                <w:color w:val="auto"/>
                <w:sz w:val="21"/>
                <w:szCs w:val="21"/>
                <w:highlight w:val="none"/>
              </w:rPr>
            </w:pPr>
          </w:p>
        </w:tc>
        <w:tc>
          <w:tcPr>
            <w:tcW w:w="1263" w:type="dxa"/>
            <w:vAlign w:val="center"/>
          </w:tcPr>
          <w:p w14:paraId="52B7EA09">
            <w:pPr>
              <w:keepLines w:val="0"/>
              <w:pageBreakBefore w:val="0"/>
              <w:kinsoku/>
              <w:bidi w:val="0"/>
              <w:spacing w:line="360" w:lineRule="auto"/>
              <w:rPr>
                <w:rFonts w:hint="eastAsia" w:ascii="宋体" w:hAnsi="宋体" w:eastAsia="宋体" w:cs="宋体"/>
                <w:color w:val="auto"/>
                <w:sz w:val="21"/>
                <w:szCs w:val="21"/>
                <w:highlight w:val="none"/>
              </w:rPr>
            </w:pPr>
          </w:p>
        </w:tc>
        <w:tc>
          <w:tcPr>
            <w:tcW w:w="2298" w:type="dxa"/>
            <w:gridSpan w:val="2"/>
            <w:vAlign w:val="center"/>
          </w:tcPr>
          <w:p w14:paraId="492E94D8">
            <w:pPr>
              <w:keepLines w:val="0"/>
              <w:pageBreakBefore w:val="0"/>
              <w:kinsoku/>
              <w:bidi w:val="0"/>
              <w:spacing w:line="360" w:lineRule="auto"/>
              <w:rPr>
                <w:rFonts w:hint="eastAsia" w:ascii="宋体" w:hAnsi="宋体" w:eastAsia="宋体" w:cs="宋体"/>
                <w:color w:val="auto"/>
                <w:sz w:val="21"/>
                <w:szCs w:val="21"/>
                <w:highlight w:val="none"/>
              </w:rPr>
            </w:pPr>
          </w:p>
        </w:tc>
      </w:tr>
    </w:tbl>
    <w:p w14:paraId="6DCBAF77">
      <w:pPr>
        <w:keepLines w:val="0"/>
        <w:pageBreakBefore w:val="0"/>
        <w:kinsoku/>
        <w:bidi w:val="0"/>
        <w:spacing w:line="360" w:lineRule="auto"/>
        <w:rPr>
          <w:rFonts w:hint="eastAsia" w:ascii="宋体" w:hAnsi="宋体" w:eastAsia="宋体" w:cs="宋体"/>
          <w:color w:val="auto"/>
          <w:highlight w:val="none"/>
          <w:u w:val="none"/>
          <w:lang w:val="en-US" w:eastAsia="zh-CN"/>
        </w:rPr>
      </w:pPr>
    </w:p>
    <w:p w14:paraId="2C9EC00E">
      <w:pPr>
        <w:pStyle w:val="137"/>
        <w:keepLines w:val="0"/>
        <w:pageBreakBefore w:val="0"/>
        <w:numPr>
          <w:ilvl w:val="0"/>
          <w:numId w:val="0"/>
        </w:numPr>
        <w:kinsoku/>
        <w:bidi w:val="0"/>
        <w:spacing w:before="0" w:after="0"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注：后附人员相关证件。</w:t>
      </w:r>
    </w:p>
    <w:p w14:paraId="6C4E71C7">
      <w:pPr>
        <w:keepLines w:val="0"/>
        <w:pageBreakBefore w:val="0"/>
        <w:kinsoku/>
        <w:bidi w:val="0"/>
        <w:spacing w:line="360" w:lineRule="auto"/>
        <w:rPr>
          <w:rFonts w:hint="eastAsia" w:ascii="宋体" w:hAnsi="宋体" w:eastAsia="宋体" w:cs="宋体"/>
          <w:color w:val="auto"/>
          <w:highlight w:val="none"/>
          <w:u w:val="none"/>
          <w:lang w:val="en-US" w:eastAsia="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69A41A00">
      <w:pPr>
        <w:pStyle w:val="2"/>
        <w:keepLines w:val="0"/>
        <w:pageBreakBefore w:val="0"/>
        <w:kinsoku/>
        <w:wordWrap/>
        <w:overflowPunct/>
        <w:topLinePunct w:val="0"/>
        <w:bidi w:val="0"/>
        <w:spacing w:line="360" w:lineRule="auto"/>
        <w:textAlignment w:val="auto"/>
        <w:rPr>
          <w:rFonts w:hint="eastAsia" w:ascii="宋体" w:hAnsi="宋体" w:eastAsia="宋体" w:cs="宋体"/>
          <w:b/>
          <w:bCs/>
          <w:color w:val="auto"/>
          <w:sz w:val="28"/>
          <w:szCs w:val="28"/>
          <w:highlight w:val="none"/>
          <w:lang w:val="zh-CN"/>
        </w:rPr>
      </w:pPr>
      <w:bookmarkStart w:id="578" w:name="_Toc9084"/>
      <w:bookmarkStart w:id="579" w:name="_Toc5799"/>
      <w:r>
        <w:rPr>
          <w:rFonts w:hint="eastAsia" w:ascii="宋体" w:hAnsi="宋体" w:eastAsia="宋体" w:cs="宋体"/>
          <w:b/>
          <w:bCs/>
          <w:color w:val="auto"/>
          <w:sz w:val="28"/>
          <w:szCs w:val="28"/>
          <w:highlight w:val="none"/>
          <w:lang w:val="zh-CN"/>
        </w:rPr>
        <w:t>第</w:t>
      </w:r>
      <w:r>
        <w:rPr>
          <w:rFonts w:hint="eastAsia" w:ascii="宋体" w:hAnsi="宋体" w:eastAsia="宋体" w:cs="宋体"/>
          <w:b/>
          <w:bCs/>
          <w:color w:val="auto"/>
          <w:sz w:val="28"/>
          <w:szCs w:val="28"/>
          <w:highlight w:val="none"/>
          <w:lang w:val="en-US" w:eastAsia="zh-CN"/>
        </w:rPr>
        <w:t>八</w:t>
      </w:r>
      <w:r>
        <w:rPr>
          <w:rFonts w:hint="eastAsia" w:ascii="宋体" w:hAnsi="宋体" w:eastAsia="宋体" w:cs="宋体"/>
          <w:b/>
          <w:bCs/>
          <w:color w:val="auto"/>
          <w:sz w:val="28"/>
          <w:szCs w:val="28"/>
          <w:highlight w:val="none"/>
          <w:lang w:val="zh-CN"/>
        </w:rPr>
        <w:t>部分</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val="zh-CN"/>
        </w:rPr>
        <w:t>供应商资质证明文件</w:t>
      </w:r>
      <w:bookmarkEnd w:id="578"/>
      <w:bookmarkEnd w:id="579"/>
    </w:p>
    <w:p w14:paraId="26EFAABC">
      <w:pPr>
        <w:pStyle w:val="84"/>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1、磋商供应商基本情况表；</w:t>
      </w:r>
    </w:p>
    <w:p w14:paraId="3644A4B1">
      <w:pPr>
        <w:keepNext w:val="0"/>
        <w:keepLines w:val="0"/>
        <w:pageBreakBefore w:val="0"/>
        <w:numPr>
          <w:ilvl w:val="0"/>
          <w:numId w:val="0"/>
        </w:numPr>
        <w:kinsoku/>
        <w:wordWrap/>
        <w:overflowPunct/>
        <w:topLinePunct w:val="0"/>
        <w:bidi w:val="0"/>
        <w:snapToGrid/>
        <w:spacing w:line="36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满足《中华人民共和国政府采购法》第二十二条规定</w:t>
      </w:r>
    </w:p>
    <w:p w14:paraId="048E86B3">
      <w:pPr>
        <w:keepNext w:val="0"/>
        <w:keepLines w:val="0"/>
        <w:pageBreakBefore w:val="0"/>
        <w:widowControl w:val="0"/>
        <w:numPr>
          <w:ilvl w:val="0"/>
          <w:numId w:val="15"/>
        </w:numP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具有独立承担民事责任能力的法人、其他组织或自然人，并出具合法有效的营业执照或事业单位法人证书等国家规定的相关证明，自然人参与的提供其身份证明；</w:t>
      </w:r>
    </w:p>
    <w:p w14:paraId="2C21004C">
      <w:pPr>
        <w:keepNext w:val="0"/>
        <w:keepLines w:val="0"/>
        <w:pageBreakBefore w:val="0"/>
        <w:widowControl w:val="0"/>
        <w:numPr>
          <w:ilvl w:val="0"/>
          <w:numId w:val="15"/>
        </w:numP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须提供具有财务审计资质单位出具的2023年-2024年任意一年年度财务报告（包括资产负债表、利润表、现金流量表及会计报表附注，成立时间至开标时间不足一年的可提供成立后任意时段的资产负债表）或开标前六个月内其基本账户银行出具的资信证明（附开户许可证或基本存款账户信息）或政府采购信用担保机构出具的投标担保函；</w:t>
      </w:r>
    </w:p>
    <w:p w14:paraId="13ED683A">
      <w:pPr>
        <w:keepNext w:val="0"/>
        <w:keepLines w:val="0"/>
        <w:pageBreakBefore w:val="0"/>
        <w:widowControl w:val="0"/>
        <w:numPr>
          <w:ilvl w:val="0"/>
          <w:numId w:val="15"/>
        </w:numP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供应商须提供2024年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 xml:space="preserve">月至今任意一个月已缴纳完税凭证或税务机关开具的完税证明，依法免税或无须缴纳税收的供应商应提供相关文件证明； </w:t>
      </w:r>
    </w:p>
    <w:p w14:paraId="10E6A93B">
      <w:pPr>
        <w:keepNext w:val="0"/>
        <w:keepLines w:val="0"/>
        <w:pageBreakBefore w:val="0"/>
        <w:widowControl w:val="0"/>
        <w:numPr>
          <w:ilvl w:val="0"/>
          <w:numId w:val="15"/>
        </w:numP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供应商须提供2024年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月至今任意一个月已缴纳的社会保障资金缴存单据或社保机构开具的社会保险参保缴费情况证明，依法不需要缴纳社会保障资金的供应商应提供相关证明；</w:t>
      </w:r>
    </w:p>
    <w:p w14:paraId="1768961B">
      <w:pPr>
        <w:keepNext w:val="0"/>
        <w:keepLines w:val="0"/>
        <w:pageBreakBefore w:val="0"/>
        <w:widowControl w:val="0"/>
        <w:numPr>
          <w:ilvl w:val="0"/>
          <w:numId w:val="15"/>
        </w:numP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具备履行合同所必需的设备和专业技术能力的证明材料(由供应商根据项目需求提供说明材料或者承诺)；</w:t>
      </w:r>
    </w:p>
    <w:p w14:paraId="70AF064C">
      <w:pPr>
        <w:keepNext w:val="0"/>
        <w:keepLines w:val="0"/>
        <w:pageBreakBefore w:val="0"/>
        <w:widowControl w:val="0"/>
        <w:numPr>
          <w:ilvl w:val="0"/>
          <w:numId w:val="15"/>
        </w:numP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提供参加政府采购活动前三年内在经营活动中没有重大违法记录的书面声明；</w:t>
      </w:r>
    </w:p>
    <w:p w14:paraId="00E3260B">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落实政府采购政策需满足的资格要求：</w:t>
      </w:r>
      <w:r>
        <w:rPr>
          <w:rFonts w:hint="eastAsia" w:ascii="宋体" w:hAnsi="宋体" w:eastAsia="宋体" w:cs="宋体"/>
          <w:b/>
          <w:bCs/>
          <w:color w:val="auto"/>
          <w:sz w:val="21"/>
          <w:szCs w:val="21"/>
          <w:highlight w:val="none"/>
          <w:lang w:val="en-US" w:eastAsia="zh-CN"/>
        </w:rPr>
        <w:t>本项目专门面向</w:t>
      </w:r>
      <w:r>
        <w:rPr>
          <w:rFonts w:hint="eastAsia" w:ascii="宋体" w:hAnsi="宋体" w:cs="宋体"/>
          <w:b/>
          <w:bCs/>
          <w:color w:val="auto"/>
          <w:sz w:val="21"/>
          <w:szCs w:val="21"/>
          <w:highlight w:val="none"/>
          <w:lang w:val="en-US" w:eastAsia="zh-CN"/>
        </w:rPr>
        <w:t>中小</w:t>
      </w:r>
      <w:r>
        <w:rPr>
          <w:rFonts w:hint="eastAsia" w:ascii="宋体" w:hAnsi="宋体" w:eastAsia="宋体" w:cs="宋体"/>
          <w:b/>
          <w:bCs/>
          <w:color w:val="auto"/>
          <w:sz w:val="21"/>
          <w:szCs w:val="21"/>
          <w:highlight w:val="none"/>
          <w:lang w:val="en-US" w:eastAsia="zh-CN"/>
        </w:rPr>
        <w:t>企业采购。</w:t>
      </w:r>
    </w:p>
    <w:p w14:paraId="03FD441D">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、本项目的特定资格要求：</w:t>
      </w:r>
    </w:p>
    <w:p w14:paraId="211B4708">
      <w:pPr>
        <w:keepNext w:val="0"/>
        <w:keepLines w:val="0"/>
        <w:pageBreakBefore w:val="0"/>
        <w:widowControl w:val="0"/>
        <w:numPr>
          <w:ilvl w:val="0"/>
          <w:numId w:val="16"/>
        </w:numP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应授权合法的人员参加磋商全过程，其中法定代表人直接参加磋商的，须出具法定代表人身份证明及法人身份证原件及复印件；法定代表人授权代表参加磋商的，须出具法定代表人授权书及授权代表身份证原件及复印件；</w:t>
      </w:r>
    </w:p>
    <w:p w14:paraId="58C6E63D">
      <w:pPr>
        <w:keepNext w:val="0"/>
        <w:keepLines w:val="0"/>
        <w:pageBreakBefore w:val="0"/>
        <w:widowControl w:val="0"/>
        <w:numPr>
          <w:ilvl w:val="0"/>
          <w:numId w:val="16"/>
        </w:numP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供应商须具备建筑工程施工总承包叁级（含叁级）以上资质，同时具备建设行政主管部门颁发有效的安全生产许可证；</w:t>
      </w:r>
    </w:p>
    <w:p w14:paraId="4FAF1F58">
      <w:pPr>
        <w:keepNext w:val="0"/>
        <w:keepLines w:val="0"/>
        <w:pageBreakBefore w:val="0"/>
        <w:widowControl w:val="0"/>
        <w:numPr>
          <w:ilvl w:val="0"/>
          <w:numId w:val="16"/>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拟投入的项目经理须具备建筑工程专业贰级（含贰级）以上注册建造师执业资格和有效的安全生产考核B证，且未担任其他在建工程项目的项目经理（需提供企业书面承诺等证明材料）；</w:t>
      </w:r>
    </w:p>
    <w:p w14:paraId="66845BAA">
      <w:pPr>
        <w:keepNext w:val="0"/>
        <w:keepLines w:val="0"/>
        <w:pageBreakBefore w:val="0"/>
        <w:widowControl w:val="0"/>
        <w:numPr>
          <w:ilvl w:val="0"/>
          <w:numId w:val="16"/>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供应商及拟</w:t>
      </w:r>
      <w:r>
        <w:rPr>
          <w:rFonts w:hint="eastAsia" w:ascii="宋体" w:hAnsi="宋体" w:eastAsia="宋体" w:cs="宋体"/>
          <w:color w:val="auto"/>
          <w:kern w:val="2"/>
          <w:sz w:val="21"/>
          <w:szCs w:val="21"/>
          <w:highlight w:val="none"/>
          <w:lang w:val="en-US" w:eastAsia="zh-CN" w:bidi="ar-SA"/>
        </w:rPr>
        <w:t>派项目经理须在“陕西省住房和城乡建设厅”官方网站可查询；</w:t>
      </w:r>
    </w:p>
    <w:p w14:paraId="266882AA">
      <w:pPr>
        <w:keepNext w:val="0"/>
        <w:keepLines w:val="0"/>
        <w:pageBreakBefore w:val="0"/>
        <w:widowControl w:val="0"/>
        <w:numPr>
          <w:ilvl w:val="0"/>
          <w:numId w:val="16"/>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供应商不得为列入信用中国(www.creditchina.gov.cn)的重大税收违法案件当事人名单记录或中国执行信息公开网（http://zxgk.court.gov.cn/shixin/）的失</w:t>
      </w:r>
      <w:r>
        <w:rPr>
          <w:rFonts w:hint="eastAsia" w:ascii="宋体" w:hAnsi="宋体" w:eastAsia="宋体" w:cs="宋体"/>
          <w:color w:val="auto"/>
          <w:sz w:val="21"/>
          <w:szCs w:val="21"/>
          <w:highlight w:val="none"/>
          <w:lang w:val="en-US" w:eastAsia="zh-CN"/>
        </w:rPr>
        <w:t>信被执行人名单记录或中国政府采购网(www.ccgp.gov.cn)的政府采购严重违法失信行为记录名单；</w:t>
      </w:r>
    </w:p>
    <w:p w14:paraId="01DFFF7C">
      <w:pPr>
        <w:keepNext w:val="0"/>
        <w:keepLines w:val="0"/>
        <w:pageBreakBefore w:val="0"/>
        <w:widowControl w:val="0"/>
        <w:numPr>
          <w:ilvl w:val="0"/>
          <w:numId w:val="16"/>
        </w:numP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与招标人存在利害关系可能影响招标公正性的单位，不得参加投标、单位负责人为同一人或存在控股、管理关系的不同单位，不得参加同一标段投标，否则，相关投标均无效；</w:t>
      </w:r>
    </w:p>
    <w:p w14:paraId="60512855">
      <w:pPr>
        <w:keepNext w:val="0"/>
        <w:keepLines w:val="0"/>
        <w:pageBreakBefore w:val="0"/>
        <w:widowControl w:val="0"/>
        <w:numPr>
          <w:ilvl w:val="0"/>
          <w:numId w:val="16"/>
        </w:numP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本项目不接受联合体磋商。</w:t>
      </w:r>
    </w:p>
    <w:p w14:paraId="529941F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注：供应商按以上序号顺序提供相关资格证明文件的复印件或扫描件，并逐页加盖单位公章（信用中国、中国执行信息公开网和中国政府采购网信用记录可不提供，由代理机构查询并留存为准）。</w:t>
      </w:r>
    </w:p>
    <w:p w14:paraId="25E53340">
      <w:pPr>
        <w:pStyle w:val="16"/>
        <w:keepNext w:val="0"/>
        <w:keepLines w:val="0"/>
        <w:pageBreakBefore w:val="0"/>
        <w:kinsoku/>
        <w:wordWrap/>
        <w:overflowPunct/>
        <w:topLinePunct w:val="0"/>
        <w:bidi w:val="0"/>
        <w:spacing w:line="420" w:lineRule="exact"/>
        <w:rPr>
          <w:rFonts w:hint="eastAsia" w:ascii="宋体" w:hAnsi="宋体" w:eastAsia="宋体" w:cs="宋体"/>
          <w:b/>
          <w:bCs/>
          <w:color w:val="auto"/>
          <w:sz w:val="21"/>
          <w:szCs w:val="21"/>
          <w:highlight w:val="none"/>
          <w:lang w:val="en-US" w:eastAsia="zh-CN"/>
        </w:rPr>
      </w:pPr>
    </w:p>
    <w:p w14:paraId="77E979AC">
      <w:pPr>
        <w:keepNext w:val="0"/>
        <w:keepLines w:val="0"/>
        <w:pageBreakBefore w:val="0"/>
        <w:kinsoku/>
        <w:wordWrap/>
        <w:overflowPunct/>
        <w:topLinePunct w:val="0"/>
        <w:bidi w:val="0"/>
        <w:spacing w:line="420" w:lineRule="exact"/>
        <w:rPr>
          <w:rFonts w:hint="eastAsia" w:ascii="宋体" w:hAnsi="宋体" w:eastAsia="宋体" w:cs="宋体"/>
          <w:b/>
          <w:bCs/>
          <w:color w:val="auto"/>
          <w:sz w:val="21"/>
          <w:szCs w:val="21"/>
          <w:highlight w:val="none"/>
          <w:lang w:val="en-US" w:eastAsia="zh-CN"/>
        </w:rPr>
      </w:pPr>
    </w:p>
    <w:p w14:paraId="19406319">
      <w:pPr>
        <w:keepNext w:val="0"/>
        <w:keepLines w:val="0"/>
        <w:pageBreakBefore w:val="0"/>
        <w:widowControl w:val="0"/>
        <w:kinsoku/>
        <w:wordWrap/>
        <w:overflowPunct/>
        <w:topLinePunct w:val="0"/>
        <w:autoSpaceDE w:val="0"/>
        <w:autoSpaceDN w:val="0"/>
        <w:bidi w:val="0"/>
        <w:adjustRightInd w:val="0"/>
        <w:snapToGrid w:val="0"/>
        <w:spacing w:line="420" w:lineRule="exact"/>
        <w:ind w:firstLine="0" w:firstLineChars="0"/>
        <w:jc w:val="center"/>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1、磋商供应商基本情况表</w:t>
      </w:r>
    </w:p>
    <w:tbl>
      <w:tblPr>
        <w:tblStyle w:val="37"/>
        <w:tblW w:w="9067"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97"/>
        <w:gridCol w:w="947"/>
        <w:gridCol w:w="1503"/>
        <w:gridCol w:w="1250"/>
        <w:gridCol w:w="1484"/>
        <w:gridCol w:w="1023"/>
        <w:gridCol w:w="1163"/>
      </w:tblGrid>
      <w:tr w14:paraId="70155E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trHeight w:val="462" w:hRule="atLeast"/>
        </w:trPr>
        <w:tc>
          <w:tcPr>
            <w:tcW w:w="1697" w:type="dxa"/>
            <w:tcBorders>
              <w:top w:val="single" w:color="auto" w:sz="12" w:space="0"/>
              <w:left w:val="single" w:color="auto" w:sz="12" w:space="0"/>
              <w:bottom w:val="single" w:color="auto" w:sz="6" w:space="0"/>
              <w:right w:val="single" w:color="auto" w:sz="6" w:space="0"/>
            </w:tcBorders>
            <w:vAlign w:val="center"/>
          </w:tcPr>
          <w:p w14:paraId="48EEA35F">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磋商供应商</w:t>
            </w:r>
          </w:p>
          <w:p w14:paraId="721CF5EE">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名称</w:t>
            </w:r>
          </w:p>
        </w:tc>
        <w:tc>
          <w:tcPr>
            <w:tcW w:w="7370" w:type="dxa"/>
            <w:gridSpan w:val="6"/>
            <w:tcBorders>
              <w:top w:val="single" w:color="auto" w:sz="12" w:space="0"/>
              <w:left w:val="single" w:color="auto" w:sz="6" w:space="0"/>
              <w:bottom w:val="single" w:color="auto" w:sz="6" w:space="0"/>
              <w:right w:val="single" w:color="auto" w:sz="12" w:space="0"/>
            </w:tcBorders>
            <w:vAlign w:val="center"/>
          </w:tcPr>
          <w:p w14:paraId="0637992C">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p>
        </w:tc>
      </w:tr>
      <w:tr w14:paraId="1285D5B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7" w:type="dxa"/>
            <w:tcBorders>
              <w:top w:val="single" w:color="auto" w:sz="6" w:space="0"/>
              <w:left w:val="single" w:color="auto" w:sz="12" w:space="0"/>
              <w:bottom w:val="single" w:color="auto" w:sz="6" w:space="0"/>
              <w:right w:val="single" w:color="auto" w:sz="6" w:space="0"/>
            </w:tcBorders>
            <w:vAlign w:val="center"/>
          </w:tcPr>
          <w:p w14:paraId="10FFEA59">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注册地址</w:t>
            </w:r>
          </w:p>
        </w:tc>
        <w:tc>
          <w:tcPr>
            <w:tcW w:w="3700" w:type="dxa"/>
            <w:gridSpan w:val="3"/>
            <w:tcBorders>
              <w:top w:val="single" w:color="auto" w:sz="6" w:space="0"/>
              <w:left w:val="single" w:color="auto" w:sz="6" w:space="0"/>
              <w:bottom w:val="single" w:color="auto" w:sz="6" w:space="0"/>
              <w:right w:val="single" w:color="auto" w:sz="6" w:space="0"/>
            </w:tcBorders>
            <w:vAlign w:val="center"/>
          </w:tcPr>
          <w:p w14:paraId="26058379">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p>
        </w:tc>
        <w:tc>
          <w:tcPr>
            <w:tcW w:w="1484" w:type="dxa"/>
            <w:tcBorders>
              <w:top w:val="single" w:color="auto" w:sz="6" w:space="0"/>
              <w:left w:val="single" w:color="auto" w:sz="6" w:space="0"/>
              <w:bottom w:val="single" w:color="auto" w:sz="6" w:space="0"/>
              <w:right w:val="single" w:color="auto" w:sz="6" w:space="0"/>
            </w:tcBorders>
            <w:vAlign w:val="center"/>
          </w:tcPr>
          <w:p w14:paraId="0273097A">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邮政编码</w:t>
            </w:r>
          </w:p>
        </w:tc>
        <w:tc>
          <w:tcPr>
            <w:tcW w:w="2186" w:type="dxa"/>
            <w:gridSpan w:val="2"/>
            <w:tcBorders>
              <w:top w:val="single" w:color="auto" w:sz="6" w:space="0"/>
              <w:left w:val="single" w:color="auto" w:sz="6" w:space="0"/>
              <w:bottom w:val="single" w:color="auto" w:sz="6" w:space="0"/>
              <w:right w:val="single" w:color="auto" w:sz="12" w:space="0"/>
            </w:tcBorders>
            <w:vAlign w:val="center"/>
          </w:tcPr>
          <w:p w14:paraId="3E24D1F7">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p>
        </w:tc>
      </w:tr>
      <w:tr w14:paraId="0B4AE42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vMerge w:val="restart"/>
            <w:tcBorders>
              <w:top w:val="single" w:color="auto" w:sz="6" w:space="0"/>
              <w:left w:val="single" w:color="auto" w:sz="12" w:space="0"/>
              <w:bottom w:val="single" w:color="auto" w:sz="6" w:space="0"/>
              <w:right w:val="single" w:color="auto" w:sz="6" w:space="0"/>
            </w:tcBorders>
            <w:vAlign w:val="center"/>
          </w:tcPr>
          <w:p w14:paraId="7E8E550E">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联系方式</w:t>
            </w:r>
          </w:p>
        </w:tc>
        <w:tc>
          <w:tcPr>
            <w:tcW w:w="947" w:type="dxa"/>
            <w:tcBorders>
              <w:top w:val="single" w:color="auto" w:sz="6" w:space="0"/>
              <w:left w:val="single" w:color="auto" w:sz="6" w:space="0"/>
              <w:bottom w:val="single" w:color="auto" w:sz="6" w:space="0"/>
              <w:right w:val="single" w:color="auto" w:sz="6" w:space="0"/>
            </w:tcBorders>
            <w:vAlign w:val="center"/>
          </w:tcPr>
          <w:p w14:paraId="360D2F10">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w:t>
            </w:r>
          </w:p>
        </w:tc>
        <w:tc>
          <w:tcPr>
            <w:tcW w:w="2753" w:type="dxa"/>
            <w:gridSpan w:val="2"/>
            <w:tcBorders>
              <w:top w:val="single" w:color="auto" w:sz="6" w:space="0"/>
              <w:left w:val="single" w:color="auto" w:sz="6" w:space="0"/>
              <w:bottom w:val="single" w:color="auto" w:sz="6" w:space="0"/>
              <w:right w:val="single" w:color="auto" w:sz="6" w:space="0"/>
            </w:tcBorders>
            <w:vAlign w:val="center"/>
          </w:tcPr>
          <w:p w14:paraId="142EDB09">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p>
        </w:tc>
        <w:tc>
          <w:tcPr>
            <w:tcW w:w="1484" w:type="dxa"/>
            <w:tcBorders>
              <w:top w:val="single" w:color="auto" w:sz="6" w:space="0"/>
              <w:left w:val="single" w:color="auto" w:sz="6" w:space="0"/>
              <w:bottom w:val="single" w:color="auto" w:sz="6" w:space="0"/>
              <w:right w:val="single" w:color="auto" w:sz="6" w:space="0"/>
            </w:tcBorders>
            <w:vAlign w:val="center"/>
          </w:tcPr>
          <w:p w14:paraId="3DFD3C17">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电话</w:t>
            </w:r>
          </w:p>
        </w:tc>
        <w:tc>
          <w:tcPr>
            <w:tcW w:w="2186" w:type="dxa"/>
            <w:gridSpan w:val="2"/>
            <w:tcBorders>
              <w:top w:val="single" w:color="auto" w:sz="6" w:space="0"/>
              <w:left w:val="single" w:color="auto" w:sz="6" w:space="0"/>
              <w:bottom w:val="single" w:color="auto" w:sz="6" w:space="0"/>
              <w:right w:val="single" w:color="auto" w:sz="12" w:space="0"/>
            </w:tcBorders>
            <w:vAlign w:val="center"/>
          </w:tcPr>
          <w:p w14:paraId="3B499810">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p>
        </w:tc>
      </w:tr>
      <w:tr w14:paraId="7DFB40A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697" w:type="dxa"/>
            <w:vMerge w:val="continue"/>
            <w:tcBorders>
              <w:top w:val="single" w:color="auto" w:sz="6" w:space="0"/>
              <w:left w:val="single" w:color="auto" w:sz="12" w:space="0"/>
              <w:bottom w:val="single" w:color="auto" w:sz="6" w:space="0"/>
              <w:right w:val="single" w:color="auto" w:sz="6" w:space="0"/>
            </w:tcBorders>
            <w:vAlign w:val="center"/>
          </w:tcPr>
          <w:p w14:paraId="76D7FDDE">
            <w:pPr>
              <w:keepNext w:val="0"/>
              <w:keepLines w:val="0"/>
              <w:pageBreakBefore w:val="0"/>
              <w:widowControl/>
              <w:kinsoku/>
              <w:wordWrap/>
              <w:overflowPunct/>
              <w:topLinePunct w:val="0"/>
              <w:bidi w:val="0"/>
              <w:spacing w:line="420" w:lineRule="exact"/>
              <w:jc w:val="left"/>
              <w:rPr>
                <w:rFonts w:hint="eastAsia" w:ascii="宋体" w:hAnsi="宋体" w:eastAsia="宋体" w:cs="宋体"/>
                <w:color w:val="auto"/>
                <w:kern w:val="0"/>
                <w:sz w:val="21"/>
                <w:szCs w:val="21"/>
                <w:highlight w:val="none"/>
              </w:rPr>
            </w:pPr>
          </w:p>
        </w:tc>
        <w:tc>
          <w:tcPr>
            <w:tcW w:w="947" w:type="dxa"/>
            <w:tcBorders>
              <w:top w:val="single" w:color="auto" w:sz="6" w:space="0"/>
              <w:left w:val="single" w:color="auto" w:sz="6" w:space="0"/>
              <w:bottom w:val="single" w:color="auto" w:sz="6" w:space="0"/>
              <w:right w:val="single" w:color="auto" w:sz="6" w:space="0"/>
            </w:tcBorders>
            <w:vAlign w:val="center"/>
          </w:tcPr>
          <w:p w14:paraId="6D4FDAA3">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传真</w:t>
            </w:r>
          </w:p>
        </w:tc>
        <w:tc>
          <w:tcPr>
            <w:tcW w:w="2753" w:type="dxa"/>
            <w:gridSpan w:val="2"/>
            <w:tcBorders>
              <w:top w:val="single" w:color="auto" w:sz="6" w:space="0"/>
              <w:left w:val="single" w:color="auto" w:sz="6" w:space="0"/>
              <w:bottom w:val="single" w:color="auto" w:sz="6" w:space="0"/>
              <w:right w:val="single" w:color="auto" w:sz="6" w:space="0"/>
            </w:tcBorders>
            <w:vAlign w:val="center"/>
          </w:tcPr>
          <w:p w14:paraId="54EC05BA">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p>
        </w:tc>
        <w:tc>
          <w:tcPr>
            <w:tcW w:w="1484" w:type="dxa"/>
            <w:tcBorders>
              <w:top w:val="single" w:color="auto" w:sz="6" w:space="0"/>
              <w:left w:val="single" w:color="auto" w:sz="6" w:space="0"/>
              <w:bottom w:val="single" w:color="auto" w:sz="6" w:space="0"/>
              <w:right w:val="single" w:color="auto" w:sz="6" w:space="0"/>
            </w:tcBorders>
            <w:vAlign w:val="center"/>
          </w:tcPr>
          <w:p w14:paraId="58E82B39">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网址</w:t>
            </w:r>
          </w:p>
        </w:tc>
        <w:tc>
          <w:tcPr>
            <w:tcW w:w="2186" w:type="dxa"/>
            <w:gridSpan w:val="2"/>
            <w:tcBorders>
              <w:top w:val="single" w:color="auto" w:sz="6" w:space="0"/>
              <w:left w:val="single" w:color="auto" w:sz="6" w:space="0"/>
              <w:bottom w:val="single" w:color="auto" w:sz="6" w:space="0"/>
              <w:right w:val="single" w:color="auto" w:sz="12" w:space="0"/>
            </w:tcBorders>
            <w:vAlign w:val="center"/>
          </w:tcPr>
          <w:p w14:paraId="1E3F068C">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p>
        </w:tc>
      </w:tr>
      <w:tr w14:paraId="2DB1B1F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tcBorders>
              <w:top w:val="single" w:color="auto" w:sz="6" w:space="0"/>
              <w:left w:val="single" w:color="auto" w:sz="12" w:space="0"/>
              <w:bottom w:val="single" w:color="auto" w:sz="6" w:space="0"/>
              <w:right w:val="single" w:color="auto" w:sz="6" w:space="0"/>
            </w:tcBorders>
            <w:vAlign w:val="center"/>
          </w:tcPr>
          <w:p w14:paraId="12A57874">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单位性质</w:t>
            </w:r>
          </w:p>
        </w:tc>
        <w:tc>
          <w:tcPr>
            <w:tcW w:w="7370" w:type="dxa"/>
            <w:gridSpan w:val="6"/>
            <w:tcBorders>
              <w:top w:val="single" w:color="auto" w:sz="6" w:space="0"/>
              <w:left w:val="single" w:color="auto" w:sz="6" w:space="0"/>
              <w:bottom w:val="single" w:color="auto" w:sz="6" w:space="0"/>
              <w:right w:val="single" w:color="auto" w:sz="12" w:space="0"/>
            </w:tcBorders>
            <w:vAlign w:val="center"/>
          </w:tcPr>
          <w:p w14:paraId="56CA9C18">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p>
        </w:tc>
      </w:tr>
      <w:tr w14:paraId="162A1B4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97" w:type="dxa"/>
            <w:tcBorders>
              <w:top w:val="single" w:color="auto" w:sz="6" w:space="0"/>
              <w:left w:val="single" w:color="auto" w:sz="12" w:space="0"/>
              <w:bottom w:val="single" w:color="auto" w:sz="6" w:space="0"/>
              <w:right w:val="single" w:color="auto" w:sz="6" w:space="0"/>
            </w:tcBorders>
            <w:vAlign w:val="center"/>
          </w:tcPr>
          <w:p w14:paraId="33DDAB52">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w:t>
            </w:r>
          </w:p>
        </w:tc>
        <w:tc>
          <w:tcPr>
            <w:tcW w:w="947" w:type="dxa"/>
            <w:tcBorders>
              <w:top w:val="single" w:color="auto" w:sz="6" w:space="0"/>
              <w:left w:val="single" w:color="auto" w:sz="6" w:space="0"/>
              <w:bottom w:val="single" w:color="auto" w:sz="6" w:space="0"/>
              <w:right w:val="single" w:color="auto" w:sz="6" w:space="0"/>
            </w:tcBorders>
            <w:vAlign w:val="center"/>
          </w:tcPr>
          <w:p w14:paraId="46921ED6">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姓名</w:t>
            </w:r>
          </w:p>
        </w:tc>
        <w:tc>
          <w:tcPr>
            <w:tcW w:w="1503" w:type="dxa"/>
            <w:tcBorders>
              <w:top w:val="single" w:color="auto" w:sz="6" w:space="0"/>
              <w:left w:val="single" w:color="auto" w:sz="6" w:space="0"/>
              <w:bottom w:val="single" w:color="auto" w:sz="6" w:space="0"/>
              <w:right w:val="single" w:color="auto" w:sz="6" w:space="0"/>
            </w:tcBorders>
            <w:vAlign w:val="center"/>
          </w:tcPr>
          <w:p w14:paraId="2F529658">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p>
        </w:tc>
        <w:tc>
          <w:tcPr>
            <w:tcW w:w="1250" w:type="dxa"/>
            <w:tcBorders>
              <w:top w:val="single" w:color="auto" w:sz="6" w:space="0"/>
              <w:left w:val="single" w:color="auto" w:sz="6" w:space="0"/>
              <w:bottom w:val="single" w:color="auto" w:sz="6" w:space="0"/>
              <w:right w:val="single" w:color="auto" w:sz="6" w:space="0"/>
            </w:tcBorders>
            <w:vAlign w:val="center"/>
          </w:tcPr>
          <w:p w14:paraId="3704E970">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技术职称</w:t>
            </w:r>
          </w:p>
        </w:tc>
        <w:tc>
          <w:tcPr>
            <w:tcW w:w="1484" w:type="dxa"/>
            <w:tcBorders>
              <w:top w:val="single" w:color="auto" w:sz="6" w:space="0"/>
              <w:left w:val="single" w:color="auto" w:sz="6" w:space="0"/>
              <w:bottom w:val="single" w:color="auto" w:sz="6" w:space="0"/>
              <w:right w:val="single" w:color="auto" w:sz="6" w:space="0"/>
            </w:tcBorders>
            <w:vAlign w:val="center"/>
          </w:tcPr>
          <w:p w14:paraId="57BB6A27">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p>
        </w:tc>
        <w:tc>
          <w:tcPr>
            <w:tcW w:w="1023" w:type="dxa"/>
            <w:tcBorders>
              <w:top w:val="single" w:color="auto" w:sz="6" w:space="0"/>
              <w:left w:val="single" w:color="auto" w:sz="6" w:space="0"/>
              <w:bottom w:val="single" w:color="auto" w:sz="6" w:space="0"/>
              <w:right w:val="single" w:color="auto" w:sz="6" w:space="0"/>
            </w:tcBorders>
            <w:vAlign w:val="center"/>
          </w:tcPr>
          <w:p w14:paraId="66F85C01">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电话</w:t>
            </w:r>
          </w:p>
        </w:tc>
        <w:tc>
          <w:tcPr>
            <w:tcW w:w="1163" w:type="dxa"/>
            <w:tcBorders>
              <w:top w:val="single" w:color="auto" w:sz="6" w:space="0"/>
              <w:left w:val="single" w:color="auto" w:sz="6" w:space="0"/>
              <w:bottom w:val="single" w:color="auto" w:sz="6" w:space="0"/>
              <w:right w:val="single" w:color="auto" w:sz="12" w:space="0"/>
            </w:tcBorders>
            <w:vAlign w:val="center"/>
          </w:tcPr>
          <w:p w14:paraId="7AA74887">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b/>
                <w:bCs/>
                <w:color w:val="auto"/>
                <w:kern w:val="0"/>
                <w:sz w:val="21"/>
                <w:szCs w:val="21"/>
                <w:highlight w:val="none"/>
              </w:rPr>
            </w:pPr>
          </w:p>
        </w:tc>
      </w:tr>
      <w:tr w14:paraId="7675B4A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97" w:type="dxa"/>
            <w:tcBorders>
              <w:top w:val="single" w:color="auto" w:sz="6" w:space="0"/>
              <w:left w:val="single" w:color="auto" w:sz="12" w:space="0"/>
              <w:bottom w:val="single" w:color="auto" w:sz="6" w:space="0"/>
              <w:right w:val="single" w:color="auto" w:sz="6" w:space="0"/>
            </w:tcBorders>
            <w:vAlign w:val="center"/>
          </w:tcPr>
          <w:p w14:paraId="7A7D470D">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技术负责人</w:t>
            </w:r>
          </w:p>
        </w:tc>
        <w:tc>
          <w:tcPr>
            <w:tcW w:w="947" w:type="dxa"/>
            <w:tcBorders>
              <w:top w:val="single" w:color="auto" w:sz="6" w:space="0"/>
              <w:left w:val="single" w:color="auto" w:sz="6" w:space="0"/>
              <w:bottom w:val="single" w:color="auto" w:sz="4" w:space="0"/>
              <w:right w:val="single" w:color="auto" w:sz="6" w:space="0"/>
            </w:tcBorders>
            <w:vAlign w:val="center"/>
          </w:tcPr>
          <w:p w14:paraId="19BC70A0">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姓名</w:t>
            </w:r>
          </w:p>
        </w:tc>
        <w:tc>
          <w:tcPr>
            <w:tcW w:w="1503" w:type="dxa"/>
            <w:tcBorders>
              <w:top w:val="single" w:color="auto" w:sz="6" w:space="0"/>
              <w:left w:val="single" w:color="auto" w:sz="6" w:space="0"/>
              <w:bottom w:val="single" w:color="auto" w:sz="4" w:space="0"/>
              <w:right w:val="single" w:color="auto" w:sz="6" w:space="0"/>
            </w:tcBorders>
            <w:vAlign w:val="center"/>
          </w:tcPr>
          <w:p w14:paraId="6920B5AF">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p>
        </w:tc>
        <w:tc>
          <w:tcPr>
            <w:tcW w:w="1250" w:type="dxa"/>
            <w:tcBorders>
              <w:top w:val="single" w:color="auto" w:sz="6" w:space="0"/>
              <w:left w:val="single" w:color="auto" w:sz="6" w:space="0"/>
              <w:bottom w:val="single" w:color="auto" w:sz="4" w:space="0"/>
              <w:right w:val="single" w:color="auto" w:sz="6" w:space="0"/>
            </w:tcBorders>
            <w:vAlign w:val="center"/>
          </w:tcPr>
          <w:p w14:paraId="0380350E">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技术职称</w:t>
            </w:r>
          </w:p>
        </w:tc>
        <w:tc>
          <w:tcPr>
            <w:tcW w:w="1484" w:type="dxa"/>
            <w:tcBorders>
              <w:top w:val="single" w:color="auto" w:sz="6" w:space="0"/>
              <w:left w:val="single" w:color="auto" w:sz="6" w:space="0"/>
              <w:bottom w:val="single" w:color="auto" w:sz="6" w:space="0"/>
              <w:right w:val="single" w:color="auto" w:sz="6" w:space="0"/>
            </w:tcBorders>
            <w:vAlign w:val="center"/>
          </w:tcPr>
          <w:p w14:paraId="7200FF57">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p>
        </w:tc>
        <w:tc>
          <w:tcPr>
            <w:tcW w:w="1023" w:type="dxa"/>
            <w:tcBorders>
              <w:top w:val="single" w:color="auto" w:sz="6" w:space="0"/>
              <w:left w:val="single" w:color="auto" w:sz="6" w:space="0"/>
              <w:bottom w:val="single" w:color="auto" w:sz="6" w:space="0"/>
              <w:right w:val="single" w:color="auto" w:sz="6" w:space="0"/>
            </w:tcBorders>
            <w:vAlign w:val="center"/>
          </w:tcPr>
          <w:p w14:paraId="5940B7C6">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电话</w:t>
            </w:r>
          </w:p>
        </w:tc>
        <w:tc>
          <w:tcPr>
            <w:tcW w:w="1163" w:type="dxa"/>
            <w:tcBorders>
              <w:top w:val="single" w:color="auto" w:sz="6" w:space="0"/>
              <w:left w:val="single" w:color="auto" w:sz="6" w:space="0"/>
              <w:bottom w:val="single" w:color="auto" w:sz="6" w:space="0"/>
              <w:right w:val="single" w:color="auto" w:sz="12" w:space="0"/>
            </w:tcBorders>
            <w:vAlign w:val="center"/>
          </w:tcPr>
          <w:p w14:paraId="6B3C86E5">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b/>
                <w:bCs/>
                <w:color w:val="auto"/>
                <w:kern w:val="0"/>
                <w:sz w:val="21"/>
                <w:szCs w:val="21"/>
                <w:highlight w:val="none"/>
              </w:rPr>
            </w:pPr>
          </w:p>
        </w:tc>
      </w:tr>
      <w:tr w14:paraId="4E85E8F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7" w:type="dxa"/>
            <w:tcBorders>
              <w:top w:val="single" w:color="auto" w:sz="6" w:space="0"/>
              <w:left w:val="single" w:color="auto" w:sz="12" w:space="0"/>
              <w:bottom w:val="single" w:color="auto" w:sz="6" w:space="0"/>
              <w:right w:val="single" w:color="auto" w:sz="4" w:space="0"/>
            </w:tcBorders>
            <w:vAlign w:val="center"/>
          </w:tcPr>
          <w:p w14:paraId="626F2C24">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企业资质等级</w:t>
            </w:r>
          </w:p>
        </w:tc>
        <w:tc>
          <w:tcPr>
            <w:tcW w:w="2450" w:type="dxa"/>
            <w:gridSpan w:val="2"/>
            <w:tcBorders>
              <w:top w:val="single" w:color="auto" w:sz="4" w:space="0"/>
              <w:left w:val="single" w:color="auto" w:sz="4" w:space="0"/>
              <w:bottom w:val="single" w:color="auto" w:sz="4" w:space="0"/>
              <w:right w:val="single" w:color="auto" w:sz="4" w:space="0"/>
            </w:tcBorders>
            <w:vAlign w:val="center"/>
          </w:tcPr>
          <w:p w14:paraId="51B691AF">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bCs/>
                <w:color w:val="auto"/>
                <w:kern w:val="0"/>
                <w:sz w:val="21"/>
                <w:szCs w:val="21"/>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41B0F0D1">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成立时间</w:t>
            </w:r>
          </w:p>
        </w:tc>
        <w:tc>
          <w:tcPr>
            <w:tcW w:w="3670" w:type="dxa"/>
            <w:gridSpan w:val="3"/>
            <w:tcBorders>
              <w:top w:val="single" w:color="auto" w:sz="6" w:space="0"/>
              <w:left w:val="single" w:color="auto" w:sz="4" w:space="0"/>
              <w:right w:val="single" w:color="auto" w:sz="12" w:space="0"/>
            </w:tcBorders>
            <w:vAlign w:val="center"/>
          </w:tcPr>
          <w:p w14:paraId="5DDAE744">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bCs/>
                <w:color w:val="auto"/>
                <w:kern w:val="0"/>
                <w:sz w:val="21"/>
                <w:szCs w:val="21"/>
                <w:highlight w:val="none"/>
              </w:rPr>
            </w:pPr>
          </w:p>
        </w:tc>
      </w:tr>
      <w:tr w14:paraId="1BC615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tcBorders>
              <w:top w:val="single" w:color="auto" w:sz="6" w:space="0"/>
              <w:left w:val="single" w:color="auto" w:sz="12" w:space="0"/>
              <w:bottom w:val="single" w:color="auto" w:sz="6" w:space="0"/>
              <w:right w:val="single" w:color="auto" w:sz="6" w:space="0"/>
            </w:tcBorders>
            <w:vAlign w:val="center"/>
          </w:tcPr>
          <w:p w14:paraId="165E1201">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注册资金</w:t>
            </w:r>
          </w:p>
        </w:tc>
        <w:tc>
          <w:tcPr>
            <w:tcW w:w="2450" w:type="dxa"/>
            <w:gridSpan w:val="2"/>
            <w:tcBorders>
              <w:top w:val="single" w:color="auto" w:sz="4" w:space="0"/>
              <w:left w:val="single" w:color="auto" w:sz="6" w:space="0"/>
              <w:bottom w:val="single" w:color="auto" w:sz="6" w:space="0"/>
              <w:right w:val="single" w:color="auto" w:sz="6" w:space="0"/>
            </w:tcBorders>
            <w:vAlign w:val="center"/>
          </w:tcPr>
          <w:p w14:paraId="439237CA">
            <w:pPr>
              <w:keepNext w:val="0"/>
              <w:keepLines w:val="0"/>
              <w:pageBreakBefore w:val="0"/>
              <w:kinsoku/>
              <w:wordWrap/>
              <w:overflowPunct/>
              <w:topLinePunct w:val="0"/>
              <w:autoSpaceDE w:val="0"/>
              <w:autoSpaceDN w:val="0"/>
              <w:bidi w:val="0"/>
              <w:adjustRightInd w:val="0"/>
              <w:spacing w:line="420" w:lineRule="exact"/>
              <w:jc w:val="righ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50" w:type="dxa"/>
            <w:vMerge w:val="restart"/>
            <w:tcBorders>
              <w:top w:val="single" w:color="auto" w:sz="4" w:space="0"/>
              <w:left w:val="single" w:color="auto" w:sz="6" w:space="0"/>
              <w:right w:val="single" w:color="auto" w:sz="6" w:space="0"/>
            </w:tcBorders>
            <w:vAlign w:val="center"/>
          </w:tcPr>
          <w:p w14:paraId="32E45020">
            <w:pPr>
              <w:keepNext w:val="0"/>
              <w:keepLines w:val="0"/>
              <w:pageBreakBefore w:val="0"/>
              <w:widowControl/>
              <w:kinsoku/>
              <w:wordWrap/>
              <w:overflowPunct/>
              <w:topLinePunct w:val="0"/>
              <w:bidi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固定资产</w:t>
            </w:r>
          </w:p>
        </w:tc>
        <w:tc>
          <w:tcPr>
            <w:tcW w:w="1484" w:type="dxa"/>
            <w:tcBorders>
              <w:top w:val="single" w:color="auto" w:sz="6" w:space="0"/>
              <w:left w:val="single" w:color="auto" w:sz="6" w:space="0"/>
              <w:bottom w:val="single" w:color="auto" w:sz="6" w:space="0"/>
              <w:right w:val="single" w:color="auto" w:sz="6" w:space="0"/>
            </w:tcBorders>
            <w:vAlign w:val="center"/>
          </w:tcPr>
          <w:p w14:paraId="48357077">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原值</w:t>
            </w:r>
          </w:p>
        </w:tc>
        <w:tc>
          <w:tcPr>
            <w:tcW w:w="2186" w:type="dxa"/>
            <w:gridSpan w:val="2"/>
            <w:tcBorders>
              <w:top w:val="single" w:color="auto" w:sz="6" w:space="0"/>
              <w:left w:val="single" w:color="auto" w:sz="6" w:space="0"/>
              <w:bottom w:val="single" w:color="auto" w:sz="6" w:space="0"/>
              <w:right w:val="single" w:color="auto" w:sz="12" w:space="0"/>
            </w:tcBorders>
            <w:vAlign w:val="center"/>
          </w:tcPr>
          <w:p w14:paraId="3179AC1F">
            <w:pPr>
              <w:keepNext w:val="0"/>
              <w:keepLines w:val="0"/>
              <w:pageBreakBefore w:val="0"/>
              <w:kinsoku/>
              <w:wordWrap/>
              <w:overflowPunct/>
              <w:topLinePunct w:val="0"/>
              <w:autoSpaceDE w:val="0"/>
              <w:autoSpaceDN w:val="0"/>
              <w:bidi w:val="0"/>
              <w:adjustRightInd w:val="0"/>
              <w:spacing w:line="420" w:lineRule="exact"/>
              <w:jc w:val="righ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万元</w:t>
            </w:r>
          </w:p>
        </w:tc>
      </w:tr>
      <w:tr w14:paraId="3CC99EF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tcBorders>
              <w:top w:val="single" w:color="auto" w:sz="6" w:space="0"/>
              <w:left w:val="single" w:color="auto" w:sz="12" w:space="0"/>
              <w:bottom w:val="single" w:color="auto" w:sz="6" w:space="0"/>
              <w:right w:val="single" w:color="auto" w:sz="6" w:space="0"/>
            </w:tcBorders>
            <w:vAlign w:val="center"/>
          </w:tcPr>
          <w:p w14:paraId="4D65DA42">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流动资金</w:t>
            </w:r>
          </w:p>
        </w:tc>
        <w:tc>
          <w:tcPr>
            <w:tcW w:w="2450" w:type="dxa"/>
            <w:gridSpan w:val="2"/>
            <w:tcBorders>
              <w:top w:val="single" w:color="auto" w:sz="6" w:space="0"/>
              <w:left w:val="single" w:color="auto" w:sz="6" w:space="0"/>
              <w:bottom w:val="single" w:color="auto" w:sz="6" w:space="0"/>
              <w:right w:val="single" w:color="auto" w:sz="6" w:space="0"/>
            </w:tcBorders>
            <w:vAlign w:val="center"/>
          </w:tcPr>
          <w:p w14:paraId="23C75398">
            <w:pPr>
              <w:keepNext w:val="0"/>
              <w:keepLines w:val="0"/>
              <w:pageBreakBefore w:val="0"/>
              <w:kinsoku/>
              <w:wordWrap/>
              <w:overflowPunct/>
              <w:topLinePunct w:val="0"/>
              <w:autoSpaceDE w:val="0"/>
              <w:autoSpaceDN w:val="0"/>
              <w:bidi w:val="0"/>
              <w:adjustRightInd w:val="0"/>
              <w:spacing w:line="420" w:lineRule="exact"/>
              <w:jc w:val="righ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50" w:type="dxa"/>
            <w:vMerge w:val="continue"/>
            <w:tcBorders>
              <w:left w:val="single" w:color="auto" w:sz="6" w:space="0"/>
              <w:bottom w:val="single" w:color="auto" w:sz="6" w:space="0"/>
              <w:right w:val="single" w:color="auto" w:sz="6" w:space="0"/>
            </w:tcBorders>
            <w:vAlign w:val="center"/>
          </w:tcPr>
          <w:p w14:paraId="382AB804">
            <w:pPr>
              <w:keepNext w:val="0"/>
              <w:keepLines w:val="0"/>
              <w:pageBreakBefore w:val="0"/>
              <w:widowControl/>
              <w:kinsoku/>
              <w:wordWrap/>
              <w:overflowPunct/>
              <w:topLinePunct w:val="0"/>
              <w:bidi w:val="0"/>
              <w:spacing w:line="420" w:lineRule="exact"/>
              <w:jc w:val="left"/>
              <w:rPr>
                <w:rFonts w:hint="eastAsia" w:ascii="宋体" w:hAnsi="宋体" w:eastAsia="宋体" w:cs="宋体"/>
                <w:color w:val="auto"/>
                <w:kern w:val="0"/>
                <w:sz w:val="21"/>
                <w:szCs w:val="21"/>
                <w:highlight w:val="none"/>
              </w:rPr>
            </w:pPr>
          </w:p>
        </w:tc>
        <w:tc>
          <w:tcPr>
            <w:tcW w:w="1484" w:type="dxa"/>
            <w:tcBorders>
              <w:top w:val="single" w:color="auto" w:sz="6" w:space="0"/>
              <w:left w:val="single" w:color="auto" w:sz="6" w:space="0"/>
              <w:bottom w:val="single" w:color="auto" w:sz="6" w:space="0"/>
              <w:right w:val="single" w:color="auto" w:sz="6" w:space="0"/>
            </w:tcBorders>
            <w:vAlign w:val="center"/>
          </w:tcPr>
          <w:p w14:paraId="63CBD290">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净值</w:t>
            </w:r>
          </w:p>
        </w:tc>
        <w:tc>
          <w:tcPr>
            <w:tcW w:w="2186" w:type="dxa"/>
            <w:gridSpan w:val="2"/>
            <w:tcBorders>
              <w:top w:val="single" w:color="auto" w:sz="6" w:space="0"/>
              <w:left w:val="single" w:color="auto" w:sz="6" w:space="0"/>
              <w:bottom w:val="single" w:color="auto" w:sz="6" w:space="0"/>
              <w:right w:val="single" w:color="auto" w:sz="12" w:space="0"/>
            </w:tcBorders>
            <w:vAlign w:val="center"/>
          </w:tcPr>
          <w:p w14:paraId="04896536">
            <w:pPr>
              <w:keepNext w:val="0"/>
              <w:keepLines w:val="0"/>
              <w:pageBreakBefore w:val="0"/>
              <w:kinsoku/>
              <w:wordWrap/>
              <w:overflowPunct/>
              <w:topLinePunct w:val="0"/>
              <w:autoSpaceDE w:val="0"/>
              <w:autoSpaceDN w:val="0"/>
              <w:bidi w:val="0"/>
              <w:adjustRightInd w:val="0"/>
              <w:spacing w:line="420" w:lineRule="exact"/>
              <w:jc w:val="righ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万元</w:t>
            </w:r>
          </w:p>
        </w:tc>
      </w:tr>
      <w:tr w14:paraId="16188AA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7" w:type="dxa"/>
            <w:tcBorders>
              <w:top w:val="single" w:color="auto" w:sz="6" w:space="0"/>
              <w:left w:val="single" w:color="auto" w:sz="12" w:space="0"/>
              <w:bottom w:val="single" w:color="auto" w:sz="6" w:space="0"/>
              <w:right w:val="single" w:color="auto" w:sz="6" w:space="0"/>
            </w:tcBorders>
            <w:vAlign w:val="center"/>
          </w:tcPr>
          <w:p w14:paraId="36DFB892">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开户银行</w:t>
            </w:r>
          </w:p>
        </w:tc>
        <w:tc>
          <w:tcPr>
            <w:tcW w:w="2450" w:type="dxa"/>
            <w:gridSpan w:val="2"/>
            <w:tcBorders>
              <w:top w:val="single" w:color="auto" w:sz="6" w:space="0"/>
              <w:left w:val="single" w:color="auto" w:sz="6" w:space="0"/>
              <w:bottom w:val="single" w:color="auto" w:sz="6" w:space="0"/>
              <w:right w:val="single" w:color="auto" w:sz="6" w:space="0"/>
            </w:tcBorders>
            <w:vAlign w:val="center"/>
          </w:tcPr>
          <w:p w14:paraId="1CFF456B">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p>
        </w:tc>
        <w:tc>
          <w:tcPr>
            <w:tcW w:w="1250" w:type="dxa"/>
            <w:vMerge w:val="restart"/>
            <w:tcBorders>
              <w:top w:val="single" w:color="auto" w:sz="6" w:space="0"/>
              <w:left w:val="single" w:color="auto" w:sz="6" w:space="0"/>
              <w:right w:val="single" w:color="auto" w:sz="6" w:space="0"/>
            </w:tcBorders>
            <w:vAlign w:val="center"/>
          </w:tcPr>
          <w:p w14:paraId="1106C8AB">
            <w:pPr>
              <w:keepNext w:val="0"/>
              <w:keepLines w:val="0"/>
              <w:pageBreakBefore w:val="0"/>
              <w:widowControl/>
              <w:kinsoku/>
              <w:wordWrap/>
              <w:overflowPunct/>
              <w:topLinePunct w:val="0"/>
              <w:bidi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职工总数XX人</w:t>
            </w:r>
          </w:p>
        </w:tc>
        <w:tc>
          <w:tcPr>
            <w:tcW w:w="1484" w:type="dxa"/>
            <w:tcBorders>
              <w:top w:val="single" w:color="auto" w:sz="6" w:space="0"/>
              <w:left w:val="single" w:color="auto" w:sz="6" w:space="0"/>
              <w:bottom w:val="single" w:color="auto" w:sz="6" w:space="0"/>
              <w:right w:val="single" w:color="auto" w:sz="6" w:space="0"/>
            </w:tcBorders>
            <w:vAlign w:val="center"/>
          </w:tcPr>
          <w:p w14:paraId="6ABADCFC">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生产工人</w:t>
            </w:r>
          </w:p>
        </w:tc>
        <w:tc>
          <w:tcPr>
            <w:tcW w:w="2186" w:type="dxa"/>
            <w:gridSpan w:val="2"/>
            <w:tcBorders>
              <w:top w:val="single" w:color="auto" w:sz="6" w:space="0"/>
              <w:left w:val="single" w:color="auto" w:sz="6" w:space="0"/>
              <w:bottom w:val="single" w:color="auto" w:sz="6" w:space="0"/>
              <w:right w:val="single" w:color="auto" w:sz="12" w:space="0"/>
            </w:tcBorders>
            <w:vAlign w:val="center"/>
          </w:tcPr>
          <w:p w14:paraId="6AC67F01">
            <w:pPr>
              <w:keepNext w:val="0"/>
              <w:keepLines w:val="0"/>
              <w:pageBreakBefore w:val="0"/>
              <w:kinsoku/>
              <w:wordWrap/>
              <w:overflowPunct/>
              <w:topLinePunct w:val="0"/>
              <w:autoSpaceDE w:val="0"/>
              <w:autoSpaceDN w:val="0"/>
              <w:bidi w:val="0"/>
              <w:adjustRightInd w:val="0"/>
              <w:spacing w:line="420" w:lineRule="exact"/>
              <w:jc w:val="righ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人</w:t>
            </w:r>
          </w:p>
        </w:tc>
      </w:tr>
      <w:tr w14:paraId="1F27DE2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tcBorders>
              <w:top w:val="single" w:color="auto" w:sz="6" w:space="0"/>
              <w:left w:val="single" w:color="auto" w:sz="12" w:space="0"/>
              <w:bottom w:val="single" w:color="auto" w:sz="6" w:space="0"/>
              <w:right w:val="single" w:color="auto" w:sz="6" w:space="0"/>
            </w:tcBorders>
            <w:vAlign w:val="center"/>
          </w:tcPr>
          <w:p w14:paraId="71677961">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基本银行账号</w:t>
            </w:r>
          </w:p>
        </w:tc>
        <w:tc>
          <w:tcPr>
            <w:tcW w:w="2450" w:type="dxa"/>
            <w:gridSpan w:val="2"/>
            <w:tcBorders>
              <w:top w:val="single" w:color="auto" w:sz="6" w:space="0"/>
              <w:left w:val="single" w:color="auto" w:sz="6" w:space="0"/>
              <w:bottom w:val="single" w:color="auto" w:sz="6" w:space="0"/>
              <w:right w:val="single" w:color="auto" w:sz="6" w:space="0"/>
            </w:tcBorders>
            <w:vAlign w:val="center"/>
          </w:tcPr>
          <w:p w14:paraId="5E966E2A">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p>
        </w:tc>
        <w:tc>
          <w:tcPr>
            <w:tcW w:w="1250" w:type="dxa"/>
            <w:vMerge w:val="continue"/>
            <w:tcBorders>
              <w:left w:val="single" w:color="auto" w:sz="6" w:space="0"/>
              <w:bottom w:val="single" w:color="auto" w:sz="6" w:space="0"/>
              <w:right w:val="single" w:color="auto" w:sz="6" w:space="0"/>
            </w:tcBorders>
            <w:vAlign w:val="center"/>
          </w:tcPr>
          <w:p w14:paraId="23DD2072">
            <w:pPr>
              <w:keepNext w:val="0"/>
              <w:keepLines w:val="0"/>
              <w:pageBreakBefore w:val="0"/>
              <w:widowControl/>
              <w:kinsoku/>
              <w:wordWrap/>
              <w:overflowPunct/>
              <w:topLinePunct w:val="0"/>
              <w:bidi w:val="0"/>
              <w:spacing w:line="420" w:lineRule="exact"/>
              <w:jc w:val="left"/>
              <w:rPr>
                <w:rFonts w:hint="eastAsia" w:ascii="宋体" w:hAnsi="宋体" w:eastAsia="宋体" w:cs="宋体"/>
                <w:color w:val="auto"/>
                <w:kern w:val="0"/>
                <w:sz w:val="21"/>
                <w:szCs w:val="21"/>
                <w:highlight w:val="none"/>
              </w:rPr>
            </w:pPr>
          </w:p>
        </w:tc>
        <w:tc>
          <w:tcPr>
            <w:tcW w:w="1484" w:type="dxa"/>
            <w:tcBorders>
              <w:top w:val="single" w:color="auto" w:sz="6" w:space="0"/>
              <w:left w:val="single" w:color="auto" w:sz="6" w:space="0"/>
              <w:bottom w:val="single" w:color="auto" w:sz="6" w:space="0"/>
              <w:right w:val="single" w:color="auto" w:sz="6" w:space="0"/>
            </w:tcBorders>
            <w:vAlign w:val="center"/>
          </w:tcPr>
          <w:p w14:paraId="7EF4B1C8">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技术人员</w:t>
            </w:r>
          </w:p>
        </w:tc>
        <w:tc>
          <w:tcPr>
            <w:tcW w:w="2186" w:type="dxa"/>
            <w:gridSpan w:val="2"/>
            <w:tcBorders>
              <w:top w:val="single" w:color="auto" w:sz="6" w:space="0"/>
              <w:left w:val="single" w:color="auto" w:sz="6" w:space="0"/>
              <w:bottom w:val="single" w:color="auto" w:sz="6" w:space="0"/>
              <w:right w:val="single" w:color="auto" w:sz="12" w:space="0"/>
            </w:tcBorders>
            <w:vAlign w:val="center"/>
          </w:tcPr>
          <w:p w14:paraId="1D21F28F">
            <w:pPr>
              <w:keepNext w:val="0"/>
              <w:keepLines w:val="0"/>
              <w:pageBreakBefore w:val="0"/>
              <w:kinsoku/>
              <w:wordWrap/>
              <w:overflowPunct/>
              <w:topLinePunct w:val="0"/>
              <w:autoSpaceDE w:val="0"/>
              <w:autoSpaceDN w:val="0"/>
              <w:bidi w:val="0"/>
              <w:adjustRightInd w:val="0"/>
              <w:spacing w:line="420" w:lineRule="exact"/>
              <w:jc w:val="righ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人</w:t>
            </w:r>
          </w:p>
        </w:tc>
      </w:tr>
      <w:tr w14:paraId="21C59D6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700" w:hRule="atLeast"/>
        </w:trPr>
        <w:tc>
          <w:tcPr>
            <w:tcW w:w="1697" w:type="dxa"/>
            <w:tcBorders>
              <w:top w:val="single" w:color="auto" w:sz="6" w:space="0"/>
              <w:left w:val="single" w:color="auto" w:sz="12" w:space="0"/>
              <w:bottom w:val="single" w:color="auto" w:sz="6" w:space="0"/>
              <w:right w:val="single" w:color="auto" w:sz="4" w:space="0"/>
            </w:tcBorders>
            <w:vAlign w:val="center"/>
          </w:tcPr>
          <w:p w14:paraId="52692FB4">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经营范围</w:t>
            </w:r>
          </w:p>
        </w:tc>
        <w:tc>
          <w:tcPr>
            <w:tcW w:w="7370" w:type="dxa"/>
            <w:gridSpan w:val="6"/>
            <w:tcBorders>
              <w:top w:val="single" w:color="auto" w:sz="4" w:space="0"/>
              <w:left w:val="single" w:color="auto" w:sz="4" w:space="0"/>
              <w:bottom w:val="single" w:color="auto" w:sz="4" w:space="0"/>
              <w:right w:val="single" w:color="auto" w:sz="12" w:space="0"/>
            </w:tcBorders>
            <w:vAlign w:val="center"/>
          </w:tcPr>
          <w:p w14:paraId="2DB017DC">
            <w:pPr>
              <w:keepNext w:val="0"/>
              <w:keepLines w:val="0"/>
              <w:pageBreakBefore w:val="0"/>
              <w:kinsoku/>
              <w:wordWrap/>
              <w:overflowPunct/>
              <w:topLinePunct w:val="0"/>
              <w:autoSpaceDE w:val="0"/>
              <w:autoSpaceDN w:val="0"/>
              <w:bidi w:val="0"/>
              <w:adjustRightInd w:val="0"/>
              <w:spacing w:line="420" w:lineRule="exact"/>
              <w:rPr>
                <w:rFonts w:hint="eastAsia" w:ascii="宋体" w:hAnsi="宋体" w:eastAsia="宋体" w:cs="宋体"/>
                <w:b/>
                <w:bCs/>
                <w:color w:val="auto"/>
                <w:kern w:val="0"/>
                <w:sz w:val="21"/>
                <w:szCs w:val="21"/>
                <w:highlight w:val="none"/>
              </w:rPr>
            </w:pPr>
          </w:p>
        </w:tc>
      </w:tr>
      <w:tr w14:paraId="326CDEA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200" w:hRule="atLeast"/>
        </w:trPr>
        <w:tc>
          <w:tcPr>
            <w:tcW w:w="1697" w:type="dxa"/>
            <w:tcBorders>
              <w:top w:val="single" w:color="auto" w:sz="6" w:space="0"/>
              <w:left w:val="single" w:color="auto" w:sz="12" w:space="0"/>
              <w:bottom w:val="single" w:color="auto" w:sz="12" w:space="0"/>
              <w:right w:val="single" w:color="auto" w:sz="6" w:space="0"/>
            </w:tcBorders>
            <w:vAlign w:val="center"/>
          </w:tcPr>
          <w:p w14:paraId="6674112D">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c>
          <w:tcPr>
            <w:tcW w:w="7370" w:type="dxa"/>
            <w:gridSpan w:val="6"/>
            <w:tcBorders>
              <w:top w:val="single" w:color="auto" w:sz="6" w:space="0"/>
              <w:left w:val="single" w:color="auto" w:sz="6" w:space="0"/>
              <w:bottom w:val="single" w:color="auto" w:sz="12" w:space="0"/>
              <w:right w:val="single" w:color="auto" w:sz="12" w:space="0"/>
            </w:tcBorders>
            <w:vAlign w:val="top"/>
          </w:tcPr>
          <w:p w14:paraId="731F2E17">
            <w:pPr>
              <w:keepNext w:val="0"/>
              <w:keepLines w:val="0"/>
              <w:pageBreakBefore w:val="0"/>
              <w:kinsoku/>
              <w:wordWrap/>
              <w:overflowPunct/>
              <w:topLinePunct w:val="0"/>
              <w:autoSpaceDE w:val="0"/>
              <w:autoSpaceDN w:val="0"/>
              <w:bidi w:val="0"/>
              <w:adjustRightInd w:val="0"/>
              <w:spacing w:line="420" w:lineRule="exact"/>
              <w:jc w:val="left"/>
              <w:rPr>
                <w:rFonts w:hint="eastAsia" w:ascii="宋体" w:hAnsi="宋体" w:eastAsia="宋体" w:cs="宋体"/>
                <w:color w:val="auto"/>
                <w:kern w:val="0"/>
                <w:sz w:val="21"/>
                <w:szCs w:val="21"/>
                <w:highlight w:val="none"/>
              </w:rPr>
            </w:pPr>
          </w:p>
        </w:tc>
      </w:tr>
    </w:tbl>
    <w:p w14:paraId="41413C41">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供应商名称：（盖章）</w:t>
      </w:r>
    </w:p>
    <w:p w14:paraId="7C296782">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宋体" w:hAnsi="宋体" w:eastAsia="宋体" w:cs="宋体"/>
          <w:b/>
          <w:bCs/>
          <w:color w:val="auto"/>
          <w:sz w:val="21"/>
          <w:szCs w:val="21"/>
          <w:highlight w:val="none"/>
          <w:lang w:val="zh-CN" w:eastAsia="zh-CN"/>
        </w:rPr>
      </w:pPr>
      <w:r>
        <w:rPr>
          <w:rFonts w:hint="eastAsia" w:ascii="宋体" w:hAnsi="宋体" w:eastAsia="宋体" w:cs="宋体"/>
          <w:color w:val="auto"/>
          <w:sz w:val="21"/>
          <w:szCs w:val="21"/>
          <w:highlight w:val="none"/>
        </w:rPr>
        <w:t>法定代表人或其授权代表（签名或盖章）</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日期:</w:t>
      </w:r>
    </w:p>
    <w:p w14:paraId="06C641EE">
      <w:pPr>
        <w:pStyle w:val="11"/>
        <w:keepNext w:val="0"/>
        <w:keepLines w:val="0"/>
        <w:pageBreakBefore w:val="0"/>
        <w:kinsoku/>
        <w:wordWrap/>
        <w:overflowPunct/>
        <w:topLinePunct w:val="0"/>
        <w:bidi w:val="0"/>
        <w:spacing w:line="420" w:lineRule="exact"/>
        <w:rPr>
          <w:rFonts w:hint="eastAsia" w:ascii="宋体" w:hAnsi="宋体" w:eastAsia="宋体" w:cs="宋体"/>
          <w:color w:val="auto"/>
          <w:sz w:val="21"/>
          <w:szCs w:val="21"/>
          <w:highlight w:val="none"/>
          <w:lang w:val="en-US" w:eastAsia="zh-CN"/>
        </w:rPr>
      </w:pPr>
    </w:p>
    <w:p w14:paraId="64983442">
      <w:pPr>
        <w:keepNext w:val="0"/>
        <w:keepLines w:val="0"/>
        <w:pageBreakBefore w:val="0"/>
        <w:kinsoku/>
        <w:wordWrap/>
        <w:overflowPunct/>
        <w:topLinePunct w:val="0"/>
        <w:bidi w:val="0"/>
        <w:spacing w:line="420" w:lineRule="exact"/>
        <w:rPr>
          <w:rFonts w:hint="eastAsia" w:ascii="宋体" w:hAnsi="宋体" w:eastAsia="宋体" w:cs="宋体"/>
          <w:color w:val="auto"/>
          <w:sz w:val="21"/>
          <w:szCs w:val="21"/>
          <w:highlight w:val="none"/>
          <w:lang w:val="en-US" w:eastAsia="zh-CN"/>
        </w:rPr>
      </w:pPr>
    </w:p>
    <w:p w14:paraId="3DB693AE">
      <w:pPr>
        <w:keepNext w:val="0"/>
        <w:keepLines w:val="0"/>
        <w:pageBreakBefore w:val="0"/>
        <w:kinsoku/>
        <w:wordWrap/>
        <w:overflowPunct/>
        <w:topLinePunct w:val="0"/>
        <w:bidi w:val="0"/>
        <w:spacing w:line="420" w:lineRule="exact"/>
        <w:rPr>
          <w:rFonts w:hint="eastAsia" w:ascii="宋体" w:hAnsi="宋体" w:eastAsia="宋体" w:cs="宋体"/>
          <w:color w:val="auto"/>
          <w:sz w:val="21"/>
          <w:szCs w:val="21"/>
          <w:highlight w:val="none"/>
          <w:lang w:val="en-US" w:eastAsia="zh-CN"/>
        </w:rPr>
      </w:pPr>
    </w:p>
    <w:p w14:paraId="7A4A6ED2">
      <w:pPr>
        <w:keepNext w:val="0"/>
        <w:keepLines w:val="0"/>
        <w:pageBreakBefore w:val="0"/>
        <w:kinsoku/>
        <w:wordWrap/>
        <w:overflowPunct/>
        <w:topLinePunct w:val="0"/>
        <w:bidi w:val="0"/>
        <w:spacing w:line="420" w:lineRule="exact"/>
        <w:rPr>
          <w:rFonts w:hint="eastAsia" w:ascii="宋体" w:hAnsi="宋体" w:eastAsia="宋体" w:cs="宋体"/>
          <w:color w:val="auto"/>
          <w:sz w:val="21"/>
          <w:szCs w:val="21"/>
          <w:highlight w:val="none"/>
          <w:lang w:val="en-US" w:eastAsia="zh-CN"/>
        </w:rPr>
      </w:pPr>
    </w:p>
    <w:p w14:paraId="401F9B53">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7476CE30">
      <w:pPr>
        <w:keepNext w:val="0"/>
        <w:keepLines w:val="0"/>
        <w:pageBreakBefore w:val="0"/>
        <w:kinsoku/>
        <w:wordWrap/>
        <w:overflowPunct/>
        <w:topLinePunct w:val="0"/>
        <w:bidi w:val="0"/>
        <w:spacing w:line="420" w:lineRule="exact"/>
        <w:rPr>
          <w:rFonts w:hint="eastAsia" w:ascii="宋体" w:hAnsi="宋体" w:eastAsia="宋体" w:cs="宋体"/>
          <w:color w:val="auto"/>
          <w:lang w:val="en-US" w:eastAsia="zh-CN"/>
        </w:rPr>
      </w:pPr>
    </w:p>
    <w:p w14:paraId="0A06EC2E">
      <w:pPr>
        <w:keepNext w:val="0"/>
        <w:keepLines w:val="0"/>
        <w:pageBreakBefore w:val="0"/>
        <w:widowControl w:val="0"/>
        <w:kinsoku/>
        <w:wordWrap/>
        <w:overflowPunct/>
        <w:topLinePunct w:val="0"/>
        <w:autoSpaceDE w:val="0"/>
        <w:autoSpaceDN w:val="0"/>
        <w:bidi w:val="0"/>
        <w:adjustRightInd w:val="0"/>
        <w:snapToGrid w:val="0"/>
        <w:spacing w:line="420" w:lineRule="exact"/>
        <w:ind w:firstLine="0" w:firstLineChars="0"/>
        <w:jc w:val="both"/>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2、基本资格条件：符合《中华人民共和国政府采购法》第二十二条的规定：</w:t>
      </w:r>
    </w:p>
    <w:p w14:paraId="52459933">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val="en-US" w:eastAsia="zh-CN"/>
        </w:rPr>
        <w:t>（1）具有独立承担民事责任能力的法人、其他组织或自然人，并出具合法有效的营业执照或事业单位法人证书等国家规定的相关证明，自然人参与的提供其身份证明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color w:val="auto"/>
          <w:kern w:val="2"/>
          <w:sz w:val="21"/>
          <w:szCs w:val="21"/>
          <w:highlight w:val="none"/>
        </w:rPr>
        <w:t>；</w:t>
      </w:r>
    </w:p>
    <w:p w14:paraId="181CF897">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6CF433C4">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49E20995">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3A85F6A3">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2148C702">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61ABAFDE">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212D19A3">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236C1C8C">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080E0E99">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7622F6EE">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45FB5B1B">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53A68A1D">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6D80667F">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5DEBAF52">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465D955F">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6D407B42">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6E96AE39">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2A982957">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18E5E52F">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5DB11359">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63EEC36C">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35D6B6E2">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32EC53BD">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15DBDE00">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0D517162">
      <w:pPr>
        <w:rPr>
          <w:rFonts w:hint="eastAsia" w:ascii="宋体" w:hAnsi="宋体" w:eastAsia="宋体" w:cs="宋体"/>
          <w:color w:val="auto"/>
          <w:kern w:val="2"/>
          <w:highlight w:val="none"/>
        </w:rPr>
      </w:pPr>
    </w:p>
    <w:p w14:paraId="48F99D91">
      <w:pPr>
        <w:rPr>
          <w:rFonts w:hint="eastAsia" w:ascii="宋体" w:hAnsi="宋体" w:eastAsia="宋体" w:cs="宋体"/>
          <w:color w:val="auto"/>
          <w:kern w:val="2"/>
          <w:highlight w:val="none"/>
        </w:rPr>
      </w:pPr>
    </w:p>
    <w:p w14:paraId="1AA13F72">
      <w:pPr>
        <w:rPr>
          <w:rFonts w:hint="eastAsia" w:ascii="宋体" w:hAnsi="宋体" w:eastAsia="宋体" w:cs="宋体"/>
          <w:color w:val="auto"/>
          <w:kern w:val="2"/>
          <w:highlight w:val="none"/>
        </w:rPr>
      </w:pPr>
    </w:p>
    <w:p w14:paraId="250AF878">
      <w:pPr>
        <w:rPr>
          <w:rFonts w:hint="eastAsia" w:ascii="宋体" w:hAnsi="宋体" w:eastAsia="宋体" w:cs="宋体"/>
          <w:color w:val="auto"/>
          <w:kern w:val="2"/>
          <w:highlight w:val="none"/>
        </w:rPr>
      </w:pPr>
    </w:p>
    <w:p w14:paraId="062142FA">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41334CDD">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6D18FBC1">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须提供具有财务审计资质单位出具的2023年-2024年任意一年年度财务报告（包括资产负债表、利润表、现金流量表及会计报表附注，成立时间至开标时间不足一年的可提供成立后任意时段的资产负债表）或开标前六个月内其基本账户银行出具的资信证明（附开户许可证或基本存款账户信息）或政府采购信用担保机构出具的投标担保函；</w:t>
      </w:r>
    </w:p>
    <w:p w14:paraId="3DF68E72">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sz w:val="21"/>
          <w:szCs w:val="21"/>
          <w:highlight w:val="none"/>
          <w:lang w:val="en-US" w:eastAsia="zh-CN"/>
        </w:rPr>
      </w:pPr>
    </w:p>
    <w:p w14:paraId="241A426F">
      <w:pPr>
        <w:pStyle w:val="16"/>
        <w:keepNext w:val="0"/>
        <w:keepLines w:val="0"/>
        <w:pageBreakBefore w:val="0"/>
        <w:widowControl w:val="0"/>
        <w:numPr>
          <w:ilvl w:val="0"/>
          <w:numId w:val="0"/>
        </w:numPr>
        <w:kinsoku/>
        <w:wordWrap/>
        <w:overflowPunct/>
        <w:topLinePunct w:val="0"/>
        <w:bidi w:val="0"/>
        <w:spacing w:line="420" w:lineRule="exact"/>
        <w:jc w:val="left"/>
        <w:rPr>
          <w:rFonts w:hint="eastAsia" w:ascii="宋体" w:hAnsi="宋体" w:eastAsia="宋体" w:cs="宋体"/>
          <w:color w:val="auto"/>
          <w:highlight w:val="none"/>
          <w:lang w:val="en-US" w:eastAsia="zh-CN"/>
        </w:rPr>
      </w:pPr>
    </w:p>
    <w:p w14:paraId="7D05A73B">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0FC99CA2">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5EB9ECC0">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76A012A3">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5E4FC92F">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055DE425">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3C149730">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759E5080">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1286466E">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48A73303">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1382AEA4">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115E7393">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10690DAD">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6F09F3EB">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2659C05C">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473FD774">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4C0226E3">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5EE90F13">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70588457">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11133042">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12E57BA3">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15E8C492">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74778E70">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2382BE40">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5E82ED64">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175103E5">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4C8F47AC">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7884FC08">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（3）供应商须提供2024年</w:t>
      </w:r>
      <w:r>
        <w:rPr>
          <w:rFonts w:hint="eastAsia"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 xml:space="preserve">月至今任意一个月已缴纳完税凭证或税务机关开具的完税证明，依法免税或无须缴纳税收的供应商应提供相关文件证明； </w:t>
      </w:r>
    </w:p>
    <w:p w14:paraId="08234C3C">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sz w:val="21"/>
          <w:szCs w:val="21"/>
          <w:highlight w:val="none"/>
          <w:lang w:val="en-US" w:eastAsia="zh-CN"/>
        </w:rPr>
      </w:pPr>
    </w:p>
    <w:p w14:paraId="33172732">
      <w:pPr>
        <w:pStyle w:val="16"/>
        <w:keepNext w:val="0"/>
        <w:keepLines w:val="0"/>
        <w:pageBreakBefore w:val="0"/>
        <w:widowControl w:val="0"/>
        <w:numPr>
          <w:ilvl w:val="0"/>
          <w:numId w:val="0"/>
        </w:numPr>
        <w:kinsoku/>
        <w:wordWrap/>
        <w:overflowPunct/>
        <w:topLinePunct w:val="0"/>
        <w:bidi w:val="0"/>
        <w:spacing w:line="420" w:lineRule="exact"/>
        <w:jc w:val="left"/>
        <w:rPr>
          <w:rFonts w:hint="eastAsia" w:ascii="宋体" w:hAnsi="宋体" w:eastAsia="宋体" w:cs="宋体"/>
          <w:color w:val="auto"/>
          <w:highlight w:val="none"/>
          <w:lang w:val="en-US" w:eastAsia="zh-CN"/>
        </w:rPr>
      </w:pPr>
    </w:p>
    <w:p w14:paraId="2B622925">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22CC5638">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77979266">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12C019C2">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5CEAC8A1">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777E0A7F">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571741B5">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20B32FF6">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24114E98">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314FABBA">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4A26957F">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389414FD">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168BD96A">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29434414">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0B9D5FEF">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1644D7AF">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267B5236">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47D5E421">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71DE90C1">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3FEEC1EB">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5D7AD609">
      <w:pPr>
        <w:rPr>
          <w:rFonts w:hint="eastAsia" w:ascii="宋体" w:hAnsi="宋体" w:eastAsia="宋体" w:cs="宋体"/>
          <w:color w:val="auto"/>
          <w:highlight w:val="none"/>
          <w:lang w:val="en-US" w:eastAsia="zh-CN"/>
        </w:rPr>
      </w:pPr>
    </w:p>
    <w:p w14:paraId="2DFBE201">
      <w:pPr>
        <w:rPr>
          <w:rFonts w:hint="eastAsia" w:ascii="宋体" w:hAnsi="宋体" w:eastAsia="宋体" w:cs="宋体"/>
          <w:color w:val="auto"/>
          <w:highlight w:val="none"/>
          <w:lang w:val="en-US" w:eastAsia="zh-CN"/>
        </w:rPr>
      </w:pPr>
    </w:p>
    <w:p w14:paraId="27B0D13A">
      <w:pPr>
        <w:rPr>
          <w:rFonts w:hint="eastAsia" w:ascii="宋体" w:hAnsi="宋体" w:eastAsia="宋体" w:cs="宋体"/>
          <w:color w:val="auto"/>
          <w:highlight w:val="none"/>
          <w:lang w:val="en-US" w:eastAsia="zh-CN"/>
        </w:rPr>
      </w:pPr>
    </w:p>
    <w:p w14:paraId="213EFAFD">
      <w:pPr>
        <w:rPr>
          <w:rFonts w:hint="eastAsia" w:ascii="宋体" w:hAnsi="宋体" w:eastAsia="宋体" w:cs="宋体"/>
          <w:color w:val="auto"/>
          <w:highlight w:val="none"/>
          <w:lang w:val="en-US" w:eastAsia="zh-CN"/>
        </w:rPr>
      </w:pPr>
    </w:p>
    <w:p w14:paraId="40AA2F09">
      <w:pPr>
        <w:rPr>
          <w:rFonts w:hint="eastAsia" w:ascii="宋体" w:hAnsi="宋体" w:eastAsia="宋体" w:cs="宋体"/>
          <w:color w:val="auto"/>
          <w:highlight w:val="none"/>
          <w:lang w:val="en-US" w:eastAsia="zh-CN"/>
        </w:rPr>
      </w:pPr>
    </w:p>
    <w:p w14:paraId="09E89819">
      <w:pPr>
        <w:rPr>
          <w:rFonts w:hint="eastAsia" w:ascii="宋体" w:hAnsi="宋体" w:eastAsia="宋体" w:cs="宋体"/>
          <w:color w:val="auto"/>
          <w:highlight w:val="none"/>
          <w:lang w:val="en-US" w:eastAsia="zh-CN"/>
        </w:rPr>
      </w:pPr>
    </w:p>
    <w:p w14:paraId="060E92C9">
      <w:pPr>
        <w:rPr>
          <w:rFonts w:hint="eastAsia" w:ascii="宋体" w:hAnsi="宋体" w:eastAsia="宋体" w:cs="宋体"/>
          <w:color w:val="auto"/>
          <w:highlight w:val="none"/>
          <w:lang w:val="en-US" w:eastAsia="zh-CN"/>
        </w:rPr>
      </w:pPr>
    </w:p>
    <w:p w14:paraId="3CAED12F">
      <w:pPr>
        <w:rPr>
          <w:rFonts w:hint="eastAsia" w:ascii="宋体" w:hAnsi="宋体" w:eastAsia="宋体" w:cs="宋体"/>
          <w:color w:val="auto"/>
          <w:highlight w:val="none"/>
          <w:lang w:val="en-US" w:eastAsia="zh-CN"/>
        </w:rPr>
      </w:pPr>
    </w:p>
    <w:p w14:paraId="0520D121">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50F897B6">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6C2723B8">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（4）供应商须提供2024年</w:t>
      </w:r>
      <w:r>
        <w:rPr>
          <w:rFonts w:hint="eastAsia"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月至今任意一个月已缴纳的社会保障资金缴存单据或社保机构开具的社会保险参保缴费情况证明，依法不需要缴纳社会保障资金的供应商应提供相关证明；</w:t>
      </w:r>
    </w:p>
    <w:p w14:paraId="37463A45">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sz w:val="21"/>
          <w:szCs w:val="21"/>
          <w:highlight w:val="none"/>
          <w:lang w:val="en-US" w:eastAsia="zh-CN"/>
        </w:rPr>
      </w:pPr>
    </w:p>
    <w:p w14:paraId="51344682">
      <w:pPr>
        <w:pStyle w:val="16"/>
        <w:keepNext w:val="0"/>
        <w:keepLines w:val="0"/>
        <w:pageBreakBefore w:val="0"/>
        <w:widowControl w:val="0"/>
        <w:numPr>
          <w:ilvl w:val="0"/>
          <w:numId w:val="0"/>
        </w:numPr>
        <w:kinsoku/>
        <w:wordWrap/>
        <w:overflowPunct/>
        <w:topLinePunct w:val="0"/>
        <w:bidi w:val="0"/>
        <w:spacing w:line="420" w:lineRule="exact"/>
        <w:jc w:val="left"/>
        <w:rPr>
          <w:rFonts w:hint="eastAsia" w:ascii="宋体" w:hAnsi="宋体" w:eastAsia="宋体" w:cs="宋体"/>
          <w:color w:val="auto"/>
          <w:highlight w:val="none"/>
          <w:lang w:val="en-US" w:eastAsia="zh-CN"/>
        </w:rPr>
      </w:pPr>
    </w:p>
    <w:p w14:paraId="2AD12265">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6C29DEA9">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638EB494">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1E051369">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15DCD6F8">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4A17A463">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07B0BA65">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51EFA670">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6572E5DC">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4CD71148">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2B1CD01A">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74EFDE78">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51EA4AD8">
      <w:pPr>
        <w:rPr>
          <w:rFonts w:hint="eastAsia" w:ascii="宋体" w:hAnsi="宋体" w:eastAsia="宋体" w:cs="宋体"/>
          <w:color w:val="auto"/>
          <w:highlight w:val="none"/>
          <w:lang w:val="en-US" w:eastAsia="zh-CN"/>
        </w:rPr>
      </w:pPr>
    </w:p>
    <w:p w14:paraId="1AC30C8E">
      <w:pPr>
        <w:rPr>
          <w:rFonts w:hint="eastAsia" w:ascii="宋体" w:hAnsi="宋体" w:eastAsia="宋体" w:cs="宋体"/>
          <w:color w:val="auto"/>
          <w:highlight w:val="none"/>
          <w:lang w:val="en-US" w:eastAsia="zh-CN"/>
        </w:rPr>
      </w:pPr>
    </w:p>
    <w:p w14:paraId="34B5E4BF">
      <w:pPr>
        <w:rPr>
          <w:rFonts w:hint="eastAsia" w:ascii="宋体" w:hAnsi="宋体" w:eastAsia="宋体" w:cs="宋体"/>
          <w:color w:val="auto"/>
          <w:highlight w:val="none"/>
          <w:lang w:val="en-US" w:eastAsia="zh-CN"/>
        </w:rPr>
      </w:pPr>
    </w:p>
    <w:p w14:paraId="467B2DD8">
      <w:pPr>
        <w:rPr>
          <w:rFonts w:hint="eastAsia" w:ascii="宋体" w:hAnsi="宋体" w:eastAsia="宋体" w:cs="宋体"/>
          <w:color w:val="auto"/>
          <w:highlight w:val="none"/>
          <w:lang w:val="en-US" w:eastAsia="zh-CN"/>
        </w:rPr>
      </w:pPr>
    </w:p>
    <w:p w14:paraId="7889D73C">
      <w:pPr>
        <w:rPr>
          <w:rFonts w:hint="eastAsia" w:ascii="宋体" w:hAnsi="宋体" w:eastAsia="宋体" w:cs="宋体"/>
          <w:color w:val="auto"/>
          <w:highlight w:val="none"/>
          <w:lang w:val="en-US" w:eastAsia="zh-CN"/>
        </w:rPr>
      </w:pPr>
    </w:p>
    <w:p w14:paraId="5CBED948">
      <w:pPr>
        <w:rPr>
          <w:rFonts w:hint="eastAsia" w:ascii="宋体" w:hAnsi="宋体" w:eastAsia="宋体" w:cs="宋体"/>
          <w:color w:val="auto"/>
          <w:highlight w:val="none"/>
          <w:lang w:val="en-US" w:eastAsia="zh-CN"/>
        </w:rPr>
      </w:pPr>
    </w:p>
    <w:p w14:paraId="0BBF07A5">
      <w:pPr>
        <w:rPr>
          <w:rFonts w:hint="eastAsia" w:ascii="宋体" w:hAnsi="宋体" w:eastAsia="宋体" w:cs="宋体"/>
          <w:color w:val="auto"/>
          <w:highlight w:val="none"/>
          <w:lang w:val="en-US" w:eastAsia="zh-CN"/>
        </w:rPr>
      </w:pPr>
    </w:p>
    <w:p w14:paraId="6CDE02FF">
      <w:pPr>
        <w:rPr>
          <w:rFonts w:hint="eastAsia" w:ascii="宋体" w:hAnsi="宋体" w:eastAsia="宋体" w:cs="宋体"/>
          <w:color w:val="auto"/>
          <w:highlight w:val="none"/>
          <w:lang w:val="en-US" w:eastAsia="zh-CN"/>
        </w:rPr>
      </w:pPr>
    </w:p>
    <w:p w14:paraId="328AD473">
      <w:pPr>
        <w:rPr>
          <w:rFonts w:hint="eastAsia" w:ascii="宋体" w:hAnsi="宋体" w:eastAsia="宋体" w:cs="宋体"/>
          <w:color w:val="auto"/>
          <w:highlight w:val="none"/>
          <w:lang w:val="en-US" w:eastAsia="zh-CN"/>
        </w:rPr>
      </w:pPr>
    </w:p>
    <w:p w14:paraId="5366A624">
      <w:pPr>
        <w:rPr>
          <w:rFonts w:hint="eastAsia" w:ascii="宋体" w:hAnsi="宋体" w:eastAsia="宋体" w:cs="宋体"/>
          <w:color w:val="auto"/>
          <w:highlight w:val="none"/>
          <w:lang w:val="en-US" w:eastAsia="zh-CN"/>
        </w:rPr>
      </w:pPr>
    </w:p>
    <w:p w14:paraId="7190C6EB">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32C6B50F">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6584F324">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2C08AD35">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38DF95C2">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2573D65B">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3ECDDFCB">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41972D39">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5D935FD9">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54FAB016">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（5）具备履行合同所必需的设备和专业技术能力的证明材料(由供应商根据项目需求提供说明材料或者承诺)；</w:t>
      </w:r>
    </w:p>
    <w:p w14:paraId="266618C7">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sz w:val="21"/>
          <w:szCs w:val="21"/>
          <w:highlight w:val="none"/>
          <w:lang w:val="en-US" w:eastAsia="zh-CN"/>
        </w:rPr>
      </w:pPr>
    </w:p>
    <w:p w14:paraId="2E5277C3">
      <w:pPr>
        <w:pStyle w:val="16"/>
        <w:keepNext w:val="0"/>
        <w:keepLines w:val="0"/>
        <w:pageBreakBefore w:val="0"/>
        <w:widowControl w:val="0"/>
        <w:numPr>
          <w:ilvl w:val="0"/>
          <w:numId w:val="0"/>
        </w:numPr>
        <w:kinsoku/>
        <w:wordWrap/>
        <w:overflowPunct/>
        <w:topLinePunct w:val="0"/>
        <w:bidi w:val="0"/>
        <w:spacing w:line="420" w:lineRule="exact"/>
        <w:jc w:val="left"/>
        <w:rPr>
          <w:rFonts w:hint="eastAsia" w:ascii="宋体" w:hAnsi="宋体" w:eastAsia="宋体" w:cs="宋体"/>
          <w:color w:val="auto"/>
          <w:highlight w:val="none"/>
          <w:lang w:val="en-US" w:eastAsia="zh-CN"/>
        </w:rPr>
      </w:pPr>
    </w:p>
    <w:p w14:paraId="5F03477B">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0B7B58B9">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1CC5ED7A">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48A7002A">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54675A42">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6C977AFA">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5CC2005E">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0E76F021">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2C137022">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7CC1D4C0">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70811851">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2D3C7FCC">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73075811">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46E5F26B">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0ECF418A">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604E1C9D">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68D1B7BF">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082C04B4">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7F01CD81">
      <w:pPr>
        <w:rPr>
          <w:rFonts w:hint="eastAsia" w:ascii="宋体" w:hAnsi="宋体" w:eastAsia="宋体" w:cs="宋体"/>
          <w:color w:val="auto"/>
          <w:highlight w:val="none"/>
          <w:lang w:val="en-US" w:eastAsia="zh-CN"/>
        </w:rPr>
      </w:pPr>
    </w:p>
    <w:p w14:paraId="5C295DB0">
      <w:pPr>
        <w:rPr>
          <w:rFonts w:hint="eastAsia" w:ascii="宋体" w:hAnsi="宋体" w:eastAsia="宋体" w:cs="宋体"/>
          <w:color w:val="auto"/>
          <w:highlight w:val="none"/>
          <w:lang w:val="en-US" w:eastAsia="zh-CN"/>
        </w:rPr>
      </w:pPr>
    </w:p>
    <w:p w14:paraId="569E7090">
      <w:pPr>
        <w:rPr>
          <w:rFonts w:hint="eastAsia" w:ascii="宋体" w:hAnsi="宋体" w:eastAsia="宋体" w:cs="宋体"/>
          <w:color w:val="auto"/>
          <w:highlight w:val="none"/>
          <w:lang w:val="en-US" w:eastAsia="zh-CN"/>
        </w:rPr>
      </w:pPr>
    </w:p>
    <w:p w14:paraId="62220D32">
      <w:pPr>
        <w:rPr>
          <w:rFonts w:hint="eastAsia" w:ascii="宋体" w:hAnsi="宋体" w:eastAsia="宋体" w:cs="宋体"/>
          <w:color w:val="auto"/>
          <w:highlight w:val="none"/>
          <w:lang w:val="en-US" w:eastAsia="zh-CN"/>
        </w:rPr>
      </w:pPr>
    </w:p>
    <w:p w14:paraId="75F204B3">
      <w:pPr>
        <w:rPr>
          <w:rFonts w:hint="eastAsia" w:ascii="宋体" w:hAnsi="宋体" w:eastAsia="宋体" w:cs="宋体"/>
          <w:color w:val="auto"/>
          <w:highlight w:val="none"/>
          <w:lang w:val="en-US" w:eastAsia="zh-CN"/>
        </w:rPr>
      </w:pPr>
    </w:p>
    <w:p w14:paraId="18DC8986">
      <w:pPr>
        <w:rPr>
          <w:rFonts w:hint="eastAsia" w:ascii="宋体" w:hAnsi="宋体" w:eastAsia="宋体" w:cs="宋体"/>
          <w:color w:val="auto"/>
          <w:highlight w:val="none"/>
          <w:lang w:val="en-US" w:eastAsia="zh-CN"/>
        </w:rPr>
      </w:pPr>
    </w:p>
    <w:p w14:paraId="12A49338">
      <w:pPr>
        <w:rPr>
          <w:rFonts w:hint="eastAsia" w:ascii="宋体" w:hAnsi="宋体" w:eastAsia="宋体" w:cs="宋体"/>
          <w:color w:val="auto"/>
          <w:highlight w:val="none"/>
          <w:lang w:val="en-US" w:eastAsia="zh-CN"/>
        </w:rPr>
      </w:pPr>
    </w:p>
    <w:p w14:paraId="378EA7AD">
      <w:pPr>
        <w:rPr>
          <w:rFonts w:hint="eastAsia" w:ascii="宋体" w:hAnsi="宋体" w:eastAsia="宋体" w:cs="宋体"/>
          <w:color w:val="auto"/>
          <w:highlight w:val="none"/>
          <w:lang w:val="en-US" w:eastAsia="zh-CN"/>
        </w:rPr>
      </w:pPr>
    </w:p>
    <w:p w14:paraId="6790896B">
      <w:pPr>
        <w:rPr>
          <w:rFonts w:hint="eastAsia" w:ascii="宋体" w:hAnsi="宋体" w:eastAsia="宋体" w:cs="宋体"/>
          <w:color w:val="auto"/>
          <w:highlight w:val="none"/>
          <w:lang w:val="en-US" w:eastAsia="zh-CN"/>
        </w:rPr>
      </w:pPr>
    </w:p>
    <w:p w14:paraId="0C8ABC44">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63AF2711">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50C7729C">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39E8C0EB">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53FB81DC">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（6）提供参加政府采购活动前三年内在经营活动中没有重大违法记录的书面声明；</w:t>
      </w:r>
    </w:p>
    <w:p w14:paraId="6604300C">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sz w:val="21"/>
          <w:szCs w:val="21"/>
          <w:highlight w:val="none"/>
          <w:lang w:val="en-US" w:eastAsia="zh-CN"/>
        </w:rPr>
      </w:pPr>
    </w:p>
    <w:p w14:paraId="6DB136BB">
      <w:pPr>
        <w:pStyle w:val="16"/>
        <w:keepLines w:val="0"/>
        <w:pageBreakBefore w:val="0"/>
        <w:widowControl w:val="0"/>
        <w:numPr>
          <w:ilvl w:val="0"/>
          <w:numId w:val="0"/>
        </w:numPr>
        <w:kinsoku/>
        <w:overflowPunct/>
        <w:topLinePunct w:val="0"/>
        <w:bidi w:val="0"/>
        <w:spacing w:line="360" w:lineRule="auto"/>
        <w:jc w:val="left"/>
        <w:rPr>
          <w:rFonts w:hint="eastAsia" w:ascii="宋体" w:hAnsi="宋体" w:eastAsia="宋体" w:cs="宋体"/>
          <w:color w:val="auto"/>
          <w:highlight w:val="none"/>
          <w:lang w:val="en-US" w:eastAsia="zh-CN"/>
        </w:rPr>
      </w:pPr>
    </w:p>
    <w:p w14:paraId="35D5F0F4">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385778A0">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24F61A07">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6E0F7FD9">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79163388">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27EB0FB4">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4DDF51C1">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49535485">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0A25CAEB">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254B42A1">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3B149A06">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3CC2CEDE">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65CA3791">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26EC036F">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1150140A">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26D53E87">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1A1A140F">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37CC92A9">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4218234A">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1D8B8F26">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19CA12CE">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062D87AF">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01218780">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4373F237">
      <w:pPr>
        <w:keepNext w:val="0"/>
        <w:keepLines w:val="0"/>
        <w:pageBreakBefore w:val="0"/>
        <w:widowControl w:val="0"/>
        <w:numPr>
          <w:ilvl w:val="0"/>
          <w:numId w:val="0"/>
        </w:numPr>
        <w:tabs>
          <w:tab w:val="left" w:pos="1710"/>
        </w:tabs>
        <w:kinsoku/>
        <w:wordWrap/>
        <w:overflowPunct/>
        <w:topLinePunct w:val="0"/>
        <w:autoSpaceDE w:val="0"/>
        <w:autoSpaceDN w:val="0"/>
        <w:bidi w:val="0"/>
        <w:adjustRightInd w:val="0"/>
        <w:snapToGrid/>
        <w:spacing w:line="420" w:lineRule="exact"/>
        <w:ind w:lef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bidi="ar-SA"/>
        </w:rPr>
        <w:t>3、落实政府采购政策需满足的资格要求：</w:t>
      </w:r>
      <w:r>
        <w:rPr>
          <w:rFonts w:hint="eastAsia" w:ascii="宋体" w:hAnsi="宋体" w:eastAsia="宋体" w:cs="宋体"/>
          <w:b/>
          <w:bCs/>
          <w:color w:val="auto"/>
          <w:sz w:val="24"/>
          <w:szCs w:val="24"/>
          <w:highlight w:val="none"/>
          <w:lang w:val="en-US" w:eastAsia="zh-CN"/>
        </w:rPr>
        <w:t>本项目专门面向</w:t>
      </w:r>
      <w:r>
        <w:rPr>
          <w:rFonts w:hint="eastAsia" w:ascii="宋体" w:hAnsi="宋体" w:cs="宋体"/>
          <w:b/>
          <w:bCs/>
          <w:color w:val="auto"/>
          <w:sz w:val="24"/>
          <w:szCs w:val="24"/>
          <w:highlight w:val="none"/>
          <w:lang w:val="en-US" w:eastAsia="zh-CN"/>
        </w:rPr>
        <w:t>中小</w:t>
      </w:r>
      <w:r>
        <w:rPr>
          <w:rFonts w:hint="eastAsia" w:ascii="宋体" w:hAnsi="宋体" w:eastAsia="宋体" w:cs="宋体"/>
          <w:b/>
          <w:bCs/>
          <w:color w:val="auto"/>
          <w:sz w:val="24"/>
          <w:szCs w:val="24"/>
          <w:highlight w:val="none"/>
          <w:lang w:val="en-US" w:eastAsia="zh-CN"/>
        </w:rPr>
        <w:t>企业采购。</w:t>
      </w:r>
    </w:p>
    <w:p w14:paraId="3270F3BC">
      <w:pPr>
        <w:pStyle w:val="137"/>
        <w:keepLines w:val="0"/>
        <w:pageBreakBefore w:val="0"/>
        <w:widowControl w:val="0"/>
        <w:kinsoku/>
        <w:wordWrap/>
        <w:overflowPunct/>
        <w:topLinePunct w:val="0"/>
        <w:bidi w:val="0"/>
        <w:spacing w:before="0" w:after="0" w:line="420" w:lineRule="exact"/>
        <w:jc w:val="center"/>
        <w:textAlignment w:val="auto"/>
        <w:rPr>
          <w:rFonts w:hint="eastAsia" w:ascii="宋体" w:hAnsi="宋体" w:eastAsia="宋体" w:cs="宋体"/>
          <w:b/>
          <w:bCs/>
          <w:color w:val="auto"/>
          <w:sz w:val="21"/>
          <w:szCs w:val="21"/>
          <w:highlight w:val="none"/>
          <w:lang w:val="en-US" w:eastAsia="zh-CN"/>
        </w:rPr>
      </w:pPr>
    </w:p>
    <w:p w14:paraId="2DD472F4">
      <w:pPr>
        <w:pStyle w:val="137"/>
        <w:keepLines w:val="0"/>
        <w:pageBreakBefore w:val="0"/>
        <w:widowControl w:val="0"/>
        <w:kinsoku/>
        <w:wordWrap/>
        <w:overflowPunct/>
        <w:topLinePunct w:val="0"/>
        <w:bidi w:val="0"/>
        <w:spacing w:before="0" w:after="0" w:line="42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（一）中小企业声明函</w:t>
      </w:r>
    </w:p>
    <w:p w14:paraId="60CB70C6">
      <w:pPr>
        <w:keepNext w:val="0"/>
        <w:keepLines w:val="0"/>
        <w:pageBreakBefore w:val="0"/>
        <w:widowControl w:val="0"/>
        <w:kinsoku/>
        <w:wordWrap/>
        <w:overflowPunct/>
        <w:topLinePunct w:val="0"/>
        <w:autoSpaceDE/>
        <w:autoSpaceDN/>
        <w:bidi w:val="0"/>
        <w:adjustRightInd w:val="0"/>
        <w:snapToGrid w:val="0"/>
        <w:spacing w:line="420" w:lineRule="exact"/>
        <w:ind w:firstLine="424" w:firstLineChars="202"/>
        <w:jc w:val="both"/>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本公司（联合体）郑重声明，根据《政府采购促进中小企业发展管理办法》（财库﹝2020﹞46号）的规定，本公司（联合体）参加</w:t>
      </w:r>
      <w:r>
        <w:rPr>
          <w:rFonts w:hint="eastAsia" w:ascii="宋体" w:hAnsi="宋体" w:eastAsia="宋体" w:cs="宋体"/>
          <w:i w:val="0"/>
          <w:iCs w:val="0"/>
          <w:color w:val="auto"/>
          <w:sz w:val="21"/>
          <w:szCs w:val="21"/>
          <w:highlight w:val="none"/>
          <w:u w:val="single"/>
        </w:rPr>
        <w:t>（单位名称）</w:t>
      </w:r>
      <w:r>
        <w:rPr>
          <w:rFonts w:hint="eastAsia" w:ascii="宋体" w:hAnsi="宋体" w:eastAsia="宋体" w:cs="宋体"/>
          <w:i w:val="0"/>
          <w:iCs w:val="0"/>
          <w:color w:val="auto"/>
          <w:sz w:val="21"/>
          <w:szCs w:val="21"/>
          <w:highlight w:val="none"/>
        </w:rPr>
        <w:t>的</w:t>
      </w:r>
      <w:r>
        <w:rPr>
          <w:rFonts w:hint="eastAsia" w:ascii="宋体" w:hAnsi="宋体" w:eastAsia="宋体" w:cs="宋体"/>
          <w:i w:val="0"/>
          <w:iCs w:val="0"/>
          <w:color w:val="auto"/>
          <w:sz w:val="21"/>
          <w:szCs w:val="21"/>
          <w:highlight w:val="none"/>
          <w:u w:val="single"/>
        </w:rPr>
        <w:t>（项目名称）</w:t>
      </w:r>
      <w:r>
        <w:rPr>
          <w:rFonts w:hint="eastAsia" w:ascii="宋体" w:hAnsi="宋体" w:eastAsia="宋体" w:cs="宋体"/>
          <w:i w:val="0"/>
          <w:iCs w:val="0"/>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617A10F">
      <w:pPr>
        <w:keepNext w:val="0"/>
        <w:keepLines w:val="0"/>
        <w:pageBreakBefore w:val="0"/>
        <w:widowControl w:val="0"/>
        <w:kinsoku/>
        <w:wordWrap/>
        <w:overflowPunct/>
        <w:topLinePunct w:val="0"/>
        <w:autoSpaceDE/>
        <w:autoSpaceDN/>
        <w:bidi w:val="0"/>
        <w:adjustRightInd w:val="0"/>
        <w:snapToGrid w:val="0"/>
        <w:spacing w:line="420" w:lineRule="exact"/>
        <w:ind w:firstLine="424" w:firstLineChars="202"/>
        <w:jc w:val="both"/>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r>
        <w:rPr>
          <w:rFonts w:hint="eastAsia" w:ascii="宋体" w:hAnsi="宋体" w:eastAsia="宋体" w:cs="宋体"/>
          <w:i w:val="0"/>
          <w:iCs w:val="0"/>
          <w:color w:val="auto"/>
          <w:sz w:val="21"/>
          <w:szCs w:val="21"/>
          <w:highlight w:val="none"/>
          <w:u w:val="single"/>
        </w:rPr>
        <w:t>（标的名称）</w:t>
      </w:r>
      <w:r>
        <w:rPr>
          <w:rFonts w:hint="eastAsia" w:ascii="宋体" w:hAnsi="宋体" w:eastAsia="宋体" w:cs="宋体"/>
          <w:i w:val="0"/>
          <w:iCs w:val="0"/>
          <w:color w:val="auto"/>
          <w:sz w:val="21"/>
          <w:szCs w:val="21"/>
          <w:highlight w:val="none"/>
        </w:rPr>
        <w:t>，属于</w:t>
      </w:r>
      <w:r>
        <w:rPr>
          <w:rFonts w:hint="eastAsia" w:ascii="宋体" w:hAnsi="宋体" w:eastAsia="宋体" w:cs="宋体"/>
          <w:i w:val="0"/>
          <w:iCs w:val="0"/>
          <w:color w:val="auto"/>
          <w:sz w:val="21"/>
          <w:szCs w:val="21"/>
          <w:highlight w:val="none"/>
          <w:u w:val="single"/>
        </w:rPr>
        <w:t>（</w:t>
      </w:r>
      <w:r>
        <w:rPr>
          <w:rFonts w:hint="eastAsia" w:ascii="宋体" w:hAnsi="宋体" w:eastAsia="宋体" w:cs="宋体"/>
          <w:i w:val="0"/>
          <w:iCs w:val="0"/>
          <w:color w:val="auto"/>
          <w:sz w:val="21"/>
          <w:szCs w:val="21"/>
          <w:highlight w:val="none"/>
          <w:u w:val="single"/>
          <w:lang w:val="en-US" w:eastAsia="zh-CN"/>
        </w:rPr>
        <w:t>采购文件</w:t>
      </w:r>
      <w:r>
        <w:rPr>
          <w:rFonts w:hint="eastAsia" w:ascii="宋体" w:hAnsi="宋体" w:eastAsia="宋体" w:cs="宋体"/>
          <w:i w:val="0"/>
          <w:iCs w:val="0"/>
          <w:color w:val="auto"/>
          <w:sz w:val="21"/>
          <w:szCs w:val="21"/>
          <w:highlight w:val="none"/>
          <w:u w:val="single"/>
        </w:rPr>
        <w:t>中明确的所属行业）</w:t>
      </w:r>
      <w:r>
        <w:rPr>
          <w:rFonts w:hint="eastAsia" w:ascii="宋体" w:hAnsi="宋体" w:eastAsia="宋体" w:cs="宋体"/>
          <w:i w:val="0"/>
          <w:iCs w:val="0"/>
          <w:color w:val="auto"/>
          <w:sz w:val="21"/>
          <w:szCs w:val="21"/>
          <w:highlight w:val="none"/>
        </w:rPr>
        <w:t>；承建（承接）企业为</w:t>
      </w:r>
      <w:r>
        <w:rPr>
          <w:rFonts w:hint="eastAsia" w:ascii="宋体" w:hAnsi="宋体" w:eastAsia="宋体" w:cs="宋体"/>
          <w:i w:val="0"/>
          <w:iCs w:val="0"/>
          <w:color w:val="auto"/>
          <w:sz w:val="21"/>
          <w:szCs w:val="21"/>
          <w:highlight w:val="none"/>
          <w:u w:val="single"/>
        </w:rPr>
        <w:t>（企业名称）</w:t>
      </w:r>
      <w:r>
        <w:rPr>
          <w:rFonts w:hint="eastAsia" w:ascii="宋体" w:hAnsi="宋体" w:eastAsia="宋体" w:cs="宋体"/>
          <w:i w:val="0"/>
          <w:iCs w:val="0"/>
          <w:color w:val="auto"/>
          <w:sz w:val="21"/>
          <w:szCs w:val="21"/>
          <w:highlight w:val="none"/>
        </w:rPr>
        <w:t>，从业人员</w:t>
      </w:r>
      <w:r>
        <w:rPr>
          <w:rFonts w:hint="eastAsia" w:ascii="宋体" w:hAnsi="宋体" w:eastAsia="宋体" w:cs="宋体"/>
          <w:i w:val="0"/>
          <w:iCs w:val="0"/>
          <w:color w:val="auto"/>
          <w:sz w:val="21"/>
          <w:szCs w:val="21"/>
          <w:highlight w:val="none"/>
          <w:u w:val="single"/>
          <w:lang w:val="en-US" w:eastAsia="zh-CN"/>
        </w:rPr>
        <w:t xml:space="preserve">   </w:t>
      </w:r>
      <w:r>
        <w:rPr>
          <w:rFonts w:hint="eastAsia" w:ascii="宋体" w:hAnsi="宋体" w:eastAsia="宋体" w:cs="宋体"/>
          <w:i w:val="0"/>
          <w:iCs w:val="0"/>
          <w:color w:val="auto"/>
          <w:sz w:val="21"/>
          <w:szCs w:val="21"/>
          <w:highlight w:val="none"/>
        </w:rPr>
        <w:t>人，营业收入为</w:t>
      </w:r>
      <w:r>
        <w:rPr>
          <w:rFonts w:hint="eastAsia" w:ascii="宋体" w:hAnsi="宋体" w:eastAsia="宋体" w:cs="宋体"/>
          <w:i w:val="0"/>
          <w:iCs w:val="0"/>
          <w:color w:val="auto"/>
          <w:sz w:val="21"/>
          <w:szCs w:val="21"/>
          <w:highlight w:val="none"/>
          <w:u w:val="single"/>
          <w:lang w:val="en-US" w:eastAsia="zh-CN"/>
        </w:rPr>
        <w:t xml:space="preserve">   </w:t>
      </w:r>
      <w:r>
        <w:rPr>
          <w:rFonts w:hint="eastAsia" w:ascii="宋体" w:hAnsi="宋体" w:eastAsia="宋体" w:cs="宋体"/>
          <w:i w:val="0"/>
          <w:iCs w:val="0"/>
          <w:color w:val="auto"/>
          <w:sz w:val="21"/>
          <w:szCs w:val="21"/>
          <w:highlight w:val="none"/>
        </w:rPr>
        <w:t>万元，资产总额为</w:t>
      </w:r>
      <w:r>
        <w:rPr>
          <w:rFonts w:hint="eastAsia" w:ascii="宋体" w:hAnsi="宋体" w:eastAsia="宋体" w:cs="宋体"/>
          <w:i w:val="0"/>
          <w:iCs w:val="0"/>
          <w:color w:val="auto"/>
          <w:sz w:val="21"/>
          <w:szCs w:val="21"/>
          <w:highlight w:val="none"/>
          <w:u w:val="single"/>
          <w:lang w:val="en-US" w:eastAsia="zh-CN"/>
        </w:rPr>
        <w:t xml:space="preserve">   </w:t>
      </w:r>
      <w:r>
        <w:rPr>
          <w:rFonts w:hint="eastAsia" w:ascii="宋体" w:hAnsi="宋体" w:eastAsia="宋体" w:cs="宋体"/>
          <w:i w:val="0"/>
          <w:iCs w:val="0"/>
          <w:color w:val="auto"/>
          <w:sz w:val="21"/>
          <w:szCs w:val="21"/>
          <w:highlight w:val="none"/>
        </w:rPr>
        <w:t>万元</w:t>
      </w:r>
      <w:r>
        <w:rPr>
          <w:rFonts w:hint="eastAsia" w:ascii="宋体" w:hAnsi="宋体" w:eastAsia="宋体" w:cs="宋体"/>
          <w:i w:val="0"/>
          <w:iCs w:val="0"/>
          <w:color w:val="auto"/>
          <w:sz w:val="21"/>
          <w:szCs w:val="21"/>
          <w:highlight w:val="none"/>
          <w:vertAlign w:val="superscript"/>
        </w:rPr>
        <w:t>1</w:t>
      </w:r>
      <w:r>
        <w:rPr>
          <w:rFonts w:hint="eastAsia" w:ascii="宋体" w:hAnsi="宋体" w:eastAsia="宋体" w:cs="宋体"/>
          <w:i w:val="0"/>
          <w:iCs w:val="0"/>
          <w:color w:val="auto"/>
          <w:sz w:val="21"/>
          <w:szCs w:val="21"/>
          <w:highlight w:val="none"/>
        </w:rPr>
        <w:t>，属于</w:t>
      </w:r>
      <w:r>
        <w:rPr>
          <w:rFonts w:hint="eastAsia" w:ascii="宋体" w:hAnsi="宋体" w:eastAsia="宋体" w:cs="宋体"/>
          <w:i w:val="0"/>
          <w:iCs w:val="0"/>
          <w:color w:val="auto"/>
          <w:sz w:val="21"/>
          <w:szCs w:val="21"/>
          <w:highlight w:val="none"/>
          <w:u w:val="single"/>
        </w:rPr>
        <w:t>（中型企业、小型企业、微型企业）</w:t>
      </w:r>
      <w:r>
        <w:rPr>
          <w:rFonts w:hint="eastAsia" w:ascii="宋体" w:hAnsi="宋体" w:eastAsia="宋体" w:cs="宋体"/>
          <w:i w:val="0"/>
          <w:iCs w:val="0"/>
          <w:color w:val="auto"/>
          <w:sz w:val="21"/>
          <w:szCs w:val="21"/>
          <w:highlight w:val="none"/>
        </w:rPr>
        <w:t>；</w:t>
      </w:r>
    </w:p>
    <w:p w14:paraId="30A9534E">
      <w:pPr>
        <w:keepNext w:val="0"/>
        <w:keepLines w:val="0"/>
        <w:pageBreakBefore w:val="0"/>
        <w:widowControl w:val="0"/>
        <w:kinsoku/>
        <w:wordWrap/>
        <w:overflowPunct/>
        <w:topLinePunct w:val="0"/>
        <w:autoSpaceDE/>
        <w:autoSpaceDN/>
        <w:bidi w:val="0"/>
        <w:adjustRightInd w:val="0"/>
        <w:snapToGrid w:val="0"/>
        <w:spacing w:line="420" w:lineRule="exact"/>
        <w:ind w:firstLine="424" w:firstLineChars="202"/>
        <w:jc w:val="both"/>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w:t>
      </w:r>
      <w:r>
        <w:rPr>
          <w:rFonts w:hint="eastAsia" w:ascii="宋体" w:hAnsi="宋体" w:eastAsia="宋体" w:cs="宋体"/>
          <w:i w:val="0"/>
          <w:iCs w:val="0"/>
          <w:color w:val="auto"/>
          <w:sz w:val="21"/>
          <w:szCs w:val="21"/>
          <w:highlight w:val="none"/>
          <w:u w:val="single"/>
        </w:rPr>
        <w:t>（标的名称）</w:t>
      </w:r>
      <w:r>
        <w:rPr>
          <w:rFonts w:hint="eastAsia" w:ascii="宋体" w:hAnsi="宋体" w:eastAsia="宋体" w:cs="宋体"/>
          <w:i w:val="0"/>
          <w:iCs w:val="0"/>
          <w:color w:val="auto"/>
          <w:sz w:val="21"/>
          <w:szCs w:val="21"/>
          <w:highlight w:val="none"/>
        </w:rPr>
        <w:t>，属于</w:t>
      </w:r>
      <w:r>
        <w:rPr>
          <w:rFonts w:hint="eastAsia" w:ascii="宋体" w:hAnsi="宋体" w:eastAsia="宋体" w:cs="宋体"/>
          <w:i w:val="0"/>
          <w:iCs w:val="0"/>
          <w:color w:val="auto"/>
          <w:sz w:val="21"/>
          <w:szCs w:val="21"/>
          <w:highlight w:val="none"/>
          <w:u w:val="single"/>
        </w:rPr>
        <w:t>（</w:t>
      </w:r>
      <w:r>
        <w:rPr>
          <w:rFonts w:hint="eastAsia" w:ascii="宋体" w:hAnsi="宋体" w:eastAsia="宋体" w:cs="宋体"/>
          <w:i w:val="0"/>
          <w:iCs w:val="0"/>
          <w:color w:val="auto"/>
          <w:sz w:val="21"/>
          <w:szCs w:val="21"/>
          <w:highlight w:val="none"/>
          <w:u w:val="single"/>
          <w:lang w:val="en-US" w:eastAsia="zh-CN"/>
        </w:rPr>
        <w:t>采购文件</w:t>
      </w:r>
      <w:r>
        <w:rPr>
          <w:rFonts w:hint="eastAsia" w:ascii="宋体" w:hAnsi="宋体" w:eastAsia="宋体" w:cs="宋体"/>
          <w:i w:val="0"/>
          <w:iCs w:val="0"/>
          <w:color w:val="auto"/>
          <w:sz w:val="21"/>
          <w:szCs w:val="21"/>
          <w:highlight w:val="none"/>
          <w:u w:val="single"/>
        </w:rPr>
        <w:t>中明确的所属行业）</w:t>
      </w:r>
      <w:r>
        <w:rPr>
          <w:rFonts w:hint="eastAsia" w:ascii="宋体" w:hAnsi="宋体" w:eastAsia="宋体" w:cs="宋体"/>
          <w:i w:val="0"/>
          <w:iCs w:val="0"/>
          <w:color w:val="auto"/>
          <w:sz w:val="21"/>
          <w:szCs w:val="21"/>
          <w:highlight w:val="none"/>
        </w:rPr>
        <w:t>；承建（承接）企业为</w:t>
      </w:r>
      <w:r>
        <w:rPr>
          <w:rFonts w:hint="eastAsia" w:ascii="宋体" w:hAnsi="宋体" w:eastAsia="宋体" w:cs="宋体"/>
          <w:i w:val="0"/>
          <w:iCs w:val="0"/>
          <w:color w:val="auto"/>
          <w:sz w:val="21"/>
          <w:szCs w:val="21"/>
          <w:highlight w:val="none"/>
          <w:u w:val="single"/>
        </w:rPr>
        <w:t>（企业名称）</w:t>
      </w:r>
      <w:r>
        <w:rPr>
          <w:rFonts w:hint="eastAsia" w:ascii="宋体" w:hAnsi="宋体" w:eastAsia="宋体" w:cs="宋体"/>
          <w:i w:val="0"/>
          <w:iCs w:val="0"/>
          <w:color w:val="auto"/>
          <w:sz w:val="21"/>
          <w:szCs w:val="21"/>
          <w:highlight w:val="none"/>
        </w:rPr>
        <w:t>，从业人员</w:t>
      </w:r>
      <w:r>
        <w:rPr>
          <w:rFonts w:hint="eastAsia" w:ascii="宋体" w:hAnsi="宋体" w:eastAsia="宋体" w:cs="宋体"/>
          <w:i w:val="0"/>
          <w:iCs w:val="0"/>
          <w:color w:val="auto"/>
          <w:sz w:val="21"/>
          <w:szCs w:val="21"/>
          <w:highlight w:val="none"/>
          <w:u w:val="single"/>
          <w:lang w:val="en-US" w:eastAsia="zh-CN"/>
        </w:rPr>
        <w:t xml:space="preserve">   </w:t>
      </w:r>
      <w:r>
        <w:rPr>
          <w:rFonts w:hint="eastAsia" w:ascii="宋体" w:hAnsi="宋体" w:eastAsia="宋体" w:cs="宋体"/>
          <w:i w:val="0"/>
          <w:iCs w:val="0"/>
          <w:color w:val="auto"/>
          <w:sz w:val="21"/>
          <w:szCs w:val="21"/>
          <w:highlight w:val="none"/>
        </w:rPr>
        <w:t>人，营业收入为</w:t>
      </w:r>
      <w:r>
        <w:rPr>
          <w:rFonts w:hint="eastAsia" w:ascii="宋体" w:hAnsi="宋体" w:eastAsia="宋体" w:cs="宋体"/>
          <w:i w:val="0"/>
          <w:iCs w:val="0"/>
          <w:color w:val="auto"/>
          <w:sz w:val="21"/>
          <w:szCs w:val="21"/>
          <w:highlight w:val="none"/>
          <w:u w:val="single"/>
          <w:lang w:val="en-US" w:eastAsia="zh-CN"/>
        </w:rPr>
        <w:t xml:space="preserve">   </w:t>
      </w:r>
      <w:r>
        <w:rPr>
          <w:rFonts w:hint="eastAsia" w:ascii="宋体" w:hAnsi="宋体" w:eastAsia="宋体" w:cs="宋体"/>
          <w:i w:val="0"/>
          <w:iCs w:val="0"/>
          <w:color w:val="auto"/>
          <w:sz w:val="21"/>
          <w:szCs w:val="21"/>
          <w:highlight w:val="none"/>
        </w:rPr>
        <w:t>万元，资产总额为</w:t>
      </w:r>
      <w:r>
        <w:rPr>
          <w:rFonts w:hint="eastAsia" w:ascii="宋体" w:hAnsi="宋体" w:eastAsia="宋体" w:cs="宋体"/>
          <w:i w:val="0"/>
          <w:iCs w:val="0"/>
          <w:color w:val="auto"/>
          <w:sz w:val="21"/>
          <w:szCs w:val="21"/>
          <w:highlight w:val="none"/>
          <w:u w:val="single"/>
          <w:lang w:val="en-US" w:eastAsia="zh-CN"/>
        </w:rPr>
        <w:t xml:space="preserve">   </w:t>
      </w:r>
      <w:r>
        <w:rPr>
          <w:rFonts w:hint="eastAsia" w:ascii="宋体" w:hAnsi="宋体" w:eastAsia="宋体" w:cs="宋体"/>
          <w:i w:val="0"/>
          <w:iCs w:val="0"/>
          <w:color w:val="auto"/>
          <w:sz w:val="21"/>
          <w:szCs w:val="21"/>
          <w:highlight w:val="none"/>
        </w:rPr>
        <w:t>万元</w:t>
      </w:r>
      <w:r>
        <w:rPr>
          <w:rFonts w:hint="eastAsia" w:ascii="宋体" w:hAnsi="宋体" w:eastAsia="宋体" w:cs="宋体"/>
          <w:i w:val="0"/>
          <w:iCs w:val="0"/>
          <w:color w:val="auto"/>
          <w:sz w:val="21"/>
          <w:szCs w:val="21"/>
          <w:highlight w:val="none"/>
          <w:vertAlign w:val="superscript"/>
        </w:rPr>
        <w:t>1</w:t>
      </w:r>
      <w:r>
        <w:rPr>
          <w:rFonts w:hint="eastAsia" w:ascii="宋体" w:hAnsi="宋体" w:eastAsia="宋体" w:cs="宋体"/>
          <w:i w:val="0"/>
          <w:iCs w:val="0"/>
          <w:color w:val="auto"/>
          <w:sz w:val="21"/>
          <w:szCs w:val="21"/>
          <w:highlight w:val="none"/>
        </w:rPr>
        <w:t>，属于</w:t>
      </w:r>
      <w:r>
        <w:rPr>
          <w:rFonts w:hint="eastAsia" w:ascii="宋体" w:hAnsi="宋体" w:eastAsia="宋体" w:cs="宋体"/>
          <w:i w:val="0"/>
          <w:iCs w:val="0"/>
          <w:color w:val="auto"/>
          <w:sz w:val="21"/>
          <w:szCs w:val="21"/>
          <w:highlight w:val="none"/>
          <w:u w:val="single"/>
        </w:rPr>
        <w:t>（中型企业、小型企业、微型企业）</w:t>
      </w:r>
      <w:r>
        <w:rPr>
          <w:rFonts w:hint="eastAsia" w:ascii="宋体" w:hAnsi="宋体" w:eastAsia="宋体" w:cs="宋体"/>
          <w:i w:val="0"/>
          <w:iCs w:val="0"/>
          <w:color w:val="auto"/>
          <w:sz w:val="21"/>
          <w:szCs w:val="21"/>
          <w:highlight w:val="none"/>
        </w:rPr>
        <w:t>；</w:t>
      </w:r>
    </w:p>
    <w:p w14:paraId="0A15271C">
      <w:pPr>
        <w:keepNext w:val="0"/>
        <w:keepLines w:val="0"/>
        <w:pageBreakBefore w:val="0"/>
        <w:widowControl w:val="0"/>
        <w:kinsoku/>
        <w:wordWrap/>
        <w:overflowPunct/>
        <w:topLinePunct w:val="0"/>
        <w:autoSpaceDE/>
        <w:autoSpaceDN/>
        <w:bidi w:val="0"/>
        <w:adjustRightInd w:val="0"/>
        <w:snapToGrid w:val="0"/>
        <w:spacing w:line="420" w:lineRule="exact"/>
        <w:ind w:firstLine="424" w:firstLineChars="202"/>
        <w:jc w:val="both"/>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w:t>
      </w:r>
    </w:p>
    <w:p w14:paraId="02315736">
      <w:pPr>
        <w:keepNext w:val="0"/>
        <w:keepLines w:val="0"/>
        <w:pageBreakBefore w:val="0"/>
        <w:widowControl w:val="0"/>
        <w:kinsoku/>
        <w:wordWrap/>
        <w:overflowPunct/>
        <w:topLinePunct w:val="0"/>
        <w:autoSpaceDE/>
        <w:autoSpaceDN/>
        <w:bidi w:val="0"/>
        <w:adjustRightInd w:val="0"/>
        <w:snapToGrid w:val="0"/>
        <w:spacing w:line="420" w:lineRule="exact"/>
        <w:ind w:firstLine="424" w:firstLineChars="202"/>
        <w:jc w:val="both"/>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以上企业，不属于大企业的分支机构，不存在控股股东为大企业的情形，也不存在与大企业的负责人为同一人的情形。</w:t>
      </w:r>
    </w:p>
    <w:p w14:paraId="3649FCEB">
      <w:pPr>
        <w:keepNext w:val="0"/>
        <w:keepLines w:val="0"/>
        <w:pageBreakBefore w:val="0"/>
        <w:widowControl w:val="0"/>
        <w:kinsoku/>
        <w:wordWrap/>
        <w:overflowPunct/>
        <w:topLinePunct w:val="0"/>
        <w:autoSpaceDE/>
        <w:autoSpaceDN/>
        <w:bidi w:val="0"/>
        <w:adjustRightInd w:val="0"/>
        <w:snapToGrid w:val="0"/>
        <w:spacing w:line="420" w:lineRule="exact"/>
        <w:ind w:firstLine="424" w:firstLineChars="202"/>
        <w:jc w:val="both"/>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本企业对上述声明内容的真实性负责。如有虚假，将依法承担相应责任。</w:t>
      </w:r>
    </w:p>
    <w:p w14:paraId="23042AC2">
      <w:pPr>
        <w:pStyle w:val="16"/>
        <w:keepNext w:val="0"/>
        <w:keepLines w:val="0"/>
        <w:pageBreakBefore w:val="0"/>
        <w:widowControl w:val="0"/>
        <w:kinsoku/>
        <w:wordWrap/>
        <w:overflowPunct/>
        <w:topLinePunct w:val="0"/>
        <w:autoSpaceDE/>
        <w:autoSpaceDN/>
        <w:bidi w:val="0"/>
        <w:spacing w:line="420" w:lineRule="exact"/>
        <w:jc w:val="both"/>
        <w:textAlignment w:val="auto"/>
        <w:rPr>
          <w:rFonts w:hint="eastAsia" w:ascii="宋体" w:hAnsi="宋体" w:eastAsia="宋体" w:cs="宋体"/>
          <w:i w:val="0"/>
          <w:iCs w:val="0"/>
          <w:color w:val="auto"/>
          <w:sz w:val="21"/>
          <w:szCs w:val="21"/>
          <w:highlight w:val="none"/>
        </w:rPr>
      </w:pPr>
    </w:p>
    <w:p w14:paraId="5BE12255">
      <w:pPr>
        <w:keepNext w:val="0"/>
        <w:keepLines w:val="0"/>
        <w:pageBreakBefore w:val="0"/>
        <w:widowControl w:val="0"/>
        <w:kinsoku/>
        <w:wordWrap/>
        <w:overflowPunct/>
        <w:topLinePunct w:val="0"/>
        <w:autoSpaceDE/>
        <w:autoSpaceDN/>
        <w:bidi w:val="0"/>
        <w:adjustRightInd w:val="0"/>
        <w:snapToGrid w:val="0"/>
        <w:spacing w:line="420" w:lineRule="exact"/>
        <w:ind w:firstLine="4830" w:firstLineChars="2300"/>
        <w:jc w:val="both"/>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企业名称（盖章）：</w:t>
      </w:r>
    </w:p>
    <w:p w14:paraId="0D869E02">
      <w:pPr>
        <w:keepNext w:val="0"/>
        <w:keepLines w:val="0"/>
        <w:pageBreakBefore w:val="0"/>
        <w:widowControl w:val="0"/>
        <w:kinsoku/>
        <w:wordWrap/>
        <w:overflowPunct/>
        <w:topLinePunct w:val="0"/>
        <w:autoSpaceDE/>
        <w:autoSpaceDN/>
        <w:bidi w:val="0"/>
        <w:adjustRightInd w:val="0"/>
        <w:snapToGrid w:val="0"/>
        <w:spacing w:line="420" w:lineRule="exact"/>
        <w:ind w:firstLine="4830" w:firstLineChars="2300"/>
        <w:jc w:val="both"/>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日</w:t>
      </w:r>
      <w:r>
        <w:rPr>
          <w:rFonts w:hint="eastAsia" w:ascii="宋体" w:hAnsi="宋体" w:eastAsia="宋体" w:cs="宋体"/>
          <w:i w:val="0"/>
          <w:iCs w:val="0"/>
          <w:color w:val="auto"/>
          <w:sz w:val="21"/>
          <w:szCs w:val="21"/>
          <w:highlight w:val="none"/>
          <w:lang w:val="en-US" w:eastAsia="zh-CN"/>
        </w:rPr>
        <w:t xml:space="preserve">            </w:t>
      </w:r>
      <w:r>
        <w:rPr>
          <w:rFonts w:hint="eastAsia" w:ascii="宋体" w:hAnsi="宋体" w:eastAsia="宋体" w:cs="宋体"/>
          <w:i w:val="0"/>
          <w:iCs w:val="0"/>
          <w:color w:val="auto"/>
          <w:sz w:val="21"/>
          <w:szCs w:val="21"/>
          <w:highlight w:val="none"/>
        </w:rPr>
        <w:t>期：</w:t>
      </w:r>
    </w:p>
    <w:p w14:paraId="3799F8F8">
      <w:pPr>
        <w:pStyle w:val="20"/>
        <w:keepLines w:val="0"/>
        <w:pageBreakBefore w:val="0"/>
        <w:widowControl w:val="0"/>
        <w:kinsoku/>
        <w:wordWrap/>
        <w:overflowPunct/>
        <w:topLinePunct w:val="0"/>
        <w:bidi w:val="0"/>
        <w:spacing w:line="420" w:lineRule="exact"/>
        <w:ind w:firstLine="422" w:firstLineChars="200"/>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备注：</w:t>
      </w:r>
      <w:r>
        <w:rPr>
          <w:rFonts w:hint="eastAsia" w:ascii="宋体" w:hAnsi="宋体" w:eastAsia="宋体" w:cs="宋体"/>
          <w:b/>
          <w:bCs/>
          <w:color w:val="auto"/>
          <w:sz w:val="21"/>
          <w:szCs w:val="21"/>
          <w:highlight w:val="none"/>
          <w:lang w:val="en-US" w:eastAsia="zh-CN"/>
        </w:rPr>
        <w:t xml:space="preserve"> </w:t>
      </w:r>
    </w:p>
    <w:p w14:paraId="39B0AF20">
      <w:pPr>
        <w:pStyle w:val="20"/>
        <w:keepLines w:val="0"/>
        <w:pageBreakBefore w:val="0"/>
        <w:widowControl w:val="0"/>
        <w:kinsoku/>
        <w:wordWrap/>
        <w:overflowPunct/>
        <w:topLinePunct w:val="0"/>
        <w:bidi w:val="0"/>
        <w:spacing w:line="42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填写前请认真阅读《工业和信息化部　国家统计局　国家发展和改革委员会　财政部关于印发中小企业划型标准规定的通知》(工信部联企业〔2011〕300号)和《财政部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工业和信息化部关于印发〈政府</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促进中小企业发展</w:t>
      </w:r>
      <w:r>
        <w:rPr>
          <w:rFonts w:hint="eastAsia" w:ascii="宋体" w:hAnsi="宋体" w:eastAsia="宋体" w:cs="宋体"/>
          <w:color w:val="auto"/>
          <w:sz w:val="21"/>
          <w:szCs w:val="21"/>
          <w:highlight w:val="none"/>
          <w:lang w:eastAsia="zh-CN"/>
        </w:rPr>
        <w:t>管理</w:t>
      </w:r>
      <w:r>
        <w:rPr>
          <w:rFonts w:hint="eastAsia" w:ascii="宋体" w:hAnsi="宋体" w:eastAsia="宋体" w:cs="宋体"/>
          <w:color w:val="auto"/>
          <w:sz w:val="21"/>
          <w:szCs w:val="21"/>
          <w:highlight w:val="none"/>
        </w:rPr>
        <w:t>办法〉的通知》(财库〔20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46</w:t>
      </w:r>
      <w:r>
        <w:rPr>
          <w:rFonts w:hint="eastAsia" w:ascii="宋体" w:hAnsi="宋体" w:eastAsia="宋体" w:cs="宋体"/>
          <w:color w:val="auto"/>
          <w:sz w:val="21"/>
          <w:szCs w:val="21"/>
          <w:highlight w:val="none"/>
        </w:rPr>
        <w:t>号)相关规定。</w:t>
      </w:r>
    </w:p>
    <w:p w14:paraId="73BF012C">
      <w:pPr>
        <w:pStyle w:val="20"/>
        <w:keepLines w:val="0"/>
        <w:pageBreakBefore w:val="0"/>
        <w:widowControl w:val="0"/>
        <w:kinsoku/>
        <w:wordWrap/>
        <w:overflowPunct/>
        <w:topLinePunct w:val="0"/>
        <w:bidi w:val="0"/>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从业人员、营业收入、资产总额填报上一年度数据，无上一年度数据的新成立企业可不填报。</w:t>
      </w:r>
    </w:p>
    <w:p w14:paraId="22653DE8">
      <w:pPr>
        <w:pStyle w:val="47"/>
        <w:keepLines w:val="0"/>
        <w:pageBreakBefore w:val="0"/>
        <w:widowControl w:val="0"/>
        <w:kinsoku/>
        <w:wordWrap/>
        <w:overflowPunct/>
        <w:topLinePunct w:val="0"/>
        <w:bidi w:val="0"/>
        <w:spacing w:line="420" w:lineRule="exact"/>
        <w:rPr>
          <w:rFonts w:hint="eastAsia" w:ascii="宋体" w:hAnsi="宋体" w:eastAsia="宋体" w:cs="宋体"/>
          <w:color w:val="auto"/>
          <w:highlight w:val="none"/>
          <w:lang w:val="en-US" w:eastAsia="zh-CN"/>
        </w:rPr>
      </w:pPr>
    </w:p>
    <w:p w14:paraId="08B35B87">
      <w:pPr>
        <w:pStyle w:val="47"/>
        <w:keepLines w:val="0"/>
        <w:pageBreakBefore w:val="0"/>
        <w:widowControl w:val="0"/>
        <w:kinsoku/>
        <w:wordWrap/>
        <w:overflowPunct/>
        <w:topLinePunct w:val="0"/>
        <w:bidi w:val="0"/>
        <w:spacing w:line="420" w:lineRule="exact"/>
        <w:rPr>
          <w:rFonts w:hint="eastAsia" w:ascii="宋体" w:hAnsi="宋体" w:eastAsia="宋体" w:cs="宋体"/>
          <w:color w:val="auto"/>
          <w:highlight w:val="none"/>
          <w:lang w:val="en-US" w:eastAsia="zh-CN"/>
        </w:rPr>
      </w:pPr>
    </w:p>
    <w:p w14:paraId="7ACCF4E6">
      <w:pPr>
        <w:pStyle w:val="47"/>
        <w:keepLines w:val="0"/>
        <w:pageBreakBefore w:val="0"/>
        <w:widowControl w:val="0"/>
        <w:kinsoku/>
        <w:wordWrap/>
        <w:overflowPunct/>
        <w:topLinePunct w:val="0"/>
        <w:bidi w:val="0"/>
        <w:spacing w:line="420" w:lineRule="exact"/>
        <w:rPr>
          <w:rFonts w:hint="eastAsia" w:ascii="宋体" w:hAnsi="宋体" w:eastAsia="宋体" w:cs="宋体"/>
          <w:color w:val="auto"/>
          <w:highlight w:val="none"/>
          <w:lang w:val="en-US" w:eastAsia="zh-CN"/>
        </w:rPr>
      </w:pPr>
    </w:p>
    <w:p w14:paraId="66C5F7EE">
      <w:pPr>
        <w:pStyle w:val="47"/>
        <w:keepLines w:val="0"/>
        <w:pageBreakBefore w:val="0"/>
        <w:widowControl w:val="0"/>
        <w:kinsoku/>
        <w:wordWrap/>
        <w:overflowPunct/>
        <w:topLinePunct w:val="0"/>
        <w:bidi w:val="0"/>
        <w:spacing w:line="420" w:lineRule="exact"/>
        <w:rPr>
          <w:rFonts w:hint="eastAsia" w:ascii="宋体" w:hAnsi="宋体" w:eastAsia="宋体" w:cs="宋体"/>
          <w:color w:val="auto"/>
          <w:highlight w:val="none"/>
          <w:lang w:val="en-US" w:eastAsia="zh-CN"/>
        </w:rPr>
      </w:pPr>
    </w:p>
    <w:p w14:paraId="0FFADCE4">
      <w:pPr>
        <w:pStyle w:val="47"/>
        <w:keepLines w:val="0"/>
        <w:pageBreakBefore w:val="0"/>
        <w:widowControl w:val="0"/>
        <w:kinsoku/>
        <w:wordWrap/>
        <w:overflowPunct/>
        <w:topLinePunct w:val="0"/>
        <w:bidi w:val="0"/>
        <w:spacing w:line="420" w:lineRule="exact"/>
        <w:rPr>
          <w:rFonts w:hint="eastAsia" w:ascii="宋体" w:hAnsi="宋体" w:eastAsia="宋体" w:cs="宋体"/>
          <w:color w:val="auto"/>
          <w:highlight w:val="none"/>
          <w:lang w:val="en-US" w:eastAsia="zh-CN"/>
        </w:rPr>
      </w:pPr>
    </w:p>
    <w:p w14:paraId="4B5ACD89">
      <w:pPr>
        <w:pStyle w:val="47"/>
        <w:keepLines w:val="0"/>
        <w:pageBreakBefore w:val="0"/>
        <w:widowControl w:val="0"/>
        <w:kinsoku/>
        <w:wordWrap/>
        <w:overflowPunct/>
        <w:topLinePunct w:val="0"/>
        <w:bidi w:val="0"/>
        <w:spacing w:line="420" w:lineRule="exact"/>
        <w:rPr>
          <w:rFonts w:hint="eastAsia" w:ascii="宋体" w:hAnsi="宋体" w:eastAsia="宋体" w:cs="宋体"/>
          <w:color w:val="auto"/>
          <w:highlight w:val="none"/>
          <w:lang w:val="en-US" w:eastAsia="zh-CN"/>
        </w:rPr>
      </w:pPr>
    </w:p>
    <w:p w14:paraId="039E71E1">
      <w:pPr>
        <w:pStyle w:val="47"/>
        <w:keepLines w:val="0"/>
        <w:pageBreakBefore w:val="0"/>
        <w:widowControl w:val="0"/>
        <w:kinsoku/>
        <w:wordWrap/>
        <w:overflowPunct/>
        <w:topLinePunct w:val="0"/>
        <w:bidi w:val="0"/>
        <w:spacing w:line="420" w:lineRule="exact"/>
        <w:rPr>
          <w:rFonts w:hint="eastAsia" w:ascii="宋体" w:hAnsi="宋体" w:eastAsia="宋体" w:cs="宋体"/>
          <w:color w:val="auto"/>
          <w:highlight w:val="none"/>
          <w:lang w:val="en-US" w:eastAsia="zh-CN"/>
        </w:rPr>
      </w:pPr>
    </w:p>
    <w:p w14:paraId="093D7B62">
      <w:pPr>
        <w:pStyle w:val="47"/>
        <w:keepLines w:val="0"/>
        <w:pageBreakBefore w:val="0"/>
        <w:widowControl w:val="0"/>
        <w:kinsoku/>
        <w:wordWrap/>
        <w:overflowPunct/>
        <w:topLinePunct w:val="0"/>
        <w:bidi w:val="0"/>
        <w:spacing w:line="420" w:lineRule="exact"/>
        <w:rPr>
          <w:rFonts w:hint="eastAsia" w:ascii="宋体" w:hAnsi="宋体" w:eastAsia="宋体" w:cs="宋体"/>
          <w:color w:val="auto"/>
          <w:highlight w:val="none"/>
          <w:lang w:val="en-US" w:eastAsia="zh-CN"/>
        </w:rPr>
      </w:pPr>
    </w:p>
    <w:p w14:paraId="0DE92AC6">
      <w:pPr>
        <w:keepLines w:val="0"/>
        <w:pageBreakBefore w:val="0"/>
        <w:widowControl w:val="0"/>
        <w:kinsoku/>
        <w:wordWrap/>
        <w:overflowPunct/>
        <w:topLinePunct w:val="0"/>
        <w:bidi w:val="0"/>
        <w:spacing w:line="420" w:lineRule="exact"/>
        <w:ind w:firstLine="482"/>
        <w:rPr>
          <w:rFonts w:hint="eastAsia" w:ascii="宋体" w:hAnsi="宋体" w:eastAsia="宋体" w:cs="宋体"/>
          <w:b/>
          <w:color w:val="auto"/>
          <w:sz w:val="21"/>
          <w:szCs w:val="16"/>
        </w:rPr>
      </w:pPr>
      <w:r>
        <w:rPr>
          <w:rFonts w:hint="eastAsia" w:ascii="宋体" w:hAnsi="宋体" w:eastAsia="宋体" w:cs="宋体"/>
          <w:b/>
          <w:color w:val="auto"/>
          <w:sz w:val="21"/>
          <w:szCs w:val="16"/>
        </w:rPr>
        <w:t>附：《中小企业划型标准规定》各行业划型标准</w:t>
      </w:r>
    </w:p>
    <w:p w14:paraId="5FADA36B">
      <w:pPr>
        <w:pStyle w:val="20"/>
        <w:keepLines w:val="0"/>
        <w:pageBreakBefore w:val="0"/>
        <w:widowControl w:val="0"/>
        <w:kinsoku/>
        <w:wordWrap/>
        <w:overflowPunct/>
        <w:topLinePunct w:val="0"/>
        <w:bidi w:val="0"/>
        <w:spacing w:line="42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（一）农、林、牧、渔业。营业收入20000万元以下的为中小微型企业。其中，营业收入500万元及以上的为中型企业，营业收入50万元及以上的为小型企业，营业收入50万元以下的为微型企业。</w:t>
      </w:r>
    </w:p>
    <w:p w14:paraId="45589240">
      <w:pPr>
        <w:pStyle w:val="20"/>
        <w:keepLines w:val="0"/>
        <w:pageBreakBefore w:val="0"/>
        <w:widowControl w:val="0"/>
        <w:kinsoku/>
        <w:wordWrap/>
        <w:overflowPunct/>
        <w:topLinePunct w:val="0"/>
        <w:bidi w:val="0"/>
        <w:spacing w:line="42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16002BA">
      <w:pPr>
        <w:pStyle w:val="20"/>
        <w:keepLines w:val="0"/>
        <w:pageBreakBefore w:val="0"/>
        <w:widowControl w:val="0"/>
        <w:kinsoku/>
        <w:wordWrap/>
        <w:overflowPunct/>
        <w:topLinePunct w:val="0"/>
        <w:bidi w:val="0"/>
        <w:spacing w:line="42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A8FF656">
      <w:pPr>
        <w:pStyle w:val="20"/>
        <w:keepLines w:val="0"/>
        <w:pageBreakBefore w:val="0"/>
        <w:widowControl w:val="0"/>
        <w:kinsoku/>
        <w:wordWrap/>
        <w:overflowPunct/>
        <w:topLinePunct w:val="0"/>
        <w:bidi w:val="0"/>
        <w:spacing w:line="42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ECE46E4">
      <w:pPr>
        <w:pStyle w:val="20"/>
        <w:keepLines w:val="0"/>
        <w:pageBreakBefore w:val="0"/>
        <w:widowControl w:val="0"/>
        <w:kinsoku/>
        <w:wordWrap/>
        <w:overflowPunct/>
        <w:topLinePunct w:val="0"/>
        <w:bidi w:val="0"/>
        <w:spacing w:line="42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79CABF4">
      <w:pPr>
        <w:pStyle w:val="20"/>
        <w:keepLines w:val="0"/>
        <w:pageBreakBefore w:val="0"/>
        <w:widowControl w:val="0"/>
        <w:kinsoku/>
        <w:wordWrap/>
        <w:overflowPunct/>
        <w:topLinePunct w:val="0"/>
        <w:bidi w:val="0"/>
        <w:spacing w:line="42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3B9B3AC">
      <w:pPr>
        <w:pStyle w:val="20"/>
        <w:keepLines w:val="0"/>
        <w:pageBreakBefore w:val="0"/>
        <w:widowControl w:val="0"/>
        <w:kinsoku/>
        <w:wordWrap/>
        <w:overflowPunct/>
        <w:topLinePunct w:val="0"/>
        <w:bidi w:val="0"/>
        <w:spacing w:line="42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6CE2669">
      <w:pPr>
        <w:pStyle w:val="20"/>
        <w:keepLines w:val="0"/>
        <w:pageBreakBefore w:val="0"/>
        <w:widowControl w:val="0"/>
        <w:kinsoku/>
        <w:wordWrap/>
        <w:overflowPunct/>
        <w:topLinePunct w:val="0"/>
        <w:bidi w:val="0"/>
        <w:spacing w:line="42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62D8FC3">
      <w:pPr>
        <w:pStyle w:val="20"/>
        <w:keepLines w:val="0"/>
        <w:pageBreakBefore w:val="0"/>
        <w:widowControl w:val="0"/>
        <w:kinsoku/>
        <w:wordWrap/>
        <w:overflowPunct/>
        <w:topLinePunct w:val="0"/>
        <w:bidi w:val="0"/>
        <w:spacing w:line="42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DC55091">
      <w:pPr>
        <w:pStyle w:val="20"/>
        <w:keepLines w:val="0"/>
        <w:pageBreakBefore w:val="0"/>
        <w:widowControl w:val="0"/>
        <w:kinsoku/>
        <w:wordWrap/>
        <w:overflowPunct/>
        <w:topLinePunct w:val="0"/>
        <w:bidi w:val="0"/>
        <w:spacing w:line="42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95E5458">
      <w:pPr>
        <w:pStyle w:val="20"/>
        <w:keepLines w:val="0"/>
        <w:pageBreakBefore w:val="0"/>
        <w:widowControl w:val="0"/>
        <w:kinsoku/>
        <w:wordWrap/>
        <w:overflowPunct/>
        <w:topLinePunct w:val="0"/>
        <w:bidi w:val="0"/>
        <w:spacing w:line="42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642525D">
      <w:pPr>
        <w:pStyle w:val="20"/>
        <w:keepLines w:val="0"/>
        <w:pageBreakBefore w:val="0"/>
        <w:widowControl w:val="0"/>
        <w:kinsoku/>
        <w:wordWrap/>
        <w:overflowPunct/>
        <w:topLinePunct w:val="0"/>
        <w:bidi w:val="0"/>
        <w:spacing w:line="42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0508F22">
      <w:pPr>
        <w:pStyle w:val="20"/>
        <w:keepLines w:val="0"/>
        <w:pageBreakBefore w:val="0"/>
        <w:widowControl w:val="0"/>
        <w:kinsoku/>
        <w:wordWrap/>
        <w:overflowPunct/>
        <w:topLinePunct w:val="0"/>
        <w:bidi w:val="0"/>
        <w:spacing w:line="42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C25D287">
      <w:pPr>
        <w:pStyle w:val="20"/>
        <w:keepLines w:val="0"/>
        <w:pageBreakBefore w:val="0"/>
        <w:widowControl w:val="0"/>
        <w:kinsoku/>
        <w:wordWrap/>
        <w:overflowPunct/>
        <w:topLinePunct w:val="0"/>
        <w:bidi w:val="0"/>
        <w:spacing w:line="42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C3C08EF">
      <w:pPr>
        <w:pStyle w:val="20"/>
        <w:keepLines w:val="0"/>
        <w:pageBreakBefore w:val="0"/>
        <w:widowControl w:val="0"/>
        <w:kinsoku/>
        <w:wordWrap/>
        <w:overflowPunct/>
        <w:topLinePunct w:val="0"/>
        <w:bidi w:val="0"/>
        <w:spacing w:line="42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545885E">
      <w:pPr>
        <w:pStyle w:val="20"/>
        <w:keepLines w:val="0"/>
        <w:pageBreakBefore w:val="0"/>
        <w:widowControl w:val="0"/>
        <w:kinsoku/>
        <w:wordWrap/>
        <w:overflowPunct/>
        <w:topLinePunct w:val="0"/>
        <w:bidi w:val="0"/>
        <w:spacing w:line="42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（十六）其他未列明行业。从业人员300人以下的为中小微型企业。其中，从业人员100人及以上的为中型企业；从业人员10人及以上的为小型企业；从业人员10人以下的为微型企业。</w:t>
      </w:r>
    </w:p>
    <w:p w14:paraId="46B662E5">
      <w:pPr>
        <w:pStyle w:val="47"/>
        <w:keepLines w:val="0"/>
        <w:pageBreakBefore w:val="0"/>
        <w:widowControl w:val="0"/>
        <w:kinsoku/>
        <w:wordWrap/>
        <w:overflowPunct/>
        <w:topLinePunct w:val="0"/>
        <w:bidi w:val="0"/>
        <w:spacing w:line="420" w:lineRule="exact"/>
        <w:rPr>
          <w:rFonts w:hint="eastAsia" w:ascii="宋体" w:hAnsi="宋体" w:eastAsia="宋体" w:cs="宋体"/>
          <w:color w:val="auto"/>
          <w:highlight w:val="none"/>
          <w:lang w:val="en-US" w:eastAsia="zh-CN"/>
        </w:rPr>
      </w:pPr>
    </w:p>
    <w:p w14:paraId="45D943F8">
      <w:pPr>
        <w:pStyle w:val="47"/>
        <w:rPr>
          <w:rFonts w:hint="eastAsia" w:ascii="宋体" w:hAnsi="宋体" w:eastAsia="宋体" w:cs="宋体"/>
          <w:color w:val="auto"/>
          <w:highlight w:val="none"/>
          <w:lang w:val="en-US" w:eastAsia="zh-CN"/>
        </w:rPr>
      </w:pPr>
    </w:p>
    <w:p w14:paraId="33D646FE">
      <w:pPr>
        <w:pStyle w:val="47"/>
        <w:rPr>
          <w:rFonts w:hint="eastAsia" w:ascii="宋体" w:hAnsi="宋体" w:eastAsia="宋体" w:cs="宋体"/>
          <w:color w:val="auto"/>
          <w:highlight w:val="none"/>
          <w:lang w:val="en-US" w:eastAsia="zh-CN"/>
        </w:rPr>
      </w:pPr>
    </w:p>
    <w:p w14:paraId="3ADA8C77">
      <w:pPr>
        <w:pStyle w:val="47"/>
        <w:rPr>
          <w:rFonts w:hint="eastAsia" w:ascii="宋体" w:hAnsi="宋体" w:eastAsia="宋体" w:cs="宋体"/>
          <w:color w:val="auto"/>
          <w:highlight w:val="none"/>
          <w:lang w:val="en-US" w:eastAsia="zh-CN"/>
        </w:rPr>
      </w:pPr>
    </w:p>
    <w:p w14:paraId="2349D030">
      <w:pPr>
        <w:pStyle w:val="47"/>
        <w:rPr>
          <w:rFonts w:hint="eastAsia" w:ascii="宋体" w:hAnsi="宋体" w:eastAsia="宋体" w:cs="宋体"/>
          <w:color w:val="auto"/>
          <w:highlight w:val="none"/>
          <w:lang w:val="en-US" w:eastAsia="zh-CN"/>
        </w:rPr>
      </w:pPr>
    </w:p>
    <w:p w14:paraId="64C584A7">
      <w:pPr>
        <w:pStyle w:val="47"/>
        <w:rPr>
          <w:rFonts w:hint="eastAsia" w:ascii="宋体" w:hAnsi="宋体" w:eastAsia="宋体" w:cs="宋体"/>
          <w:color w:val="auto"/>
          <w:highlight w:val="none"/>
          <w:lang w:val="en-US" w:eastAsia="zh-CN"/>
        </w:rPr>
      </w:pPr>
    </w:p>
    <w:p w14:paraId="44888EA2">
      <w:pPr>
        <w:pStyle w:val="47"/>
        <w:rPr>
          <w:rFonts w:hint="eastAsia" w:ascii="宋体" w:hAnsi="宋体" w:eastAsia="宋体" w:cs="宋体"/>
          <w:color w:val="auto"/>
          <w:highlight w:val="none"/>
          <w:lang w:val="en-US" w:eastAsia="zh-CN"/>
        </w:rPr>
      </w:pPr>
    </w:p>
    <w:p w14:paraId="02374F61">
      <w:pPr>
        <w:pStyle w:val="47"/>
        <w:rPr>
          <w:rFonts w:hint="eastAsia" w:ascii="宋体" w:hAnsi="宋体" w:eastAsia="宋体" w:cs="宋体"/>
          <w:color w:val="auto"/>
          <w:highlight w:val="none"/>
          <w:lang w:val="en-US" w:eastAsia="zh-CN"/>
        </w:rPr>
      </w:pPr>
    </w:p>
    <w:p w14:paraId="59E663AF">
      <w:pPr>
        <w:pStyle w:val="137"/>
        <w:keepLines w:val="0"/>
        <w:pageBreakBefore w:val="0"/>
        <w:kinsoku/>
        <w:wordWrap/>
        <w:overflowPunct/>
        <w:topLinePunct w:val="0"/>
        <w:bidi w:val="0"/>
        <w:spacing w:before="0"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val="zh-CN" w:eastAsia="zh-CN"/>
        </w:rPr>
        <w:t>监狱企业证明文件（若有）</w:t>
      </w:r>
    </w:p>
    <w:p w14:paraId="35D1865B">
      <w:pPr>
        <w:keepLines w:val="0"/>
        <w:kinsoku/>
        <w:bidi w:val="0"/>
        <w:spacing w:line="4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6E3FE15">
      <w:pPr>
        <w:keepLines w:val="0"/>
        <w:kinsoku/>
        <w:bidi w:val="0"/>
        <w:spacing w:line="4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监狱企业参加政府采购活动时，应当提供由省级以上监狱管理局、戒毒管理局（含新疆生产建设兵团）出具的属于监狱企业的证明文件。</w:t>
      </w:r>
    </w:p>
    <w:p w14:paraId="6C936D3D">
      <w:pPr>
        <w:pStyle w:val="16"/>
        <w:keepLines w:val="0"/>
        <w:kinsoku/>
        <w:bidi w:val="0"/>
        <w:spacing w:line="420" w:lineRule="exact"/>
        <w:rPr>
          <w:rFonts w:hint="eastAsia" w:ascii="宋体" w:hAnsi="宋体" w:eastAsia="宋体" w:cs="宋体"/>
          <w:color w:val="auto"/>
          <w:sz w:val="21"/>
          <w:szCs w:val="21"/>
          <w:highlight w:val="none"/>
        </w:rPr>
      </w:pPr>
    </w:p>
    <w:p w14:paraId="719ACCB8">
      <w:pPr>
        <w:pStyle w:val="137"/>
        <w:keepLines w:val="0"/>
        <w:pageBreakBefore w:val="0"/>
        <w:kinsoku/>
        <w:wordWrap/>
        <w:overflowPunct/>
        <w:topLinePunct w:val="0"/>
        <w:bidi w:val="0"/>
        <w:spacing w:before="0" w:after="0" w:line="360" w:lineRule="auto"/>
        <w:jc w:val="center"/>
        <w:textAlignment w:val="auto"/>
        <w:rPr>
          <w:rFonts w:hint="eastAsia" w:ascii="宋体" w:hAnsi="宋体" w:eastAsia="宋体" w:cs="宋体"/>
          <w:b/>
          <w:bCs/>
          <w:color w:val="auto"/>
          <w:sz w:val="21"/>
          <w:szCs w:val="21"/>
          <w:highlight w:val="none"/>
          <w:lang w:val="en-US" w:eastAsia="zh-CN"/>
        </w:rPr>
      </w:pPr>
    </w:p>
    <w:p w14:paraId="5BB3E68B">
      <w:pPr>
        <w:pStyle w:val="137"/>
        <w:keepLines w:val="0"/>
        <w:pageBreakBefore w:val="0"/>
        <w:kinsoku/>
        <w:wordWrap/>
        <w:overflowPunct/>
        <w:topLinePunct w:val="0"/>
        <w:bidi w:val="0"/>
        <w:spacing w:before="0" w:after="0" w:line="360" w:lineRule="auto"/>
        <w:jc w:val="center"/>
        <w:textAlignment w:val="auto"/>
        <w:rPr>
          <w:rFonts w:hint="eastAsia" w:ascii="宋体" w:hAnsi="宋体" w:eastAsia="宋体" w:cs="宋体"/>
          <w:b/>
          <w:bCs/>
          <w:color w:val="auto"/>
          <w:sz w:val="21"/>
          <w:szCs w:val="21"/>
          <w:highlight w:val="none"/>
          <w:lang w:val="zh-CN" w:eastAsia="zh-CN"/>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lang w:val="zh-CN" w:eastAsia="zh-CN"/>
        </w:rPr>
        <w:t>残疾人福利性单位证明文件（若有）</w:t>
      </w:r>
    </w:p>
    <w:p w14:paraId="3F7B6D0C">
      <w:pPr>
        <w:pStyle w:val="16"/>
        <w:keepLines w:val="0"/>
        <w:shd w:val="clear"/>
        <w:kinsoku/>
        <w:bidi w:val="0"/>
        <w:spacing w:line="420" w:lineRule="exact"/>
        <w:rPr>
          <w:rFonts w:hint="eastAsia" w:ascii="宋体" w:hAnsi="宋体" w:eastAsia="宋体" w:cs="宋体"/>
          <w:color w:val="auto"/>
          <w:sz w:val="21"/>
          <w:szCs w:val="21"/>
          <w:highlight w:val="none"/>
          <w:lang w:val="zh-CN"/>
        </w:rPr>
      </w:pPr>
    </w:p>
    <w:p w14:paraId="7EDEFF41">
      <w:pPr>
        <w:keepLines w:val="0"/>
        <w:widowControl/>
        <w:shd w:val="clear" w:color="auto"/>
        <w:kinsoku/>
        <w:bidi w:val="0"/>
        <w:spacing w:line="420" w:lineRule="exact"/>
        <w:jc w:val="left"/>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致</w:t>
      </w:r>
      <w:r>
        <w:rPr>
          <w:rFonts w:hint="eastAsia" w:ascii="宋体" w:hAnsi="宋体" w:cs="宋体"/>
          <w:b/>
          <w:color w:val="auto"/>
          <w:sz w:val="21"/>
          <w:szCs w:val="21"/>
          <w:highlight w:val="none"/>
          <w:lang w:eastAsia="zh-CN"/>
        </w:rPr>
        <w:t>泾阳县政府采购中心</w:t>
      </w:r>
      <w:r>
        <w:rPr>
          <w:rFonts w:hint="eastAsia" w:ascii="宋体" w:hAnsi="宋体" w:eastAsia="宋体" w:cs="宋体"/>
          <w:b/>
          <w:color w:val="auto"/>
          <w:sz w:val="21"/>
          <w:szCs w:val="21"/>
          <w:highlight w:val="none"/>
        </w:rPr>
        <w:t>：</w:t>
      </w:r>
    </w:p>
    <w:p w14:paraId="0D99342C">
      <w:pPr>
        <w:keepLines w:val="0"/>
        <w:kinsoku/>
        <w:bidi w:val="0"/>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56EEF9F">
      <w:pPr>
        <w:keepLines w:val="0"/>
        <w:kinsoku/>
        <w:bidi w:val="0"/>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本单位对上述声明的真实性负责。如有虚假，将依法承担相应责任。</w:t>
      </w:r>
    </w:p>
    <w:p w14:paraId="0AFCA062">
      <w:pPr>
        <w:keepLines w:val="0"/>
        <w:kinsoku/>
        <w:bidi w:val="0"/>
        <w:spacing w:line="420" w:lineRule="exact"/>
        <w:ind w:firstLine="420" w:firstLineChars="200"/>
        <w:rPr>
          <w:rFonts w:hint="eastAsia" w:ascii="宋体" w:hAnsi="宋体" w:eastAsia="宋体" w:cs="宋体"/>
          <w:color w:val="auto"/>
          <w:sz w:val="21"/>
          <w:szCs w:val="21"/>
          <w:highlight w:val="none"/>
        </w:rPr>
      </w:pPr>
    </w:p>
    <w:p w14:paraId="0A6F950B">
      <w:pPr>
        <w:keepLines w:val="0"/>
        <w:kinsoku/>
        <w:bidi w:val="0"/>
        <w:spacing w:line="420" w:lineRule="exact"/>
        <w:ind w:firstLine="420" w:firstLineChars="200"/>
        <w:rPr>
          <w:rFonts w:hint="eastAsia" w:ascii="宋体" w:hAnsi="宋体" w:eastAsia="宋体" w:cs="宋体"/>
          <w:color w:val="auto"/>
          <w:sz w:val="21"/>
          <w:szCs w:val="21"/>
          <w:highlight w:val="none"/>
        </w:rPr>
      </w:pPr>
    </w:p>
    <w:p w14:paraId="6A1B3906">
      <w:pPr>
        <w:keepLines w:val="0"/>
        <w:tabs>
          <w:tab w:val="left" w:pos="4860"/>
        </w:tabs>
        <w:kinsoku/>
        <w:bidi w:val="0"/>
        <w:spacing w:line="420" w:lineRule="exact"/>
        <w:ind w:right="1560"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单位名称（盖章）：</w:t>
      </w:r>
    </w:p>
    <w:p w14:paraId="5EA09E54">
      <w:pPr>
        <w:keepLines w:val="0"/>
        <w:tabs>
          <w:tab w:val="left" w:pos="4860"/>
        </w:tabs>
        <w:kinsoku/>
        <w:bidi w:val="0"/>
        <w:spacing w:line="420" w:lineRule="exact"/>
        <w:ind w:right="1560"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日期：</w:t>
      </w:r>
    </w:p>
    <w:p w14:paraId="495FCC25">
      <w:pPr>
        <w:keepLines w:val="0"/>
        <w:tabs>
          <w:tab w:val="left" w:pos="4860"/>
        </w:tabs>
        <w:kinsoku/>
        <w:bidi w:val="0"/>
        <w:spacing w:line="420" w:lineRule="exact"/>
        <w:ind w:right="1560" w:firstLine="420" w:firstLineChars="200"/>
        <w:jc w:val="center"/>
        <w:rPr>
          <w:rFonts w:hint="eastAsia" w:ascii="宋体" w:hAnsi="宋体" w:eastAsia="宋体" w:cs="宋体"/>
          <w:color w:val="auto"/>
          <w:sz w:val="21"/>
          <w:szCs w:val="21"/>
          <w:highlight w:val="none"/>
        </w:rPr>
      </w:pPr>
    </w:p>
    <w:p w14:paraId="0E1EEC9F">
      <w:pPr>
        <w:keepLines w:val="0"/>
        <w:kinsoku/>
        <w:bidi w:val="0"/>
        <w:spacing w:line="42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注：残疾人福利性单位的应填写。</w:t>
      </w:r>
    </w:p>
    <w:p w14:paraId="1F4FFD8E">
      <w:pPr>
        <w:pStyle w:val="47"/>
        <w:rPr>
          <w:rFonts w:hint="eastAsia" w:ascii="宋体" w:hAnsi="宋体" w:eastAsia="宋体" w:cs="宋体"/>
          <w:color w:val="auto"/>
          <w:sz w:val="21"/>
          <w:szCs w:val="21"/>
          <w:highlight w:val="none"/>
          <w:lang w:val="en-US" w:eastAsia="zh-CN"/>
        </w:rPr>
      </w:pPr>
    </w:p>
    <w:p w14:paraId="62F3E217">
      <w:pPr>
        <w:pStyle w:val="47"/>
        <w:rPr>
          <w:rFonts w:hint="eastAsia" w:ascii="宋体" w:hAnsi="宋体" w:eastAsia="宋体" w:cs="宋体"/>
          <w:color w:val="auto"/>
          <w:highlight w:val="none"/>
          <w:lang w:val="en-US" w:eastAsia="zh-CN"/>
        </w:rPr>
      </w:pPr>
    </w:p>
    <w:p w14:paraId="47CD928E">
      <w:pPr>
        <w:pStyle w:val="47"/>
        <w:rPr>
          <w:rFonts w:hint="eastAsia" w:ascii="宋体" w:hAnsi="宋体" w:eastAsia="宋体" w:cs="宋体"/>
          <w:color w:val="auto"/>
          <w:highlight w:val="none"/>
          <w:lang w:val="en-US" w:eastAsia="zh-CN"/>
        </w:rPr>
      </w:pPr>
    </w:p>
    <w:p w14:paraId="66A62052">
      <w:pPr>
        <w:pStyle w:val="47"/>
        <w:rPr>
          <w:rFonts w:hint="eastAsia" w:ascii="宋体" w:hAnsi="宋体" w:eastAsia="宋体" w:cs="宋体"/>
          <w:color w:val="auto"/>
          <w:highlight w:val="none"/>
          <w:lang w:val="en-US" w:eastAsia="zh-CN"/>
        </w:rPr>
      </w:pPr>
    </w:p>
    <w:p w14:paraId="75270DBC">
      <w:pPr>
        <w:pStyle w:val="47"/>
        <w:rPr>
          <w:rFonts w:hint="eastAsia" w:ascii="宋体" w:hAnsi="宋体" w:eastAsia="宋体" w:cs="宋体"/>
          <w:color w:val="auto"/>
          <w:highlight w:val="none"/>
          <w:lang w:val="en-US" w:eastAsia="zh-CN"/>
        </w:rPr>
      </w:pPr>
    </w:p>
    <w:p w14:paraId="2EEABB24">
      <w:pPr>
        <w:pStyle w:val="47"/>
        <w:rPr>
          <w:rFonts w:hint="eastAsia" w:ascii="宋体" w:hAnsi="宋体" w:eastAsia="宋体" w:cs="宋体"/>
          <w:color w:val="auto"/>
          <w:highlight w:val="none"/>
          <w:lang w:val="en-US" w:eastAsia="zh-CN"/>
        </w:rPr>
      </w:pPr>
    </w:p>
    <w:p w14:paraId="2F4E9AD5">
      <w:pPr>
        <w:keepNext w:val="0"/>
        <w:keepLines w:val="0"/>
        <w:pageBreakBefore w:val="0"/>
        <w:widowControl w:val="0"/>
        <w:kinsoku/>
        <w:wordWrap/>
        <w:overflowPunct/>
        <w:topLinePunct w:val="0"/>
        <w:autoSpaceDE w:val="0"/>
        <w:autoSpaceDN w:val="0"/>
        <w:bidi w:val="0"/>
        <w:adjustRightInd w:val="0"/>
        <w:snapToGrid w:val="0"/>
        <w:spacing w:line="420" w:lineRule="exact"/>
        <w:ind w:firstLine="0" w:firstLineChars="0"/>
        <w:jc w:val="both"/>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4、特定资格条件：</w:t>
      </w:r>
    </w:p>
    <w:p w14:paraId="1059F5A3">
      <w:pPr>
        <w:keepNext w:val="0"/>
        <w:keepLines w:val="0"/>
        <w:pageBreakBefore w:val="0"/>
        <w:widowControl w:val="0"/>
        <w:tabs>
          <w:tab w:val="left" w:pos="1710"/>
        </w:tabs>
        <w:kinsoku/>
        <w:wordWrap/>
        <w:overflowPunct/>
        <w:topLinePunct w:val="0"/>
        <w:autoSpaceDE w:val="0"/>
        <w:autoSpaceDN w:val="0"/>
        <w:bidi w:val="0"/>
        <w:adjustRightInd w:val="0"/>
        <w:snapToGrid/>
        <w:spacing w:line="4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应授权合法的人员参加磋商全过程，其中法定代表人直接参加磋商的，须出具法定代表人身份证明及法人身份证原件及复印件；法定代表人授权代表参加磋商的，须出具法定代表人授权书及授权代表身份证原件及复印件；</w:t>
      </w:r>
    </w:p>
    <w:p w14:paraId="2648F93C">
      <w:pPr>
        <w:keepNext w:val="0"/>
        <w:keepLines w:val="0"/>
        <w:pageBreakBefore w:val="0"/>
        <w:widowControl w:val="0"/>
        <w:tabs>
          <w:tab w:val="left" w:pos="1710"/>
        </w:tabs>
        <w:kinsoku/>
        <w:wordWrap/>
        <w:overflowPunct/>
        <w:topLinePunct w:val="0"/>
        <w:autoSpaceDE w:val="0"/>
        <w:autoSpaceDN w:val="0"/>
        <w:bidi w:val="0"/>
        <w:adjustRightInd w:val="0"/>
        <w:snapToGrid/>
        <w:spacing w:line="420" w:lineRule="exact"/>
        <w:textAlignment w:val="auto"/>
        <w:rPr>
          <w:rFonts w:hint="eastAsia" w:ascii="宋体" w:hAnsi="宋体" w:eastAsia="宋体" w:cs="宋体"/>
          <w:color w:val="auto"/>
          <w:sz w:val="21"/>
          <w:szCs w:val="21"/>
          <w:highlight w:val="none"/>
          <w:lang w:val="en-US" w:eastAsia="zh-CN"/>
        </w:rPr>
      </w:pPr>
    </w:p>
    <w:p w14:paraId="25BBB666">
      <w:pPr>
        <w:pStyle w:val="137"/>
        <w:keepLines w:val="0"/>
        <w:pageBreakBefore w:val="0"/>
        <w:widowControl w:val="0"/>
        <w:kinsoku/>
        <w:wordWrap/>
        <w:overflowPunct/>
        <w:topLinePunct w:val="0"/>
        <w:bidi w:val="0"/>
        <w:spacing w:before="0" w:after="0" w:line="42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（一）法定代表人证明书</w:t>
      </w:r>
    </w:p>
    <w:p w14:paraId="059556FD">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jc w:val="left"/>
        <w:textAlignment w:val="auto"/>
        <w:rPr>
          <w:rFonts w:hint="eastAsia" w:ascii="宋体" w:hAnsi="宋体" w:eastAsia="宋体" w:cs="宋体"/>
          <w:i w:val="0"/>
          <w:iCs w:val="0"/>
          <w:color w:val="auto"/>
          <w:kern w:val="0"/>
          <w:sz w:val="21"/>
          <w:szCs w:val="21"/>
          <w:highlight w:val="none"/>
          <w:u w:val="single"/>
          <w:lang w:val="en-US" w:eastAsia="zh-CN"/>
        </w:rPr>
      </w:pP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名称：</w:t>
      </w:r>
      <w:r>
        <w:rPr>
          <w:rFonts w:hint="eastAsia" w:ascii="宋体" w:hAnsi="宋体" w:eastAsia="宋体" w:cs="宋体"/>
          <w:i w:val="0"/>
          <w:iCs w:val="0"/>
          <w:color w:val="auto"/>
          <w:kern w:val="0"/>
          <w:sz w:val="21"/>
          <w:szCs w:val="21"/>
          <w:highlight w:val="none"/>
          <w:u w:val="single"/>
          <w:lang w:val="en-US" w:eastAsia="zh-CN"/>
        </w:rPr>
        <w:t xml:space="preserve">                                </w:t>
      </w:r>
    </w:p>
    <w:p w14:paraId="4FEC6140">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统一社会信用代码：</w:t>
      </w:r>
      <w:r>
        <w:rPr>
          <w:rFonts w:hint="eastAsia" w:ascii="宋体" w:hAnsi="宋体" w:eastAsia="宋体" w:cs="宋体"/>
          <w:i w:val="0"/>
          <w:iCs w:val="0"/>
          <w:color w:val="auto"/>
          <w:kern w:val="0"/>
          <w:sz w:val="21"/>
          <w:szCs w:val="21"/>
          <w:highlight w:val="none"/>
          <w:u w:val="single"/>
          <w:lang w:val="en-US" w:eastAsia="zh-CN"/>
        </w:rPr>
        <w:t xml:space="preserve">                                </w:t>
      </w:r>
    </w:p>
    <w:p w14:paraId="6CDFC855">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jc w:val="left"/>
        <w:textAlignment w:val="auto"/>
        <w:rPr>
          <w:rFonts w:hint="eastAsia" w:ascii="宋体" w:hAnsi="宋体" w:eastAsia="宋体" w:cs="宋体"/>
          <w:color w:val="auto"/>
          <w:kern w:val="0"/>
          <w:sz w:val="21"/>
          <w:szCs w:val="21"/>
          <w:highlight w:val="none"/>
          <w:u w:val="single"/>
          <w:lang w:eastAsia="zh-CN"/>
        </w:rPr>
      </w:pPr>
      <w:r>
        <w:rPr>
          <w:rFonts w:hint="eastAsia" w:ascii="宋体" w:hAnsi="宋体" w:eastAsia="宋体" w:cs="宋体"/>
          <w:color w:val="auto"/>
          <w:kern w:val="0"/>
          <w:sz w:val="21"/>
          <w:szCs w:val="21"/>
          <w:highlight w:val="none"/>
        </w:rPr>
        <w:t>注册地址：</w:t>
      </w:r>
      <w:r>
        <w:rPr>
          <w:rFonts w:hint="eastAsia" w:ascii="宋体" w:hAnsi="宋体" w:eastAsia="宋体" w:cs="宋体"/>
          <w:i w:val="0"/>
          <w:iCs w:val="0"/>
          <w:color w:val="auto"/>
          <w:kern w:val="0"/>
          <w:sz w:val="21"/>
          <w:szCs w:val="21"/>
          <w:highlight w:val="none"/>
          <w:u w:val="single"/>
          <w:lang w:val="en-US" w:eastAsia="zh-CN"/>
        </w:rPr>
        <w:t xml:space="preserve">                                </w:t>
      </w:r>
    </w:p>
    <w:p w14:paraId="697D9169">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成立时间：</w:t>
      </w:r>
      <w:r>
        <w:rPr>
          <w:rFonts w:hint="eastAsia" w:ascii="宋体" w:hAnsi="宋体" w:eastAsia="宋体" w:cs="宋体"/>
          <w:i w:val="0"/>
          <w:iCs w:val="0"/>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i w:val="0"/>
          <w:iCs w:val="0"/>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i w:val="0"/>
          <w:iCs w:val="0"/>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日；经营期限：</w:t>
      </w:r>
      <w:r>
        <w:rPr>
          <w:rFonts w:hint="eastAsia" w:ascii="宋体" w:hAnsi="宋体" w:eastAsia="宋体" w:cs="宋体"/>
          <w:i w:val="0"/>
          <w:iCs w:val="0"/>
          <w:color w:val="auto"/>
          <w:kern w:val="0"/>
          <w:sz w:val="21"/>
          <w:szCs w:val="21"/>
          <w:highlight w:val="none"/>
          <w:u w:val="single"/>
          <w:lang w:val="en-US" w:eastAsia="zh-CN"/>
        </w:rPr>
        <w:t xml:space="preserve">                          </w:t>
      </w:r>
    </w:p>
    <w:p w14:paraId="76D17738">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jc w:val="left"/>
        <w:textAlignment w:val="auto"/>
        <w:rPr>
          <w:rFonts w:hint="eastAsia" w:ascii="宋体" w:hAnsi="宋体" w:eastAsia="宋体" w:cs="宋体"/>
          <w:color w:val="auto"/>
          <w:kern w:val="0"/>
          <w:sz w:val="21"/>
          <w:szCs w:val="21"/>
          <w:highlight w:val="none"/>
          <w:u w:val="single"/>
          <w:lang w:eastAsia="zh-CN"/>
        </w:rPr>
      </w:pPr>
      <w:r>
        <w:rPr>
          <w:rFonts w:hint="eastAsia" w:ascii="宋体" w:hAnsi="宋体" w:eastAsia="宋体" w:cs="宋体"/>
          <w:color w:val="auto"/>
          <w:kern w:val="0"/>
          <w:sz w:val="21"/>
          <w:szCs w:val="21"/>
          <w:highlight w:val="none"/>
        </w:rPr>
        <w:t>经营范围：主营：</w:t>
      </w:r>
      <w:r>
        <w:rPr>
          <w:rFonts w:hint="eastAsia" w:ascii="宋体" w:hAnsi="宋体" w:eastAsia="宋体" w:cs="宋体"/>
          <w:i w:val="0"/>
          <w:iCs w:val="0"/>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；兼营：</w:t>
      </w:r>
      <w:r>
        <w:rPr>
          <w:rFonts w:hint="eastAsia" w:ascii="宋体" w:hAnsi="宋体" w:eastAsia="宋体" w:cs="宋体"/>
          <w:i w:val="0"/>
          <w:iCs w:val="0"/>
          <w:color w:val="auto"/>
          <w:kern w:val="0"/>
          <w:sz w:val="21"/>
          <w:szCs w:val="21"/>
          <w:highlight w:val="none"/>
          <w:u w:val="single"/>
          <w:lang w:val="en-US" w:eastAsia="zh-CN"/>
        </w:rPr>
        <w:t xml:space="preserve">                           </w:t>
      </w:r>
    </w:p>
    <w:p w14:paraId="48AB22F7">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姓名：</w:t>
      </w:r>
      <w:r>
        <w:rPr>
          <w:rFonts w:hint="eastAsia" w:ascii="宋体" w:hAnsi="宋体" w:eastAsia="宋体" w:cs="宋体"/>
          <w:i w:val="0"/>
          <w:iCs w:val="0"/>
          <w:color w:val="auto"/>
          <w:kern w:val="0"/>
          <w:sz w:val="21"/>
          <w:szCs w:val="21"/>
          <w:highlight w:val="none"/>
          <w:u w:val="single"/>
          <w:lang w:val="en-US" w:eastAsia="zh-CN"/>
        </w:rPr>
        <w:t xml:space="preserve">         </w:t>
      </w:r>
      <w:r>
        <w:rPr>
          <w:rFonts w:hint="eastAsia" w:ascii="宋体" w:hAnsi="宋体" w:eastAsia="宋体" w:cs="宋体"/>
          <w:i w:val="0"/>
          <w:iCs w:val="0"/>
          <w:color w:val="auto"/>
          <w:kern w:val="0"/>
          <w:sz w:val="21"/>
          <w:szCs w:val="21"/>
          <w:highlight w:val="none"/>
          <w:u w:val="none"/>
          <w:lang w:val="en-US" w:eastAsia="zh-CN"/>
        </w:rPr>
        <w:t xml:space="preserve">  </w:t>
      </w:r>
      <w:r>
        <w:rPr>
          <w:rFonts w:hint="eastAsia" w:ascii="宋体" w:hAnsi="宋体" w:eastAsia="宋体" w:cs="宋体"/>
          <w:color w:val="auto"/>
          <w:kern w:val="0"/>
          <w:sz w:val="21"/>
          <w:szCs w:val="21"/>
          <w:highlight w:val="none"/>
        </w:rPr>
        <w:t>性别：</w:t>
      </w:r>
      <w:r>
        <w:rPr>
          <w:rFonts w:hint="eastAsia" w:ascii="宋体" w:hAnsi="宋体" w:eastAsia="宋体" w:cs="宋体"/>
          <w:i w:val="0"/>
          <w:iCs w:val="0"/>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年龄：</w:t>
      </w:r>
      <w:r>
        <w:rPr>
          <w:rFonts w:hint="eastAsia" w:ascii="宋体" w:hAnsi="宋体" w:eastAsia="宋体" w:cs="宋体"/>
          <w:i w:val="0"/>
          <w:iCs w:val="0"/>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sz w:val="21"/>
          <w:szCs w:val="21"/>
          <w:highlight w:val="none"/>
          <w:u w:val="single"/>
        </w:rPr>
        <w:t>供应商</w:t>
      </w:r>
      <w:r>
        <w:rPr>
          <w:rFonts w:hint="eastAsia" w:ascii="宋体" w:hAnsi="宋体" w:eastAsia="宋体" w:cs="宋体"/>
          <w:color w:val="auto"/>
          <w:kern w:val="0"/>
          <w:sz w:val="21"/>
          <w:szCs w:val="21"/>
          <w:highlight w:val="none"/>
          <w:u w:val="single"/>
        </w:rPr>
        <w:t>名称）</w:t>
      </w:r>
      <w:r>
        <w:rPr>
          <w:rFonts w:hint="eastAsia" w:ascii="宋体" w:hAnsi="宋体" w:eastAsia="宋体" w:cs="宋体"/>
          <w:color w:val="auto"/>
          <w:kern w:val="0"/>
          <w:sz w:val="21"/>
          <w:szCs w:val="21"/>
          <w:highlight w:val="none"/>
        </w:rPr>
        <w:t>的法定代表人。</w:t>
      </w:r>
    </w:p>
    <w:p w14:paraId="777CE6DD">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特此证明。</w:t>
      </w:r>
    </w:p>
    <w:p w14:paraId="24A22546">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jc w:val="left"/>
        <w:textAlignment w:val="auto"/>
        <w:rPr>
          <w:rFonts w:hint="eastAsia" w:ascii="宋体" w:hAnsi="宋体" w:eastAsia="宋体" w:cs="宋体"/>
          <w:color w:val="auto"/>
          <w:sz w:val="21"/>
          <w:szCs w:val="21"/>
          <w:highlight w:val="none"/>
        </w:rPr>
      </w:pPr>
    </w:p>
    <w:p w14:paraId="71EE8F1B">
      <w:pPr>
        <w:keepNext w:val="0"/>
        <w:keepLines w:val="0"/>
        <w:pageBreakBefore w:val="0"/>
        <w:widowControl w:val="0"/>
        <w:kinsoku/>
        <w:wordWrap/>
        <w:overflowPunct/>
        <w:topLinePunct w:val="0"/>
        <w:autoSpaceDE w:val="0"/>
        <w:autoSpaceDN w:val="0"/>
        <w:bidi w:val="0"/>
        <w:adjustRightInd w:val="0"/>
        <w:snapToGrid w:val="0"/>
        <w:spacing w:line="420" w:lineRule="exact"/>
        <w:jc w:val="left"/>
        <w:textAlignment w:val="auto"/>
        <w:rPr>
          <w:rFonts w:hint="eastAsia" w:ascii="宋体" w:hAnsi="宋体" w:eastAsia="宋体" w:cs="宋体"/>
          <w:color w:val="auto"/>
          <w:sz w:val="21"/>
          <w:szCs w:val="21"/>
          <w:highlight w:val="none"/>
        </w:rPr>
      </w:pPr>
    </w:p>
    <w:p w14:paraId="0E0A16A4">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附：法定代表人身份证复印件</w:t>
      </w:r>
    </w:p>
    <w:tbl>
      <w:tblPr>
        <w:tblStyle w:val="37"/>
        <w:tblW w:w="7996" w:type="dxa"/>
        <w:tblInd w:w="540" w:type="dxa"/>
        <w:tblLayout w:type="fixed"/>
        <w:tblCellMar>
          <w:top w:w="0" w:type="dxa"/>
          <w:left w:w="108" w:type="dxa"/>
          <w:bottom w:w="0" w:type="dxa"/>
          <w:right w:w="108" w:type="dxa"/>
        </w:tblCellMar>
      </w:tblPr>
      <w:tblGrid>
        <w:gridCol w:w="4081"/>
        <w:gridCol w:w="3915"/>
      </w:tblGrid>
      <w:tr w14:paraId="7D8FF45A">
        <w:tblPrEx>
          <w:tblCellMar>
            <w:top w:w="0" w:type="dxa"/>
            <w:left w:w="108" w:type="dxa"/>
            <w:bottom w:w="0" w:type="dxa"/>
            <w:right w:w="108" w:type="dxa"/>
          </w:tblCellMar>
        </w:tblPrEx>
        <w:trPr>
          <w:trHeight w:val="2494" w:hRule="atLeast"/>
        </w:trPr>
        <w:tc>
          <w:tcPr>
            <w:tcW w:w="4081" w:type="dxa"/>
            <w:tcBorders>
              <w:top w:val="single" w:color="auto" w:sz="6" w:space="0"/>
              <w:left w:val="single" w:color="auto" w:sz="6" w:space="0"/>
              <w:bottom w:val="single" w:color="auto" w:sz="6" w:space="0"/>
              <w:right w:val="single" w:color="auto" w:sz="6" w:space="0"/>
            </w:tcBorders>
            <w:vAlign w:val="center"/>
          </w:tcPr>
          <w:p w14:paraId="62C73044">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法定代表人身份证复印件</w:t>
            </w:r>
          </w:p>
          <w:p w14:paraId="3613B54F">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国徽</w:t>
            </w:r>
            <w:r>
              <w:rPr>
                <w:rFonts w:hint="eastAsia" w:ascii="宋体" w:hAnsi="宋体" w:eastAsia="宋体" w:cs="宋体"/>
                <w:color w:val="auto"/>
                <w:sz w:val="21"/>
                <w:szCs w:val="21"/>
                <w:highlight w:val="none"/>
              </w:rPr>
              <w:t>面）</w:t>
            </w:r>
          </w:p>
        </w:tc>
        <w:tc>
          <w:tcPr>
            <w:tcW w:w="3915" w:type="dxa"/>
            <w:tcBorders>
              <w:top w:val="single" w:color="auto" w:sz="6" w:space="0"/>
              <w:left w:val="single" w:color="auto" w:sz="6" w:space="0"/>
              <w:bottom w:val="single" w:color="auto" w:sz="6" w:space="0"/>
              <w:right w:val="single" w:color="auto" w:sz="6" w:space="0"/>
            </w:tcBorders>
            <w:vAlign w:val="center"/>
          </w:tcPr>
          <w:p w14:paraId="6C14BB68">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法定代表人身份证复印件</w:t>
            </w:r>
          </w:p>
          <w:p w14:paraId="51A77CD5">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人像</w:t>
            </w:r>
            <w:r>
              <w:rPr>
                <w:rFonts w:hint="eastAsia" w:ascii="宋体" w:hAnsi="宋体" w:eastAsia="宋体" w:cs="宋体"/>
                <w:color w:val="auto"/>
                <w:sz w:val="21"/>
                <w:szCs w:val="21"/>
                <w:highlight w:val="none"/>
              </w:rPr>
              <w:t>面）</w:t>
            </w:r>
          </w:p>
        </w:tc>
      </w:tr>
    </w:tbl>
    <w:p w14:paraId="515AEB61">
      <w:pPr>
        <w:keepNext w:val="0"/>
        <w:keepLines w:val="0"/>
        <w:pageBreakBefore w:val="0"/>
        <w:widowControl w:val="0"/>
        <w:kinsoku/>
        <w:wordWrap/>
        <w:overflowPunct/>
        <w:topLinePunct w:val="0"/>
        <w:bidi w:val="0"/>
        <w:spacing w:line="420" w:lineRule="exact"/>
        <w:ind w:right="-197" w:rightChars="-94"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说明：仅限法定代表人参加磋商时提供。</w:t>
      </w:r>
    </w:p>
    <w:p w14:paraId="5B783861">
      <w:pPr>
        <w:pStyle w:val="16"/>
        <w:keepNext w:val="0"/>
        <w:keepLines w:val="0"/>
        <w:pageBreakBefore w:val="0"/>
        <w:widowControl w:val="0"/>
        <w:kinsoku/>
        <w:wordWrap/>
        <w:overflowPunct/>
        <w:topLinePunct w:val="0"/>
        <w:bidi w:val="0"/>
        <w:spacing w:line="420" w:lineRule="exact"/>
        <w:textAlignment w:val="auto"/>
        <w:rPr>
          <w:rFonts w:hint="eastAsia" w:ascii="宋体" w:hAnsi="宋体" w:eastAsia="宋体" w:cs="宋体"/>
          <w:color w:val="auto"/>
          <w:sz w:val="21"/>
          <w:szCs w:val="21"/>
          <w:highlight w:val="none"/>
        </w:rPr>
      </w:pPr>
    </w:p>
    <w:p w14:paraId="5EF47B55">
      <w:pPr>
        <w:keepNext w:val="0"/>
        <w:keepLines w:val="0"/>
        <w:pageBreakBefore w:val="0"/>
        <w:widowControl w:val="0"/>
        <w:kinsoku/>
        <w:wordWrap/>
        <w:overflowPunct/>
        <w:topLinePunct w:val="0"/>
        <w:bidi w:val="0"/>
        <w:spacing w:line="420" w:lineRule="exact"/>
        <w:textAlignment w:val="auto"/>
        <w:rPr>
          <w:rFonts w:hint="eastAsia" w:ascii="宋体" w:hAnsi="宋体" w:eastAsia="宋体" w:cs="宋体"/>
          <w:color w:val="auto"/>
          <w:sz w:val="21"/>
          <w:szCs w:val="21"/>
          <w:highlight w:val="none"/>
        </w:rPr>
      </w:pPr>
    </w:p>
    <w:p w14:paraId="0BAEF835">
      <w:pPr>
        <w:keepNext w:val="0"/>
        <w:keepLines w:val="0"/>
        <w:pageBreakBefore w:val="0"/>
        <w:widowControl w:val="0"/>
        <w:kinsoku/>
        <w:wordWrap/>
        <w:overflowPunct/>
        <w:topLinePunct w:val="0"/>
        <w:bidi w:val="0"/>
        <w:spacing w:line="420" w:lineRule="exact"/>
        <w:ind w:firstLine="3990" w:firstLineChars="19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供应商（公章）：</w:t>
      </w:r>
    </w:p>
    <w:p w14:paraId="49E32229">
      <w:pPr>
        <w:keepNext w:val="0"/>
        <w:keepLines w:val="0"/>
        <w:pageBreakBefore w:val="0"/>
        <w:widowControl w:val="0"/>
        <w:kinsoku/>
        <w:wordWrap/>
        <w:overflowPunct/>
        <w:topLinePunct w:val="0"/>
        <w:bidi w:val="0"/>
        <w:adjustRightInd w:val="0"/>
        <w:snapToGrid w:val="0"/>
        <w:spacing w:line="420" w:lineRule="exact"/>
        <w:ind w:firstLine="3990" w:firstLineChars="1900"/>
        <w:jc w:val="both"/>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期：</w:t>
      </w:r>
    </w:p>
    <w:p w14:paraId="4E85B9D0">
      <w:pPr>
        <w:keepNext w:val="0"/>
        <w:keepLines w:val="0"/>
        <w:pageBreakBefore w:val="0"/>
        <w:widowControl w:val="0"/>
        <w:numPr>
          <w:ilvl w:val="0"/>
          <w:numId w:val="0"/>
        </w:numPr>
        <w:kinsoku/>
        <w:wordWrap/>
        <w:overflowPunct/>
        <w:topLinePunct w:val="0"/>
        <w:bidi w:val="0"/>
        <w:spacing w:line="360" w:lineRule="auto"/>
        <w:ind w:left="420" w:leftChars="0"/>
        <w:jc w:val="both"/>
        <w:textAlignment w:val="auto"/>
        <w:outlineLvl w:val="9"/>
        <w:rPr>
          <w:rFonts w:hint="eastAsia" w:ascii="宋体" w:hAnsi="宋体" w:eastAsia="宋体" w:cs="宋体"/>
          <w:color w:val="auto"/>
          <w:sz w:val="21"/>
          <w:szCs w:val="21"/>
          <w:highlight w:val="none"/>
        </w:rPr>
      </w:pPr>
    </w:p>
    <w:p w14:paraId="4A7A72C2">
      <w:pPr>
        <w:pStyle w:val="16"/>
        <w:keepLines w:val="0"/>
        <w:pageBreakBefore w:val="0"/>
        <w:kinsoku/>
        <w:bidi w:val="0"/>
        <w:spacing w:line="360" w:lineRule="auto"/>
        <w:rPr>
          <w:rFonts w:hint="eastAsia" w:ascii="宋体" w:hAnsi="宋体" w:eastAsia="宋体" w:cs="宋体"/>
          <w:color w:val="auto"/>
          <w:sz w:val="21"/>
          <w:szCs w:val="21"/>
          <w:highlight w:val="none"/>
        </w:rPr>
      </w:pPr>
    </w:p>
    <w:p w14:paraId="22AAA53F">
      <w:pPr>
        <w:keepLines w:val="0"/>
        <w:pageBreakBefore w:val="0"/>
        <w:kinsoku/>
        <w:bidi w:val="0"/>
        <w:spacing w:line="360" w:lineRule="auto"/>
        <w:rPr>
          <w:rFonts w:hint="eastAsia" w:ascii="宋体" w:hAnsi="宋体" w:eastAsia="宋体" w:cs="宋体"/>
          <w:color w:val="auto"/>
          <w:sz w:val="21"/>
          <w:szCs w:val="21"/>
          <w:highlight w:val="none"/>
        </w:rPr>
      </w:pPr>
    </w:p>
    <w:p w14:paraId="7B0D412D">
      <w:pPr>
        <w:pStyle w:val="16"/>
        <w:rPr>
          <w:rFonts w:hint="eastAsia" w:ascii="宋体" w:hAnsi="宋体" w:eastAsia="宋体" w:cs="宋体"/>
          <w:color w:val="auto"/>
        </w:rPr>
      </w:pPr>
    </w:p>
    <w:p w14:paraId="7ADB6AC9">
      <w:pPr>
        <w:pStyle w:val="16"/>
        <w:keepLines w:val="0"/>
        <w:pageBreakBefore w:val="0"/>
        <w:kinsoku/>
        <w:bidi w:val="0"/>
        <w:spacing w:line="360" w:lineRule="auto"/>
        <w:rPr>
          <w:rFonts w:hint="eastAsia" w:ascii="宋体" w:hAnsi="宋体" w:eastAsia="宋体" w:cs="宋体"/>
          <w:color w:val="auto"/>
          <w:sz w:val="21"/>
          <w:szCs w:val="21"/>
          <w:highlight w:val="none"/>
        </w:rPr>
      </w:pPr>
    </w:p>
    <w:p w14:paraId="4C21744D">
      <w:pPr>
        <w:pStyle w:val="137"/>
        <w:keepLines w:val="0"/>
        <w:pageBreakBefore w:val="0"/>
        <w:kinsoku/>
        <w:wordWrap/>
        <w:overflowPunct/>
        <w:topLinePunct w:val="0"/>
        <w:autoSpaceDE/>
        <w:autoSpaceDN/>
        <w:bidi w:val="0"/>
        <w:adjustRightInd/>
        <w:spacing w:before="0" w:after="0" w:line="42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（二）法定代表人授权委托书</w:t>
      </w:r>
    </w:p>
    <w:p w14:paraId="242225AC">
      <w:pPr>
        <w:pStyle w:val="20"/>
        <w:keepLines w:val="0"/>
        <w:pageBreakBefore w:val="0"/>
        <w:kinsoku/>
        <w:overflowPunct/>
        <w:topLinePunct w:val="0"/>
        <w:autoSpaceDE/>
        <w:autoSpaceDN/>
        <w:bidi w:val="0"/>
        <w:adjustRightInd/>
        <w:spacing w:line="420" w:lineRule="exact"/>
        <w:jc w:val="left"/>
        <w:textAlignment w:val="auto"/>
        <w:outlineLvl w:val="9"/>
        <w:rPr>
          <w:rFonts w:hint="eastAsia" w:ascii="宋体" w:hAnsi="宋体" w:eastAsia="宋体" w:cs="宋体"/>
          <w:b/>
          <w:bCs/>
          <w:color w:val="auto"/>
          <w:sz w:val="21"/>
          <w:szCs w:val="21"/>
          <w:highlight w:val="none"/>
        </w:rPr>
      </w:pPr>
      <w:r>
        <w:rPr>
          <w:rFonts w:hint="eastAsia" w:hAnsi="宋体" w:cs="宋体"/>
          <w:color w:val="auto"/>
          <w:sz w:val="21"/>
          <w:szCs w:val="21"/>
          <w:highlight w:val="none"/>
          <w:lang w:eastAsia="zh-CN"/>
        </w:rPr>
        <w:t>泾阳县政府采购中心</w:t>
      </w:r>
      <w:r>
        <w:rPr>
          <w:rFonts w:hint="eastAsia" w:ascii="宋体" w:hAnsi="宋体" w:eastAsia="宋体" w:cs="宋体"/>
          <w:color w:val="auto"/>
          <w:sz w:val="21"/>
          <w:szCs w:val="21"/>
          <w:highlight w:val="none"/>
        </w:rPr>
        <w:t>：</w:t>
      </w:r>
    </w:p>
    <w:p w14:paraId="48402A0B">
      <w:pPr>
        <w:keepLines w:val="0"/>
        <w:pageBreakBefore w:val="0"/>
        <w:widowControl/>
        <w:kinsoku/>
        <w:wordWrap w:val="0"/>
        <w:overflowPunct/>
        <w:topLinePunct w:val="0"/>
        <w:autoSpaceDE/>
        <w:autoSpaceDN/>
        <w:bidi w:val="0"/>
        <w:adjustRightInd/>
        <w:spacing w:line="42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名称）</w:t>
      </w:r>
      <w:r>
        <w:rPr>
          <w:rFonts w:hint="eastAsia" w:ascii="宋体" w:hAnsi="宋体" w:eastAsia="宋体" w:cs="宋体"/>
          <w:color w:val="auto"/>
          <w:sz w:val="21"/>
          <w:szCs w:val="21"/>
          <w:highlight w:val="none"/>
        </w:rPr>
        <w:t>的法定代表人，现委托</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sz w:val="21"/>
          <w:szCs w:val="21"/>
          <w:highlight w:val="none"/>
        </w:rPr>
        <w:t>为我方代理人。代理人根据授权，以我方名义签署、澄清、说明、补正、递交、撤回、修改</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lang w:val="en-US" w:eastAsia="zh-CN"/>
        </w:rPr>
        <w:t>竞争性磋商响应</w:t>
      </w:r>
      <w:r>
        <w:rPr>
          <w:rFonts w:hint="eastAsia" w:ascii="宋体" w:hAnsi="宋体" w:eastAsia="宋体" w:cs="宋体"/>
          <w:color w:val="auto"/>
          <w:sz w:val="21"/>
          <w:szCs w:val="21"/>
          <w:highlight w:val="none"/>
        </w:rPr>
        <w:t>文件、签订合同和处理有关事宜，其法律后果由我方承担。</w:t>
      </w:r>
    </w:p>
    <w:p w14:paraId="5ACDF14A">
      <w:pPr>
        <w:keepLines w:val="0"/>
        <w:pageBreakBefore w:val="0"/>
        <w:kinsoku/>
        <w:overflowPunct/>
        <w:topLinePunct w:val="0"/>
        <w:autoSpaceDE/>
        <w:autoSpaceDN/>
        <w:bidi w:val="0"/>
        <w:adjustRightInd/>
        <w:spacing w:line="420" w:lineRule="exact"/>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委托期限：</w:t>
      </w:r>
      <w:r>
        <w:rPr>
          <w:rFonts w:hint="eastAsia" w:ascii="宋体" w:hAnsi="宋体" w:eastAsia="宋体" w:cs="宋体"/>
          <w:color w:val="auto"/>
          <w:sz w:val="21"/>
          <w:szCs w:val="21"/>
          <w:highlight w:val="none"/>
          <w:u w:val="single"/>
        </w:rPr>
        <w:t>自投标截止之日起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日历天</w:t>
      </w:r>
    </w:p>
    <w:p w14:paraId="41EAD873">
      <w:pPr>
        <w:keepLines w:val="0"/>
        <w:pageBreakBefore w:val="0"/>
        <w:kinsoku/>
        <w:overflowPunct/>
        <w:topLinePunct w:val="0"/>
        <w:autoSpaceDE/>
        <w:autoSpaceDN/>
        <w:bidi w:val="0"/>
        <w:adjustRightInd/>
        <w:spacing w:line="42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代理人无转委托权。</w:t>
      </w:r>
    </w:p>
    <w:p w14:paraId="043DB7DD">
      <w:pPr>
        <w:keepLines w:val="0"/>
        <w:pageBreakBefore w:val="0"/>
        <w:kinsoku/>
        <w:overflowPunct/>
        <w:topLinePunct w:val="0"/>
        <w:autoSpaceDE/>
        <w:autoSpaceDN/>
        <w:bidi w:val="0"/>
        <w:adjustRightInd/>
        <w:spacing w:line="420" w:lineRule="exact"/>
        <w:ind w:firstLine="420" w:firstLineChars="200"/>
        <w:textAlignment w:val="auto"/>
        <w:outlineLvl w:val="9"/>
        <w:rPr>
          <w:rFonts w:hint="eastAsia" w:ascii="宋体" w:hAnsi="宋体" w:eastAsia="宋体" w:cs="宋体"/>
          <w:color w:val="auto"/>
          <w:sz w:val="21"/>
          <w:szCs w:val="21"/>
          <w:highlight w:val="none"/>
        </w:rPr>
      </w:pPr>
      <w:bookmarkStart w:id="580" w:name="_Toc214090947"/>
      <w:bookmarkStart w:id="581" w:name="_Toc201637979"/>
    </w:p>
    <w:p w14:paraId="3ADEF22F">
      <w:pPr>
        <w:keepLines w:val="0"/>
        <w:pageBreakBefore w:val="0"/>
        <w:kinsoku/>
        <w:overflowPunct/>
        <w:topLinePunct w:val="0"/>
        <w:autoSpaceDE/>
        <w:autoSpaceDN/>
        <w:bidi w:val="0"/>
        <w:adjustRightInd/>
        <w:spacing w:line="42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法定代表人盖章：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被授权人签字：</w:t>
      </w:r>
      <w:bookmarkEnd w:id="580"/>
      <w:bookmarkEnd w:id="581"/>
    </w:p>
    <w:p w14:paraId="7F445955">
      <w:pPr>
        <w:keepLines w:val="0"/>
        <w:pageBreakBefore w:val="0"/>
        <w:kinsoku/>
        <w:overflowPunct/>
        <w:topLinePunct w:val="0"/>
        <w:autoSpaceDE/>
        <w:autoSpaceDN/>
        <w:bidi w:val="0"/>
        <w:adjustRightInd/>
        <w:spacing w:line="420" w:lineRule="exact"/>
        <w:ind w:firstLine="420" w:firstLineChars="200"/>
        <w:textAlignment w:val="auto"/>
        <w:outlineLvl w:val="9"/>
        <w:rPr>
          <w:rFonts w:hint="eastAsia" w:ascii="宋体" w:hAnsi="宋体" w:eastAsia="宋体" w:cs="宋体"/>
          <w:color w:val="auto"/>
          <w:sz w:val="21"/>
          <w:szCs w:val="21"/>
          <w:highlight w:val="none"/>
        </w:rPr>
      </w:pPr>
      <w:bookmarkStart w:id="582" w:name="_Toc201637980"/>
      <w:bookmarkStart w:id="583" w:name="_Toc214090948"/>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职务：</w:t>
      </w:r>
      <w:bookmarkEnd w:id="582"/>
      <w:bookmarkEnd w:id="583"/>
    </w:p>
    <w:p w14:paraId="2BC41695">
      <w:pPr>
        <w:keepLines w:val="0"/>
        <w:pageBreakBefore w:val="0"/>
        <w:kinsoku/>
        <w:overflowPunct/>
        <w:topLinePunct w:val="0"/>
        <w:autoSpaceDE/>
        <w:autoSpaceDN/>
        <w:bidi w:val="0"/>
        <w:adjustRightInd/>
        <w:spacing w:line="420" w:lineRule="exact"/>
        <w:ind w:firstLine="420" w:firstLineChars="200"/>
        <w:textAlignment w:val="auto"/>
        <w:outlineLvl w:val="9"/>
        <w:rPr>
          <w:rFonts w:hint="eastAsia" w:ascii="宋体" w:hAnsi="宋体" w:eastAsia="宋体" w:cs="宋体"/>
          <w:color w:val="auto"/>
          <w:sz w:val="21"/>
          <w:szCs w:val="21"/>
          <w:highlight w:val="none"/>
        </w:rPr>
      </w:pPr>
      <w:bookmarkStart w:id="584" w:name="_Toc214090949"/>
      <w:bookmarkStart w:id="585" w:name="_Toc201637981"/>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身份证号：</w:t>
      </w:r>
      <w:bookmarkEnd w:id="584"/>
      <w:bookmarkEnd w:id="585"/>
    </w:p>
    <w:p w14:paraId="5E1FA9E8">
      <w:pPr>
        <w:keepLines w:val="0"/>
        <w:pageBreakBefore w:val="0"/>
        <w:kinsoku/>
        <w:overflowPunct/>
        <w:topLinePunct w:val="0"/>
        <w:autoSpaceDE/>
        <w:autoSpaceDN/>
        <w:bidi w:val="0"/>
        <w:adjustRightInd/>
        <w:spacing w:line="420" w:lineRule="exact"/>
        <w:textAlignment w:val="auto"/>
        <w:outlineLvl w:val="9"/>
        <w:rPr>
          <w:rFonts w:hint="eastAsia" w:ascii="宋体" w:hAnsi="宋体" w:eastAsia="宋体" w:cs="宋体"/>
          <w:color w:val="auto"/>
          <w:sz w:val="21"/>
          <w:szCs w:val="21"/>
          <w:highlight w:val="none"/>
        </w:rPr>
      </w:pPr>
      <w:bookmarkStart w:id="586" w:name="_Toc214090950"/>
      <w:bookmarkStart w:id="587" w:name="_Toc201637982"/>
    </w:p>
    <w:p w14:paraId="5ECD349A">
      <w:pPr>
        <w:keepLines w:val="0"/>
        <w:pageBreakBefore w:val="0"/>
        <w:kinsoku/>
        <w:overflowPunct/>
        <w:topLinePunct w:val="0"/>
        <w:autoSpaceDE/>
        <w:autoSpaceDN/>
        <w:bidi w:val="0"/>
        <w:adjustRightInd/>
        <w:spacing w:line="42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附：法定代表人、被授权人身份证复印件。（二代身份证正、反两面都需复印）</w:t>
      </w:r>
      <w:bookmarkEnd w:id="586"/>
      <w:bookmarkEnd w:id="587"/>
    </w:p>
    <w:p w14:paraId="7BE40A49">
      <w:pPr>
        <w:pStyle w:val="20"/>
        <w:keepLines w:val="0"/>
        <w:pageBreakBefore w:val="0"/>
        <w:kinsoku/>
        <w:overflowPunct/>
        <w:topLinePunct w:val="0"/>
        <w:autoSpaceDE/>
        <w:autoSpaceDN/>
        <w:bidi w:val="0"/>
        <w:adjustRightInd/>
        <w:spacing w:line="42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2D48502E">
      <w:pPr>
        <w:pStyle w:val="20"/>
        <w:keepLines w:val="0"/>
        <w:pageBreakBefore w:val="0"/>
        <w:kinsoku/>
        <w:overflowPunct/>
        <w:topLinePunct w:val="0"/>
        <w:autoSpaceDE/>
        <w:autoSpaceDN/>
        <w:bidi w:val="0"/>
        <w:adjustRightInd/>
        <w:spacing w:line="420" w:lineRule="exact"/>
        <w:ind w:firstLine="420" w:firstLineChars="200"/>
        <w:jc w:val="left"/>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1．本授权书有效期自</w:t>
      </w:r>
      <w:r>
        <w:rPr>
          <w:rFonts w:hint="eastAsia" w:ascii="宋体" w:hAnsi="宋体" w:eastAsia="宋体" w:cs="宋体"/>
          <w:b w:val="0"/>
          <w:bCs w:val="0"/>
          <w:color w:val="auto"/>
          <w:sz w:val="21"/>
          <w:szCs w:val="21"/>
          <w:highlight w:val="none"/>
          <w:lang w:val="en-US" w:eastAsia="zh-CN"/>
        </w:rPr>
        <w:t>开标</w:t>
      </w:r>
      <w:r>
        <w:rPr>
          <w:rFonts w:hint="eastAsia" w:ascii="宋体" w:hAnsi="宋体" w:eastAsia="宋体" w:cs="宋体"/>
          <w:b w:val="0"/>
          <w:bCs w:val="0"/>
          <w:color w:val="auto"/>
          <w:sz w:val="21"/>
          <w:szCs w:val="21"/>
          <w:highlight w:val="none"/>
        </w:rPr>
        <w:t>大会之日计算不得少于</w:t>
      </w: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0日历</w:t>
      </w:r>
      <w:r>
        <w:rPr>
          <w:rFonts w:hint="eastAsia" w:ascii="宋体" w:hAnsi="宋体" w:eastAsia="宋体" w:cs="宋体"/>
          <w:b w:val="0"/>
          <w:bCs w:val="0"/>
          <w:color w:val="auto"/>
          <w:sz w:val="21"/>
          <w:szCs w:val="21"/>
          <w:highlight w:val="none"/>
          <w:lang w:eastAsia="zh-CN"/>
        </w:rPr>
        <w:t>天</w:t>
      </w:r>
      <w:r>
        <w:rPr>
          <w:rFonts w:hint="eastAsia" w:ascii="宋体" w:hAnsi="宋体" w:eastAsia="宋体" w:cs="宋体"/>
          <w:b w:val="0"/>
          <w:bCs w:val="0"/>
          <w:color w:val="auto"/>
          <w:sz w:val="21"/>
          <w:szCs w:val="21"/>
          <w:highlight w:val="none"/>
        </w:rPr>
        <w:t>。</w:t>
      </w:r>
    </w:p>
    <w:p w14:paraId="12A2D67F">
      <w:pPr>
        <w:pStyle w:val="24"/>
        <w:keepLines w:val="0"/>
        <w:pageBreakBefore w:val="0"/>
        <w:kinsoku/>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2．授权书内容填写要明确，文字要工整清楚，涂改无效。</w:t>
      </w:r>
    </w:p>
    <w:tbl>
      <w:tblPr>
        <w:tblStyle w:val="3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396"/>
      </w:tblGrid>
      <w:tr w14:paraId="45791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4643" w:type="dxa"/>
            <w:vAlign w:val="center"/>
          </w:tcPr>
          <w:p w14:paraId="33BB872E">
            <w:pPr>
              <w:keepLines w:val="0"/>
              <w:pageBreakBefore w:val="0"/>
              <w:kinsoku/>
              <w:overflowPunct/>
              <w:topLinePunct w:val="0"/>
              <w:autoSpaceDE/>
              <w:autoSpaceDN/>
              <w:bidi w:val="0"/>
              <w:adjustRightInd/>
              <w:spacing w:line="420" w:lineRule="exact"/>
              <w:jc w:val="center"/>
              <w:textAlignment w:val="auto"/>
              <w:outlineLvl w:val="9"/>
              <w:rPr>
                <w:rFonts w:hint="eastAsia" w:ascii="宋体" w:hAnsi="宋体" w:eastAsia="宋体" w:cs="宋体"/>
                <w:color w:val="auto"/>
                <w:sz w:val="21"/>
                <w:szCs w:val="21"/>
                <w:highlight w:val="none"/>
              </w:rPr>
            </w:pPr>
            <w:bookmarkStart w:id="588" w:name="_Toc201637983"/>
            <w:bookmarkStart w:id="589" w:name="_Toc214090951"/>
            <w:r>
              <w:rPr>
                <w:rFonts w:hint="eastAsia" w:ascii="宋体" w:hAnsi="宋体" w:eastAsia="宋体" w:cs="宋体"/>
                <w:color w:val="auto"/>
                <w:sz w:val="21"/>
                <w:szCs w:val="21"/>
                <w:highlight w:val="none"/>
              </w:rPr>
              <w:t>法定代表人身份证复印件</w:t>
            </w:r>
            <w:bookmarkEnd w:id="588"/>
            <w:bookmarkEnd w:id="589"/>
          </w:p>
          <w:p w14:paraId="5AD1FF5F">
            <w:pPr>
              <w:keepLines w:val="0"/>
              <w:pageBreakBefore w:val="0"/>
              <w:kinsoku/>
              <w:overflowPunct/>
              <w:topLinePunct w:val="0"/>
              <w:autoSpaceDE/>
              <w:autoSpaceDN/>
              <w:bidi w:val="0"/>
              <w:adjustRightInd/>
              <w:spacing w:line="420" w:lineRule="exact"/>
              <w:jc w:val="center"/>
              <w:textAlignment w:val="auto"/>
              <w:outlineLvl w:val="9"/>
              <w:rPr>
                <w:rFonts w:hint="eastAsia" w:ascii="宋体" w:hAnsi="宋体" w:eastAsia="宋体" w:cs="宋体"/>
                <w:color w:val="auto"/>
                <w:sz w:val="21"/>
                <w:szCs w:val="21"/>
                <w:highlight w:val="none"/>
              </w:rPr>
            </w:pPr>
            <w:bookmarkStart w:id="590" w:name="_Toc201637984"/>
            <w:bookmarkStart w:id="591" w:name="_Toc214090952"/>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国徽</w:t>
            </w:r>
            <w:r>
              <w:rPr>
                <w:rFonts w:hint="eastAsia" w:ascii="宋体" w:hAnsi="宋体" w:eastAsia="宋体" w:cs="宋体"/>
                <w:color w:val="auto"/>
                <w:sz w:val="21"/>
                <w:szCs w:val="21"/>
                <w:highlight w:val="none"/>
              </w:rPr>
              <w:t>面）</w:t>
            </w:r>
            <w:bookmarkEnd w:id="590"/>
            <w:bookmarkEnd w:id="591"/>
          </w:p>
        </w:tc>
        <w:tc>
          <w:tcPr>
            <w:tcW w:w="4396" w:type="dxa"/>
            <w:vAlign w:val="center"/>
          </w:tcPr>
          <w:p w14:paraId="69A2A5AE">
            <w:pPr>
              <w:keepLines w:val="0"/>
              <w:pageBreakBefore w:val="0"/>
              <w:kinsoku/>
              <w:overflowPunct/>
              <w:topLinePunct w:val="0"/>
              <w:autoSpaceDE/>
              <w:autoSpaceDN/>
              <w:bidi w:val="0"/>
              <w:adjustRightInd/>
              <w:spacing w:line="420" w:lineRule="exact"/>
              <w:jc w:val="center"/>
              <w:textAlignment w:val="auto"/>
              <w:outlineLvl w:val="9"/>
              <w:rPr>
                <w:rFonts w:hint="eastAsia" w:ascii="宋体" w:hAnsi="宋体" w:eastAsia="宋体" w:cs="宋体"/>
                <w:color w:val="auto"/>
                <w:sz w:val="21"/>
                <w:szCs w:val="21"/>
                <w:highlight w:val="none"/>
              </w:rPr>
            </w:pPr>
            <w:bookmarkStart w:id="592" w:name="_Toc214090953"/>
            <w:bookmarkStart w:id="593" w:name="_Toc201637985"/>
            <w:r>
              <w:rPr>
                <w:rFonts w:hint="eastAsia" w:ascii="宋体" w:hAnsi="宋体" w:eastAsia="宋体" w:cs="宋体"/>
                <w:color w:val="auto"/>
                <w:sz w:val="21"/>
                <w:szCs w:val="21"/>
                <w:highlight w:val="none"/>
              </w:rPr>
              <w:t>被授权人身份证复印件</w:t>
            </w:r>
            <w:bookmarkEnd w:id="592"/>
            <w:bookmarkEnd w:id="593"/>
          </w:p>
          <w:p w14:paraId="7991A1FA">
            <w:pPr>
              <w:keepLines w:val="0"/>
              <w:pageBreakBefore w:val="0"/>
              <w:kinsoku/>
              <w:overflowPunct/>
              <w:topLinePunct w:val="0"/>
              <w:autoSpaceDE/>
              <w:autoSpaceDN/>
              <w:bidi w:val="0"/>
              <w:adjustRightInd/>
              <w:spacing w:line="420" w:lineRule="exact"/>
              <w:jc w:val="center"/>
              <w:textAlignment w:val="auto"/>
              <w:outlineLvl w:val="9"/>
              <w:rPr>
                <w:rFonts w:hint="eastAsia" w:ascii="宋体" w:hAnsi="宋体" w:eastAsia="宋体" w:cs="宋体"/>
                <w:color w:val="auto"/>
                <w:sz w:val="21"/>
                <w:szCs w:val="21"/>
                <w:highlight w:val="none"/>
              </w:rPr>
            </w:pPr>
            <w:bookmarkStart w:id="594" w:name="_Toc201637986"/>
            <w:bookmarkStart w:id="595" w:name="_Toc214090954"/>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国徽</w:t>
            </w:r>
            <w:r>
              <w:rPr>
                <w:rFonts w:hint="eastAsia" w:ascii="宋体" w:hAnsi="宋体" w:eastAsia="宋体" w:cs="宋体"/>
                <w:color w:val="auto"/>
                <w:sz w:val="21"/>
                <w:szCs w:val="21"/>
                <w:highlight w:val="none"/>
              </w:rPr>
              <w:t>面）</w:t>
            </w:r>
            <w:bookmarkEnd w:id="594"/>
            <w:bookmarkEnd w:id="595"/>
          </w:p>
        </w:tc>
      </w:tr>
      <w:tr w14:paraId="4D72C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0" w:hRule="atLeast"/>
        </w:trPr>
        <w:tc>
          <w:tcPr>
            <w:tcW w:w="4643" w:type="dxa"/>
            <w:vAlign w:val="center"/>
          </w:tcPr>
          <w:p w14:paraId="4D8EC2EA">
            <w:pPr>
              <w:keepLines w:val="0"/>
              <w:pageBreakBefore w:val="0"/>
              <w:kinsoku/>
              <w:overflowPunct/>
              <w:topLinePunct w:val="0"/>
              <w:autoSpaceDE/>
              <w:autoSpaceDN/>
              <w:bidi w:val="0"/>
              <w:adjustRightInd/>
              <w:spacing w:line="420" w:lineRule="exact"/>
              <w:jc w:val="center"/>
              <w:textAlignment w:val="auto"/>
              <w:outlineLvl w:val="9"/>
              <w:rPr>
                <w:rFonts w:hint="eastAsia" w:ascii="宋体" w:hAnsi="宋体" w:eastAsia="宋体" w:cs="宋体"/>
                <w:color w:val="auto"/>
                <w:sz w:val="21"/>
                <w:szCs w:val="21"/>
                <w:highlight w:val="none"/>
              </w:rPr>
            </w:pPr>
            <w:bookmarkStart w:id="596" w:name="_Toc214090955"/>
            <w:bookmarkStart w:id="597" w:name="_Toc201637987"/>
            <w:r>
              <w:rPr>
                <w:rFonts w:hint="eastAsia" w:ascii="宋体" w:hAnsi="宋体" w:eastAsia="宋体" w:cs="宋体"/>
                <w:color w:val="auto"/>
                <w:sz w:val="21"/>
                <w:szCs w:val="21"/>
                <w:highlight w:val="none"/>
              </w:rPr>
              <w:t>法定代表人身份证复印件</w:t>
            </w:r>
            <w:bookmarkEnd w:id="596"/>
            <w:bookmarkEnd w:id="597"/>
          </w:p>
          <w:p w14:paraId="14BEB97E">
            <w:pPr>
              <w:keepLines w:val="0"/>
              <w:pageBreakBefore w:val="0"/>
              <w:kinsoku/>
              <w:overflowPunct/>
              <w:topLinePunct w:val="0"/>
              <w:autoSpaceDE/>
              <w:autoSpaceDN/>
              <w:bidi w:val="0"/>
              <w:adjustRightInd/>
              <w:spacing w:line="420" w:lineRule="exact"/>
              <w:jc w:val="center"/>
              <w:textAlignment w:val="auto"/>
              <w:outlineLvl w:val="9"/>
              <w:rPr>
                <w:rFonts w:hint="eastAsia" w:ascii="宋体" w:hAnsi="宋体" w:eastAsia="宋体" w:cs="宋体"/>
                <w:color w:val="auto"/>
                <w:sz w:val="21"/>
                <w:szCs w:val="21"/>
                <w:highlight w:val="none"/>
              </w:rPr>
            </w:pPr>
            <w:bookmarkStart w:id="598" w:name="_Toc201637988"/>
            <w:bookmarkStart w:id="599" w:name="_Toc214090956"/>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人像</w:t>
            </w:r>
            <w:r>
              <w:rPr>
                <w:rFonts w:hint="eastAsia" w:ascii="宋体" w:hAnsi="宋体" w:eastAsia="宋体" w:cs="宋体"/>
                <w:color w:val="auto"/>
                <w:sz w:val="21"/>
                <w:szCs w:val="21"/>
                <w:highlight w:val="none"/>
              </w:rPr>
              <w:t>面）</w:t>
            </w:r>
            <w:bookmarkEnd w:id="598"/>
            <w:bookmarkEnd w:id="599"/>
          </w:p>
        </w:tc>
        <w:tc>
          <w:tcPr>
            <w:tcW w:w="4396" w:type="dxa"/>
            <w:vAlign w:val="center"/>
          </w:tcPr>
          <w:p w14:paraId="1457855C">
            <w:pPr>
              <w:keepLines w:val="0"/>
              <w:pageBreakBefore w:val="0"/>
              <w:kinsoku/>
              <w:overflowPunct/>
              <w:topLinePunct w:val="0"/>
              <w:autoSpaceDE/>
              <w:autoSpaceDN/>
              <w:bidi w:val="0"/>
              <w:adjustRightInd/>
              <w:spacing w:line="420" w:lineRule="exact"/>
              <w:jc w:val="center"/>
              <w:textAlignment w:val="auto"/>
              <w:outlineLvl w:val="9"/>
              <w:rPr>
                <w:rFonts w:hint="eastAsia" w:ascii="宋体" w:hAnsi="宋体" w:eastAsia="宋体" w:cs="宋体"/>
                <w:color w:val="auto"/>
                <w:sz w:val="21"/>
                <w:szCs w:val="21"/>
                <w:highlight w:val="none"/>
              </w:rPr>
            </w:pPr>
            <w:bookmarkStart w:id="600" w:name="_Toc214090957"/>
            <w:bookmarkStart w:id="601" w:name="_Toc201637989"/>
            <w:r>
              <w:rPr>
                <w:rFonts w:hint="eastAsia" w:ascii="宋体" w:hAnsi="宋体" w:eastAsia="宋体" w:cs="宋体"/>
                <w:color w:val="auto"/>
                <w:sz w:val="21"/>
                <w:szCs w:val="21"/>
                <w:highlight w:val="none"/>
              </w:rPr>
              <w:t>被授权人身份证复印件</w:t>
            </w:r>
            <w:bookmarkEnd w:id="600"/>
            <w:bookmarkEnd w:id="601"/>
          </w:p>
          <w:p w14:paraId="08E02332">
            <w:pPr>
              <w:keepLines w:val="0"/>
              <w:pageBreakBefore w:val="0"/>
              <w:kinsoku/>
              <w:overflowPunct/>
              <w:topLinePunct w:val="0"/>
              <w:autoSpaceDE/>
              <w:autoSpaceDN/>
              <w:bidi w:val="0"/>
              <w:adjustRightInd/>
              <w:spacing w:line="420" w:lineRule="exact"/>
              <w:jc w:val="center"/>
              <w:textAlignment w:val="auto"/>
              <w:outlineLvl w:val="9"/>
              <w:rPr>
                <w:rFonts w:hint="eastAsia" w:ascii="宋体" w:hAnsi="宋体" w:eastAsia="宋体" w:cs="宋体"/>
                <w:color w:val="auto"/>
                <w:sz w:val="21"/>
                <w:szCs w:val="21"/>
                <w:highlight w:val="none"/>
              </w:rPr>
            </w:pPr>
            <w:bookmarkStart w:id="602" w:name="_Toc201637990"/>
            <w:bookmarkStart w:id="603" w:name="_Toc214090958"/>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人像</w:t>
            </w:r>
            <w:r>
              <w:rPr>
                <w:rFonts w:hint="eastAsia" w:ascii="宋体" w:hAnsi="宋体" w:eastAsia="宋体" w:cs="宋体"/>
                <w:color w:val="auto"/>
                <w:sz w:val="21"/>
                <w:szCs w:val="21"/>
                <w:highlight w:val="none"/>
              </w:rPr>
              <w:t>面）</w:t>
            </w:r>
            <w:bookmarkEnd w:id="602"/>
            <w:bookmarkEnd w:id="603"/>
          </w:p>
        </w:tc>
      </w:tr>
    </w:tbl>
    <w:p w14:paraId="541566E9">
      <w:pPr>
        <w:keepLines w:val="0"/>
        <w:pageBreakBefore w:val="0"/>
        <w:kinsoku/>
        <w:overflowPunct/>
        <w:topLinePunct w:val="0"/>
        <w:autoSpaceDE/>
        <w:autoSpaceDN/>
        <w:bidi w:val="0"/>
        <w:adjustRightInd/>
        <w:spacing w:line="420" w:lineRule="exact"/>
        <w:textAlignment w:val="auto"/>
        <w:outlineLvl w:val="9"/>
        <w:rPr>
          <w:rFonts w:hint="eastAsia" w:ascii="宋体" w:hAnsi="宋体" w:eastAsia="宋体" w:cs="宋体"/>
          <w:color w:val="auto"/>
          <w:sz w:val="21"/>
          <w:szCs w:val="21"/>
          <w:highlight w:val="none"/>
          <w:lang w:eastAsia="zh-CN"/>
        </w:rPr>
      </w:pPr>
    </w:p>
    <w:p w14:paraId="63138D88">
      <w:pPr>
        <w:keepLines w:val="0"/>
        <w:pageBreakBefore w:val="0"/>
        <w:kinsoku/>
        <w:overflowPunct/>
        <w:topLinePunct w:val="0"/>
        <w:autoSpaceDE/>
        <w:autoSpaceDN/>
        <w:bidi w:val="0"/>
        <w:adjustRightInd/>
        <w:spacing w:line="420" w:lineRule="exact"/>
        <w:ind w:firstLine="4410" w:firstLineChars="21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：（盖单位章）</w:t>
      </w:r>
    </w:p>
    <w:p w14:paraId="50BF35E8">
      <w:pPr>
        <w:keepLines w:val="0"/>
        <w:pageBreakBefore w:val="0"/>
        <w:kinsoku/>
        <w:overflowPunct/>
        <w:topLinePunct w:val="0"/>
        <w:autoSpaceDE/>
        <w:autoSpaceDN/>
        <w:bidi w:val="0"/>
        <w:adjustRightInd/>
        <w:spacing w:line="420" w:lineRule="exact"/>
        <w:ind w:firstLine="4830" w:firstLineChars="23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14:paraId="5A3D7EA0">
      <w:pPr>
        <w:pStyle w:val="16"/>
        <w:keepLines w:val="0"/>
        <w:pageBreakBefore w:val="0"/>
        <w:kinsoku/>
        <w:overflowPunct/>
        <w:topLinePunct w:val="0"/>
        <w:autoSpaceDE/>
        <w:autoSpaceDN/>
        <w:bidi w:val="0"/>
        <w:adjustRightInd/>
        <w:spacing w:line="420" w:lineRule="exact"/>
        <w:textAlignment w:val="auto"/>
        <w:rPr>
          <w:rFonts w:hint="eastAsia" w:ascii="宋体" w:hAnsi="宋体" w:eastAsia="宋体" w:cs="宋体"/>
          <w:b/>
          <w:bCs/>
          <w:color w:val="auto"/>
          <w:sz w:val="21"/>
          <w:szCs w:val="21"/>
          <w:highlight w:val="none"/>
          <w:lang w:val="en-US" w:eastAsia="zh-CN"/>
        </w:rPr>
      </w:pPr>
    </w:p>
    <w:p w14:paraId="254DEF39">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   </w:t>
      </w:r>
    </w:p>
    <w:p w14:paraId="63C8174A">
      <w:pPr>
        <w:pStyle w:val="16"/>
        <w:rPr>
          <w:rFonts w:hint="eastAsia" w:ascii="宋体" w:hAnsi="宋体" w:eastAsia="宋体" w:cs="宋体"/>
          <w:color w:val="auto"/>
          <w:lang w:val="en-US" w:eastAsia="zh-CN"/>
        </w:rPr>
      </w:pPr>
    </w:p>
    <w:p w14:paraId="6A398C77">
      <w:pPr>
        <w:rPr>
          <w:rFonts w:hint="eastAsia" w:ascii="宋体" w:hAnsi="宋体" w:eastAsia="宋体" w:cs="宋体"/>
          <w:b/>
          <w:bCs/>
          <w:color w:val="auto"/>
          <w:sz w:val="24"/>
          <w:szCs w:val="24"/>
          <w:highlight w:val="none"/>
          <w:lang w:val="en-US" w:eastAsia="zh-CN"/>
        </w:rPr>
      </w:pPr>
    </w:p>
    <w:p w14:paraId="30D371FD">
      <w:pPr>
        <w:pStyle w:val="16"/>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（2）供应商须具备建筑工程施工总承包叁级（含叁级）以上资质，同时具备建设行政主管部门颁发有效的安全生产许可证；</w:t>
      </w:r>
    </w:p>
    <w:p w14:paraId="2806C6F8">
      <w:pPr>
        <w:pStyle w:val="16"/>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sz w:val="21"/>
          <w:szCs w:val="21"/>
          <w:highlight w:val="none"/>
          <w:lang w:val="en-US" w:eastAsia="zh-CN"/>
        </w:rPr>
      </w:pPr>
    </w:p>
    <w:p w14:paraId="623B2DE2">
      <w:pPr>
        <w:pStyle w:val="16"/>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val="en-US" w:eastAsia="zh-CN"/>
        </w:rPr>
      </w:pPr>
    </w:p>
    <w:p w14:paraId="63932FD8">
      <w:pPr>
        <w:rPr>
          <w:rFonts w:hint="eastAsia" w:ascii="宋体" w:hAnsi="宋体" w:eastAsia="宋体" w:cs="宋体"/>
          <w:color w:val="auto"/>
          <w:highlight w:val="none"/>
        </w:rPr>
      </w:pPr>
    </w:p>
    <w:p w14:paraId="607CEE1E">
      <w:pPr>
        <w:pStyle w:val="35"/>
        <w:rPr>
          <w:rFonts w:hint="eastAsia" w:ascii="宋体" w:hAnsi="宋体" w:eastAsia="宋体" w:cs="宋体"/>
          <w:color w:val="auto"/>
          <w:highlight w:val="none"/>
        </w:rPr>
      </w:pPr>
    </w:p>
    <w:p w14:paraId="2691A5C1">
      <w:pPr>
        <w:pStyle w:val="36"/>
        <w:rPr>
          <w:rFonts w:hint="eastAsia" w:ascii="宋体" w:hAnsi="宋体" w:eastAsia="宋体" w:cs="宋体"/>
          <w:color w:val="auto"/>
          <w:highlight w:val="none"/>
        </w:rPr>
      </w:pPr>
    </w:p>
    <w:p w14:paraId="4D206B26">
      <w:pPr>
        <w:pStyle w:val="16"/>
        <w:rPr>
          <w:rFonts w:hint="eastAsia" w:ascii="宋体" w:hAnsi="宋体" w:eastAsia="宋体" w:cs="宋体"/>
          <w:color w:val="auto"/>
          <w:highlight w:val="none"/>
        </w:rPr>
      </w:pPr>
    </w:p>
    <w:p w14:paraId="150F35F4">
      <w:pPr>
        <w:rPr>
          <w:rFonts w:hint="eastAsia" w:ascii="宋体" w:hAnsi="宋体" w:eastAsia="宋体" w:cs="宋体"/>
          <w:color w:val="auto"/>
          <w:highlight w:val="none"/>
        </w:rPr>
      </w:pPr>
    </w:p>
    <w:p w14:paraId="736BFCB1">
      <w:pPr>
        <w:pStyle w:val="35"/>
        <w:rPr>
          <w:rFonts w:hint="eastAsia" w:ascii="宋体" w:hAnsi="宋体" w:eastAsia="宋体" w:cs="宋体"/>
          <w:color w:val="auto"/>
          <w:highlight w:val="none"/>
        </w:rPr>
      </w:pPr>
    </w:p>
    <w:p w14:paraId="5FE5DEC3">
      <w:pPr>
        <w:pStyle w:val="36"/>
        <w:rPr>
          <w:rFonts w:hint="eastAsia" w:ascii="宋体" w:hAnsi="宋体" w:eastAsia="宋体" w:cs="宋体"/>
          <w:color w:val="auto"/>
          <w:highlight w:val="none"/>
        </w:rPr>
      </w:pPr>
    </w:p>
    <w:p w14:paraId="598A4064">
      <w:pPr>
        <w:pStyle w:val="16"/>
        <w:rPr>
          <w:rFonts w:hint="eastAsia" w:ascii="宋体" w:hAnsi="宋体" w:eastAsia="宋体" w:cs="宋体"/>
          <w:color w:val="auto"/>
          <w:highlight w:val="none"/>
        </w:rPr>
      </w:pPr>
    </w:p>
    <w:p w14:paraId="4ADD3499">
      <w:pPr>
        <w:rPr>
          <w:rFonts w:hint="eastAsia" w:ascii="宋体" w:hAnsi="宋体" w:eastAsia="宋体" w:cs="宋体"/>
          <w:color w:val="auto"/>
          <w:highlight w:val="none"/>
        </w:rPr>
      </w:pPr>
    </w:p>
    <w:p w14:paraId="58568747">
      <w:pPr>
        <w:pStyle w:val="35"/>
        <w:rPr>
          <w:rFonts w:hint="eastAsia" w:ascii="宋体" w:hAnsi="宋体" w:eastAsia="宋体" w:cs="宋体"/>
          <w:color w:val="auto"/>
          <w:highlight w:val="none"/>
        </w:rPr>
      </w:pPr>
    </w:p>
    <w:p w14:paraId="1B77EB48">
      <w:pPr>
        <w:pStyle w:val="36"/>
        <w:rPr>
          <w:rFonts w:hint="eastAsia" w:ascii="宋体" w:hAnsi="宋体" w:eastAsia="宋体" w:cs="宋体"/>
          <w:color w:val="auto"/>
          <w:highlight w:val="none"/>
        </w:rPr>
      </w:pPr>
    </w:p>
    <w:p w14:paraId="77D90679">
      <w:pPr>
        <w:pStyle w:val="16"/>
        <w:rPr>
          <w:rFonts w:hint="eastAsia" w:ascii="宋体" w:hAnsi="宋体" w:eastAsia="宋体" w:cs="宋体"/>
          <w:color w:val="auto"/>
          <w:highlight w:val="none"/>
        </w:rPr>
      </w:pPr>
    </w:p>
    <w:p w14:paraId="4487793D">
      <w:pPr>
        <w:rPr>
          <w:rFonts w:hint="eastAsia" w:ascii="宋体" w:hAnsi="宋体" w:eastAsia="宋体" w:cs="宋体"/>
          <w:color w:val="auto"/>
          <w:highlight w:val="none"/>
        </w:rPr>
      </w:pPr>
    </w:p>
    <w:p w14:paraId="1795A6E4">
      <w:pPr>
        <w:pStyle w:val="35"/>
        <w:rPr>
          <w:rFonts w:hint="eastAsia" w:ascii="宋体" w:hAnsi="宋体" w:eastAsia="宋体" w:cs="宋体"/>
          <w:color w:val="auto"/>
          <w:highlight w:val="none"/>
        </w:rPr>
      </w:pPr>
    </w:p>
    <w:p w14:paraId="56A12CE8">
      <w:pPr>
        <w:pStyle w:val="36"/>
        <w:rPr>
          <w:rFonts w:hint="eastAsia" w:ascii="宋体" w:hAnsi="宋体" w:eastAsia="宋体" w:cs="宋体"/>
          <w:color w:val="auto"/>
          <w:highlight w:val="none"/>
        </w:rPr>
      </w:pPr>
    </w:p>
    <w:p w14:paraId="6EC596FB">
      <w:pPr>
        <w:pStyle w:val="16"/>
        <w:rPr>
          <w:rFonts w:hint="eastAsia" w:ascii="宋体" w:hAnsi="宋体" w:eastAsia="宋体" w:cs="宋体"/>
          <w:color w:val="auto"/>
          <w:highlight w:val="none"/>
        </w:rPr>
      </w:pPr>
    </w:p>
    <w:p w14:paraId="340B62A9">
      <w:pPr>
        <w:rPr>
          <w:rFonts w:hint="eastAsia" w:ascii="宋体" w:hAnsi="宋体" w:eastAsia="宋体" w:cs="宋体"/>
          <w:color w:val="auto"/>
          <w:highlight w:val="none"/>
        </w:rPr>
      </w:pPr>
    </w:p>
    <w:p w14:paraId="51B2AC2A">
      <w:pPr>
        <w:pStyle w:val="35"/>
        <w:rPr>
          <w:rFonts w:hint="eastAsia" w:ascii="宋体" w:hAnsi="宋体" w:eastAsia="宋体" w:cs="宋体"/>
          <w:color w:val="auto"/>
          <w:highlight w:val="none"/>
        </w:rPr>
      </w:pPr>
    </w:p>
    <w:p w14:paraId="04CA481C">
      <w:pPr>
        <w:pStyle w:val="36"/>
        <w:rPr>
          <w:rFonts w:hint="eastAsia" w:ascii="宋体" w:hAnsi="宋体" w:eastAsia="宋体" w:cs="宋体"/>
          <w:color w:val="auto"/>
          <w:highlight w:val="none"/>
        </w:rPr>
      </w:pPr>
    </w:p>
    <w:p w14:paraId="2A3163C2">
      <w:pPr>
        <w:pStyle w:val="16"/>
        <w:rPr>
          <w:rFonts w:hint="eastAsia" w:ascii="宋体" w:hAnsi="宋体" w:eastAsia="宋体" w:cs="宋体"/>
          <w:color w:val="auto"/>
          <w:highlight w:val="none"/>
        </w:rPr>
      </w:pPr>
    </w:p>
    <w:p w14:paraId="642CA948">
      <w:pPr>
        <w:rPr>
          <w:rFonts w:hint="eastAsia" w:ascii="宋体" w:hAnsi="宋体" w:eastAsia="宋体" w:cs="宋体"/>
          <w:color w:val="auto"/>
          <w:highlight w:val="none"/>
        </w:rPr>
      </w:pPr>
    </w:p>
    <w:p w14:paraId="723D3576">
      <w:pPr>
        <w:pStyle w:val="35"/>
        <w:rPr>
          <w:rFonts w:hint="eastAsia" w:ascii="宋体" w:hAnsi="宋体" w:eastAsia="宋体" w:cs="宋体"/>
          <w:color w:val="auto"/>
          <w:highlight w:val="none"/>
        </w:rPr>
      </w:pPr>
    </w:p>
    <w:p w14:paraId="2C628C75">
      <w:pPr>
        <w:pStyle w:val="16"/>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（3）拟投入的项目经理须具备建筑工程专业贰级（含贰级）以上注册建造师执业资格和有效的安全生产考核B证，且未担任其他在建工程项目的项目经理（需提供企业书面承诺等证明材料）；</w:t>
      </w:r>
    </w:p>
    <w:p w14:paraId="0FF3C0A8">
      <w:pPr>
        <w:pStyle w:val="35"/>
        <w:keepNext w:val="0"/>
        <w:keepLines w:val="0"/>
        <w:pageBreakBefore w:val="0"/>
        <w:widowControl w:val="0"/>
        <w:numPr>
          <w:ilvl w:val="0"/>
          <w:numId w:val="0"/>
        </w:numPr>
        <w:kinsoku/>
        <w:wordWrap/>
        <w:overflowPunct/>
        <w:topLinePunct w:val="0"/>
        <w:autoSpaceDE/>
        <w:autoSpaceDN/>
        <w:bidi w:val="0"/>
        <w:snapToGrid/>
        <w:spacing w:line="420" w:lineRule="exact"/>
        <w:rPr>
          <w:rFonts w:hint="eastAsia" w:ascii="宋体" w:hAnsi="宋体" w:eastAsia="宋体" w:cs="宋体"/>
          <w:color w:val="auto"/>
          <w:highlight w:val="none"/>
          <w:lang w:val="en-US" w:eastAsia="zh-CN"/>
        </w:rPr>
      </w:pPr>
    </w:p>
    <w:p w14:paraId="51EAE836">
      <w:pPr>
        <w:pStyle w:val="36"/>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color w:val="auto"/>
          <w:highlight w:val="none"/>
          <w:lang w:val="en-US" w:eastAsia="zh-CN"/>
        </w:rPr>
      </w:pPr>
    </w:p>
    <w:p w14:paraId="56B62036">
      <w:pPr>
        <w:keepNext w:val="0"/>
        <w:keepLines w:val="0"/>
        <w:pageBreakBefore w:val="0"/>
        <w:widowControl w:val="0"/>
        <w:kinsoku/>
        <w:wordWrap/>
        <w:overflowPunct/>
        <w:topLinePunct w:val="0"/>
        <w:autoSpaceDE/>
        <w:autoSpaceDN/>
        <w:bidi w:val="0"/>
        <w:snapToGrid/>
        <w:spacing w:line="420" w:lineRule="exact"/>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附件：</w:t>
      </w:r>
    </w:p>
    <w:p w14:paraId="3F699698">
      <w:pPr>
        <w:keepNext w:val="0"/>
        <w:keepLines w:val="0"/>
        <w:pageBreakBefore w:val="0"/>
        <w:widowControl w:val="0"/>
        <w:kinsoku/>
        <w:wordWrap/>
        <w:overflowPunct/>
        <w:topLinePunct w:val="0"/>
        <w:autoSpaceDE/>
        <w:autoSpaceDN/>
        <w:bidi w:val="0"/>
        <w:snapToGrid/>
        <w:spacing w:line="42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项目经理无在建</w:t>
      </w:r>
      <w:r>
        <w:rPr>
          <w:rFonts w:hint="eastAsia" w:ascii="宋体" w:hAnsi="宋体" w:eastAsia="宋体" w:cs="宋体"/>
          <w:b/>
          <w:color w:val="auto"/>
          <w:sz w:val="21"/>
          <w:szCs w:val="21"/>
          <w:highlight w:val="none"/>
        </w:rPr>
        <w:t>承诺书</w:t>
      </w:r>
    </w:p>
    <w:p w14:paraId="106A8569">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采购人</w:t>
      </w:r>
      <w:r>
        <w:rPr>
          <w:rFonts w:hint="eastAsia" w:ascii="宋体" w:hAnsi="宋体" w:eastAsia="宋体" w:cs="宋体"/>
          <w:color w:val="auto"/>
          <w:sz w:val="21"/>
          <w:szCs w:val="21"/>
          <w:highlight w:val="none"/>
          <w:u w:val="single"/>
        </w:rPr>
        <w:t>名称）</w:t>
      </w:r>
      <w:r>
        <w:rPr>
          <w:rFonts w:hint="eastAsia" w:ascii="宋体" w:hAnsi="宋体" w:eastAsia="宋体" w:cs="宋体"/>
          <w:color w:val="auto"/>
          <w:sz w:val="21"/>
          <w:szCs w:val="21"/>
          <w:highlight w:val="none"/>
        </w:rPr>
        <w:t>：</w:t>
      </w:r>
    </w:p>
    <w:p w14:paraId="4D12DD06">
      <w:pPr>
        <w:keepNext w:val="0"/>
        <w:keepLines w:val="0"/>
        <w:pageBreakBefore w:val="0"/>
        <w:widowControl w:val="0"/>
        <w:kinsoku/>
        <w:wordWrap/>
        <w:overflowPunct/>
        <w:topLinePunct w:val="0"/>
        <w:autoSpaceDE/>
        <w:autoSpaceDN/>
        <w:bidi w:val="0"/>
        <w:snapToGrid/>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我方在此声明，我方拟派往</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（以下简称“本工程”）的项目经理</w:t>
      </w:r>
      <w:r>
        <w:rPr>
          <w:rFonts w:hint="eastAsia" w:ascii="宋体" w:hAnsi="宋体" w:eastAsia="宋体" w:cs="宋体"/>
          <w:color w:val="auto"/>
          <w:sz w:val="21"/>
          <w:szCs w:val="21"/>
          <w:highlight w:val="none"/>
          <w:u w:val="single"/>
        </w:rPr>
        <w:t>（项目经理姓名）</w:t>
      </w:r>
      <w:r>
        <w:rPr>
          <w:rFonts w:hint="eastAsia" w:ascii="宋体" w:hAnsi="宋体" w:eastAsia="宋体" w:cs="宋体"/>
          <w:color w:val="auto"/>
          <w:sz w:val="21"/>
          <w:szCs w:val="21"/>
          <w:highlight w:val="none"/>
        </w:rPr>
        <w:t>现阶段没有担任任何在施建设工程项目的项目经理。</w:t>
      </w:r>
    </w:p>
    <w:p w14:paraId="39E58036">
      <w:pPr>
        <w:keepNext w:val="0"/>
        <w:keepLines w:val="0"/>
        <w:pageBreakBefore w:val="0"/>
        <w:widowControl w:val="0"/>
        <w:kinsoku/>
        <w:wordWrap/>
        <w:overflowPunct/>
        <w:topLinePunct w:val="0"/>
        <w:autoSpaceDE/>
        <w:autoSpaceDN/>
        <w:bidi w:val="0"/>
        <w:snapToGrid/>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我方保证上述信息的真实和准确，并愿意承担因我方就此弄虚作假所引起的一切法律后果。</w:t>
      </w:r>
    </w:p>
    <w:p w14:paraId="15F18406">
      <w:pPr>
        <w:keepNext w:val="0"/>
        <w:keepLines w:val="0"/>
        <w:pageBreakBefore w:val="0"/>
        <w:widowControl w:val="0"/>
        <w:kinsoku/>
        <w:wordWrap/>
        <w:overflowPunct/>
        <w:topLinePunct w:val="0"/>
        <w:autoSpaceDE/>
        <w:autoSpaceDN/>
        <w:bidi w:val="0"/>
        <w:snapToGrid/>
        <w:spacing w:line="42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特此承诺</w:t>
      </w:r>
      <w:r>
        <w:rPr>
          <w:rFonts w:hint="eastAsia" w:ascii="宋体" w:hAnsi="宋体" w:eastAsia="宋体" w:cs="宋体"/>
          <w:color w:val="auto"/>
          <w:sz w:val="21"/>
          <w:szCs w:val="21"/>
          <w:highlight w:val="none"/>
          <w:lang w:eastAsia="zh-CN"/>
        </w:rPr>
        <w:t>。</w:t>
      </w:r>
    </w:p>
    <w:p w14:paraId="2A200468">
      <w:pPr>
        <w:keepNext w:val="0"/>
        <w:keepLines w:val="0"/>
        <w:pageBreakBefore w:val="0"/>
        <w:widowControl w:val="0"/>
        <w:kinsoku/>
        <w:wordWrap/>
        <w:overflowPunct/>
        <w:topLinePunct w:val="0"/>
        <w:autoSpaceDE/>
        <w:autoSpaceDN/>
        <w:bidi w:val="0"/>
        <w:snapToGrid/>
        <w:spacing w:line="420" w:lineRule="exact"/>
        <w:ind w:firstLine="420" w:firstLineChars="200"/>
        <w:rPr>
          <w:rFonts w:hint="eastAsia" w:ascii="宋体" w:hAnsi="宋体" w:eastAsia="宋体" w:cs="宋体"/>
          <w:color w:val="auto"/>
          <w:sz w:val="21"/>
          <w:szCs w:val="21"/>
          <w:highlight w:val="none"/>
        </w:rPr>
      </w:pPr>
    </w:p>
    <w:p w14:paraId="5E933B72">
      <w:pPr>
        <w:keepNext w:val="0"/>
        <w:keepLines w:val="0"/>
        <w:pageBreakBefore w:val="0"/>
        <w:widowControl w:val="0"/>
        <w:kinsoku/>
        <w:wordWrap/>
        <w:overflowPunct/>
        <w:topLinePunct w:val="0"/>
        <w:autoSpaceDE/>
        <w:autoSpaceDN/>
        <w:bidi w:val="0"/>
        <w:snapToGrid/>
        <w:spacing w:line="420" w:lineRule="exact"/>
        <w:ind w:firstLine="420" w:firstLineChars="200"/>
        <w:rPr>
          <w:rFonts w:hint="eastAsia" w:ascii="宋体" w:hAnsi="宋体" w:eastAsia="宋体" w:cs="宋体"/>
          <w:color w:val="auto"/>
          <w:sz w:val="21"/>
          <w:szCs w:val="21"/>
          <w:highlight w:val="none"/>
        </w:rPr>
      </w:pPr>
    </w:p>
    <w:p w14:paraId="7C75E820">
      <w:pPr>
        <w:keepNext w:val="0"/>
        <w:keepLines w:val="0"/>
        <w:pageBreakBefore w:val="0"/>
        <w:widowControl w:val="0"/>
        <w:kinsoku/>
        <w:wordWrap/>
        <w:overflowPunct/>
        <w:topLinePunct w:val="0"/>
        <w:autoSpaceDE/>
        <w:autoSpaceDN/>
        <w:bidi w:val="0"/>
        <w:snapToGrid/>
        <w:spacing w:line="420" w:lineRule="exact"/>
        <w:ind w:firstLine="420" w:firstLineChars="200"/>
        <w:rPr>
          <w:rFonts w:hint="eastAsia" w:ascii="宋体" w:hAnsi="宋体" w:eastAsia="宋体" w:cs="宋体"/>
          <w:color w:val="auto"/>
          <w:sz w:val="21"/>
          <w:szCs w:val="21"/>
          <w:highlight w:val="none"/>
        </w:rPr>
      </w:pPr>
    </w:p>
    <w:p w14:paraId="3858718F">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color w:val="auto"/>
          <w:sz w:val="21"/>
          <w:szCs w:val="21"/>
          <w:highlight w:val="none"/>
        </w:rPr>
      </w:pPr>
    </w:p>
    <w:p w14:paraId="3AC5BFC8">
      <w:pPr>
        <w:keepNext w:val="0"/>
        <w:keepLines w:val="0"/>
        <w:pageBreakBefore w:val="0"/>
        <w:widowControl w:val="0"/>
        <w:kinsoku/>
        <w:wordWrap/>
        <w:overflowPunct/>
        <w:topLinePunct w:val="0"/>
        <w:autoSpaceDE/>
        <w:autoSpaceDN/>
        <w:bidi w:val="0"/>
        <w:snapToGrid/>
        <w:spacing w:line="420" w:lineRule="exact"/>
        <w:ind w:firstLine="3360" w:firstLineChars="16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（盖章）：</w:t>
      </w:r>
    </w:p>
    <w:p w14:paraId="41A3E251">
      <w:pPr>
        <w:keepNext w:val="0"/>
        <w:keepLines w:val="0"/>
        <w:pageBreakBefore w:val="0"/>
        <w:widowControl w:val="0"/>
        <w:kinsoku/>
        <w:wordWrap/>
        <w:overflowPunct/>
        <w:topLinePunct w:val="0"/>
        <w:autoSpaceDE/>
        <w:autoSpaceDN/>
        <w:bidi w:val="0"/>
        <w:snapToGrid/>
        <w:spacing w:line="420" w:lineRule="exact"/>
        <w:ind w:firstLine="3360" w:firstLineChars="1600"/>
        <w:rPr>
          <w:rFonts w:hint="eastAsia" w:ascii="宋体" w:hAnsi="宋体" w:eastAsia="宋体" w:cs="宋体"/>
          <w:bCs/>
          <w:color w:val="auto"/>
          <w:sz w:val="21"/>
          <w:szCs w:val="21"/>
          <w:highlight w:val="none"/>
          <w:u w:val="single"/>
          <w:lang w:eastAsia="zh-CN"/>
        </w:rPr>
      </w:pPr>
      <w:r>
        <w:rPr>
          <w:rFonts w:hint="eastAsia" w:ascii="宋体" w:hAnsi="宋体" w:eastAsia="宋体" w:cs="宋体"/>
          <w:color w:val="auto"/>
          <w:sz w:val="21"/>
          <w:szCs w:val="21"/>
          <w:highlight w:val="none"/>
        </w:rPr>
        <w:t>法定代表人或其授权代表</w:t>
      </w:r>
      <w:r>
        <w:rPr>
          <w:rFonts w:hint="eastAsia" w:ascii="宋体" w:hAnsi="宋体" w:eastAsia="宋体" w:cs="宋体"/>
          <w:bCs/>
          <w:color w:val="auto"/>
          <w:sz w:val="21"/>
          <w:szCs w:val="21"/>
          <w:highlight w:val="none"/>
        </w:rPr>
        <w:t>（签字或盖章）：</w:t>
      </w:r>
    </w:p>
    <w:p w14:paraId="63CDA7E3">
      <w:pPr>
        <w:keepNext w:val="0"/>
        <w:keepLines w:val="0"/>
        <w:pageBreakBefore w:val="0"/>
        <w:widowControl w:val="0"/>
        <w:kinsoku/>
        <w:wordWrap/>
        <w:overflowPunct/>
        <w:topLinePunct w:val="0"/>
        <w:autoSpaceDE/>
        <w:autoSpaceDN/>
        <w:bidi w:val="0"/>
        <w:snapToGrid/>
        <w:spacing w:line="420" w:lineRule="exact"/>
        <w:ind w:firstLine="3360" w:firstLineChars="16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日期：</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日</w:t>
      </w:r>
    </w:p>
    <w:p w14:paraId="70D72FF0">
      <w:pPr>
        <w:pStyle w:val="16"/>
        <w:rPr>
          <w:rFonts w:hint="eastAsia" w:ascii="宋体" w:hAnsi="宋体" w:eastAsia="宋体" w:cs="宋体"/>
          <w:color w:val="auto"/>
          <w:highlight w:val="none"/>
          <w:lang w:val="en-US" w:eastAsia="zh-CN"/>
        </w:rPr>
      </w:pPr>
    </w:p>
    <w:p w14:paraId="3057A485">
      <w:pPr>
        <w:rPr>
          <w:rFonts w:hint="eastAsia" w:ascii="宋体" w:hAnsi="宋体" w:eastAsia="宋体" w:cs="宋体"/>
          <w:color w:val="auto"/>
          <w:highlight w:val="none"/>
          <w:lang w:val="en-US" w:eastAsia="zh-CN"/>
        </w:rPr>
      </w:pPr>
    </w:p>
    <w:p w14:paraId="0919B541">
      <w:pPr>
        <w:pStyle w:val="35"/>
        <w:rPr>
          <w:rFonts w:hint="eastAsia" w:ascii="宋体" w:hAnsi="宋体" w:eastAsia="宋体" w:cs="宋体"/>
          <w:color w:val="auto"/>
          <w:highlight w:val="none"/>
          <w:lang w:val="en-US" w:eastAsia="zh-CN"/>
        </w:rPr>
      </w:pPr>
    </w:p>
    <w:p w14:paraId="04152826">
      <w:pPr>
        <w:pStyle w:val="36"/>
        <w:rPr>
          <w:rFonts w:hint="eastAsia" w:ascii="宋体" w:hAnsi="宋体" w:eastAsia="宋体" w:cs="宋体"/>
          <w:color w:val="auto"/>
          <w:highlight w:val="none"/>
          <w:lang w:val="en-US" w:eastAsia="zh-CN"/>
        </w:rPr>
      </w:pPr>
    </w:p>
    <w:p w14:paraId="06C14626">
      <w:pPr>
        <w:pStyle w:val="16"/>
        <w:rPr>
          <w:rFonts w:hint="eastAsia" w:ascii="宋体" w:hAnsi="宋体" w:eastAsia="宋体" w:cs="宋体"/>
          <w:color w:val="auto"/>
          <w:highlight w:val="none"/>
          <w:lang w:val="en-US" w:eastAsia="zh-CN"/>
        </w:rPr>
      </w:pPr>
    </w:p>
    <w:p w14:paraId="6489BD28">
      <w:pPr>
        <w:rPr>
          <w:rFonts w:hint="eastAsia" w:ascii="宋体" w:hAnsi="宋体" w:eastAsia="宋体" w:cs="宋体"/>
          <w:color w:val="auto"/>
          <w:highlight w:val="none"/>
          <w:lang w:val="en-US" w:eastAsia="zh-CN"/>
        </w:rPr>
      </w:pPr>
    </w:p>
    <w:p w14:paraId="427A2263">
      <w:pPr>
        <w:rPr>
          <w:rFonts w:hint="eastAsia" w:ascii="宋体" w:hAnsi="宋体" w:eastAsia="宋体" w:cs="宋体"/>
          <w:color w:val="auto"/>
          <w:highlight w:val="none"/>
          <w:lang w:val="en-US" w:eastAsia="zh-CN"/>
        </w:rPr>
      </w:pPr>
    </w:p>
    <w:p w14:paraId="2444DF55">
      <w:pPr>
        <w:pStyle w:val="35"/>
        <w:rPr>
          <w:rFonts w:hint="eastAsia" w:ascii="宋体" w:hAnsi="宋体" w:eastAsia="宋体" w:cs="宋体"/>
          <w:color w:val="auto"/>
          <w:highlight w:val="none"/>
          <w:lang w:val="en-US" w:eastAsia="zh-CN"/>
        </w:rPr>
      </w:pPr>
    </w:p>
    <w:p w14:paraId="0D832DB0">
      <w:pPr>
        <w:pStyle w:val="36"/>
        <w:rPr>
          <w:rFonts w:hint="eastAsia" w:ascii="宋体" w:hAnsi="宋体" w:eastAsia="宋体" w:cs="宋体"/>
          <w:color w:val="auto"/>
          <w:highlight w:val="none"/>
          <w:lang w:val="en-US" w:eastAsia="zh-CN"/>
        </w:rPr>
      </w:pPr>
    </w:p>
    <w:p w14:paraId="5580AA64">
      <w:pPr>
        <w:pStyle w:val="16"/>
        <w:rPr>
          <w:rFonts w:hint="eastAsia" w:ascii="宋体" w:hAnsi="宋体" w:eastAsia="宋体" w:cs="宋体"/>
          <w:color w:val="auto"/>
          <w:lang w:val="en-US" w:eastAsia="zh-CN"/>
        </w:rPr>
      </w:pPr>
    </w:p>
    <w:p w14:paraId="56DCDD70">
      <w:pPr>
        <w:pStyle w:val="36"/>
        <w:rPr>
          <w:rFonts w:hint="eastAsia" w:ascii="宋体" w:hAnsi="宋体" w:eastAsia="宋体" w:cs="宋体"/>
          <w:color w:val="auto"/>
          <w:lang w:val="en-US" w:eastAsia="zh-CN"/>
        </w:rPr>
      </w:pPr>
    </w:p>
    <w:p w14:paraId="40A9548C">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highlight w:val="none"/>
          <w:lang w:val="en-US" w:eastAsia="zh-CN"/>
        </w:rPr>
      </w:pPr>
    </w:p>
    <w:p w14:paraId="6E403BD2">
      <w:pPr>
        <w:pStyle w:val="16"/>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kern w:val="2"/>
          <w:sz w:val="21"/>
          <w:szCs w:val="21"/>
          <w:highlight w:val="none"/>
          <w:lang w:val="en-US" w:eastAsia="zh-CN" w:bidi="ar-SA"/>
        </w:rPr>
        <w:t>）供应商及其拟派项目经理须在“陕西省住房和城乡建设厅”官方网站可查询；</w:t>
      </w:r>
    </w:p>
    <w:p w14:paraId="2579A359">
      <w:pPr>
        <w:pStyle w:val="16"/>
        <w:numPr>
          <w:ilvl w:val="0"/>
          <w:numId w:val="0"/>
        </w:numPr>
        <w:rPr>
          <w:rFonts w:hint="eastAsia" w:ascii="宋体" w:hAnsi="宋体" w:cs="宋体"/>
          <w:color w:val="auto"/>
          <w:sz w:val="21"/>
          <w:szCs w:val="21"/>
          <w:highlight w:val="none"/>
          <w:lang w:val="en-US" w:eastAsia="zh-CN"/>
        </w:rPr>
      </w:pPr>
    </w:p>
    <w:p w14:paraId="63A43642">
      <w:pPr>
        <w:pStyle w:val="16"/>
        <w:numPr>
          <w:ilvl w:val="0"/>
          <w:numId w:val="0"/>
        </w:numPr>
        <w:rPr>
          <w:rFonts w:hint="eastAsia" w:ascii="宋体" w:hAnsi="宋体" w:cs="宋体"/>
          <w:color w:val="auto"/>
          <w:sz w:val="21"/>
          <w:szCs w:val="21"/>
          <w:highlight w:val="none"/>
          <w:lang w:val="en-US" w:eastAsia="zh-CN"/>
        </w:rPr>
      </w:pPr>
    </w:p>
    <w:p w14:paraId="77D1D708">
      <w:pPr>
        <w:pStyle w:val="16"/>
        <w:numPr>
          <w:ilvl w:val="0"/>
          <w:numId w:val="0"/>
        </w:numPr>
        <w:rPr>
          <w:rFonts w:hint="eastAsia" w:ascii="宋体" w:hAnsi="宋体" w:cs="宋体"/>
          <w:color w:val="auto"/>
          <w:sz w:val="21"/>
          <w:szCs w:val="21"/>
          <w:highlight w:val="none"/>
          <w:lang w:val="en-US" w:eastAsia="zh-CN"/>
        </w:rPr>
      </w:pPr>
    </w:p>
    <w:p w14:paraId="07CAE06E">
      <w:pPr>
        <w:pStyle w:val="16"/>
        <w:numPr>
          <w:ilvl w:val="0"/>
          <w:numId w:val="0"/>
        </w:numPr>
        <w:rPr>
          <w:rFonts w:hint="eastAsia" w:ascii="宋体" w:hAnsi="宋体" w:cs="宋体"/>
          <w:color w:val="auto"/>
          <w:sz w:val="21"/>
          <w:szCs w:val="21"/>
          <w:highlight w:val="none"/>
          <w:lang w:val="en-US" w:eastAsia="zh-CN"/>
        </w:rPr>
      </w:pPr>
    </w:p>
    <w:p w14:paraId="0FC50B46">
      <w:pPr>
        <w:pStyle w:val="16"/>
        <w:numPr>
          <w:ilvl w:val="0"/>
          <w:numId w:val="0"/>
        </w:numPr>
        <w:rPr>
          <w:rFonts w:hint="eastAsia" w:ascii="宋体" w:hAnsi="宋体" w:cs="宋体"/>
          <w:color w:val="auto"/>
          <w:sz w:val="21"/>
          <w:szCs w:val="21"/>
          <w:highlight w:val="none"/>
          <w:lang w:val="en-US" w:eastAsia="zh-CN"/>
        </w:rPr>
      </w:pPr>
    </w:p>
    <w:p w14:paraId="13EC0569">
      <w:pPr>
        <w:pStyle w:val="16"/>
        <w:numPr>
          <w:ilvl w:val="0"/>
          <w:numId w:val="0"/>
        </w:numPr>
        <w:rPr>
          <w:rFonts w:hint="eastAsia" w:ascii="宋体" w:hAnsi="宋体" w:cs="宋体"/>
          <w:color w:val="auto"/>
          <w:sz w:val="21"/>
          <w:szCs w:val="21"/>
          <w:highlight w:val="none"/>
          <w:lang w:val="en-US" w:eastAsia="zh-CN"/>
        </w:rPr>
      </w:pPr>
    </w:p>
    <w:p w14:paraId="024D1AED">
      <w:pPr>
        <w:pStyle w:val="16"/>
        <w:numPr>
          <w:ilvl w:val="0"/>
          <w:numId w:val="0"/>
        </w:numPr>
        <w:rPr>
          <w:rFonts w:hint="eastAsia" w:ascii="宋体" w:hAnsi="宋体" w:cs="宋体"/>
          <w:color w:val="auto"/>
          <w:sz w:val="21"/>
          <w:szCs w:val="21"/>
          <w:highlight w:val="none"/>
          <w:lang w:val="en-US" w:eastAsia="zh-CN"/>
        </w:rPr>
      </w:pPr>
    </w:p>
    <w:p w14:paraId="22021AB1">
      <w:pPr>
        <w:pStyle w:val="16"/>
        <w:numPr>
          <w:ilvl w:val="0"/>
          <w:numId w:val="0"/>
        </w:numPr>
        <w:rPr>
          <w:rFonts w:hint="eastAsia" w:ascii="宋体" w:hAnsi="宋体" w:cs="宋体"/>
          <w:color w:val="auto"/>
          <w:sz w:val="21"/>
          <w:szCs w:val="21"/>
          <w:highlight w:val="none"/>
          <w:lang w:val="en-US" w:eastAsia="zh-CN"/>
        </w:rPr>
      </w:pPr>
    </w:p>
    <w:p w14:paraId="7A140469">
      <w:pPr>
        <w:pStyle w:val="16"/>
        <w:numPr>
          <w:ilvl w:val="0"/>
          <w:numId w:val="0"/>
        </w:numPr>
        <w:rPr>
          <w:rFonts w:hint="eastAsia" w:ascii="宋体" w:hAnsi="宋体" w:cs="宋体"/>
          <w:color w:val="auto"/>
          <w:sz w:val="21"/>
          <w:szCs w:val="21"/>
          <w:highlight w:val="none"/>
          <w:lang w:val="en-US" w:eastAsia="zh-CN"/>
        </w:rPr>
      </w:pPr>
    </w:p>
    <w:p w14:paraId="4BEB7F60">
      <w:pPr>
        <w:pStyle w:val="16"/>
        <w:numPr>
          <w:ilvl w:val="0"/>
          <w:numId w:val="0"/>
        </w:numPr>
        <w:rPr>
          <w:rFonts w:hint="eastAsia" w:ascii="宋体" w:hAnsi="宋体" w:cs="宋体"/>
          <w:color w:val="auto"/>
          <w:sz w:val="21"/>
          <w:szCs w:val="21"/>
          <w:highlight w:val="none"/>
          <w:lang w:val="en-US" w:eastAsia="zh-CN"/>
        </w:rPr>
      </w:pPr>
    </w:p>
    <w:p w14:paraId="325C7AE9">
      <w:pPr>
        <w:pStyle w:val="16"/>
        <w:numPr>
          <w:ilvl w:val="0"/>
          <w:numId w:val="0"/>
        </w:numPr>
        <w:rPr>
          <w:rFonts w:hint="eastAsia" w:ascii="宋体" w:hAnsi="宋体" w:cs="宋体"/>
          <w:color w:val="auto"/>
          <w:sz w:val="21"/>
          <w:szCs w:val="21"/>
          <w:highlight w:val="none"/>
          <w:lang w:val="en-US" w:eastAsia="zh-CN"/>
        </w:rPr>
      </w:pPr>
    </w:p>
    <w:p w14:paraId="421CA0A0">
      <w:pPr>
        <w:pStyle w:val="16"/>
        <w:numPr>
          <w:ilvl w:val="0"/>
          <w:numId w:val="0"/>
        </w:numPr>
        <w:rPr>
          <w:rFonts w:hint="eastAsia" w:ascii="宋体" w:hAnsi="宋体" w:cs="宋体"/>
          <w:color w:val="auto"/>
          <w:sz w:val="21"/>
          <w:szCs w:val="21"/>
          <w:highlight w:val="none"/>
          <w:lang w:val="en-US" w:eastAsia="zh-CN"/>
        </w:rPr>
      </w:pPr>
    </w:p>
    <w:p w14:paraId="1A67CDE9">
      <w:pPr>
        <w:pStyle w:val="16"/>
        <w:numPr>
          <w:ilvl w:val="0"/>
          <w:numId w:val="0"/>
        </w:numPr>
        <w:rPr>
          <w:rFonts w:hint="eastAsia" w:ascii="宋体" w:hAnsi="宋体" w:cs="宋体"/>
          <w:color w:val="auto"/>
          <w:sz w:val="21"/>
          <w:szCs w:val="21"/>
          <w:highlight w:val="none"/>
          <w:lang w:val="en-US" w:eastAsia="zh-CN"/>
        </w:rPr>
      </w:pPr>
    </w:p>
    <w:p w14:paraId="7406937E">
      <w:pPr>
        <w:pStyle w:val="16"/>
        <w:numPr>
          <w:ilvl w:val="0"/>
          <w:numId w:val="0"/>
        </w:numPr>
        <w:rPr>
          <w:rFonts w:hint="eastAsia" w:ascii="宋体" w:hAnsi="宋体" w:cs="宋体"/>
          <w:color w:val="auto"/>
          <w:sz w:val="21"/>
          <w:szCs w:val="21"/>
          <w:highlight w:val="none"/>
          <w:lang w:val="en-US" w:eastAsia="zh-CN"/>
        </w:rPr>
      </w:pPr>
    </w:p>
    <w:p w14:paraId="093EBB5A">
      <w:pPr>
        <w:pStyle w:val="16"/>
        <w:numPr>
          <w:ilvl w:val="0"/>
          <w:numId w:val="0"/>
        </w:numPr>
        <w:rPr>
          <w:rFonts w:hint="eastAsia" w:ascii="宋体" w:hAnsi="宋体" w:cs="宋体"/>
          <w:color w:val="auto"/>
          <w:sz w:val="21"/>
          <w:szCs w:val="21"/>
          <w:highlight w:val="none"/>
          <w:lang w:val="en-US" w:eastAsia="zh-CN"/>
        </w:rPr>
      </w:pPr>
    </w:p>
    <w:p w14:paraId="57F05E25">
      <w:pPr>
        <w:pStyle w:val="16"/>
        <w:numPr>
          <w:ilvl w:val="0"/>
          <w:numId w:val="0"/>
        </w:numPr>
        <w:rPr>
          <w:rFonts w:hint="eastAsia" w:ascii="宋体" w:hAnsi="宋体" w:cs="宋体"/>
          <w:color w:val="auto"/>
          <w:sz w:val="21"/>
          <w:szCs w:val="21"/>
          <w:highlight w:val="none"/>
          <w:lang w:val="en-US" w:eastAsia="zh-CN"/>
        </w:rPr>
      </w:pPr>
    </w:p>
    <w:p w14:paraId="25122065">
      <w:pPr>
        <w:pStyle w:val="16"/>
        <w:numPr>
          <w:ilvl w:val="0"/>
          <w:numId w:val="0"/>
        </w:numPr>
        <w:rPr>
          <w:rFonts w:hint="eastAsia" w:ascii="宋体" w:hAnsi="宋体" w:cs="宋体"/>
          <w:color w:val="auto"/>
          <w:sz w:val="21"/>
          <w:szCs w:val="21"/>
          <w:highlight w:val="none"/>
          <w:lang w:val="en-US" w:eastAsia="zh-CN"/>
        </w:rPr>
      </w:pPr>
    </w:p>
    <w:p w14:paraId="1AAD5CBE">
      <w:pPr>
        <w:pStyle w:val="16"/>
        <w:numPr>
          <w:ilvl w:val="0"/>
          <w:numId w:val="0"/>
        </w:numPr>
        <w:rPr>
          <w:rFonts w:hint="eastAsia" w:ascii="宋体" w:hAnsi="宋体" w:cs="宋体"/>
          <w:color w:val="auto"/>
          <w:sz w:val="21"/>
          <w:szCs w:val="21"/>
          <w:highlight w:val="none"/>
          <w:lang w:val="en-US" w:eastAsia="zh-CN"/>
        </w:rPr>
      </w:pPr>
    </w:p>
    <w:p w14:paraId="3AAED182">
      <w:pPr>
        <w:pStyle w:val="16"/>
        <w:numPr>
          <w:ilvl w:val="0"/>
          <w:numId w:val="0"/>
        </w:numPr>
        <w:rPr>
          <w:rFonts w:hint="eastAsia" w:ascii="宋体" w:hAnsi="宋体" w:cs="宋体"/>
          <w:color w:val="auto"/>
          <w:sz w:val="21"/>
          <w:szCs w:val="21"/>
          <w:highlight w:val="none"/>
          <w:lang w:val="en-US" w:eastAsia="zh-CN"/>
        </w:rPr>
      </w:pPr>
    </w:p>
    <w:p w14:paraId="3A673834">
      <w:pPr>
        <w:pStyle w:val="16"/>
        <w:numPr>
          <w:ilvl w:val="0"/>
          <w:numId w:val="0"/>
        </w:numPr>
        <w:rPr>
          <w:rFonts w:hint="eastAsia" w:ascii="宋体" w:hAnsi="宋体" w:cs="宋体"/>
          <w:color w:val="auto"/>
          <w:sz w:val="21"/>
          <w:szCs w:val="21"/>
          <w:highlight w:val="none"/>
          <w:lang w:val="en-US" w:eastAsia="zh-CN"/>
        </w:rPr>
      </w:pPr>
    </w:p>
    <w:p w14:paraId="0FC19270">
      <w:pPr>
        <w:pStyle w:val="16"/>
        <w:numPr>
          <w:ilvl w:val="0"/>
          <w:numId w:val="0"/>
        </w:numPr>
        <w:rPr>
          <w:rFonts w:hint="eastAsia" w:ascii="宋体" w:hAnsi="宋体" w:cs="宋体"/>
          <w:color w:val="auto"/>
          <w:sz w:val="21"/>
          <w:szCs w:val="21"/>
          <w:highlight w:val="none"/>
          <w:lang w:val="en-US" w:eastAsia="zh-CN"/>
        </w:rPr>
      </w:pPr>
    </w:p>
    <w:p w14:paraId="7AC6000B">
      <w:pPr>
        <w:pStyle w:val="16"/>
        <w:numPr>
          <w:ilvl w:val="0"/>
          <w:numId w:val="0"/>
        </w:numPr>
        <w:rPr>
          <w:rFonts w:hint="eastAsia" w:ascii="宋体" w:hAnsi="宋体" w:cs="宋体"/>
          <w:color w:val="auto"/>
          <w:sz w:val="21"/>
          <w:szCs w:val="21"/>
          <w:highlight w:val="none"/>
          <w:lang w:val="en-US" w:eastAsia="zh-CN"/>
        </w:rPr>
      </w:pPr>
    </w:p>
    <w:p w14:paraId="5EA2D4C7">
      <w:pPr>
        <w:pStyle w:val="16"/>
        <w:numPr>
          <w:ilvl w:val="0"/>
          <w:numId w:val="0"/>
        </w:numPr>
        <w:rPr>
          <w:rFonts w:hint="eastAsia" w:ascii="宋体" w:hAnsi="宋体" w:cs="宋体"/>
          <w:color w:val="auto"/>
          <w:sz w:val="21"/>
          <w:szCs w:val="21"/>
          <w:highlight w:val="none"/>
          <w:lang w:val="en-US" w:eastAsia="zh-CN"/>
        </w:rPr>
      </w:pPr>
    </w:p>
    <w:p w14:paraId="42585DD6">
      <w:pPr>
        <w:pStyle w:val="16"/>
        <w:numPr>
          <w:ilvl w:val="0"/>
          <w:numId w:val="0"/>
        </w:numPr>
        <w:rPr>
          <w:rFonts w:hint="eastAsia" w:ascii="宋体" w:hAnsi="宋体" w:cs="宋体"/>
          <w:color w:val="auto"/>
          <w:sz w:val="21"/>
          <w:szCs w:val="21"/>
          <w:highlight w:val="none"/>
          <w:lang w:val="en-US" w:eastAsia="zh-CN"/>
        </w:rPr>
      </w:pPr>
    </w:p>
    <w:p w14:paraId="66159AB4">
      <w:pPr>
        <w:pStyle w:val="16"/>
        <w:numPr>
          <w:ilvl w:val="0"/>
          <w:numId w:val="0"/>
        </w:numPr>
        <w:rPr>
          <w:rFonts w:hint="eastAsia" w:ascii="宋体" w:hAnsi="宋体" w:cs="宋体"/>
          <w:color w:val="auto"/>
          <w:sz w:val="21"/>
          <w:szCs w:val="21"/>
          <w:highlight w:val="none"/>
          <w:lang w:val="en-US" w:eastAsia="zh-CN"/>
        </w:rPr>
      </w:pPr>
    </w:p>
    <w:p w14:paraId="54CAC749">
      <w:pPr>
        <w:pStyle w:val="16"/>
        <w:numPr>
          <w:ilvl w:val="0"/>
          <w:numId w:val="0"/>
        </w:numPr>
        <w:rPr>
          <w:rFonts w:hint="eastAsia" w:ascii="宋体" w:hAnsi="宋体" w:cs="宋体"/>
          <w:color w:val="auto"/>
          <w:sz w:val="21"/>
          <w:szCs w:val="21"/>
          <w:highlight w:val="none"/>
          <w:lang w:val="en-US" w:eastAsia="zh-CN"/>
        </w:rPr>
      </w:pPr>
    </w:p>
    <w:p w14:paraId="4EF45953">
      <w:pPr>
        <w:pStyle w:val="16"/>
        <w:numPr>
          <w:ilvl w:val="0"/>
          <w:numId w:val="0"/>
        </w:numPr>
        <w:rPr>
          <w:rFonts w:hint="eastAsia" w:ascii="宋体" w:hAnsi="宋体" w:cs="宋体"/>
          <w:color w:val="auto"/>
          <w:sz w:val="21"/>
          <w:szCs w:val="21"/>
          <w:highlight w:val="none"/>
          <w:lang w:val="en-US" w:eastAsia="zh-CN"/>
        </w:rPr>
      </w:pPr>
    </w:p>
    <w:p w14:paraId="7B533B10">
      <w:pPr>
        <w:pStyle w:val="16"/>
        <w:numPr>
          <w:ilvl w:val="0"/>
          <w:numId w:val="0"/>
        </w:numPr>
        <w:rPr>
          <w:rFonts w:hint="eastAsia" w:ascii="宋体" w:hAnsi="宋体" w:cs="宋体"/>
          <w:color w:val="auto"/>
          <w:sz w:val="21"/>
          <w:szCs w:val="21"/>
          <w:highlight w:val="none"/>
          <w:lang w:val="en-US" w:eastAsia="zh-CN"/>
        </w:rPr>
      </w:pPr>
    </w:p>
    <w:p w14:paraId="7D68B229">
      <w:pPr>
        <w:pStyle w:val="16"/>
        <w:numPr>
          <w:ilvl w:val="0"/>
          <w:numId w:val="0"/>
        </w:numPr>
        <w:rPr>
          <w:rFonts w:hint="eastAsia" w:ascii="宋体" w:hAnsi="宋体" w:cs="宋体"/>
          <w:color w:val="auto"/>
          <w:sz w:val="21"/>
          <w:szCs w:val="21"/>
          <w:highlight w:val="none"/>
          <w:lang w:val="en-US" w:eastAsia="zh-CN"/>
        </w:rPr>
      </w:pPr>
    </w:p>
    <w:p w14:paraId="6781A43F">
      <w:pPr>
        <w:pStyle w:val="16"/>
        <w:numPr>
          <w:ilvl w:val="0"/>
          <w:numId w:val="0"/>
        </w:numPr>
        <w:rPr>
          <w:rFonts w:hint="eastAsia" w:ascii="宋体" w:hAnsi="宋体" w:cs="宋体"/>
          <w:color w:val="auto"/>
          <w:sz w:val="21"/>
          <w:szCs w:val="21"/>
          <w:highlight w:val="none"/>
          <w:lang w:val="en-US" w:eastAsia="zh-CN"/>
        </w:rPr>
      </w:pPr>
    </w:p>
    <w:p w14:paraId="485E919C">
      <w:pPr>
        <w:pStyle w:val="16"/>
        <w:numPr>
          <w:ilvl w:val="0"/>
          <w:numId w:val="0"/>
        </w:numPr>
        <w:rPr>
          <w:rFonts w:hint="eastAsia" w:ascii="宋体" w:hAnsi="宋体" w:cs="宋体"/>
          <w:color w:val="auto"/>
          <w:sz w:val="21"/>
          <w:szCs w:val="21"/>
          <w:highlight w:val="none"/>
          <w:lang w:val="en-US" w:eastAsia="zh-CN"/>
        </w:rPr>
      </w:pPr>
    </w:p>
    <w:p w14:paraId="208467EE">
      <w:pPr>
        <w:pStyle w:val="16"/>
        <w:numPr>
          <w:ilvl w:val="0"/>
          <w:numId w:val="0"/>
        </w:numPr>
        <w:rPr>
          <w:rFonts w:hint="eastAsia" w:ascii="宋体" w:hAnsi="宋体" w:cs="宋体"/>
          <w:color w:val="auto"/>
          <w:sz w:val="21"/>
          <w:szCs w:val="21"/>
          <w:highlight w:val="none"/>
          <w:lang w:val="en-US" w:eastAsia="zh-CN"/>
        </w:rPr>
      </w:pPr>
    </w:p>
    <w:p w14:paraId="31EB235C">
      <w:pPr>
        <w:pStyle w:val="16"/>
        <w:numPr>
          <w:ilvl w:val="0"/>
          <w:numId w:val="0"/>
        </w:numPr>
        <w:rPr>
          <w:rFonts w:hint="eastAsia" w:ascii="宋体" w:hAnsi="宋体" w:cs="宋体"/>
          <w:color w:val="auto"/>
          <w:sz w:val="21"/>
          <w:szCs w:val="21"/>
          <w:highlight w:val="none"/>
          <w:lang w:val="en-US" w:eastAsia="zh-CN"/>
        </w:rPr>
      </w:pPr>
    </w:p>
    <w:p w14:paraId="10CA43F5">
      <w:pPr>
        <w:pStyle w:val="16"/>
        <w:numPr>
          <w:ilvl w:val="0"/>
          <w:numId w:val="0"/>
        </w:numPr>
        <w:rPr>
          <w:rFonts w:hint="eastAsia" w:ascii="宋体" w:hAnsi="宋体" w:cs="宋体"/>
          <w:color w:val="auto"/>
          <w:sz w:val="21"/>
          <w:szCs w:val="21"/>
          <w:highlight w:val="none"/>
          <w:lang w:val="en-US" w:eastAsia="zh-CN"/>
        </w:rPr>
      </w:pPr>
    </w:p>
    <w:p w14:paraId="5D0555C5">
      <w:pPr>
        <w:pStyle w:val="16"/>
        <w:numPr>
          <w:ilvl w:val="0"/>
          <w:numId w:val="0"/>
        </w:numPr>
        <w:rPr>
          <w:rFonts w:hint="eastAsia" w:ascii="宋体" w:hAnsi="宋体" w:cs="宋体"/>
          <w:color w:val="auto"/>
          <w:sz w:val="21"/>
          <w:szCs w:val="21"/>
          <w:highlight w:val="none"/>
          <w:lang w:val="en-US" w:eastAsia="zh-CN"/>
        </w:rPr>
      </w:pPr>
    </w:p>
    <w:p w14:paraId="6C40C2A1">
      <w:pPr>
        <w:pStyle w:val="16"/>
        <w:numPr>
          <w:ilvl w:val="0"/>
          <w:numId w:val="0"/>
        </w:numPr>
        <w:rPr>
          <w:rFonts w:hint="eastAsia" w:ascii="宋体" w:hAnsi="宋体" w:cs="宋体"/>
          <w:color w:val="auto"/>
          <w:sz w:val="21"/>
          <w:szCs w:val="21"/>
          <w:highlight w:val="none"/>
          <w:lang w:val="en-US" w:eastAsia="zh-CN"/>
        </w:rPr>
      </w:pPr>
    </w:p>
    <w:p w14:paraId="4977F593">
      <w:pPr>
        <w:pStyle w:val="16"/>
        <w:numPr>
          <w:ilvl w:val="0"/>
          <w:numId w:val="0"/>
        </w:numPr>
        <w:rPr>
          <w:rFonts w:hint="eastAsia" w:ascii="宋体" w:hAnsi="宋体" w:cs="宋体"/>
          <w:color w:val="auto"/>
          <w:sz w:val="21"/>
          <w:szCs w:val="21"/>
          <w:highlight w:val="none"/>
          <w:lang w:val="en-US" w:eastAsia="zh-CN"/>
        </w:rPr>
      </w:pPr>
    </w:p>
    <w:p w14:paraId="23369AAE">
      <w:pPr>
        <w:pStyle w:val="16"/>
        <w:numPr>
          <w:ilvl w:val="0"/>
          <w:numId w:val="0"/>
        </w:numPr>
        <w:rPr>
          <w:rFonts w:hint="eastAsia" w:ascii="宋体" w:hAnsi="宋体" w:cs="宋体"/>
          <w:color w:val="auto"/>
          <w:sz w:val="21"/>
          <w:szCs w:val="21"/>
          <w:highlight w:val="none"/>
          <w:lang w:val="en-US" w:eastAsia="zh-CN"/>
        </w:rPr>
      </w:pPr>
    </w:p>
    <w:p w14:paraId="6A15F1AD">
      <w:pPr>
        <w:pStyle w:val="16"/>
        <w:numPr>
          <w:ilvl w:val="0"/>
          <w:numId w:val="0"/>
        </w:numPr>
        <w:rPr>
          <w:rFonts w:hint="eastAsia" w:ascii="宋体" w:hAnsi="宋体" w:cs="宋体"/>
          <w:color w:val="auto"/>
          <w:sz w:val="21"/>
          <w:szCs w:val="21"/>
          <w:highlight w:val="none"/>
          <w:lang w:val="en-US" w:eastAsia="zh-CN"/>
        </w:rPr>
      </w:pPr>
    </w:p>
    <w:p w14:paraId="31ECF05E">
      <w:pPr>
        <w:pStyle w:val="16"/>
        <w:numPr>
          <w:ilvl w:val="0"/>
          <w:numId w:val="0"/>
        </w:numPr>
        <w:rPr>
          <w:rFonts w:hint="eastAsia" w:ascii="宋体" w:hAnsi="宋体" w:cs="宋体"/>
          <w:color w:val="auto"/>
          <w:sz w:val="21"/>
          <w:szCs w:val="21"/>
          <w:highlight w:val="none"/>
          <w:lang w:val="en-US" w:eastAsia="zh-CN"/>
        </w:rPr>
      </w:pPr>
    </w:p>
    <w:p w14:paraId="27BD8EE0">
      <w:pPr>
        <w:pStyle w:val="16"/>
        <w:numPr>
          <w:ilvl w:val="0"/>
          <w:numId w:val="0"/>
        </w:numPr>
        <w:rPr>
          <w:rFonts w:hint="eastAsia" w:ascii="宋体" w:hAnsi="宋体" w:cs="宋体"/>
          <w:color w:val="auto"/>
          <w:sz w:val="21"/>
          <w:szCs w:val="21"/>
          <w:highlight w:val="none"/>
          <w:lang w:val="en-US" w:eastAsia="zh-CN"/>
        </w:rPr>
      </w:pPr>
    </w:p>
    <w:p w14:paraId="60B40E98">
      <w:pPr>
        <w:pStyle w:val="16"/>
        <w:numPr>
          <w:ilvl w:val="0"/>
          <w:numId w:val="0"/>
        </w:numPr>
        <w:rPr>
          <w:rFonts w:hint="eastAsia" w:ascii="宋体" w:hAnsi="宋体" w:cs="宋体"/>
          <w:color w:val="auto"/>
          <w:sz w:val="21"/>
          <w:szCs w:val="21"/>
          <w:highlight w:val="none"/>
          <w:lang w:val="en-US" w:eastAsia="zh-CN"/>
        </w:rPr>
      </w:pPr>
    </w:p>
    <w:p w14:paraId="0BE305C4">
      <w:pPr>
        <w:pStyle w:val="16"/>
        <w:numPr>
          <w:ilvl w:val="0"/>
          <w:numId w:val="0"/>
        </w:numPr>
        <w:rPr>
          <w:rFonts w:hint="eastAsia" w:ascii="宋体" w:hAnsi="宋体" w:cs="宋体"/>
          <w:color w:val="auto"/>
          <w:sz w:val="21"/>
          <w:szCs w:val="21"/>
          <w:highlight w:val="none"/>
          <w:lang w:val="en-US" w:eastAsia="zh-CN"/>
        </w:rPr>
      </w:pPr>
    </w:p>
    <w:p w14:paraId="4310F075">
      <w:pPr>
        <w:pStyle w:val="16"/>
        <w:numPr>
          <w:ilvl w:val="0"/>
          <w:numId w:val="0"/>
        </w:numP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供应商不得为列入信用中国(www.creditchina.gov.cn)的重大税收违法案件当事人名单记录或中国执行信息公开网（http://zxgk.court.gov.cn/shixin/）的失信被执行人名单记录或中国政府采购网(www.ccgp.gov.cn)的政府采购严重违法失信行为记录名单；</w:t>
      </w:r>
    </w:p>
    <w:p w14:paraId="5787E7D3">
      <w:pPr>
        <w:pStyle w:val="16"/>
        <w:numPr>
          <w:ilvl w:val="0"/>
          <w:numId w:val="0"/>
        </w:numPr>
        <w:rPr>
          <w:rFonts w:hint="eastAsia" w:ascii="宋体" w:hAnsi="宋体" w:eastAsia="宋体" w:cs="宋体"/>
          <w:color w:val="auto"/>
          <w:highlight w:val="none"/>
          <w:lang w:val="en-US" w:eastAsia="zh-CN"/>
        </w:rPr>
      </w:pPr>
    </w:p>
    <w:p w14:paraId="31EE2CDE">
      <w:pPr>
        <w:pStyle w:val="16"/>
        <w:keepLines w:val="0"/>
        <w:pageBreakBefore w:val="0"/>
        <w:widowControl w:val="0"/>
        <w:numPr>
          <w:ilvl w:val="0"/>
          <w:numId w:val="0"/>
        </w:numPr>
        <w:kinsoku/>
        <w:overflowPunct/>
        <w:topLinePunct w:val="0"/>
        <w:bidi w:val="0"/>
        <w:spacing w:line="360" w:lineRule="auto"/>
        <w:jc w:val="left"/>
        <w:rPr>
          <w:rFonts w:hint="eastAsia" w:ascii="宋体" w:hAnsi="宋体" w:eastAsia="宋体" w:cs="宋体"/>
          <w:color w:val="auto"/>
          <w:highlight w:val="none"/>
          <w:lang w:val="en-US" w:eastAsia="zh-CN"/>
        </w:rPr>
      </w:pPr>
    </w:p>
    <w:p w14:paraId="2429E05A">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7260A29F">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2A6AEE07">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50386226">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41DA8883">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4E32AF62">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0A5A7866">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672BB8C5">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53603828">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0C3718F8">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69F2DA4D">
      <w:pPr>
        <w:keepLines w:val="0"/>
        <w:pageBreakBefore w:val="0"/>
        <w:kinsoku/>
        <w:bidi w:val="0"/>
        <w:spacing w:line="360" w:lineRule="auto"/>
        <w:rPr>
          <w:rFonts w:hint="eastAsia" w:ascii="宋体" w:hAnsi="宋体" w:eastAsia="宋体" w:cs="宋体"/>
          <w:color w:val="auto"/>
          <w:highlight w:val="none"/>
          <w:lang w:val="en-US" w:eastAsia="zh-CN"/>
        </w:rPr>
      </w:pPr>
    </w:p>
    <w:p w14:paraId="238489EE">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30F8538F">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437B1E91">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1297CEEA">
      <w:pPr>
        <w:pStyle w:val="16"/>
        <w:keepLines w:val="0"/>
        <w:pageBreakBefore w:val="0"/>
        <w:kinsoku/>
        <w:bidi w:val="0"/>
        <w:spacing w:line="360" w:lineRule="auto"/>
        <w:rPr>
          <w:rFonts w:hint="eastAsia" w:ascii="宋体" w:hAnsi="宋体" w:eastAsia="宋体" w:cs="宋体"/>
          <w:color w:val="auto"/>
          <w:highlight w:val="none"/>
          <w:lang w:val="en-US" w:eastAsia="zh-CN"/>
        </w:rPr>
      </w:pPr>
    </w:p>
    <w:p w14:paraId="57C60E47">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7CE84830">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5344A2D3">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7BBF435F">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7466B8AA">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74124AC6">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8025131">
      <w:pPr>
        <w:keepNext w:val="0"/>
        <w:keepLines w:val="0"/>
        <w:pageBreakBefore w:val="0"/>
        <w:widowControl w:val="0"/>
        <w:tabs>
          <w:tab w:val="left" w:pos="1710"/>
        </w:tabs>
        <w:kinsoku/>
        <w:wordWrap/>
        <w:overflowPunct/>
        <w:topLinePunct w:val="0"/>
        <w:autoSpaceDE w:val="0"/>
        <w:autoSpaceDN w:val="0"/>
        <w:bidi w:val="0"/>
        <w:adjustRightInd w:val="0"/>
        <w:snapToGrid/>
        <w:spacing w:line="4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）与招标人存在利害关系可能影响招标公正性的单位，不得参加投标、单位负责人为同一人或存在控股、管理关系的不同单位，不得参加同一标段投标，否则，相关投标均无效；</w:t>
      </w:r>
    </w:p>
    <w:p w14:paraId="5BE843FD">
      <w:pPr>
        <w:keepNext w:val="0"/>
        <w:keepLines w:val="0"/>
        <w:pageBreakBefore w:val="0"/>
        <w:widowControl w:val="0"/>
        <w:kinsoku/>
        <w:wordWrap/>
        <w:overflowPunct/>
        <w:topLinePunct w:val="0"/>
        <w:autoSpaceDE w:val="0"/>
        <w:autoSpaceDN w:val="0"/>
        <w:bidi w:val="0"/>
        <w:adjustRightInd w:val="0"/>
        <w:snapToGrid/>
        <w:spacing w:line="420" w:lineRule="exact"/>
        <w:jc w:val="center"/>
        <w:textAlignment w:val="auto"/>
        <w:rPr>
          <w:rFonts w:hint="eastAsia" w:ascii="宋体" w:hAnsi="宋体" w:eastAsia="宋体" w:cs="宋体"/>
          <w:b/>
          <w:bCs/>
          <w:color w:val="auto"/>
          <w:sz w:val="21"/>
          <w:szCs w:val="21"/>
          <w:highlight w:val="none"/>
          <w:lang w:val="zh-CN"/>
        </w:rPr>
      </w:pPr>
    </w:p>
    <w:p w14:paraId="468474D0">
      <w:pPr>
        <w:keepNext w:val="0"/>
        <w:keepLines w:val="0"/>
        <w:pageBreakBefore w:val="0"/>
        <w:widowControl w:val="0"/>
        <w:kinsoku/>
        <w:wordWrap/>
        <w:overflowPunct/>
        <w:topLinePunct w:val="0"/>
        <w:autoSpaceDE w:val="0"/>
        <w:autoSpaceDN w:val="0"/>
        <w:bidi w:val="0"/>
        <w:adjustRightInd w:val="0"/>
        <w:snapToGrid/>
        <w:spacing w:line="420" w:lineRule="exact"/>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供应商企业关系关联承诺书</w:t>
      </w:r>
    </w:p>
    <w:p w14:paraId="5306F304">
      <w:pPr>
        <w:keepNext w:val="0"/>
        <w:keepLines w:val="0"/>
        <w:pageBreakBefore w:val="0"/>
        <w:widowControl w:val="0"/>
        <w:numPr>
          <w:ilvl w:val="0"/>
          <w:numId w:val="17"/>
        </w:numPr>
        <w:kinsoku/>
        <w:wordWrap/>
        <w:overflowPunct/>
        <w:topLinePunct w:val="0"/>
        <w:bidi w:val="0"/>
        <w:snapToGrid/>
        <w:spacing w:line="4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供应商在本项目投标中，不存在与其它供应商负责人为同一人，有控股、管理等关联关系承诺：</w:t>
      </w:r>
    </w:p>
    <w:p w14:paraId="05F583BA">
      <w:pPr>
        <w:keepNext w:val="0"/>
        <w:keepLines w:val="0"/>
        <w:pageBreakBefore w:val="0"/>
        <w:widowControl w:val="0"/>
        <w:kinsoku/>
        <w:wordWrap/>
        <w:overflowPunct/>
        <w:topLinePunct w:val="0"/>
        <w:bidi w:val="0"/>
        <w:snapToGrid/>
        <w:spacing w:line="4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.1管理关系说明：</w:t>
      </w:r>
    </w:p>
    <w:p w14:paraId="16525692">
      <w:pPr>
        <w:keepNext w:val="0"/>
        <w:keepLines w:val="0"/>
        <w:pageBreakBefore w:val="0"/>
        <w:widowControl w:val="0"/>
        <w:kinsoku/>
        <w:wordWrap/>
        <w:overflowPunct/>
        <w:topLinePunct w:val="0"/>
        <w:bidi w:val="0"/>
        <w:snapToGrid/>
        <w:spacing w:line="4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我单位管理的具有独立法人的下属单位有</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7703F637">
      <w:pPr>
        <w:keepNext w:val="0"/>
        <w:keepLines w:val="0"/>
        <w:pageBreakBefore w:val="0"/>
        <w:widowControl w:val="0"/>
        <w:kinsoku/>
        <w:wordWrap/>
        <w:overflowPunct/>
        <w:topLinePunct w:val="0"/>
        <w:bidi w:val="0"/>
        <w:snapToGrid/>
        <w:spacing w:line="4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我单位的上级管理单位有。</w:t>
      </w:r>
    </w:p>
    <w:p w14:paraId="55E0647C">
      <w:pPr>
        <w:keepNext w:val="0"/>
        <w:keepLines w:val="0"/>
        <w:pageBreakBefore w:val="0"/>
        <w:widowControl w:val="0"/>
        <w:kinsoku/>
        <w:wordWrap/>
        <w:overflowPunct/>
        <w:topLinePunct w:val="0"/>
        <w:bidi w:val="0"/>
        <w:snapToGrid/>
        <w:spacing w:line="420" w:lineRule="exact"/>
        <w:ind w:firstLine="210" w:firstLineChars="1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.2股权关系说明</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single"/>
          <w:lang w:val="en-US" w:eastAsia="zh-CN"/>
        </w:rPr>
        <w:t xml:space="preserve">          </w:t>
      </w:r>
    </w:p>
    <w:p w14:paraId="05AFA74B">
      <w:pPr>
        <w:keepNext w:val="0"/>
        <w:keepLines w:val="0"/>
        <w:pageBreakBefore w:val="0"/>
        <w:widowControl w:val="0"/>
        <w:kinsoku/>
        <w:wordWrap/>
        <w:overflowPunct/>
        <w:topLinePunct w:val="0"/>
        <w:bidi w:val="0"/>
        <w:snapToGrid/>
        <w:spacing w:line="4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我单位控股的单位有</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230489A2">
      <w:pPr>
        <w:keepNext w:val="0"/>
        <w:keepLines w:val="0"/>
        <w:pageBreakBefore w:val="0"/>
        <w:widowControl w:val="0"/>
        <w:kinsoku/>
        <w:wordWrap/>
        <w:overflowPunct/>
        <w:topLinePunct w:val="0"/>
        <w:bidi w:val="0"/>
        <w:snapToGrid/>
        <w:spacing w:line="4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我单位被单位控股</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310DAF62">
      <w:pPr>
        <w:keepNext w:val="0"/>
        <w:keepLines w:val="0"/>
        <w:pageBreakBefore w:val="0"/>
        <w:widowControl w:val="0"/>
        <w:kinsoku/>
        <w:wordWrap/>
        <w:overflowPunct/>
        <w:topLinePunct w:val="0"/>
        <w:bidi w:val="0"/>
        <w:snapToGrid/>
        <w:spacing w:line="420" w:lineRule="exact"/>
        <w:ind w:firstLine="210" w:firstLineChars="1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.3单位负责人</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single"/>
          <w:lang w:val="en-US" w:eastAsia="zh-CN"/>
        </w:rPr>
        <w:t xml:space="preserve">          </w:t>
      </w:r>
    </w:p>
    <w:p w14:paraId="5C085ABB">
      <w:pPr>
        <w:keepNext w:val="0"/>
        <w:keepLines w:val="0"/>
        <w:pageBreakBefore w:val="0"/>
        <w:widowControl w:val="0"/>
        <w:kinsoku/>
        <w:wordWrap/>
        <w:overflowPunct/>
        <w:topLinePunct w:val="0"/>
        <w:bidi w:val="0"/>
        <w:snapToGrid/>
        <w:spacing w:line="4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（是或否，没有填否）为采购项目提供整体设计、规范编制或者项目管理、监理、检测等服务的供应商。</w:t>
      </w:r>
    </w:p>
    <w:p w14:paraId="4F2A1AD2">
      <w:pPr>
        <w:keepNext w:val="0"/>
        <w:keepLines w:val="0"/>
        <w:pageBreakBefore w:val="0"/>
        <w:widowControl w:val="0"/>
        <w:kinsoku/>
        <w:wordWrap/>
        <w:overflowPunct/>
        <w:topLinePunct w:val="0"/>
        <w:bidi w:val="0"/>
        <w:snapToGrid/>
        <w:spacing w:line="420" w:lineRule="exact"/>
        <w:ind w:firstLine="210" w:firstLineChars="1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、其他与本项目有关的利害关系说明：</w:t>
      </w:r>
    </w:p>
    <w:p w14:paraId="0326644B">
      <w:pPr>
        <w:keepNext w:val="0"/>
        <w:keepLines w:val="0"/>
        <w:pageBreakBefore w:val="0"/>
        <w:widowControl w:val="0"/>
        <w:kinsoku/>
        <w:wordWrap/>
        <w:overflowPunct/>
        <w:topLinePunct w:val="0"/>
        <w:bidi w:val="0"/>
        <w:snapToGrid/>
        <w:spacing w:line="420" w:lineRule="exact"/>
        <w:jc w:val="left"/>
        <w:textAlignment w:val="auto"/>
        <w:rPr>
          <w:rFonts w:hint="eastAsia" w:ascii="宋体" w:hAnsi="宋体" w:eastAsia="宋体" w:cs="宋体"/>
          <w:color w:val="auto"/>
          <w:sz w:val="21"/>
          <w:szCs w:val="21"/>
          <w:highlight w:val="none"/>
        </w:rPr>
      </w:pPr>
    </w:p>
    <w:p w14:paraId="5AF8AEE8">
      <w:pPr>
        <w:keepNext w:val="0"/>
        <w:keepLines w:val="0"/>
        <w:pageBreakBefore w:val="0"/>
        <w:widowControl w:val="0"/>
        <w:kinsoku/>
        <w:wordWrap/>
        <w:overflowPunct/>
        <w:topLinePunct w:val="0"/>
        <w:bidi w:val="0"/>
        <w:snapToGrid/>
        <w:spacing w:line="4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我单位承诺以上说明真实有效，无虚假内容或隐瞒。</w:t>
      </w:r>
    </w:p>
    <w:p w14:paraId="07A52265">
      <w:pPr>
        <w:keepNext w:val="0"/>
        <w:keepLines w:val="0"/>
        <w:pageBreakBefore w:val="0"/>
        <w:widowControl w:val="0"/>
        <w:kinsoku/>
        <w:wordWrap/>
        <w:overflowPunct/>
        <w:topLinePunct w:val="0"/>
        <w:bidi w:val="0"/>
        <w:snapToGrid/>
        <w:spacing w:line="420" w:lineRule="exact"/>
        <w:ind w:firstLine="210" w:firstLineChars="100"/>
        <w:textAlignment w:val="auto"/>
        <w:rPr>
          <w:rFonts w:hint="eastAsia" w:ascii="宋体" w:hAnsi="宋体" w:eastAsia="宋体" w:cs="宋体"/>
          <w:color w:val="auto"/>
          <w:sz w:val="21"/>
          <w:szCs w:val="21"/>
          <w:highlight w:val="none"/>
        </w:rPr>
      </w:pPr>
    </w:p>
    <w:p w14:paraId="42A0AB7E">
      <w:pPr>
        <w:keepNext w:val="0"/>
        <w:keepLines w:val="0"/>
        <w:pageBreakBefore w:val="0"/>
        <w:widowControl w:val="0"/>
        <w:kinsoku/>
        <w:wordWrap/>
        <w:overflowPunct/>
        <w:topLinePunct w:val="0"/>
        <w:bidi w:val="0"/>
        <w:snapToGrid/>
        <w:spacing w:line="420" w:lineRule="exact"/>
        <w:jc w:val="left"/>
        <w:textAlignment w:val="auto"/>
        <w:rPr>
          <w:rFonts w:hint="eastAsia" w:ascii="宋体" w:hAnsi="宋体" w:eastAsia="宋体" w:cs="宋体"/>
          <w:color w:val="auto"/>
          <w:sz w:val="21"/>
          <w:szCs w:val="21"/>
          <w:highlight w:val="none"/>
        </w:rPr>
      </w:pPr>
    </w:p>
    <w:p w14:paraId="594B793E">
      <w:pPr>
        <w:keepNext w:val="0"/>
        <w:keepLines w:val="0"/>
        <w:pageBreakBefore w:val="0"/>
        <w:widowControl w:val="0"/>
        <w:kinsoku/>
        <w:wordWrap/>
        <w:overflowPunct/>
        <w:topLinePunct w:val="0"/>
        <w:bidi w:val="0"/>
        <w:snapToGrid/>
        <w:spacing w:line="420" w:lineRule="exact"/>
        <w:ind w:firstLine="2100" w:firstLineChars="10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（盖单位公章）</w:t>
      </w:r>
    </w:p>
    <w:p w14:paraId="786FE51B">
      <w:pPr>
        <w:keepNext w:val="0"/>
        <w:keepLines w:val="0"/>
        <w:pageBreakBefore w:val="0"/>
        <w:widowControl w:val="0"/>
        <w:kinsoku/>
        <w:wordWrap/>
        <w:overflowPunct/>
        <w:topLinePunct w:val="0"/>
        <w:bidi w:val="0"/>
        <w:snapToGrid/>
        <w:spacing w:line="420" w:lineRule="exact"/>
        <w:ind w:firstLine="2100" w:firstLineChars="10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法定代表人或其授权代表</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（签字或盖章）</w:t>
      </w:r>
    </w:p>
    <w:p w14:paraId="2C2AC994">
      <w:pPr>
        <w:keepNext w:val="0"/>
        <w:keepLines w:val="0"/>
        <w:pageBreakBefore w:val="0"/>
        <w:widowControl w:val="0"/>
        <w:kinsoku/>
        <w:wordWrap/>
        <w:overflowPunct/>
        <w:topLinePunct w:val="0"/>
        <w:bidi w:val="0"/>
        <w:snapToGrid/>
        <w:spacing w:line="420" w:lineRule="exact"/>
        <w:ind w:firstLine="2100" w:firstLineChars="10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14:paraId="75C306B1">
      <w:pPr>
        <w:keepNext w:val="0"/>
        <w:keepLines w:val="0"/>
        <w:pageBreakBefore w:val="0"/>
        <w:widowControl w:val="0"/>
        <w:tabs>
          <w:tab w:val="left" w:pos="171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p>
    <w:p w14:paraId="040E2C87">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551A4B4E">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430453FA">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6A5AD635">
      <w:pPr>
        <w:pStyle w:val="16"/>
        <w:rPr>
          <w:rFonts w:hint="eastAsia" w:ascii="宋体" w:hAnsi="宋体" w:eastAsia="宋体" w:cs="宋体"/>
          <w:color w:val="auto"/>
          <w:highlight w:val="none"/>
          <w:lang w:val="en-US" w:eastAsia="zh-CN"/>
        </w:rPr>
      </w:pPr>
    </w:p>
    <w:p w14:paraId="3A2AEFA8">
      <w:pPr>
        <w:rPr>
          <w:rFonts w:hint="eastAsia" w:ascii="宋体" w:hAnsi="宋体" w:eastAsia="宋体" w:cs="宋体"/>
          <w:color w:val="auto"/>
          <w:highlight w:val="none"/>
          <w:lang w:val="en-US" w:eastAsia="zh-CN"/>
        </w:rPr>
      </w:pPr>
    </w:p>
    <w:p w14:paraId="6C2C2166">
      <w:pPr>
        <w:rPr>
          <w:rFonts w:hint="eastAsia" w:ascii="宋体" w:hAnsi="宋体" w:eastAsia="宋体" w:cs="宋体"/>
          <w:color w:val="auto"/>
          <w:highlight w:val="none"/>
          <w:lang w:val="en-US" w:eastAsia="zh-CN"/>
        </w:rPr>
      </w:pPr>
    </w:p>
    <w:p w14:paraId="171D7FD3">
      <w:pPr>
        <w:rPr>
          <w:rFonts w:hint="eastAsia" w:ascii="宋体" w:hAnsi="宋体" w:eastAsia="宋体" w:cs="宋体"/>
          <w:color w:val="auto"/>
          <w:highlight w:val="none"/>
          <w:lang w:val="en-US" w:eastAsia="zh-CN"/>
        </w:rPr>
      </w:pPr>
    </w:p>
    <w:p w14:paraId="69D2A542">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4E35E67C">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2A09254D">
      <w:pPr>
        <w:keepNext w:val="0"/>
        <w:keepLines w:val="0"/>
        <w:pageBreakBefore w:val="0"/>
        <w:widowControl w:val="0"/>
        <w:numPr>
          <w:ilvl w:val="0"/>
          <w:numId w:val="0"/>
        </w:numPr>
        <w:tabs>
          <w:tab w:val="left" w:pos="1710"/>
        </w:tabs>
        <w:kinsoku/>
        <w:wordWrap/>
        <w:overflowPunct/>
        <w:topLinePunct w:val="0"/>
        <w:autoSpaceDE w:val="0"/>
        <w:autoSpaceDN w:val="0"/>
        <w:bidi w:val="0"/>
        <w:adjustRightInd w:val="0"/>
        <w:snapToGrid/>
        <w:spacing w:line="4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）本项目不接受联合体磋商。</w:t>
      </w:r>
    </w:p>
    <w:p w14:paraId="6BE68C1F">
      <w:pPr>
        <w:keepNext w:val="0"/>
        <w:keepLines w:val="0"/>
        <w:pageBreakBefore w:val="0"/>
        <w:widowControl w:val="0"/>
        <w:numPr>
          <w:ilvl w:val="0"/>
          <w:numId w:val="0"/>
        </w:numPr>
        <w:tabs>
          <w:tab w:val="left" w:pos="1710"/>
        </w:tabs>
        <w:kinsoku/>
        <w:wordWrap/>
        <w:overflowPunct/>
        <w:topLinePunct w:val="0"/>
        <w:autoSpaceDE w:val="0"/>
        <w:autoSpaceDN w:val="0"/>
        <w:bidi w:val="0"/>
        <w:adjustRightInd w:val="0"/>
        <w:snapToGrid/>
        <w:spacing w:line="420" w:lineRule="exact"/>
        <w:textAlignment w:val="auto"/>
        <w:rPr>
          <w:rFonts w:hint="eastAsia" w:ascii="宋体" w:hAnsi="宋体" w:eastAsia="宋体" w:cs="宋体"/>
          <w:color w:val="auto"/>
          <w:sz w:val="21"/>
          <w:szCs w:val="21"/>
          <w:highlight w:val="none"/>
          <w:lang w:val="en-US" w:eastAsia="zh-CN"/>
        </w:rPr>
      </w:pPr>
    </w:p>
    <w:p w14:paraId="2DC7B605">
      <w:pPr>
        <w:pStyle w:val="11"/>
        <w:keepNext w:val="0"/>
        <w:keepLines w:val="0"/>
        <w:pageBreakBefore w:val="0"/>
        <w:kinsoku/>
        <w:wordWrap/>
        <w:overflowPunct/>
        <w:topLinePunct w:val="0"/>
        <w:autoSpaceDE/>
        <w:autoSpaceDN/>
        <w:bidi w:val="0"/>
        <w:adjustRightInd/>
        <w:snapToGrid/>
        <w:spacing w:line="42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非联合体投标声明</w:t>
      </w:r>
    </w:p>
    <w:p w14:paraId="7C6C9122">
      <w:pPr>
        <w:pStyle w:val="140"/>
        <w:keepNext w:val="0"/>
        <w:keepLines w:val="0"/>
        <w:pageBreakBefore w:val="0"/>
        <w:kinsoku/>
        <w:wordWrap/>
        <w:overflowPunct/>
        <w:topLinePunct w:val="0"/>
        <w:autoSpaceDE/>
        <w:autoSpaceDN/>
        <w:bidi w:val="0"/>
        <w:adjustRightInd/>
        <w:snapToGrid/>
        <w:spacing w:before="0" w:beforeAutospacing="0" w:after="0" w:afterAutospacing="0"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(采购人)</w:t>
      </w:r>
      <w:r>
        <w:rPr>
          <w:rFonts w:hint="eastAsia" w:ascii="宋体" w:hAnsi="宋体" w:eastAsia="宋体" w:cs="宋体"/>
          <w:b/>
          <w:color w:val="auto"/>
          <w:sz w:val="21"/>
          <w:szCs w:val="21"/>
          <w:highlight w:val="none"/>
        </w:rPr>
        <w:t>：</w:t>
      </w:r>
    </w:p>
    <w:p w14:paraId="26DCF362">
      <w:pPr>
        <w:pStyle w:val="140"/>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本公司就参加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工作，作出郑重声明：</w:t>
      </w:r>
    </w:p>
    <w:p w14:paraId="1B3F5F3C">
      <w:pPr>
        <w:pStyle w:val="140"/>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、本公司保证</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报名材料及其后提供的一切材料都是真实的。</w:t>
      </w:r>
    </w:p>
    <w:p w14:paraId="59B2AD31">
      <w:pPr>
        <w:pStyle w:val="140"/>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、本公司保证在本项目</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中不与其他单位围标、串标，不出让</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资格，不向采购人或</w:t>
      </w:r>
      <w:r>
        <w:rPr>
          <w:rFonts w:hint="eastAsia" w:ascii="宋体" w:hAnsi="宋体" w:eastAsia="宋体" w:cs="宋体"/>
          <w:color w:val="auto"/>
          <w:sz w:val="21"/>
          <w:szCs w:val="21"/>
          <w:highlight w:val="none"/>
          <w:lang w:val="en-US" w:eastAsia="zh-CN"/>
        </w:rPr>
        <w:t>评标委员会</w:t>
      </w:r>
      <w:r>
        <w:rPr>
          <w:rFonts w:hint="eastAsia" w:ascii="宋体" w:hAnsi="宋体" w:eastAsia="宋体" w:cs="宋体"/>
          <w:color w:val="auto"/>
          <w:sz w:val="21"/>
          <w:szCs w:val="21"/>
          <w:highlight w:val="none"/>
        </w:rPr>
        <w:t>成员行贿。</w:t>
      </w:r>
    </w:p>
    <w:p w14:paraId="2414B135">
      <w:pPr>
        <w:pStyle w:val="140"/>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、本公司没有处于被责令停业的状态；没有处于被建设行政主管部门取消投标资格的处罚期内；没有处于财产被接管、冻结、破产的状态；本公司没有在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报名截止时间前三年内被人民法院判决犯有行贿罪的记录。</w:t>
      </w:r>
    </w:p>
    <w:p w14:paraId="336885C9">
      <w:pPr>
        <w:pStyle w:val="140"/>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、本公司保证本项目并非联合体</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，本项目由本公司独立承担。本公司违反上述保证，或本声明陈述与事实不符，经查实，本公司愿意接受公开通报，承担由此带来的法律后果。</w:t>
      </w:r>
    </w:p>
    <w:p w14:paraId="2279B873">
      <w:pPr>
        <w:pStyle w:val="140"/>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特此声明！</w:t>
      </w:r>
    </w:p>
    <w:p w14:paraId="4099FB5C">
      <w:pPr>
        <w:pStyle w:val="141"/>
        <w:keepNext w:val="0"/>
        <w:keepLines w:val="0"/>
        <w:pageBreakBefore w:val="0"/>
        <w:kinsoku/>
        <w:wordWrap/>
        <w:overflowPunct/>
        <w:topLinePunct w:val="0"/>
        <w:autoSpaceDE/>
        <w:autoSpaceDN/>
        <w:bidi w:val="0"/>
        <w:adjustRightInd/>
        <w:snapToGrid/>
        <w:spacing w:before="0" w:beforeAutospacing="0" w:after="0" w:afterAutospacing="0" w:line="420" w:lineRule="exact"/>
        <w:ind w:right="1449" w:firstLine="1890" w:firstLineChars="900"/>
        <w:textAlignment w:val="auto"/>
        <w:rPr>
          <w:rFonts w:hint="eastAsia" w:ascii="宋体" w:hAnsi="宋体" w:eastAsia="宋体" w:cs="宋体"/>
          <w:color w:val="auto"/>
          <w:sz w:val="21"/>
          <w:szCs w:val="21"/>
          <w:highlight w:val="none"/>
        </w:rPr>
      </w:pPr>
    </w:p>
    <w:p w14:paraId="3F3D3DF8">
      <w:pPr>
        <w:pStyle w:val="141"/>
        <w:keepNext w:val="0"/>
        <w:keepLines w:val="0"/>
        <w:pageBreakBefore w:val="0"/>
        <w:kinsoku/>
        <w:wordWrap/>
        <w:overflowPunct/>
        <w:topLinePunct w:val="0"/>
        <w:autoSpaceDE/>
        <w:autoSpaceDN/>
        <w:bidi w:val="0"/>
        <w:adjustRightInd/>
        <w:snapToGrid/>
        <w:spacing w:before="0" w:beforeAutospacing="0" w:after="0" w:afterAutospacing="0" w:line="420" w:lineRule="exact"/>
        <w:ind w:right="1449" w:firstLine="1890" w:firstLineChars="900"/>
        <w:textAlignment w:val="auto"/>
        <w:rPr>
          <w:rFonts w:hint="eastAsia" w:ascii="宋体" w:hAnsi="宋体" w:eastAsia="宋体" w:cs="宋体"/>
          <w:color w:val="auto"/>
          <w:sz w:val="21"/>
          <w:szCs w:val="21"/>
          <w:highlight w:val="none"/>
        </w:rPr>
      </w:pPr>
    </w:p>
    <w:p w14:paraId="34969EC7">
      <w:pPr>
        <w:pStyle w:val="141"/>
        <w:keepNext w:val="0"/>
        <w:keepLines w:val="0"/>
        <w:pageBreakBefore w:val="0"/>
        <w:kinsoku/>
        <w:wordWrap/>
        <w:overflowPunct/>
        <w:topLinePunct w:val="0"/>
        <w:autoSpaceDE/>
        <w:autoSpaceDN/>
        <w:bidi w:val="0"/>
        <w:adjustRightInd/>
        <w:snapToGrid/>
        <w:spacing w:before="0" w:beforeAutospacing="0" w:after="0" w:afterAutospacing="0" w:line="420" w:lineRule="exact"/>
        <w:ind w:right="1449"/>
        <w:textAlignment w:val="auto"/>
        <w:rPr>
          <w:rFonts w:hint="eastAsia" w:ascii="宋体" w:hAnsi="宋体" w:eastAsia="宋体" w:cs="宋体"/>
          <w:b/>
          <w:bCs/>
          <w:color w:val="auto"/>
          <w:sz w:val="21"/>
          <w:szCs w:val="21"/>
          <w:highlight w:val="none"/>
        </w:rPr>
      </w:pPr>
    </w:p>
    <w:p w14:paraId="3FC91C66">
      <w:pPr>
        <w:pStyle w:val="141"/>
        <w:keepNext w:val="0"/>
        <w:keepLines w:val="0"/>
        <w:pageBreakBefore w:val="0"/>
        <w:kinsoku/>
        <w:wordWrap/>
        <w:overflowPunct/>
        <w:topLinePunct w:val="0"/>
        <w:autoSpaceDE/>
        <w:autoSpaceDN/>
        <w:bidi w:val="0"/>
        <w:adjustRightInd/>
        <w:snapToGrid/>
        <w:spacing w:before="0" w:beforeAutospacing="0" w:after="0" w:afterAutospacing="0" w:line="420" w:lineRule="exact"/>
        <w:ind w:right="87" w:firstLine="3780" w:firstLineChars="18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声明企业：</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rPr>
        <w:t>(企业公章)</w:t>
      </w:r>
    </w:p>
    <w:p w14:paraId="4AEC6E39">
      <w:pPr>
        <w:pStyle w:val="141"/>
        <w:keepNext w:val="0"/>
        <w:keepLines w:val="0"/>
        <w:pageBreakBefore w:val="0"/>
        <w:tabs>
          <w:tab w:val="left" w:pos="7770"/>
        </w:tabs>
        <w:kinsoku/>
        <w:wordWrap/>
        <w:overflowPunct/>
        <w:topLinePunct w:val="0"/>
        <w:autoSpaceDE/>
        <w:autoSpaceDN/>
        <w:bidi w:val="0"/>
        <w:adjustRightInd/>
        <w:snapToGrid/>
        <w:spacing w:before="0" w:beforeAutospacing="0" w:after="0" w:afterAutospacing="0" w:line="420" w:lineRule="exact"/>
        <w:ind w:right="-113" w:firstLine="3780" w:firstLineChars="18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color w:val="auto"/>
          <w:sz w:val="21"/>
          <w:szCs w:val="21"/>
          <w:highlight w:val="none"/>
        </w:rPr>
        <w:t>法定代表人或其授权代表</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（签字或盖章）</w:t>
      </w:r>
    </w:p>
    <w:p w14:paraId="43A07699">
      <w:pPr>
        <w:pStyle w:val="16"/>
        <w:keepNext w:val="0"/>
        <w:keepLines w:val="0"/>
        <w:pageBreakBefore w:val="0"/>
        <w:kinsoku/>
        <w:wordWrap/>
        <w:overflowPunct/>
        <w:topLinePunct w:val="0"/>
        <w:autoSpaceDE/>
        <w:autoSpaceDN/>
        <w:bidi w:val="0"/>
        <w:adjustRightInd/>
        <w:snapToGrid/>
        <w:spacing w:line="420" w:lineRule="exact"/>
        <w:ind w:firstLine="3780" w:firstLineChars="1800"/>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rPr>
        <w:t>日期：</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年</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月</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日</w:t>
      </w:r>
    </w:p>
    <w:p w14:paraId="7B733473">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64FC9B81">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19B6B637">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614714CD">
      <w:pPr>
        <w:rPr>
          <w:rFonts w:hint="eastAsia" w:ascii="宋体" w:hAnsi="宋体" w:eastAsia="宋体" w:cs="宋体"/>
          <w:color w:val="auto"/>
          <w:highlight w:val="none"/>
          <w:lang w:val="en-US" w:eastAsia="zh-CN"/>
        </w:rPr>
      </w:pPr>
    </w:p>
    <w:p w14:paraId="6E80255D">
      <w:pPr>
        <w:rPr>
          <w:rFonts w:hint="eastAsia" w:ascii="宋体" w:hAnsi="宋体" w:eastAsia="宋体" w:cs="宋体"/>
          <w:color w:val="auto"/>
          <w:highlight w:val="none"/>
          <w:lang w:val="en-US" w:eastAsia="zh-CN"/>
        </w:rPr>
      </w:pPr>
    </w:p>
    <w:p w14:paraId="154D50F8">
      <w:pPr>
        <w:rPr>
          <w:rFonts w:hint="eastAsia" w:ascii="宋体" w:hAnsi="宋体" w:eastAsia="宋体" w:cs="宋体"/>
          <w:color w:val="auto"/>
          <w:highlight w:val="none"/>
          <w:lang w:val="en-US" w:eastAsia="zh-CN"/>
        </w:rPr>
      </w:pPr>
    </w:p>
    <w:p w14:paraId="22CA1216">
      <w:pPr>
        <w:rPr>
          <w:rFonts w:hint="eastAsia" w:ascii="宋体" w:hAnsi="宋体" w:eastAsia="宋体" w:cs="宋体"/>
          <w:color w:val="auto"/>
          <w:highlight w:val="none"/>
          <w:lang w:val="en-US" w:eastAsia="zh-CN"/>
        </w:rPr>
      </w:pPr>
    </w:p>
    <w:p w14:paraId="36D1AA27">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1EEE785A">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4BD3E508">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6336CF07">
      <w:pPr>
        <w:pStyle w:val="2"/>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sz w:val="28"/>
          <w:szCs w:val="28"/>
          <w:highlight w:val="none"/>
          <w:lang w:val="en-US" w:eastAsia="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604" w:name="_Toc23546"/>
    </w:p>
    <w:p w14:paraId="336D89A1">
      <w:pPr>
        <w:pStyle w:val="2"/>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sz w:val="28"/>
          <w:szCs w:val="28"/>
          <w:highlight w:val="none"/>
          <w:lang w:val="en-US" w:eastAsia="zh-CN"/>
        </w:rPr>
      </w:pPr>
      <w:bookmarkStart w:id="605" w:name="_Toc12805"/>
      <w:r>
        <w:rPr>
          <w:rFonts w:hint="eastAsia" w:ascii="宋体" w:hAnsi="宋体" w:eastAsia="宋体" w:cs="宋体"/>
          <w:b/>
          <w:bCs/>
          <w:color w:val="auto"/>
          <w:sz w:val="28"/>
          <w:szCs w:val="28"/>
          <w:highlight w:val="none"/>
          <w:lang w:val="en-US" w:eastAsia="zh-CN"/>
        </w:rPr>
        <w:t>第九部分 其他资料</w:t>
      </w:r>
      <w:bookmarkEnd w:id="604"/>
      <w:bookmarkEnd w:id="605"/>
    </w:p>
    <w:p w14:paraId="301014EF">
      <w:pPr>
        <w:pStyle w:val="16"/>
        <w:keepLines w:val="0"/>
        <w:pageBreakBefore w:val="0"/>
        <w:widowControl w:val="0"/>
        <w:numPr>
          <w:ilvl w:val="0"/>
          <w:numId w:val="18"/>
        </w:numPr>
        <w:kinsoku/>
        <w:wordWrap/>
        <w:overflowPunct/>
        <w:topLinePunct w:val="0"/>
        <w:autoSpaceDE/>
        <w:autoSpaceDN/>
        <w:bidi w:val="0"/>
        <w:adjustRightInd/>
        <w:snapToGrid/>
        <w:spacing w:line="44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zh-CN" w:eastAsia="zh-CN"/>
        </w:rPr>
        <w:t>开户许可证或基本存款账户信息</w:t>
      </w:r>
      <w:r>
        <w:rPr>
          <w:rFonts w:hint="eastAsia" w:ascii="宋体" w:hAnsi="宋体" w:cs="宋体"/>
          <w:bCs/>
          <w:color w:val="auto"/>
          <w:sz w:val="21"/>
          <w:szCs w:val="21"/>
          <w:highlight w:val="none"/>
        </w:rPr>
        <w:t>。</w:t>
      </w:r>
    </w:p>
    <w:p w14:paraId="10BC0B5D">
      <w:pPr>
        <w:pStyle w:val="16"/>
        <w:keepNext w:val="0"/>
        <w:keepLines w:val="0"/>
        <w:pageBreakBefore w:val="0"/>
        <w:widowControl w:val="0"/>
        <w:numPr>
          <w:ilvl w:val="0"/>
          <w:numId w:val="18"/>
        </w:numPr>
        <w:kinsoku/>
        <w:wordWrap/>
        <w:overflowPunct/>
        <w:topLinePunct w:val="0"/>
        <w:autoSpaceDE/>
        <w:autoSpaceDN/>
        <w:bidi w:val="0"/>
        <w:adjustRightInd/>
        <w:snapToGrid/>
        <w:spacing w:line="42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依据</w:t>
      </w:r>
      <w:r>
        <w:rPr>
          <w:rFonts w:hint="eastAsia" w:ascii="宋体" w:hAnsi="宋体" w:cs="宋体"/>
          <w:color w:val="auto"/>
          <w:sz w:val="21"/>
          <w:szCs w:val="21"/>
          <w:highlight w:val="none"/>
          <w:lang w:eastAsia="zh-CN"/>
        </w:rPr>
        <w:t>竞争性磋商文件</w:t>
      </w:r>
      <w:r>
        <w:rPr>
          <w:rFonts w:hint="eastAsia" w:ascii="宋体" w:hAnsi="宋体" w:cs="宋体"/>
          <w:color w:val="auto"/>
          <w:sz w:val="21"/>
          <w:szCs w:val="21"/>
          <w:highlight w:val="none"/>
        </w:rPr>
        <w:t>要求，供应商认为有必要说明的其他内容。</w:t>
      </w:r>
    </w:p>
    <w:p w14:paraId="0B07D9FE">
      <w:pPr>
        <w:keepNext w:val="0"/>
        <w:keepLines w:val="0"/>
        <w:pageBreakBefore w:val="0"/>
        <w:widowControl w:val="0"/>
        <w:numPr>
          <w:ilvl w:val="0"/>
          <w:numId w:val="18"/>
        </w:numPr>
        <w:kinsoku/>
        <w:wordWrap/>
        <w:overflowPunct/>
        <w:topLinePunct w:val="0"/>
        <w:autoSpaceDE w:val="0"/>
        <w:autoSpaceDN w:val="0"/>
        <w:bidi w:val="0"/>
        <w:adjustRightInd w:val="0"/>
        <w:snapToGrid/>
        <w:spacing w:line="420" w:lineRule="exact"/>
        <w:ind w:left="0" w:leftChars="0" w:firstLine="0" w:firstLineChars="0"/>
        <w:jc w:val="both"/>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其他可以证明供应商实力的文件</w:t>
      </w:r>
      <w:r>
        <w:rPr>
          <w:rFonts w:hint="eastAsia" w:ascii="宋体" w:hAnsi="宋体" w:cs="宋体"/>
          <w:color w:val="auto"/>
          <w:sz w:val="21"/>
          <w:szCs w:val="21"/>
          <w:highlight w:val="none"/>
          <w:lang w:eastAsia="zh-CN"/>
        </w:rPr>
        <w:t>。</w:t>
      </w:r>
    </w:p>
    <w:p w14:paraId="7D035F28">
      <w:pPr>
        <w:pStyle w:val="16"/>
        <w:rPr>
          <w:rFonts w:hint="eastAsia" w:ascii="宋体" w:hAnsi="宋体" w:eastAsia="宋体" w:cs="宋体"/>
          <w:color w:val="auto"/>
          <w:highlight w:val="none"/>
        </w:rPr>
      </w:pPr>
    </w:p>
    <w:p w14:paraId="7BC23F05">
      <w:pPr>
        <w:pStyle w:val="137"/>
        <w:keepLines w:val="0"/>
        <w:pageBreakBefore w:val="0"/>
        <w:kinsoku/>
        <w:wordWrap/>
        <w:overflowPunct/>
        <w:topLinePunct w:val="0"/>
        <w:bidi w:val="0"/>
        <w:spacing w:before="0" w:after="0" w:line="360" w:lineRule="auto"/>
        <w:jc w:val="center"/>
        <w:textAlignment w:val="auto"/>
        <w:rPr>
          <w:rFonts w:hint="eastAsia" w:ascii="宋体" w:hAnsi="宋体" w:eastAsia="宋体" w:cs="宋体"/>
          <w:b/>
          <w:bCs/>
          <w:color w:val="auto"/>
          <w:sz w:val="24"/>
          <w:szCs w:val="24"/>
          <w:highlight w:val="none"/>
          <w:lang w:val="en-US" w:eastAsia="zh-CN"/>
        </w:rPr>
      </w:pPr>
    </w:p>
    <w:p w14:paraId="4897CCAD">
      <w:pPr>
        <w:pStyle w:val="137"/>
        <w:keepLines w:val="0"/>
        <w:pageBreakBefore w:val="0"/>
        <w:kinsoku/>
        <w:wordWrap/>
        <w:overflowPunct/>
        <w:topLinePunct w:val="0"/>
        <w:bidi w:val="0"/>
        <w:spacing w:before="0" w:after="0" w:line="360" w:lineRule="auto"/>
        <w:jc w:val="center"/>
        <w:textAlignment w:val="auto"/>
        <w:rPr>
          <w:rFonts w:hint="eastAsia" w:ascii="宋体" w:hAnsi="宋体" w:eastAsia="宋体" w:cs="宋体"/>
          <w:b/>
          <w:bCs/>
          <w:color w:val="auto"/>
          <w:sz w:val="24"/>
          <w:szCs w:val="24"/>
          <w:highlight w:val="none"/>
          <w:lang w:val="en-US" w:eastAsia="zh-CN"/>
        </w:rPr>
      </w:pPr>
    </w:p>
    <w:p w14:paraId="4A4C4CB1">
      <w:pPr>
        <w:pStyle w:val="16"/>
        <w:rPr>
          <w:rFonts w:hint="eastAsia" w:ascii="宋体" w:hAnsi="宋体" w:eastAsia="宋体" w:cs="宋体"/>
          <w:color w:val="auto"/>
          <w:highlight w:val="none"/>
          <w:lang w:val="en-US" w:eastAsia="zh-CN"/>
        </w:rPr>
      </w:pPr>
    </w:p>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auto"/>
    <w:pitch w:val="default"/>
    <w:sig w:usb0="00000000"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202C0"/>
  <w:p w14:paraId="4ACFA16E">
    <w:pPr>
      <w:pStyle w:val="24"/>
      <w:tabs>
        <w:tab w:val="right" w:pos="9135"/>
        <w:tab w:val="clear" w:pos="8306"/>
      </w:tabs>
      <w:ind w:right="-65"/>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4A14C">
    <w:pPr>
      <w:pStyle w:val="24"/>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5D6783">
                          <w:pPr>
                            <w:pStyle w:val="24"/>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F5D6783">
                    <w:pPr>
                      <w:pStyle w:val="2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9EE65">
    <w:pPr>
      <w:pStyle w:val="24"/>
      <w:rPr>
        <w:rFonts w:hint="eastAsia"/>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CF4152">
                          <w:pPr>
                            <w:pStyle w:val="24"/>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FCF4152">
                    <w:pPr>
                      <w:pStyle w:val="24"/>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CED77">
    <w:pPr>
      <w:pStyle w:val="24"/>
      <w:rPr>
        <w:rFonts w:hint="eastAsia"/>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6B030E">
                          <w:pPr>
                            <w:pStyle w:val="2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56B030E">
                    <w:pPr>
                      <w:pStyle w:val="2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6B0B4">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8F744">
    <w:pPr>
      <w:pStyle w:val="24"/>
      <w:ind w:firstLine="4066" w:firstLineChars="225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81C3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B1333">
    <w:pPr>
      <w:pStyle w:val="24"/>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F27FA">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6195F4">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26195F4">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4528B">
    <w:pPr>
      <w:pStyle w:val="24"/>
      <w:rPr>
        <w:rFonts w:hint="eastAsia"/>
        <w:lang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E8E72C">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7E8E72C">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31D6B">
    <w:pPr>
      <w:pStyle w:val="24"/>
      <w:tabs>
        <w:tab w:val="left" w:pos="6480"/>
        <w:tab w:val="clear" w:pos="8306"/>
      </w:tabs>
      <w:jc w:val="both"/>
      <w:rPr>
        <w:rFonts w:hint="default"/>
        <w:lang w:val="en-US"/>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28809D">
                          <w:pPr>
                            <w:pStyle w:val="2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428809D">
                    <w:pPr>
                      <w:pStyle w:val="24"/>
                    </w:pPr>
                    <w:r>
                      <w:fldChar w:fldCharType="begin"/>
                    </w:r>
                    <w:r>
                      <w:instrText xml:space="preserve"> PAGE  \* MERGEFORMAT </w:instrText>
                    </w:r>
                    <w:r>
                      <w:fldChar w:fldCharType="separate"/>
                    </w:r>
                    <w:r>
                      <w:t>8</w:t>
                    </w:r>
                    <w:r>
                      <w:fldChar w:fldCharType="end"/>
                    </w:r>
                  </w:p>
                </w:txbxContent>
              </v:textbox>
            </v:shape>
          </w:pict>
        </mc:Fallback>
      </mc:AlternateContent>
    </w:r>
    <w:r>
      <w:rPr>
        <w:sz w:val="18"/>
        <w:szCs w:val="18"/>
      </w:rPr>
      <mc:AlternateContent>
        <mc:Choice Requires="wps">
          <w:drawing>
            <wp:anchor distT="0" distB="0" distL="114300" distR="114300" simplePos="0" relativeHeight="251662336"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84233C6">
                          <w:pPr>
                            <w:snapToGrid w:val="0"/>
                            <w:rPr>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2336;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QC4YnUAAAACAEAAA8AAAAAAAAAAQAgAAAAIgAAAGRycy9k&#10;b3ducmV2LnhtbFBLAQIUABQAAAAIAIdO4kBAlEQlzQEAAKkDAAAOAAAAAAAAAAEAIAAAACMBAABk&#10;cnMvZTJvRG9jLnhtbFBLBQYAAAAABgAGAFkBAABiBQAAAAA=&#10;">
              <v:fill on="f" focussize="0,0"/>
              <v:stroke on="f"/>
              <v:imagedata o:title=""/>
              <o:lock v:ext="edit" aspectratio="f"/>
              <v:textbox inset="0mm,0mm,0mm,0mm" style="mso-fit-shape-to-text:t;">
                <w:txbxContent>
                  <w:p w14:paraId="484233C6">
                    <w:pPr>
                      <w:snapToGrid w:val="0"/>
                      <w:rPr>
                        <w:sz w:val="18"/>
                      </w:rPr>
                    </w:pPr>
                  </w:p>
                </w:txbxContent>
              </v:textbox>
            </v:shape>
          </w:pict>
        </mc:Fallback>
      </mc:AlternateContent>
    </w:r>
    <w:r>
      <w:rPr>
        <w:sz w:val="18"/>
        <w:szCs w:val="18"/>
      </w:rPr>
      <mc:AlternateContent>
        <mc:Choice Requires="wps">
          <w:drawing>
            <wp:anchor distT="0" distB="0" distL="114300" distR="114300" simplePos="0" relativeHeight="251661312"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4AD9AC3">
                          <w:pPr>
                            <w:snapToGrid w:val="0"/>
                            <w:rPr>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1312;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QC4YnUAAAACAEAAA8AAAAAAAAAAQAgAAAAIgAAAGRycy9k&#10;b3ducmV2LnhtbFBLAQIUABQAAAAIAIdO4kAoetenzQEAAKkDAAAOAAAAAAAAAAEAIAAAACMBAABk&#10;cnMvZTJvRG9jLnhtbFBLBQYAAAAABgAGAFkBAABiBQAAAAA=&#10;">
              <v:fill on="f" focussize="0,0"/>
              <v:stroke on="f"/>
              <v:imagedata o:title=""/>
              <o:lock v:ext="edit" aspectratio="f"/>
              <v:textbox inset="0mm,0mm,0mm,0mm" style="mso-fit-shape-to-text:t;">
                <w:txbxContent>
                  <w:p w14:paraId="34AD9AC3">
                    <w:pPr>
                      <w:snapToGrid w:val="0"/>
                      <w:rPr>
                        <w:sz w:val="18"/>
                      </w:rPr>
                    </w:pPr>
                  </w:p>
                </w:txbxContent>
              </v:textbox>
            </v:shape>
          </w:pict>
        </mc:Fallback>
      </mc:AlternateContent>
    </w:r>
    <w:r>
      <w:rPr>
        <w:sz w:val="18"/>
        <w:szCs w:val="18"/>
      </w:rPr>
      <mc:AlternateContent>
        <mc:Choice Requires="wps">
          <w:drawing>
            <wp:anchor distT="0" distB="0" distL="114300" distR="114300" simplePos="0" relativeHeight="251660288" behindDoc="0" locked="0" layoutInCell="1" allowOverlap="1">
              <wp:simplePos x="0" y="0"/>
              <wp:positionH relativeFrom="margin">
                <wp:posOffset>2948305</wp:posOffset>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6E26AC0">
                          <w:pPr>
                            <w:snapToGrid w:val="0"/>
                            <w:rPr>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232.15pt;margin-top:0pt;height:144pt;width:144pt;mso-position-horizontal-relative:margin;mso-wrap-style:none;z-index:251660288;mso-width-relative:page;mso-height-relative:page;" filled="f" stroked="f" coordsize="21600,21600" o:gfxdata="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jwXT7UAAAACAEAAA8AAAAAAAAAAQAgAAAAIgAAAGRycy9k&#10;b3ducmV2LnhtbFBLAQIUABQAAAAIAIdO4kDP3XZvzQEAAKkDAAAOAAAAAAAAAAEAIAAAACMBAABk&#10;cnMvZTJvRG9jLnhtbFBLBQYAAAAABgAGAFkBAABiBQAAAAA=&#10;">
              <v:fill on="f" focussize="0,0"/>
              <v:stroke on="f"/>
              <v:imagedata o:title=""/>
              <o:lock v:ext="edit" aspectratio="f"/>
              <v:textbox inset="0mm,0mm,0mm,0mm" style="mso-fit-shape-to-text:t;">
                <w:txbxContent>
                  <w:p w14:paraId="66E26AC0">
                    <w:pPr>
                      <w:snapToGrid w:val="0"/>
                      <w:rPr>
                        <w:sz w:val="18"/>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3DE64">
    <w:pPr>
      <w:pStyle w:val="24"/>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C19EF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Lazos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gtrOiyQEAAJkDAAAOAAAAAAAAAAEAIAAAAB4BAABkcnMvZTJvRG9j&#10;LnhtbFBLBQYAAAAABgAGAFkBAABZBQAAAAA=&#10;">
              <v:fill on="f" focussize="0,0"/>
              <v:stroke on="f"/>
              <v:imagedata o:title=""/>
              <o:lock v:ext="edit" aspectratio="f"/>
              <v:textbox inset="0mm,0mm,0mm,0mm" style="mso-fit-shape-to-text:t;">
                <w:txbxContent>
                  <w:p w14:paraId="69C19EF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914C7">
    <w:pPr>
      <w:pStyle w:val="25"/>
      <w:jc w:val="both"/>
      <w:rPr>
        <w:rFonts w:hint="default" w:ascii="宋体" w:hAnsi="宋体" w:eastAsia="宋体" w:cs="宋体"/>
        <w:lang w:val="en-US" w:eastAsia="zh-CN"/>
      </w:rPr>
    </w:pPr>
    <w:r>
      <w:rPr>
        <w:rFonts w:hint="eastAsia" w:ascii="宋体" w:hAnsi="宋体" w:eastAsia="宋体" w:cs="宋体"/>
      </w:rPr>
      <w:t>项目编号：</w:t>
    </w:r>
    <w:r>
      <w:rPr>
        <w:rFonts w:hint="eastAsia" w:ascii="宋体" w:hAnsi="宋体" w:cs="宋体"/>
        <w:lang w:eastAsia="zh-CN"/>
      </w:rPr>
      <w:t>ZFCG-泾阳县-2025-00014</w:t>
    </w:r>
    <w:r>
      <w:rPr>
        <w:rFonts w:hint="eastAsia" w:ascii="宋体" w:hAnsi="宋体" w:cs="宋体"/>
        <w:lang w:val="en-US" w:eastAsia="zh-CN"/>
      </w:rPr>
      <w:t xml:space="preserve">                                         泾阳县人民政府会议室改造项目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E3CA7">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3FB82">
    <w:pPr>
      <w:pStyle w:val="25"/>
      <w:pBdr>
        <w:bottom w:val="none" w:color="auto" w:sz="0" w:space="0"/>
      </w:pBdr>
      <w:jc w:val="right"/>
      <w:rPr>
        <w:rFonts w:ascii="宋体"/>
        <w:b/>
        <w:bCs/>
        <w:i/>
        <w:i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92F04">
    <w:pPr>
      <w:pStyle w:val="25"/>
      <w:jc w:val="both"/>
      <w:rPr>
        <w:rFonts w:hint="eastAsia" w:ascii="宋体" w:hAnsi="宋体" w:eastAsia="宋体" w:cs="宋体"/>
        <w:b/>
        <w:bCs/>
        <w:iCs/>
        <w:lang w:val="en-US" w:eastAsia="zh-CN"/>
      </w:rPr>
    </w:pPr>
    <w:r>
      <w:rPr>
        <w:rFonts w:hint="eastAsia" w:ascii="宋体" w:hAnsi="宋体" w:eastAsia="宋体" w:cs="宋体"/>
      </w:rPr>
      <w:t>项目编号：</w:t>
    </w:r>
    <w:r>
      <w:rPr>
        <w:rFonts w:hint="eastAsia" w:ascii="宋体" w:hAnsi="宋体" w:cs="宋体"/>
        <w:lang w:eastAsia="zh-CN"/>
      </w:rPr>
      <w:t>ZFCG-泾阳县-2025-00014</w:t>
    </w:r>
    <w:r>
      <w:rPr>
        <w:rFonts w:hint="eastAsia" w:ascii="宋体" w:hAnsi="宋体" w:cs="宋体"/>
        <w:lang w:val="en-US" w:eastAsia="zh-CN"/>
      </w:rPr>
      <w:t xml:space="preserve">                                         泾阳县人民政府会议室改造项目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468DB">
    <w:pPr>
      <w:pStyle w:val="25"/>
      <w:jc w:val="both"/>
      <w:rPr>
        <w:rFonts w:hint="default"/>
        <w:lang w:val="en-US"/>
      </w:rPr>
    </w:pPr>
    <w:r>
      <w:rPr>
        <w:rFonts w:hint="eastAsia" w:ascii="宋体" w:hAnsi="宋体" w:cs="宋体"/>
        <w:lang w:eastAsia="zh-CN"/>
      </w:rPr>
      <w:t>项目编号：ZFCG-泾阳县-2025-00014</w:t>
    </w:r>
    <w:r>
      <w:rPr>
        <w:rFonts w:hint="eastAsia" w:ascii="宋体" w:hAnsi="宋体" w:cs="宋体"/>
        <w:lang w:val="en-US" w:eastAsia="zh-CN"/>
      </w:rPr>
      <w:t xml:space="preserve">                                         泾阳县人民政府会议室改造项目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0F85C">
    <w:pPr>
      <w:pStyle w:val="25"/>
      <w:jc w:val="both"/>
    </w:pPr>
    <w:r>
      <w:rPr>
        <w:rFonts w:hint="eastAsia" w:ascii="宋体" w:hAnsi="宋体" w:cs="宋体"/>
        <w:lang w:eastAsia="zh-CN"/>
      </w:rPr>
      <w:t>项目编号：ZFCG-泾阳县-2025-00014</w:t>
    </w:r>
    <w:r>
      <w:rPr>
        <w:rFonts w:hint="eastAsia" w:ascii="宋体" w:hAnsi="宋体" w:cs="宋体"/>
        <w:lang w:val="en-US" w:eastAsia="zh-CN"/>
      </w:rPr>
      <w:t xml:space="preserve">                                                泾阳县人民政府会议室改造项目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9D245">
    <w:pPr>
      <w:pStyle w:val="25"/>
      <w:jc w:val="both"/>
    </w:pPr>
    <w:r>
      <w:rPr>
        <w:rFonts w:hint="eastAsia" w:ascii="宋体" w:hAnsi="宋体" w:cs="宋体"/>
        <w:lang w:eastAsia="zh-CN"/>
      </w:rPr>
      <w:t>项目编号：ZFCG-泾阳县-2025-00014</w:t>
    </w:r>
    <w:r>
      <w:rPr>
        <w:rFonts w:hint="eastAsia" w:ascii="宋体" w:hAnsi="宋体" w:cs="宋体"/>
        <w:lang w:val="en-US" w:eastAsia="zh-CN"/>
      </w:rPr>
      <w:t xml:space="preserve">                                                 泾阳县人民政府会议室改造项目</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91D33">
    <w:pPr>
      <w:pStyle w:val="25"/>
      <w:jc w:val="both"/>
      <w:rPr>
        <w:rFonts w:hint="default"/>
        <w:lang w:val="en-US"/>
      </w:rPr>
    </w:pPr>
    <w:r>
      <w:rPr>
        <w:rFonts w:hint="eastAsia" w:ascii="宋体" w:hAnsi="宋体" w:cs="宋体"/>
        <w:lang w:eastAsia="zh-CN"/>
      </w:rPr>
      <w:t>项目编号：ZFCG-泾阳县-2025-00014</w:t>
    </w:r>
    <w:r>
      <w:rPr>
        <w:rFonts w:hint="eastAsia" w:ascii="宋体" w:hAnsi="宋体" w:cs="宋体"/>
        <w:lang w:val="en-US" w:eastAsia="zh-CN"/>
      </w:rPr>
      <w:t xml:space="preserve">                                         泾阳县人民政府会议室改造项目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012A3"/>
    <w:multiLevelType w:val="singleLevel"/>
    <w:tmpl w:val="870012A3"/>
    <w:lvl w:ilvl="0" w:tentative="0">
      <w:start w:val="1"/>
      <w:numFmt w:val="decimal"/>
      <w:suff w:val="nothing"/>
      <w:lvlText w:val="(%1)"/>
      <w:lvlJc w:val="left"/>
      <w:pPr>
        <w:ind w:left="425" w:hanging="425"/>
      </w:pPr>
      <w:rPr>
        <w:rFonts w:hint="default"/>
      </w:rPr>
    </w:lvl>
  </w:abstractNum>
  <w:abstractNum w:abstractNumId="1">
    <w:nsid w:val="A050B1C8"/>
    <w:multiLevelType w:val="singleLevel"/>
    <w:tmpl w:val="A050B1C8"/>
    <w:lvl w:ilvl="0" w:tentative="0">
      <w:start w:val="2"/>
      <w:numFmt w:val="chineseCounting"/>
      <w:suff w:val="nothing"/>
      <w:lvlText w:val="（%1）"/>
      <w:lvlJc w:val="left"/>
      <w:rPr>
        <w:rFonts w:hint="eastAsia"/>
      </w:rPr>
    </w:lvl>
  </w:abstractNum>
  <w:abstractNum w:abstractNumId="2">
    <w:nsid w:val="C33BEDC3"/>
    <w:multiLevelType w:val="singleLevel"/>
    <w:tmpl w:val="C33BEDC3"/>
    <w:lvl w:ilvl="0" w:tentative="0">
      <w:start w:val="1"/>
      <w:numFmt w:val="decimal"/>
      <w:suff w:val="nothing"/>
      <w:lvlText w:val="（%1）"/>
      <w:lvlJc w:val="left"/>
    </w:lvl>
  </w:abstractNum>
  <w:abstractNum w:abstractNumId="3">
    <w:nsid w:val="D94435E6"/>
    <w:multiLevelType w:val="singleLevel"/>
    <w:tmpl w:val="D94435E6"/>
    <w:lvl w:ilvl="0" w:tentative="0">
      <w:start w:val="1"/>
      <w:numFmt w:val="decimal"/>
      <w:suff w:val="nothing"/>
      <w:lvlText w:val="%1、"/>
      <w:lvlJc w:val="left"/>
    </w:lvl>
  </w:abstractNum>
  <w:abstractNum w:abstractNumId="4">
    <w:nsid w:val="DD891C28"/>
    <w:multiLevelType w:val="singleLevel"/>
    <w:tmpl w:val="DD891C28"/>
    <w:lvl w:ilvl="0" w:tentative="0">
      <w:start w:val="3"/>
      <w:numFmt w:val="chineseCounting"/>
      <w:suff w:val="space"/>
      <w:lvlText w:val="第%1部分"/>
      <w:lvlJc w:val="left"/>
      <w:rPr>
        <w:rFonts w:hint="eastAsia"/>
      </w:rPr>
    </w:lvl>
  </w:abstractNum>
  <w:abstractNum w:abstractNumId="5">
    <w:nsid w:val="E5352CC3"/>
    <w:multiLevelType w:val="singleLevel"/>
    <w:tmpl w:val="E5352CC3"/>
    <w:lvl w:ilvl="0" w:tentative="0">
      <w:start w:val="1"/>
      <w:numFmt w:val="decimal"/>
      <w:suff w:val="nothing"/>
      <w:lvlText w:val="%1."/>
      <w:lvlJc w:val="left"/>
      <w:pPr>
        <w:ind w:left="425" w:hanging="425"/>
      </w:pPr>
      <w:rPr>
        <w:rFonts w:hint="default"/>
      </w:rPr>
    </w:lvl>
  </w:abstractNum>
  <w:abstractNum w:abstractNumId="6">
    <w:nsid w:val="F3B64BE0"/>
    <w:multiLevelType w:val="singleLevel"/>
    <w:tmpl w:val="F3B64BE0"/>
    <w:lvl w:ilvl="0" w:tentative="0">
      <w:start w:val="1"/>
      <w:numFmt w:val="decimal"/>
      <w:suff w:val="nothing"/>
      <w:lvlText w:val="(%1)"/>
      <w:lvlJc w:val="left"/>
      <w:pPr>
        <w:ind w:left="425" w:hanging="425"/>
      </w:pPr>
      <w:rPr>
        <w:rFonts w:hint="default"/>
      </w:rPr>
    </w:lvl>
  </w:abstractNum>
  <w:abstractNum w:abstractNumId="7">
    <w:nsid w:val="02FA7B94"/>
    <w:multiLevelType w:val="singleLevel"/>
    <w:tmpl w:val="02FA7B94"/>
    <w:lvl w:ilvl="0" w:tentative="0">
      <w:start w:val="1"/>
      <w:numFmt w:val="decimal"/>
      <w:suff w:val="nothing"/>
      <w:lvlText w:val="%1."/>
      <w:lvlJc w:val="left"/>
      <w:pPr>
        <w:ind w:left="425" w:hanging="425"/>
      </w:pPr>
      <w:rPr>
        <w:rFonts w:hint="default"/>
      </w:rPr>
    </w:lvl>
  </w:abstractNum>
  <w:abstractNum w:abstractNumId="8">
    <w:nsid w:val="0FAAF117"/>
    <w:multiLevelType w:val="singleLevel"/>
    <w:tmpl w:val="0FAAF117"/>
    <w:lvl w:ilvl="0" w:tentative="0">
      <w:start w:val="2"/>
      <w:numFmt w:val="decimal"/>
      <w:suff w:val="nothing"/>
      <w:lvlText w:val="%1、"/>
      <w:lvlJc w:val="left"/>
    </w:lvl>
  </w:abstractNum>
  <w:abstractNum w:abstractNumId="9">
    <w:nsid w:val="170C5BEA"/>
    <w:multiLevelType w:val="singleLevel"/>
    <w:tmpl w:val="170C5BEA"/>
    <w:lvl w:ilvl="0" w:tentative="0">
      <w:start w:val="1"/>
      <w:numFmt w:val="decimal"/>
      <w:lvlText w:val="%1."/>
      <w:lvlJc w:val="left"/>
      <w:pPr>
        <w:tabs>
          <w:tab w:val="left" w:pos="312"/>
        </w:tabs>
      </w:pPr>
    </w:lvl>
  </w:abstractNum>
  <w:abstractNum w:abstractNumId="10">
    <w:nsid w:val="2409491D"/>
    <w:multiLevelType w:val="singleLevel"/>
    <w:tmpl w:val="2409491D"/>
    <w:lvl w:ilvl="0" w:tentative="0">
      <w:start w:val="1"/>
      <w:numFmt w:val="decimal"/>
      <w:suff w:val="nothing"/>
      <w:lvlText w:val="(%1)"/>
      <w:lvlJc w:val="left"/>
      <w:pPr>
        <w:ind w:left="425" w:hanging="425"/>
      </w:pPr>
      <w:rPr>
        <w:rFonts w:hint="default"/>
      </w:rPr>
    </w:lvl>
  </w:abstractNum>
  <w:abstractNum w:abstractNumId="11">
    <w:nsid w:val="31AA65A1"/>
    <w:multiLevelType w:val="singleLevel"/>
    <w:tmpl w:val="31AA65A1"/>
    <w:lvl w:ilvl="0" w:tentative="0">
      <w:start w:val="1"/>
      <w:numFmt w:val="decimal"/>
      <w:suff w:val="nothing"/>
      <w:lvlText w:val="%1、"/>
      <w:lvlJc w:val="left"/>
    </w:lvl>
  </w:abstractNum>
  <w:abstractNum w:abstractNumId="12">
    <w:nsid w:val="3A66B8A8"/>
    <w:multiLevelType w:val="singleLevel"/>
    <w:tmpl w:val="3A66B8A8"/>
    <w:lvl w:ilvl="0" w:tentative="0">
      <w:start w:val="1"/>
      <w:numFmt w:val="decimal"/>
      <w:suff w:val="nothing"/>
      <w:lvlText w:val="(%1)"/>
      <w:lvlJc w:val="left"/>
      <w:pPr>
        <w:ind w:left="425" w:hanging="425"/>
      </w:pPr>
      <w:rPr>
        <w:rFonts w:hint="default"/>
      </w:rPr>
    </w:lvl>
  </w:abstractNum>
  <w:abstractNum w:abstractNumId="13">
    <w:nsid w:val="3F836DA0"/>
    <w:multiLevelType w:val="singleLevel"/>
    <w:tmpl w:val="3F836DA0"/>
    <w:lvl w:ilvl="0" w:tentative="0">
      <w:start w:val="1"/>
      <w:numFmt w:val="decimal"/>
      <w:suff w:val="nothing"/>
      <w:lvlText w:val="%1."/>
      <w:lvlJc w:val="left"/>
      <w:pPr>
        <w:ind w:left="425" w:hanging="425"/>
      </w:pPr>
      <w:rPr>
        <w:rFonts w:hint="default"/>
      </w:rPr>
    </w:lvl>
  </w:abstractNum>
  <w:abstractNum w:abstractNumId="14">
    <w:nsid w:val="4602DF96"/>
    <w:multiLevelType w:val="singleLevel"/>
    <w:tmpl w:val="4602DF96"/>
    <w:lvl w:ilvl="0" w:tentative="0">
      <w:start w:val="1"/>
      <w:numFmt w:val="decimal"/>
      <w:suff w:val="nothing"/>
      <w:lvlText w:val="%1."/>
      <w:lvlJc w:val="left"/>
    </w:lvl>
  </w:abstractNum>
  <w:abstractNum w:abstractNumId="15">
    <w:nsid w:val="478F9D87"/>
    <w:multiLevelType w:val="singleLevel"/>
    <w:tmpl w:val="478F9D87"/>
    <w:lvl w:ilvl="0" w:tentative="0">
      <w:start w:val="1"/>
      <w:numFmt w:val="decimal"/>
      <w:suff w:val="nothing"/>
      <w:lvlText w:val="(%1)"/>
      <w:lvlJc w:val="left"/>
      <w:pPr>
        <w:ind w:left="425" w:hanging="425"/>
      </w:pPr>
      <w:rPr>
        <w:rFonts w:hint="default"/>
      </w:rPr>
    </w:lvl>
  </w:abstractNum>
  <w:abstractNum w:abstractNumId="16">
    <w:nsid w:val="79CF7CC7"/>
    <w:multiLevelType w:val="singleLevel"/>
    <w:tmpl w:val="79CF7CC7"/>
    <w:lvl w:ilvl="0" w:tentative="0">
      <w:start w:val="1"/>
      <w:numFmt w:val="decimal"/>
      <w:suff w:val="nothing"/>
      <w:lvlText w:val="(%1)"/>
      <w:lvlJc w:val="left"/>
      <w:pPr>
        <w:ind w:left="425" w:hanging="425"/>
      </w:pPr>
      <w:rPr>
        <w:rFonts w:hint="default"/>
      </w:rPr>
    </w:lvl>
  </w:abstractNum>
  <w:abstractNum w:abstractNumId="17">
    <w:nsid w:val="7D1EC287"/>
    <w:multiLevelType w:val="singleLevel"/>
    <w:tmpl w:val="7D1EC287"/>
    <w:lvl w:ilvl="0" w:tentative="0">
      <w:start w:val="5"/>
      <w:numFmt w:val="chineseCounting"/>
      <w:suff w:val="nothing"/>
      <w:lvlText w:val="%1、"/>
      <w:lvlJc w:val="left"/>
      <w:rPr>
        <w:rFonts w:hint="eastAsia"/>
      </w:rPr>
    </w:lvl>
  </w:abstractNum>
  <w:num w:numId="1">
    <w:abstractNumId w:val="5"/>
  </w:num>
  <w:num w:numId="2">
    <w:abstractNumId w:val="13"/>
  </w:num>
  <w:num w:numId="3">
    <w:abstractNumId w:val="16"/>
  </w:num>
  <w:num w:numId="4">
    <w:abstractNumId w:val="10"/>
  </w:num>
  <w:num w:numId="5">
    <w:abstractNumId w:val="9"/>
  </w:num>
  <w:num w:numId="6">
    <w:abstractNumId w:val="8"/>
  </w:num>
  <w:num w:numId="7">
    <w:abstractNumId w:val="2"/>
  </w:num>
  <w:num w:numId="8">
    <w:abstractNumId w:val="14"/>
  </w:num>
  <w:num w:numId="9">
    <w:abstractNumId w:val="17"/>
  </w:num>
  <w:num w:numId="10">
    <w:abstractNumId w:val="4"/>
  </w:num>
  <w:num w:numId="11">
    <w:abstractNumId w:val="7"/>
  </w:num>
  <w:num w:numId="12">
    <w:abstractNumId w:val="6"/>
  </w:num>
  <w:num w:numId="13">
    <w:abstractNumId w:val="15"/>
  </w:num>
  <w:num w:numId="14">
    <w:abstractNumId w:val="1"/>
  </w:num>
  <w:num w:numId="15">
    <w:abstractNumId w:val="12"/>
  </w:num>
  <w:num w:numId="16">
    <w:abstractNumId w:val="0"/>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hNjZlNGMxNDdmMzUwYTk4ZTU2MjJjNTA2OTI2ZWEifQ=="/>
  </w:docVars>
  <w:rsids>
    <w:rsidRoot w:val="00AF7032"/>
    <w:rsid w:val="00002082"/>
    <w:rsid w:val="00002415"/>
    <w:rsid w:val="00005936"/>
    <w:rsid w:val="00005C9D"/>
    <w:rsid w:val="000072CF"/>
    <w:rsid w:val="00010847"/>
    <w:rsid w:val="00011C1D"/>
    <w:rsid w:val="00012265"/>
    <w:rsid w:val="000126E0"/>
    <w:rsid w:val="00015A2B"/>
    <w:rsid w:val="000169B2"/>
    <w:rsid w:val="00017B40"/>
    <w:rsid w:val="0002051E"/>
    <w:rsid w:val="000224F5"/>
    <w:rsid w:val="000246B1"/>
    <w:rsid w:val="00025AB7"/>
    <w:rsid w:val="00030A37"/>
    <w:rsid w:val="0003191A"/>
    <w:rsid w:val="00032033"/>
    <w:rsid w:val="000333D3"/>
    <w:rsid w:val="00035A02"/>
    <w:rsid w:val="00040727"/>
    <w:rsid w:val="00040B71"/>
    <w:rsid w:val="00041A78"/>
    <w:rsid w:val="0004320A"/>
    <w:rsid w:val="00043FD9"/>
    <w:rsid w:val="00044112"/>
    <w:rsid w:val="00045317"/>
    <w:rsid w:val="000459D4"/>
    <w:rsid w:val="00045BD4"/>
    <w:rsid w:val="000468ED"/>
    <w:rsid w:val="0004767C"/>
    <w:rsid w:val="000530F3"/>
    <w:rsid w:val="00053B9E"/>
    <w:rsid w:val="00055378"/>
    <w:rsid w:val="00055A76"/>
    <w:rsid w:val="00064E85"/>
    <w:rsid w:val="000671E1"/>
    <w:rsid w:val="00070C79"/>
    <w:rsid w:val="00071475"/>
    <w:rsid w:val="0007459A"/>
    <w:rsid w:val="00074C03"/>
    <w:rsid w:val="00075479"/>
    <w:rsid w:val="00077E8A"/>
    <w:rsid w:val="00082634"/>
    <w:rsid w:val="00083291"/>
    <w:rsid w:val="00083C78"/>
    <w:rsid w:val="00084442"/>
    <w:rsid w:val="0009325C"/>
    <w:rsid w:val="0009348E"/>
    <w:rsid w:val="00093572"/>
    <w:rsid w:val="00093A93"/>
    <w:rsid w:val="00095FC9"/>
    <w:rsid w:val="000A138F"/>
    <w:rsid w:val="000A1BAC"/>
    <w:rsid w:val="000A2B04"/>
    <w:rsid w:val="000A41EA"/>
    <w:rsid w:val="000A48D7"/>
    <w:rsid w:val="000A677E"/>
    <w:rsid w:val="000B0DDD"/>
    <w:rsid w:val="000B5D53"/>
    <w:rsid w:val="000B6887"/>
    <w:rsid w:val="000B724B"/>
    <w:rsid w:val="000C06B0"/>
    <w:rsid w:val="000C07E3"/>
    <w:rsid w:val="000C0D27"/>
    <w:rsid w:val="000C4415"/>
    <w:rsid w:val="000C5E84"/>
    <w:rsid w:val="000D3948"/>
    <w:rsid w:val="000D5DDA"/>
    <w:rsid w:val="000D6550"/>
    <w:rsid w:val="000D6BD8"/>
    <w:rsid w:val="000E2FFA"/>
    <w:rsid w:val="000E361A"/>
    <w:rsid w:val="000E3DC9"/>
    <w:rsid w:val="000E59FD"/>
    <w:rsid w:val="000E6228"/>
    <w:rsid w:val="000E6D2D"/>
    <w:rsid w:val="000E76E4"/>
    <w:rsid w:val="000F0D15"/>
    <w:rsid w:val="000F1D56"/>
    <w:rsid w:val="000F441B"/>
    <w:rsid w:val="000F6C6D"/>
    <w:rsid w:val="000F6EDE"/>
    <w:rsid w:val="000F72A8"/>
    <w:rsid w:val="001004B7"/>
    <w:rsid w:val="00102146"/>
    <w:rsid w:val="001035A1"/>
    <w:rsid w:val="00103B71"/>
    <w:rsid w:val="00103E26"/>
    <w:rsid w:val="00105186"/>
    <w:rsid w:val="00105A1D"/>
    <w:rsid w:val="00105ABF"/>
    <w:rsid w:val="001067C6"/>
    <w:rsid w:val="00106C53"/>
    <w:rsid w:val="001072D5"/>
    <w:rsid w:val="001105A6"/>
    <w:rsid w:val="00110A4F"/>
    <w:rsid w:val="0011202A"/>
    <w:rsid w:val="00113D2E"/>
    <w:rsid w:val="0011475D"/>
    <w:rsid w:val="00115266"/>
    <w:rsid w:val="001163E5"/>
    <w:rsid w:val="001213EB"/>
    <w:rsid w:val="0012297F"/>
    <w:rsid w:val="0012548F"/>
    <w:rsid w:val="001254A6"/>
    <w:rsid w:val="00126169"/>
    <w:rsid w:val="0012658C"/>
    <w:rsid w:val="001268BB"/>
    <w:rsid w:val="00134C63"/>
    <w:rsid w:val="00135A73"/>
    <w:rsid w:val="00136679"/>
    <w:rsid w:val="0013708B"/>
    <w:rsid w:val="001378FA"/>
    <w:rsid w:val="001405BE"/>
    <w:rsid w:val="0014192C"/>
    <w:rsid w:val="00141A55"/>
    <w:rsid w:val="00141C57"/>
    <w:rsid w:val="00141FF0"/>
    <w:rsid w:val="00143963"/>
    <w:rsid w:val="00144D56"/>
    <w:rsid w:val="001477D9"/>
    <w:rsid w:val="00150743"/>
    <w:rsid w:val="00152EAA"/>
    <w:rsid w:val="00153340"/>
    <w:rsid w:val="00154781"/>
    <w:rsid w:val="00154885"/>
    <w:rsid w:val="00154E32"/>
    <w:rsid w:val="00155883"/>
    <w:rsid w:val="00155A12"/>
    <w:rsid w:val="001560DB"/>
    <w:rsid w:val="00157555"/>
    <w:rsid w:val="001615C5"/>
    <w:rsid w:val="00163CB7"/>
    <w:rsid w:val="00163DAC"/>
    <w:rsid w:val="00165D7C"/>
    <w:rsid w:val="00166581"/>
    <w:rsid w:val="00166874"/>
    <w:rsid w:val="00170DEA"/>
    <w:rsid w:val="00170E44"/>
    <w:rsid w:val="00171185"/>
    <w:rsid w:val="001714A6"/>
    <w:rsid w:val="001721BB"/>
    <w:rsid w:val="001726A8"/>
    <w:rsid w:val="00173436"/>
    <w:rsid w:val="00173664"/>
    <w:rsid w:val="001744BE"/>
    <w:rsid w:val="0017467F"/>
    <w:rsid w:val="00177672"/>
    <w:rsid w:val="00181543"/>
    <w:rsid w:val="00183D46"/>
    <w:rsid w:val="0018405A"/>
    <w:rsid w:val="00186867"/>
    <w:rsid w:val="00186BB2"/>
    <w:rsid w:val="001900C9"/>
    <w:rsid w:val="001920AB"/>
    <w:rsid w:val="0019280B"/>
    <w:rsid w:val="00195BC5"/>
    <w:rsid w:val="001A4555"/>
    <w:rsid w:val="001A5EB8"/>
    <w:rsid w:val="001A7A12"/>
    <w:rsid w:val="001B04F5"/>
    <w:rsid w:val="001B15C5"/>
    <w:rsid w:val="001B35E2"/>
    <w:rsid w:val="001B377D"/>
    <w:rsid w:val="001B4584"/>
    <w:rsid w:val="001B45ED"/>
    <w:rsid w:val="001B4E18"/>
    <w:rsid w:val="001B56E5"/>
    <w:rsid w:val="001B7387"/>
    <w:rsid w:val="001C1E52"/>
    <w:rsid w:val="001C2365"/>
    <w:rsid w:val="001C2A9C"/>
    <w:rsid w:val="001C43E7"/>
    <w:rsid w:val="001C4D04"/>
    <w:rsid w:val="001C6156"/>
    <w:rsid w:val="001C66A2"/>
    <w:rsid w:val="001D204D"/>
    <w:rsid w:val="001D5F0D"/>
    <w:rsid w:val="001D64A0"/>
    <w:rsid w:val="001D6D11"/>
    <w:rsid w:val="001D72AB"/>
    <w:rsid w:val="001E0640"/>
    <w:rsid w:val="001E0784"/>
    <w:rsid w:val="001E1D5E"/>
    <w:rsid w:val="001E3E03"/>
    <w:rsid w:val="001E3EF8"/>
    <w:rsid w:val="001E456B"/>
    <w:rsid w:val="001E4B10"/>
    <w:rsid w:val="001F07D0"/>
    <w:rsid w:val="001F082A"/>
    <w:rsid w:val="001F0913"/>
    <w:rsid w:val="001F0CA9"/>
    <w:rsid w:val="001F1C0E"/>
    <w:rsid w:val="001F3D73"/>
    <w:rsid w:val="001F5855"/>
    <w:rsid w:val="001F6CB3"/>
    <w:rsid w:val="00201148"/>
    <w:rsid w:val="00202413"/>
    <w:rsid w:val="00203E84"/>
    <w:rsid w:val="002040BE"/>
    <w:rsid w:val="00205BFA"/>
    <w:rsid w:val="0020729D"/>
    <w:rsid w:val="002110B4"/>
    <w:rsid w:val="002114D1"/>
    <w:rsid w:val="00211D96"/>
    <w:rsid w:val="00217065"/>
    <w:rsid w:val="0021747B"/>
    <w:rsid w:val="00221F84"/>
    <w:rsid w:val="00223601"/>
    <w:rsid w:val="002252DC"/>
    <w:rsid w:val="00227C56"/>
    <w:rsid w:val="0023030C"/>
    <w:rsid w:val="0023048D"/>
    <w:rsid w:val="00230B14"/>
    <w:rsid w:val="0023396B"/>
    <w:rsid w:val="00234950"/>
    <w:rsid w:val="0023569D"/>
    <w:rsid w:val="00236DE4"/>
    <w:rsid w:val="002427BB"/>
    <w:rsid w:val="002430B3"/>
    <w:rsid w:val="0024320F"/>
    <w:rsid w:val="002437D2"/>
    <w:rsid w:val="002451B8"/>
    <w:rsid w:val="002467D6"/>
    <w:rsid w:val="00250413"/>
    <w:rsid w:val="0025138E"/>
    <w:rsid w:val="00253A2F"/>
    <w:rsid w:val="0025491A"/>
    <w:rsid w:val="002552A8"/>
    <w:rsid w:val="00255643"/>
    <w:rsid w:val="00256CA1"/>
    <w:rsid w:val="00256EE9"/>
    <w:rsid w:val="00256FF8"/>
    <w:rsid w:val="00260761"/>
    <w:rsid w:val="002608C1"/>
    <w:rsid w:val="00260F58"/>
    <w:rsid w:val="002626FB"/>
    <w:rsid w:val="002630E7"/>
    <w:rsid w:val="002637BE"/>
    <w:rsid w:val="00264377"/>
    <w:rsid w:val="0026651C"/>
    <w:rsid w:val="00266EDB"/>
    <w:rsid w:val="002670EF"/>
    <w:rsid w:val="00267768"/>
    <w:rsid w:val="00267DE8"/>
    <w:rsid w:val="00270243"/>
    <w:rsid w:val="00270763"/>
    <w:rsid w:val="002722E8"/>
    <w:rsid w:val="002742B6"/>
    <w:rsid w:val="0027517B"/>
    <w:rsid w:val="00275DB6"/>
    <w:rsid w:val="00277227"/>
    <w:rsid w:val="002775B4"/>
    <w:rsid w:val="0027781D"/>
    <w:rsid w:val="002779FF"/>
    <w:rsid w:val="00281921"/>
    <w:rsid w:val="00283837"/>
    <w:rsid w:val="0028537E"/>
    <w:rsid w:val="0028547F"/>
    <w:rsid w:val="0028691C"/>
    <w:rsid w:val="00291EE5"/>
    <w:rsid w:val="00294B5D"/>
    <w:rsid w:val="00295C0B"/>
    <w:rsid w:val="002A135F"/>
    <w:rsid w:val="002A1A17"/>
    <w:rsid w:val="002A1F94"/>
    <w:rsid w:val="002A26F0"/>
    <w:rsid w:val="002A48E1"/>
    <w:rsid w:val="002A5A8E"/>
    <w:rsid w:val="002A7770"/>
    <w:rsid w:val="002B0704"/>
    <w:rsid w:val="002B1C26"/>
    <w:rsid w:val="002B215D"/>
    <w:rsid w:val="002B433F"/>
    <w:rsid w:val="002B5708"/>
    <w:rsid w:val="002C2B5B"/>
    <w:rsid w:val="002C3CF1"/>
    <w:rsid w:val="002C412E"/>
    <w:rsid w:val="002C587F"/>
    <w:rsid w:val="002C72E2"/>
    <w:rsid w:val="002D101E"/>
    <w:rsid w:val="002D1744"/>
    <w:rsid w:val="002D25D7"/>
    <w:rsid w:val="002D2DC4"/>
    <w:rsid w:val="002D3376"/>
    <w:rsid w:val="002D3C31"/>
    <w:rsid w:val="002D6432"/>
    <w:rsid w:val="002D64D9"/>
    <w:rsid w:val="002E0586"/>
    <w:rsid w:val="002E1258"/>
    <w:rsid w:val="002E30BB"/>
    <w:rsid w:val="002E33CC"/>
    <w:rsid w:val="002E388A"/>
    <w:rsid w:val="002E4F44"/>
    <w:rsid w:val="002E4FC1"/>
    <w:rsid w:val="002E6F47"/>
    <w:rsid w:val="002F27B9"/>
    <w:rsid w:val="002F48FF"/>
    <w:rsid w:val="00302C50"/>
    <w:rsid w:val="003039C4"/>
    <w:rsid w:val="00303B84"/>
    <w:rsid w:val="00303DA7"/>
    <w:rsid w:val="003044B5"/>
    <w:rsid w:val="00304CFB"/>
    <w:rsid w:val="003074CF"/>
    <w:rsid w:val="00307529"/>
    <w:rsid w:val="00311931"/>
    <w:rsid w:val="00311A32"/>
    <w:rsid w:val="00315645"/>
    <w:rsid w:val="00317F13"/>
    <w:rsid w:val="00321D3B"/>
    <w:rsid w:val="00323212"/>
    <w:rsid w:val="003236EA"/>
    <w:rsid w:val="00323D53"/>
    <w:rsid w:val="003243B7"/>
    <w:rsid w:val="00324A81"/>
    <w:rsid w:val="00324C9F"/>
    <w:rsid w:val="00331F40"/>
    <w:rsid w:val="0033248E"/>
    <w:rsid w:val="003324EB"/>
    <w:rsid w:val="00332F45"/>
    <w:rsid w:val="00333F98"/>
    <w:rsid w:val="003340C6"/>
    <w:rsid w:val="00335141"/>
    <w:rsid w:val="00335C1C"/>
    <w:rsid w:val="003405B4"/>
    <w:rsid w:val="003412F6"/>
    <w:rsid w:val="00344DF7"/>
    <w:rsid w:val="00344E5F"/>
    <w:rsid w:val="003503B2"/>
    <w:rsid w:val="003505FC"/>
    <w:rsid w:val="00350814"/>
    <w:rsid w:val="003534C3"/>
    <w:rsid w:val="0035393A"/>
    <w:rsid w:val="00353CD1"/>
    <w:rsid w:val="00356A62"/>
    <w:rsid w:val="00356BF7"/>
    <w:rsid w:val="00360E0C"/>
    <w:rsid w:val="003624DB"/>
    <w:rsid w:val="00362A4B"/>
    <w:rsid w:val="003640D3"/>
    <w:rsid w:val="00364411"/>
    <w:rsid w:val="0036462B"/>
    <w:rsid w:val="0036717A"/>
    <w:rsid w:val="00367937"/>
    <w:rsid w:val="003712EB"/>
    <w:rsid w:val="003729CC"/>
    <w:rsid w:val="00372B57"/>
    <w:rsid w:val="003735D4"/>
    <w:rsid w:val="003735E0"/>
    <w:rsid w:val="00373DF9"/>
    <w:rsid w:val="0037424E"/>
    <w:rsid w:val="00374B72"/>
    <w:rsid w:val="00375CEA"/>
    <w:rsid w:val="00376CB8"/>
    <w:rsid w:val="0037701C"/>
    <w:rsid w:val="00377356"/>
    <w:rsid w:val="00381736"/>
    <w:rsid w:val="00382796"/>
    <w:rsid w:val="00383EAF"/>
    <w:rsid w:val="003840BD"/>
    <w:rsid w:val="003841CA"/>
    <w:rsid w:val="00384514"/>
    <w:rsid w:val="00384996"/>
    <w:rsid w:val="00384CC9"/>
    <w:rsid w:val="00387BB9"/>
    <w:rsid w:val="00387C8B"/>
    <w:rsid w:val="00391469"/>
    <w:rsid w:val="00392427"/>
    <w:rsid w:val="003928BC"/>
    <w:rsid w:val="0039370A"/>
    <w:rsid w:val="0039407E"/>
    <w:rsid w:val="00394BEF"/>
    <w:rsid w:val="00395B68"/>
    <w:rsid w:val="00396437"/>
    <w:rsid w:val="00396D7C"/>
    <w:rsid w:val="003A035C"/>
    <w:rsid w:val="003A1594"/>
    <w:rsid w:val="003A229B"/>
    <w:rsid w:val="003A4942"/>
    <w:rsid w:val="003A632F"/>
    <w:rsid w:val="003A69BE"/>
    <w:rsid w:val="003B08CF"/>
    <w:rsid w:val="003B212A"/>
    <w:rsid w:val="003B3871"/>
    <w:rsid w:val="003B5EFD"/>
    <w:rsid w:val="003B714C"/>
    <w:rsid w:val="003C083B"/>
    <w:rsid w:val="003C314A"/>
    <w:rsid w:val="003C3DF8"/>
    <w:rsid w:val="003C3E18"/>
    <w:rsid w:val="003C4F16"/>
    <w:rsid w:val="003D0954"/>
    <w:rsid w:val="003D1FD9"/>
    <w:rsid w:val="003D292A"/>
    <w:rsid w:val="003D2A24"/>
    <w:rsid w:val="003D2A81"/>
    <w:rsid w:val="003D4A34"/>
    <w:rsid w:val="003D56AA"/>
    <w:rsid w:val="003D58DC"/>
    <w:rsid w:val="003D6281"/>
    <w:rsid w:val="003E0030"/>
    <w:rsid w:val="003E0200"/>
    <w:rsid w:val="003E0220"/>
    <w:rsid w:val="003E0847"/>
    <w:rsid w:val="003E0C0F"/>
    <w:rsid w:val="003E3186"/>
    <w:rsid w:val="003E3E5F"/>
    <w:rsid w:val="003E46D1"/>
    <w:rsid w:val="003E7798"/>
    <w:rsid w:val="003F04DD"/>
    <w:rsid w:val="003F09FC"/>
    <w:rsid w:val="003F1B20"/>
    <w:rsid w:val="003F1BC3"/>
    <w:rsid w:val="003F23C8"/>
    <w:rsid w:val="003F465F"/>
    <w:rsid w:val="004035AC"/>
    <w:rsid w:val="00406E67"/>
    <w:rsid w:val="0040756D"/>
    <w:rsid w:val="00411CE5"/>
    <w:rsid w:val="00411D84"/>
    <w:rsid w:val="00412521"/>
    <w:rsid w:val="004132BF"/>
    <w:rsid w:val="004150B7"/>
    <w:rsid w:val="0041590C"/>
    <w:rsid w:val="004163DE"/>
    <w:rsid w:val="00425E73"/>
    <w:rsid w:val="004279DE"/>
    <w:rsid w:val="00427A8D"/>
    <w:rsid w:val="00431A22"/>
    <w:rsid w:val="00431AD1"/>
    <w:rsid w:val="00431F92"/>
    <w:rsid w:val="004332F3"/>
    <w:rsid w:val="00433768"/>
    <w:rsid w:val="00435065"/>
    <w:rsid w:val="00435286"/>
    <w:rsid w:val="00440D0D"/>
    <w:rsid w:val="004423D0"/>
    <w:rsid w:val="004462F7"/>
    <w:rsid w:val="00446E51"/>
    <w:rsid w:val="00447312"/>
    <w:rsid w:val="00447968"/>
    <w:rsid w:val="00447AFB"/>
    <w:rsid w:val="00452FC4"/>
    <w:rsid w:val="0045350F"/>
    <w:rsid w:val="00453D40"/>
    <w:rsid w:val="00455A99"/>
    <w:rsid w:val="00455CB3"/>
    <w:rsid w:val="00460D00"/>
    <w:rsid w:val="0046194D"/>
    <w:rsid w:val="00466857"/>
    <w:rsid w:val="00467125"/>
    <w:rsid w:val="00470730"/>
    <w:rsid w:val="00470843"/>
    <w:rsid w:val="00470E12"/>
    <w:rsid w:val="00471114"/>
    <w:rsid w:val="00471382"/>
    <w:rsid w:val="00472C0F"/>
    <w:rsid w:val="00474426"/>
    <w:rsid w:val="0047444C"/>
    <w:rsid w:val="0047449F"/>
    <w:rsid w:val="004745E2"/>
    <w:rsid w:val="004745ED"/>
    <w:rsid w:val="00475700"/>
    <w:rsid w:val="00475C50"/>
    <w:rsid w:val="00475E03"/>
    <w:rsid w:val="004764D6"/>
    <w:rsid w:val="00476E47"/>
    <w:rsid w:val="004770F5"/>
    <w:rsid w:val="0047760D"/>
    <w:rsid w:val="00477B49"/>
    <w:rsid w:val="00480295"/>
    <w:rsid w:val="00480610"/>
    <w:rsid w:val="00481416"/>
    <w:rsid w:val="0048144C"/>
    <w:rsid w:val="00491E9B"/>
    <w:rsid w:val="0049243F"/>
    <w:rsid w:val="0049284F"/>
    <w:rsid w:val="00492B9F"/>
    <w:rsid w:val="00493ADE"/>
    <w:rsid w:val="00493C05"/>
    <w:rsid w:val="00496347"/>
    <w:rsid w:val="00497C87"/>
    <w:rsid w:val="00497D09"/>
    <w:rsid w:val="004A043A"/>
    <w:rsid w:val="004A16AB"/>
    <w:rsid w:val="004A2D41"/>
    <w:rsid w:val="004A5412"/>
    <w:rsid w:val="004A57E0"/>
    <w:rsid w:val="004A629D"/>
    <w:rsid w:val="004B1732"/>
    <w:rsid w:val="004B396B"/>
    <w:rsid w:val="004B41C5"/>
    <w:rsid w:val="004B5ED3"/>
    <w:rsid w:val="004B65CF"/>
    <w:rsid w:val="004C008D"/>
    <w:rsid w:val="004C1D03"/>
    <w:rsid w:val="004C22F8"/>
    <w:rsid w:val="004C2759"/>
    <w:rsid w:val="004C43D2"/>
    <w:rsid w:val="004C5858"/>
    <w:rsid w:val="004C5F30"/>
    <w:rsid w:val="004D0E8B"/>
    <w:rsid w:val="004D1106"/>
    <w:rsid w:val="004D13ED"/>
    <w:rsid w:val="004D1E5A"/>
    <w:rsid w:val="004D2599"/>
    <w:rsid w:val="004D378F"/>
    <w:rsid w:val="004D5B0A"/>
    <w:rsid w:val="004E054A"/>
    <w:rsid w:val="004E0659"/>
    <w:rsid w:val="004E0804"/>
    <w:rsid w:val="004E158D"/>
    <w:rsid w:val="004E22C7"/>
    <w:rsid w:val="004E2CF6"/>
    <w:rsid w:val="004E2DE2"/>
    <w:rsid w:val="004E322A"/>
    <w:rsid w:val="004E33B4"/>
    <w:rsid w:val="004E67BF"/>
    <w:rsid w:val="004E67FA"/>
    <w:rsid w:val="004E68C9"/>
    <w:rsid w:val="004E784C"/>
    <w:rsid w:val="004E7BB3"/>
    <w:rsid w:val="004E7F44"/>
    <w:rsid w:val="004F0BC3"/>
    <w:rsid w:val="004F2C06"/>
    <w:rsid w:val="004F673F"/>
    <w:rsid w:val="00500F13"/>
    <w:rsid w:val="0050147E"/>
    <w:rsid w:val="00503A47"/>
    <w:rsid w:val="00504129"/>
    <w:rsid w:val="00507B60"/>
    <w:rsid w:val="005117BF"/>
    <w:rsid w:val="00513B00"/>
    <w:rsid w:val="00514427"/>
    <w:rsid w:val="005165D8"/>
    <w:rsid w:val="00517522"/>
    <w:rsid w:val="00517C5F"/>
    <w:rsid w:val="0052010E"/>
    <w:rsid w:val="0052123A"/>
    <w:rsid w:val="00522288"/>
    <w:rsid w:val="005224CD"/>
    <w:rsid w:val="005225E5"/>
    <w:rsid w:val="00523464"/>
    <w:rsid w:val="005239FC"/>
    <w:rsid w:val="00523FDB"/>
    <w:rsid w:val="005241AD"/>
    <w:rsid w:val="005244F4"/>
    <w:rsid w:val="0052781F"/>
    <w:rsid w:val="00530004"/>
    <w:rsid w:val="00530DC9"/>
    <w:rsid w:val="005328BF"/>
    <w:rsid w:val="005328E0"/>
    <w:rsid w:val="00533515"/>
    <w:rsid w:val="005348E1"/>
    <w:rsid w:val="00536980"/>
    <w:rsid w:val="005377A9"/>
    <w:rsid w:val="005405E3"/>
    <w:rsid w:val="0054070D"/>
    <w:rsid w:val="00540B99"/>
    <w:rsid w:val="00540B9D"/>
    <w:rsid w:val="005417D5"/>
    <w:rsid w:val="00542795"/>
    <w:rsid w:val="005431BF"/>
    <w:rsid w:val="005444BC"/>
    <w:rsid w:val="0054491F"/>
    <w:rsid w:val="00544DF5"/>
    <w:rsid w:val="0054734D"/>
    <w:rsid w:val="00550B80"/>
    <w:rsid w:val="005523CE"/>
    <w:rsid w:val="00553A9C"/>
    <w:rsid w:val="00555944"/>
    <w:rsid w:val="0055658D"/>
    <w:rsid w:val="00556655"/>
    <w:rsid w:val="00557550"/>
    <w:rsid w:val="005605F5"/>
    <w:rsid w:val="00561950"/>
    <w:rsid w:val="0056225D"/>
    <w:rsid w:val="005641C1"/>
    <w:rsid w:val="00565682"/>
    <w:rsid w:val="005669F0"/>
    <w:rsid w:val="00567E42"/>
    <w:rsid w:val="005706D9"/>
    <w:rsid w:val="0057125D"/>
    <w:rsid w:val="005732F7"/>
    <w:rsid w:val="0057354B"/>
    <w:rsid w:val="005739C3"/>
    <w:rsid w:val="00573E6A"/>
    <w:rsid w:val="005748E0"/>
    <w:rsid w:val="00576B34"/>
    <w:rsid w:val="005774A7"/>
    <w:rsid w:val="00581E85"/>
    <w:rsid w:val="00582116"/>
    <w:rsid w:val="00582CB2"/>
    <w:rsid w:val="005846FE"/>
    <w:rsid w:val="00584831"/>
    <w:rsid w:val="00584D47"/>
    <w:rsid w:val="00584D94"/>
    <w:rsid w:val="005855BF"/>
    <w:rsid w:val="005859F8"/>
    <w:rsid w:val="0058716E"/>
    <w:rsid w:val="005877E2"/>
    <w:rsid w:val="00587DB6"/>
    <w:rsid w:val="005903F5"/>
    <w:rsid w:val="00592347"/>
    <w:rsid w:val="0059380C"/>
    <w:rsid w:val="00595B75"/>
    <w:rsid w:val="00597F9A"/>
    <w:rsid w:val="005A1429"/>
    <w:rsid w:val="005A35DF"/>
    <w:rsid w:val="005A609B"/>
    <w:rsid w:val="005A6E6F"/>
    <w:rsid w:val="005B106C"/>
    <w:rsid w:val="005B26A3"/>
    <w:rsid w:val="005B275F"/>
    <w:rsid w:val="005B5F24"/>
    <w:rsid w:val="005B6A74"/>
    <w:rsid w:val="005C263D"/>
    <w:rsid w:val="005C305F"/>
    <w:rsid w:val="005C5F6A"/>
    <w:rsid w:val="005D112A"/>
    <w:rsid w:val="005D2084"/>
    <w:rsid w:val="005D2B81"/>
    <w:rsid w:val="005D2BA1"/>
    <w:rsid w:val="005D57AF"/>
    <w:rsid w:val="005D6535"/>
    <w:rsid w:val="005D6B43"/>
    <w:rsid w:val="005D6DC7"/>
    <w:rsid w:val="005E0246"/>
    <w:rsid w:val="005E32CB"/>
    <w:rsid w:val="005E3905"/>
    <w:rsid w:val="005E6610"/>
    <w:rsid w:val="005E73D2"/>
    <w:rsid w:val="005E7E54"/>
    <w:rsid w:val="005F1632"/>
    <w:rsid w:val="005F1B2A"/>
    <w:rsid w:val="005F333E"/>
    <w:rsid w:val="005F390A"/>
    <w:rsid w:val="005F63CA"/>
    <w:rsid w:val="005F6919"/>
    <w:rsid w:val="0060112D"/>
    <w:rsid w:val="00602891"/>
    <w:rsid w:val="00604F16"/>
    <w:rsid w:val="00606411"/>
    <w:rsid w:val="006113C1"/>
    <w:rsid w:val="006137F4"/>
    <w:rsid w:val="006138C1"/>
    <w:rsid w:val="006146C5"/>
    <w:rsid w:val="0061660D"/>
    <w:rsid w:val="0061773F"/>
    <w:rsid w:val="00620CE9"/>
    <w:rsid w:val="00623E70"/>
    <w:rsid w:val="00624945"/>
    <w:rsid w:val="006249F4"/>
    <w:rsid w:val="0062680D"/>
    <w:rsid w:val="00641552"/>
    <w:rsid w:val="006450EC"/>
    <w:rsid w:val="006472A6"/>
    <w:rsid w:val="00647880"/>
    <w:rsid w:val="006510D4"/>
    <w:rsid w:val="0065639F"/>
    <w:rsid w:val="00657CB1"/>
    <w:rsid w:val="0066023B"/>
    <w:rsid w:val="00660CE3"/>
    <w:rsid w:val="006614CA"/>
    <w:rsid w:val="00664032"/>
    <w:rsid w:val="006642FF"/>
    <w:rsid w:val="00671739"/>
    <w:rsid w:val="00673652"/>
    <w:rsid w:val="00675317"/>
    <w:rsid w:val="0067594E"/>
    <w:rsid w:val="00675E03"/>
    <w:rsid w:val="00676806"/>
    <w:rsid w:val="006774E4"/>
    <w:rsid w:val="00682727"/>
    <w:rsid w:val="00687191"/>
    <w:rsid w:val="00687E84"/>
    <w:rsid w:val="00690081"/>
    <w:rsid w:val="006900BF"/>
    <w:rsid w:val="0069117F"/>
    <w:rsid w:val="00691DA1"/>
    <w:rsid w:val="006929C0"/>
    <w:rsid w:val="006948DF"/>
    <w:rsid w:val="00694EEC"/>
    <w:rsid w:val="00696404"/>
    <w:rsid w:val="00697883"/>
    <w:rsid w:val="00697C01"/>
    <w:rsid w:val="006A1DD5"/>
    <w:rsid w:val="006A1EF4"/>
    <w:rsid w:val="006A223F"/>
    <w:rsid w:val="006A4020"/>
    <w:rsid w:val="006A6E58"/>
    <w:rsid w:val="006B0022"/>
    <w:rsid w:val="006B0E5A"/>
    <w:rsid w:val="006B38B4"/>
    <w:rsid w:val="006B4EF7"/>
    <w:rsid w:val="006C1A67"/>
    <w:rsid w:val="006C4BED"/>
    <w:rsid w:val="006C593B"/>
    <w:rsid w:val="006D0C57"/>
    <w:rsid w:val="006D3AAB"/>
    <w:rsid w:val="006D51A6"/>
    <w:rsid w:val="006E1140"/>
    <w:rsid w:val="006E1365"/>
    <w:rsid w:val="006E18D8"/>
    <w:rsid w:val="006E2BBF"/>
    <w:rsid w:val="006E3150"/>
    <w:rsid w:val="006E5FB3"/>
    <w:rsid w:val="006E5FDA"/>
    <w:rsid w:val="006E6359"/>
    <w:rsid w:val="006E6C23"/>
    <w:rsid w:val="006E7917"/>
    <w:rsid w:val="006F04E9"/>
    <w:rsid w:val="006F2175"/>
    <w:rsid w:val="006F2F95"/>
    <w:rsid w:val="006F3E16"/>
    <w:rsid w:val="006F630B"/>
    <w:rsid w:val="006F7C6E"/>
    <w:rsid w:val="0070050B"/>
    <w:rsid w:val="007012E6"/>
    <w:rsid w:val="00705BCF"/>
    <w:rsid w:val="00706E1D"/>
    <w:rsid w:val="00710635"/>
    <w:rsid w:val="00711DE4"/>
    <w:rsid w:val="007123C4"/>
    <w:rsid w:val="007159E8"/>
    <w:rsid w:val="00716EC6"/>
    <w:rsid w:val="00717540"/>
    <w:rsid w:val="007202C1"/>
    <w:rsid w:val="00720AE7"/>
    <w:rsid w:val="00721DB4"/>
    <w:rsid w:val="007221FC"/>
    <w:rsid w:val="00722332"/>
    <w:rsid w:val="00723E45"/>
    <w:rsid w:val="00725BBA"/>
    <w:rsid w:val="00726AAC"/>
    <w:rsid w:val="0073125C"/>
    <w:rsid w:val="0073360F"/>
    <w:rsid w:val="00736051"/>
    <w:rsid w:val="0074085C"/>
    <w:rsid w:val="00741C13"/>
    <w:rsid w:val="0074366B"/>
    <w:rsid w:val="007437D2"/>
    <w:rsid w:val="0074500F"/>
    <w:rsid w:val="00745217"/>
    <w:rsid w:val="00746F98"/>
    <w:rsid w:val="00747739"/>
    <w:rsid w:val="00750707"/>
    <w:rsid w:val="00753BEE"/>
    <w:rsid w:val="0075586A"/>
    <w:rsid w:val="007561F1"/>
    <w:rsid w:val="00756FE2"/>
    <w:rsid w:val="00757012"/>
    <w:rsid w:val="007573A2"/>
    <w:rsid w:val="00757C7E"/>
    <w:rsid w:val="00757DAD"/>
    <w:rsid w:val="00764926"/>
    <w:rsid w:val="00764C65"/>
    <w:rsid w:val="00767B25"/>
    <w:rsid w:val="00771A04"/>
    <w:rsid w:val="0077369F"/>
    <w:rsid w:val="00773968"/>
    <w:rsid w:val="00774928"/>
    <w:rsid w:val="00774BA8"/>
    <w:rsid w:val="007750D1"/>
    <w:rsid w:val="00776176"/>
    <w:rsid w:val="00780533"/>
    <w:rsid w:val="00780C8B"/>
    <w:rsid w:val="00782A51"/>
    <w:rsid w:val="00782EBE"/>
    <w:rsid w:val="007859C5"/>
    <w:rsid w:val="007873D7"/>
    <w:rsid w:val="00790DD2"/>
    <w:rsid w:val="00791DB3"/>
    <w:rsid w:val="007927AA"/>
    <w:rsid w:val="00792DE2"/>
    <w:rsid w:val="00792E07"/>
    <w:rsid w:val="0079485E"/>
    <w:rsid w:val="00795C9D"/>
    <w:rsid w:val="00796A53"/>
    <w:rsid w:val="007A1D8D"/>
    <w:rsid w:val="007A522A"/>
    <w:rsid w:val="007A5ACD"/>
    <w:rsid w:val="007A61C6"/>
    <w:rsid w:val="007B048E"/>
    <w:rsid w:val="007B07E5"/>
    <w:rsid w:val="007B1F53"/>
    <w:rsid w:val="007B20DF"/>
    <w:rsid w:val="007B2D90"/>
    <w:rsid w:val="007B4A3D"/>
    <w:rsid w:val="007B6ADB"/>
    <w:rsid w:val="007B70CF"/>
    <w:rsid w:val="007B7EDD"/>
    <w:rsid w:val="007C0180"/>
    <w:rsid w:val="007C03C4"/>
    <w:rsid w:val="007C0F6E"/>
    <w:rsid w:val="007C131B"/>
    <w:rsid w:val="007C157C"/>
    <w:rsid w:val="007C32F2"/>
    <w:rsid w:val="007C39C0"/>
    <w:rsid w:val="007C4039"/>
    <w:rsid w:val="007C41F8"/>
    <w:rsid w:val="007C434D"/>
    <w:rsid w:val="007C4928"/>
    <w:rsid w:val="007C4BA8"/>
    <w:rsid w:val="007C5D3E"/>
    <w:rsid w:val="007C6C79"/>
    <w:rsid w:val="007C70B8"/>
    <w:rsid w:val="007C7710"/>
    <w:rsid w:val="007D07B6"/>
    <w:rsid w:val="007D0C40"/>
    <w:rsid w:val="007D1A4E"/>
    <w:rsid w:val="007D1B00"/>
    <w:rsid w:val="007D283D"/>
    <w:rsid w:val="007D2D85"/>
    <w:rsid w:val="007D30B8"/>
    <w:rsid w:val="007D34D2"/>
    <w:rsid w:val="007D48D3"/>
    <w:rsid w:val="007D6327"/>
    <w:rsid w:val="007E4281"/>
    <w:rsid w:val="007E4E49"/>
    <w:rsid w:val="007E4F85"/>
    <w:rsid w:val="007E5229"/>
    <w:rsid w:val="007E5CDC"/>
    <w:rsid w:val="007E5D75"/>
    <w:rsid w:val="007E5DBD"/>
    <w:rsid w:val="007E65EF"/>
    <w:rsid w:val="007E6C6C"/>
    <w:rsid w:val="007F0537"/>
    <w:rsid w:val="007F0CDE"/>
    <w:rsid w:val="007F1365"/>
    <w:rsid w:val="007F1A40"/>
    <w:rsid w:val="007F37AA"/>
    <w:rsid w:val="007F3B4B"/>
    <w:rsid w:val="007F450A"/>
    <w:rsid w:val="007F67D0"/>
    <w:rsid w:val="007F72D3"/>
    <w:rsid w:val="007F7FBC"/>
    <w:rsid w:val="00801186"/>
    <w:rsid w:val="0080144C"/>
    <w:rsid w:val="00801C3D"/>
    <w:rsid w:val="00802CFB"/>
    <w:rsid w:val="0080520F"/>
    <w:rsid w:val="0080610D"/>
    <w:rsid w:val="00807CF6"/>
    <w:rsid w:val="008108CB"/>
    <w:rsid w:val="00816590"/>
    <w:rsid w:val="00816F5E"/>
    <w:rsid w:val="0081752C"/>
    <w:rsid w:val="00820DCE"/>
    <w:rsid w:val="00820F5C"/>
    <w:rsid w:val="00826F9E"/>
    <w:rsid w:val="008270B0"/>
    <w:rsid w:val="008318EE"/>
    <w:rsid w:val="00832159"/>
    <w:rsid w:val="00834CE0"/>
    <w:rsid w:val="00834D0B"/>
    <w:rsid w:val="00834FB2"/>
    <w:rsid w:val="00837701"/>
    <w:rsid w:val="00837F27"/>
    <w:rsid w:val="00840463"/>
    <w:rsid w:val="00841FA6"/>
    <w:rsid w:val="00842365"/>
    <w:rsid w:val="00842512"/>
    <w:rsid w:val="0084283D"/>
    <w:rsid w:val="008434B8"/>
    <w:rsid w:val="008448C4"/>
    <w:rsid w:val="00846F2B"/>
    <w:rsid w:val="0084739C"/>
    <w:rsid w:val="00850EDB"/>
    <w:rsid w:val="00852C8A"/>
    <w:rsid w:val="008549E0"/>
    <w:rsid w:val="00854EFA"/>
    <w:rsid w:val="00856DFF"/>
    <w:rsid w:val="00860088"/>
    <w:rsid w:val="00860E16"/>
    <w:rsid w:val="008627FE"/>
    <w:rsid w:val="00862812"/>
    <w:rsid w:val="00865243"/>
    <w:rsid w:val="008666B9"/>
    <w:rsid w:val="00872B22"/>
    <w:rsid w:val="00874A7D"/>
    <w:rsid w:val="00874ABB"/>
    <w:rsid w:val="00874E6F"/>
    <w:rsid w:val="00875E29"/>
    <w:rsid w:val="0088521A"/>
    <w:rsid w:val="008858C1"/>
    <w:rsid w:val="00885ECF"/>
    <w:rsid w:val="00886014"/>
    <w:rsid w:val="00887E2E"/>
    <w:rsid w:val="00890184"/>
    <w:rsid w:val="00890404"/>
    <w:rsid w:val="00890869"/>
    <w:rsid w:val="00890C43"/>
    <w:rsid w:val="00890CE3"/>
    <w:rsid w:val="00890F6C"/>
    <w:rsid w:val="00893040"/>
    <w:rsid w:val="00893C47"/>
    <w:rsid w:val="00894E1F"/>
    <w:rsid w:val="00895C64"/>
    <w:rsid w:val="00895F6F"/>
    <w:rsid w:val="0089634B"/>
    <w:rsid w:val="00897279"/>
    <w:rsid w:val="008A08AA"/>
    <w:rsid w:val="008A0BCB"/>
    <w:rsid w:val="008A146C"/>
    <w:rsid w:val="008A28C5"/>
    <w:rsid w:val="008A3219"/>
    <w:rsid w:val="008A33F5"/>
    <w:rsid w:val="008A4028"/>
    <w:rsid w:val="008A6439"/>
    <w:rsid w:val="008A6C41"/>
    <w:rsid w:val="008B06AF"/>
    <w:rsid w:val="008B1904"/>
    <w:rsid w:val="008B422F"/>
    <w:rsid w:val="008B4A84"/>
    <w:rsid w:val="008B4BC8"/>
    <w:rsid w:val="008B5028"/>
    <w:rsid w:val="008B54BE"/>
    <w:rsid w:val="008B5FFC"/>
    <w:rsid w:val="008B717A"/>
    <w:rsid w:val="008C2381"/>
    <w:rsid w:val="008C276D"/>
    <w:rsid w:val="008C30AB"/>
    <w:rsid w:val="008C360E"/>
    <w:rsid w:val="008C3CA0"/>
    <w:rsid w:val="008C3EBC"/>
    <w:rsid w:val="008C476E"/>
    <w:rsid w:val="008C6083"/>
    <w:rsid w:val="008C766B"/>
    <w:rsid w:val="008C7E8D"/>
    <w:rsid w:val="008D0504"/>
    <w:rsid w:val="008D1984"/>
    <w:rsid w:val="008D2202"/>
    <w:rsid w:val="008D57E7"/>
    <w:rsid w:val="008D5974"/>
    <w:rsid w:val="008D5FDB"/>
    <w:rsid w:val="008D7BE6"/>
    <w:rsid w:val="008E15BC"/>
    <w:rsid w:val="008E27EE"/>
    <w:rsid w:val="008E4095"/>
    <w:rsid w:val="008E41AC"/>
    <w:rsid w:val="008E597F"/>
    <w:rsid w:val="008E624B"/>
    <w:rsid w:val="008F14DB"/>
    <w:rsid w:val="008F4994"/>
    <w:rsid w:val="008F4E99"/>
    <w:rsid w:val="008F5C53"/>
    <w:rsid w:val="008F6212"/>
    <w:rsid w:val="009059F7"/>
    <w:rsid w:val="009074EB"/>
    <w:rsid w:val="00911AD1"/>
    <w:rsid w:val="00911D51"/>
    <w:rsid w:val="00912A4B"/>
    <w:rsid w:val="0091302C"/>
    <w:rsid w:val="0091455F"/>
    <w:rsid w:val="00914CB0"/>
    <w:rsid w:val="009172D4"/>
    <w:rsid w:val="009210FF"/>
    <w:rsid w:val="0092174A"/>
    <w:rsid w:val="00921BD9"/>
    <w:rsid w:val="00922029"/>
    <w:rsid w:val="009250A4"/>
    <w:rsid w:val="00926463"/>
    <w:rsid w:val="00926BBB"/>
    <w:rsid w:val="00927D2B"/>
    <w:rsid w:val="0093022D"/>
    <w:rsid w:val="009304ED"/>
    <w:rsid w:val="00931F47"/>
    <w:rsid w:val="00932315"/>
    <w:rsid w:val="00933813"/>
    <w:rsid w:val="009362CB"/>
    <w:rsid w:val="009368DE"/>
    <w:rsid w:val="00936D0A"/>
    <w:rsid w:val="009371FE"/>
    <w:rsid w:val="009379C9"/>
    <w:rsid w:val="009404AE"/>
    <w:rsid w:val="00943B36"/>
    <w:rsid w:val="0094443E"/>
    <w:rsid w:val="00945221"/>
    <w:rsid w:val="00952591"/>
    <w:rsid w:val="00952812"/>
    <w:rsid w:val="00953B40"/>
    <w:rsid w:val="00953E2B"/>
    <w:rsid w:val="00960E82"/>
    <w:rsid w:val="009610D8"/>
    <w:rsid w:val="009624B8"/>
    <w:rsid w:val="00963F7E"/>
    <w:rsid w:val="00967F77"/>
    <w:rsid w:val="00970211"/>
    <w:rsid w:val="009707AB"/>
    <w:rsid w:val="009714B0"/>
    <w:rsid w:val="00971814"/>
    <w:rsid w:val="00973F37"/>
    <w:rsid w:val="0097453C"/>
    <w:rsid w:val="00975076"/>
    <w:rsid w:val="00976E25"/>
    <w:rsid w:val="00977BC8"/>
    <w:rsid w:val="00977C90"/>
    <w:rsid w:val="0098118A"/>
    <w:rsid w:val="00982062"/>
    <w:rsid w:val="0098237C"/>
    <w:rsid w:val="00982CBD"/>
    <w:rsid w:val="00982DE2"/>
    <w:rsid w:val="00982F9F"/>
    <w:rsid w:val="00983EFD"/>
    <w:rsid w:val="00983FFD"/>
    <w:rsid w:val="00985AEC"/>
    <w:rsid w:val="00991E86"/>
    <w:rsid w:val="00992A06"/>
    <w:rsid w:val="009959F7"/>
    <w:rsid w:val="0099620C"/>
    <w:rsid w:val="0099732B"/>
    <w:rsid w:val="009A1C6A"/>
    <w:rsid w:val="009A3A17"/>
    <w:rsid w:val="009A3BC7"/>
    <w:rsid w:val="009A408E"/>
    <w:rsid w:val="009A5EAF"/>
    <w:rsid w:val="009A65C8"/>
    <w:rsid w:val="009B0538"/>
    <w:rsid w:val="009B2281"/>
    <w:rsid w:val="009B22A2"/>
    <w:rsid w:val="009B23EF"/>
    <w:rsid w:val="009B24C8"/>
    <w:rsid w:val="009B5127"/>
    <w:rsid w:val="009B744E"/>
    <w:rsid w:val="009C19A1"/>
    <w:rsid w:val="009C1D04"/>
    <w:rsid w:val="009C49EA"/>
    <w:rsid w:val="009C4B9C"/>
    <w:rsid w:val="009D0709"/>
    <w:rsid w:val="009D0B04"/>
    <w:rsid w:val="009D15AB"/>
    <w:rsid w:val="009D2048"/>
    <w:rsid w:val="009D20BA"/>
    <w:rsid w:val="009D21FE"/>
    <w:rsid w:val="009D246D"/>
    <w:rsid w:val="009D332E"/>
    <w:rsid w:val="009D3BFF"/>
    <w:rsid w:val="009D3DD0"/>
    <w:rsid w:val="009D4F41"/>
    <w:rsid w:val="009D51A3"/>
    <w:rsid w:val="009D5B57"/>
    <w:rsid w:val="009D7EF5"/>
    <w:rsid w:val="009E1398"/>
    <w:rsid w:val="009E1A15"/>
    <w:rsid w:val="009E1D53"/>
    <w:rsid w:val="009E2187"/>
    <w:rsid w:val="009E2785"/>
    <w:rsid w:val="009E31C0"/>
    <w:rsid w:val="009E32D2"/>
    <w:rsid w:val="009E370D"/>
    <w:rsid w:val="009E3EEB"/>
    <w:rsid w:val="009E4230"/>
    <w:rsid w:val="009E5738"/>
    <w:rsid w:val="009E6AD2"/>
    <w:rsid w:val="009F0C3C"/>
    <w:rsid w:val="009F1E03"/>
    <w:rsid w:val="009F1EA3"/>
    <w:rsid w:val="009F1F3B"/>
    <w:rsid w:val="009F25E0"/>
    <w:rsid w:val="009F43D2"/>
    <w:rsid w:val="009F4922"/>
    <w:rsid w:val="009F7BCA"/>
    <w:rsid w:val="00A00232"/>
    <w:rsid w:val="00A012D2"/>
    <w:rsid w:val="00A03198"/>
    <w:rsid w:val="00A0607A"/>
    <w:rsid w:val="00A06722"/>
    <w:rsid w:val="00A072B2"/>
    <w:rsid w:val="00A078C5"/>
    <w:rsid w:val="00A07AF2"/>
    <w:rsid w:val="00A116B7"/>
    <w:rsid w:val="00A12682"/>
    <w:rsid w:val="00A12A72"/>
    <w:rsid w:val="00A156C8"/>
    <w:rsid w:val="00A15CCF"/>
    <w:rsid w:val="00A16253"/>
    <w:rsid w:val="00A16D40"/>
    <w:rsid w:val="00A17CF0"/>
    <w:rsid w:val="00A20741"/>
    <w:rsid w:val="00A2171A"/>
    <w:rsid w:val="00A225FB"/>
    <w:rsid w:val="00A2331C"/>
    <w:rsid w:val="00A23C3A"/>
    <w:rsid w:val="00A248CF"/>
    <w:rsid w:val="00A265A9"/>
    <w:rsid w:val="00A30D15"/>
    <w:rsid w:val="00A32BCF"/>
    <w:rsid w:val="00A33C25"/>
    <w:rsid w:val="00A35712"/>
    <w:rsid w:val="00A35AC0"/>
    <w:rsid w:val="00A35B61"/>
    <w:rsid w:val="00A375B5"/>
    <w:rsid w:val="00A40527"/>
    <w:rsid w:val="00A40CB9"/>
    <w:rsid w:val="00A4121C"/>
    <w:rsid w:val="00A41811"/>
    <w:rsid w:val="00A43A11"/>
    <w:rsid w:val="00A43A6E"/>
    <w:rsid w:val="00A43FCD"/>
    <w:rsid w:val="00A44132"/>
    <w:rsid w:val="00A45424"/>
    <w:rsid w:val="00A47344"/>
    <w:rsid w:val="00A50204"/>
    <w:rsid w:val="00A51BD5"/>
    <w:rsid w:val="00A5477A"/>
    <w:rsid w:val="00A557A8"/>
    <w:rsid w:val="00A56F6D"/>
    <w:rsid w:val="00A57438"/>
    <w:rsid w:val="00A60009"/>
    <w:rsid w:val="00A65D8F"/>
    <w:rsid w:val="00A66932"/>
    <w:rsid w:val="00A66B10"/>
    <w:rsid w:val="00A6740E"/>
    <w:rsid w:val="00A67BE3"/>
    <w:rsid w:val="00A703A4"/>
    <w:rsid w:val="00A7053C"/>
    <w:rsid w:val="00A70979"/>
    <w:rsid w:val="00A724DA"/>
    <w:rsid w:val="00A72F87"/>
    <w:rsid w:val="00A751E7"/>
    <w:rsid w:val="00A75414"/>
    <w:rsid w:val="00A76FC0"/>
    <w:rsid w:val="00A77F36"/>
    <w:rsid w:val="00A77FA5"/>
    <w:rsid w:val="00A8013F"/>
    <w:rsid w:val="00A80DEB"/>
    <w:rsid w:val="00A80E3B"/>
    <w:rsid w:val="00A827A7"/>
    <w:rsid w:val="00A827DB"/>
    <w:rsid w:val="00A84560"/>
    <w:rsid w:val="00A84EB2"/>
    <w:rsid w:val="00A85E87"/>
    <w:rsid w:val="00A87522"/>
    <w:rsid w:val="00A934E5"/>
    <w:rsid w:val="00A9457D"/>
    <w:rsid w:val="00A955C0"/>
    <w:rsid w:val="00A95970"/>
    <w:rsid w:val="00A96974"/>
    <w:rsid w:val="00A96CA3"/>
    <w:rsid w:val="00AA1EBE"/>
    <w:rsid w:val="00AA229D"/>
    <w:rsid w:val="00AA3686"/>
    <w:rsid w:val="00AA3C84"/>
    <w:rsid w:val="00AA4825"/>
    <w:rsid w:val="00AA4D7F"/>
    <w:rsid w:val="00AB0D98"/>
    <w:rsid w:val="00AB377F"/>
    <w:rsid w:val="00AC01F3"/>
    <w:rsid w:val="00AC07B8"/>
    <w:rsid w:val="00AC252C"/>
    <w:rsid w:val="00AC2C4F"/>
    <w:rsid w:val="00AC4BAC"/>
    <w:rsid w:val="00AC5DE9"/>
    <w:rsid w:val="00AC64B2"/>
    <w:rsid w:val="00AC6537"/>
    <w:rsid w:val="00AD06D8"/>
    <w:rsid w:val="00AD1D25"/>
    <w:rsid w:val="00AD2EDC"/>
    <w:rsid w:val="00AD324B"/>
    <w:rsid w:val="00AD3DFC"/>
    <w:rsid w:val="00AD47DF"/>
    <w:rsid w:val="00AD5899"/>
    <w:rsid w:val="00AD676F"/>
    <w:rsid w:val="00AD70A3"/>
    <w:rsid w:val="00AE02A6"/>
    <w:rsid w:val="00AE1321"/>
    <w:rsid w:val="00AE295A"/>
    <w:rsid w:val="00AE6552"/>
    <w:rsid w:val="00AE762A"/>
    <w:rsid w:val="00AF02FA"/>
    <w:rsid w:val="00AF0D3D"/>
    <w:rsid w:val="00AF3851"/>
    <w:rsid w:val="00AF496D"/>
    <w:rsid w:val="00AF56B1"/>
    <w:rsid w:val="00AF679F"/>
    <w:rsid w:val="00AF7032"/>
    <w:rsid w:val="00B01780"/>
    <w:rsid w:val="00B05681"/>
    <w:rsid w:val="00B0742B"/>
    <w:rsid w:val="00B078EA"/>
    <w:rsid w:val="00B12E28"/>
    <w:rsid w:val="00B1320E"/>
    <w:rsid w:val="00B1421B"/>
    <w:rsid w:val="00B154E8"/>
    <w:rsid w:val="00B20DDA"/>
    <w:rsid w:val="00B22714"/>
    <w:rsid w:val="00B23597"/>
    <w:rsid w:val="00B239AD"/>
    <w:rsid w:val="00B306B7"/>
    <w:rsid w:val="00B32240"/>
    <w:rsid w:val="00B33E17"/>
    <w:rsid w:val="00B34768"/>
    <w:rsid w:val="00B34B2D"/>
    <w:rsid w:val="00B350D7"/>
    <w:rsid w:val="00B35455"/>
    <w:rsid w:val="00B36CAD"/>
    <w:rsid w:val="00B377B0"/>
    <w:rsid w:val="00B406BC"/>
    <w:rsid w:val="00B40795"/>
    <w:rsid w:val="00B40DD6"/>
    <w:rsid w:val="00B42B80"/>
    <w:rsid w:val="00B42DF5"/>
    <w:rsid w:val="00B44DA1"/>
    <w:rsid w:val="00B44E6F"/>
    <w:rsid w:val="00B460AD"/>
    <w:rsid w:val="00B50FE3"/>
    <w:rsid w:val="00B5247D"/>
    <w:rsid w:val="00B5289A"/>
    <w:rsid w:val="00B53406"/>
    <w:rsid w:val="00B541BB"/>
    <w:rsid w:val="00B563B4"/>
    <w:rsid w:val="00B606CA"/>
    <w:rsid w:val="00B618E9"/>
    <w:rsid w:val="00B621E4"/>
    <w:rsid w:val="00B62ABC"/>
    <w:rsid w:val="00B63DA1"/>
    <w:rsid w:val="00B63DBC"/>
    <w:rsid w:val="00B66F81"/>
    <w:rsid w:val="00B67DB6"/>
    <w:rsid w:val="00B70DA4"/>
    <w:rsid w:val="00B71E65"/>
    <w:rsid w:val="00B73827"/>
    <w:rsid w:val="00B74957"/>
    <w:rsid w:val="00B75226"/>
    <w:rsid w:val="00B75735"/>
    <w:rsid w:val="00B757FD"/>
    <w:rsid w:val="00B76928"/>
    <w:rsid w:val="00B779B0"/>
    <w:rsid w:val="00B802EA"/>
    <w:rsid w:val="00B802F9"/>
    <w:rsid w:val="00B808E3"/>
    <w:rsid w:val="00B822BE"/>
    <w:rsid w:val="00B82550"/>
    <w:rsid w:val="00B84555"/>
    <w:rsid w:val="00B85531"/>
    <w:rsid w:val="00B86F8C"/>
    <w:rsid w:val="00B87027"/>
    <w:rsid w:val="00B9003C"/>
    <w:rsid w:val="00B90892"/>
    <w:rsid w:val="00B91A26"/>
    <w:rsid w:val="00B949D4"/>
    <w:rsid w:val="00B94EF2"/>
    <w:rsid w:val="00B95A5F"/>
    <w:rsid w:val="00B97280"/>
    <w:rsid w:val="00B974AC"/>
    <w:rsid w:val="00B97CC7"/>
    <w:rsid w:val="00BA0973"/>
    <w:rsid w:val="00BA103F"/>
    <w:rsid w:val="00BA1DE4"/>
    <w:rsid w:val="00BA590B"/>
    <w:rsid w:val="00BA64FD"/>
    <w:rsid w:val="00BA74C4"/>
    <w:rsid w:val="00BB0618"/>
    <w:rsid w:val="00BB106D"/>
    <w:rsid w:val="00BB1F1A"/>
    <w:rsid w:val="00BB24C8"/>
    <w:rsid w:val="00BB2524"/>
    <w:rsid w:val="00BB297E"/>
    <w:rsid w:val="00BB2C28"/>
    <w:rsid w:val="00BB65A3"/>
    <w:rsid w:val="00BB6D33"/>
    <w:rsid w:val="00BB6EFB"/>
    <w:rsid w:val="00BB7147"/>
    <w:rsid w:val="00BB771F"/>
    <w:rsid w:val="00BC005D"/>
    <w:rsid w:val="00BC0C8D"/>
    <w:rsid w:val="00BC0D04"/>
    <w:rsid w:val="00BC2098"/>
    <w:rsid w:val="00BC4C7A"/>
    <w:rsid w:val="00BC602E"/>
    <w:rsid w:val="00BC683A"/>
    <w:rsid w:val="00BC701B"/>
    <w:rsid w:val="00BC7BBE"/>
    <w:rsid w:val="00BC7E33"/>
    <w:rsid w:val="00BC7F44"/>
    <w:rsid w:val="00BD141C"/>
    <w:rsid w:val="00BD6FF9"/>
    <w:rsid w:val="00BE0B6B"/>
    <w:rsid w:val="00BE522E"/>
    <w:rsid w:val="00BE6464"/>
    <w:rsid w:val="00BE6A10"/>
    <w:rsid w:val="00BE78E5"/>
    <w:rsid w:val="00BE7CB5"/>
    <w:rsid w:val="00BF1229"/>
    <w:rsid w:val="00BF1876"/>
    <w:rsid w:val="00BF2CED"/>
    <w:rsid w:val="00BF3692"/>
    <w:rsid w:val="00BF3E6D"/>
    <w:rsid w:val="00BF4803"/>
    <w:rsid w:val="00BF63A9"/>
    <w:rsid w:val="00C017A3"/>
    <w:rsid w:val="00C01801"/>
    <w:rsid w:val="00C01899"/>
    <w:rsid w:val="00C019FF"/>
    <w:rsid w:val="00C035CD"/>
    <w:rsid w:val="00C05013"/>
    <w:rsid w:val="00C06668"/>
    <w:rsid w:val="00C07FE9"/>
    <w:rsid w:val="00C10730"/>
    <w:rsid w:val="00C12168"/>
    <w:rsid w:val="00C1411B"/>
    <w:rsid w:val="00C16AFE"/>
    <w:rsid w:val="00C16E66"/>
    <w:rsid w:val="00C205BF"/>
    <w:rsid w:val="00C22D1B"/>
    <w:rsid w:val="00C248B3"/>
    <w:rsid w:val="00C248D7"/>
    <w:rsid w:val="00C26ACB"/>
    <w:rsid w:val="00C27726"/>
    <w:rsid w:val="00C27F4F"/>
    <w:rsid w:val="00C30526"/>
    <w:rsid w:val="00C30EE9"/>
    <w:rsid w:val="00C3173E"/>
    <w:rsid w:val="00C31F17"/>
    <w:rsid w:val="00C32F59"/>
    <w:rsid w:val="00C36129"/>
    <w:rsid w:val="00C373CF"/>
    <w:rsid w:val="00C37769"/>
    <w:rsid w:val="00C37DE5"/>
    <w:rsid w:val="00C41016"/>
    <w:rsid w:val="00C4180F"/>
    <w:rsid w:val="00C425DD"/>
    <w:rsid w:val="00C42FC4"/>
    <w:rsid w:val="00C4498D"/>
    <w:rsid w:val="00C44C31"/>
    <w:rsid w:val="00C46A0F"/>
    <w:rsid w:val="00C5383E"/>
    <w:rsid w:val="00C540F9"/>
    <w:rsid w:val="00C54A62"/>
    <w:rsid w:val="00C54D1A"/>
    <w:rsid w:val="00C607A6"/>
    <w:rsid w:val="00C60B40"/>
    <w:rsid w:val="00C612D3"/>
    <w:rsid w:val="00C630EC"/>
    <w:rsid w:val="00C657B2"/>
    <w:rsid w:val="00C65D48"/>
    <w:rsid w:val="00C7073C"/>
    <w:rsid w:val="00C71AE3"/>
    <w:rsid w:val="00C71D2B"/>
    <w:rsid w:val="00C726BD"/>
    <w:rsid w:val="00C730B0"/>
    <w:rsid w:val="00C73800"/>
    <w:rsid w:val="00C75746"/>
    <w:rsid w:val="00C76309"/>
    <w:rsid w:val="00C7641E"/>
    <w:rsid w:val="00C769D1"/>
    <w:rsid w:val="00C77472"/>
    <w:rsid w:val="00C77865"/>
    <w:rsid w:val="00C77AE2"/>
    <w:rsid w:val="00C81584"/>
    <w:rsid w:val="00C84990"/>
    <w:rsid w:val="00C84D46"/>
    <w:rsid w:val="00C84F54"/>
    <w:rsid w:val="00C8556F"/>
    <w:rsid w:val="00C85961"/>
    <w:rsid w:val="00C85B57"/>
    <w:rsid w:val="00C86703"/>
    <w:rsid w:val="00C87E7E"/>
    <w:rsid w:val="00C90767"/>
    <w:rsid w:val="00C914A5"/>
    <w:rsid w:val="00C9364E"/>
    <w:rsid w:val="00C94E6D"/>
    <w:rsid w:val="00CA1790"/>
    <w:rsid w:val="00CA23A8"/>
    <w:rsid w:val="00CA2647"/>
    <w:rsid w:val="00CA2BBE"/>
    <w:rsid w:val="00CA3175"/>
    <w:rsid w:val="00CA3816"/>
    <w:rsid w:val="00CA3B5C"/>
    <w:rsid w:val="00CA4F35"/>
    <w:rsid w:val="00CB1318"/>
    <w:rsid w:val="00CB27FA"/>
    <w:rsid w:val="00CB2977"/>
    <w:rsid w:val="00CB29B8"/>
    <w:rsid w:val="00CB2E14"/>
    <w:rsid w:val="00CB3AFE"/>
    <w:rsid w:val="00CB6A4A"/>
    <w:rsid w:val="00CB6DE3"/>
    <w:rsid w:val="00CC076C"/>
    <w:rsid w:val="00CC09E0"/>
    <w:rsid w:val="00CC2C54"/>
    <w:rsid w:val="00CC3B25"/>
    <w:rsid w:val="00CC553B"/>
    <w:rsid w:val="00CC5FED"/>
    <w:rsid w:val="00CC6AFA"/>
    <w:rsid w:val="00CC7E2C"/>
    <w:rsid w:val="00CD00C2"/>
    <w:rsid w:val="00CD0E05"/>
    <w:rsid w:val="00CD1438"/>
    <w:rsid w:val="00CD2E73"/>
    <w:rsid w:val="00CD7610"/>
    <w:rsid w:val="00CE00ED"/>
    <w:rsid w:val="00CE0DE9"/>
    <w:rsid w:val="00CE0EEB"/>
    <w:rsid w:val="00CE15AD"/>
    <w:rsid w:val="00CE36FC"/>
    <w:rsid w:val="00CE4915"/>
    <w:rsid w:val="00CE781C"/>
    <w:rsid w:val="00CF1F08"/>
    <w:rsid w:val="00CF2316"/>
    <w:rsid w:val="00CF23B1"/>
    <w:rsid w:val="00CF2DAC"/>
    <w:rsid w:val="00CF5B23"/>
    <w:rsid w:val="00CF67BB"/>
    <w:rsid w:val="00D0050C"/>
    <w:rsid w:val="00D02B27"/>
    <w:rsid w:val="00D034FA"/>
    <w:rsid w:val="00D03A05"/>
    <w:rsid w:val="00D044FA"/>
    <w:rsid w:val="00D048DA"/>
    <w:rsid w:val="00D053A6"/>
    <w:rsid w:val="00D11682"/>
    <w:rsid w:val="00D17B1E"/>
    <w:rsid w:val="00D17D1A"/>
    <w:rsid w:val="00D205B2"/>
    <w:rsid w:val="00D22267"/>
    <w:rsid w:val="00D238A3"/>
    <w:rsid w:val="00D23D63"/>
    <w:rsid w:val="00D2493A"/>
    <w:rsid w:val="00D24E4C"/>
    <w:rsid w:val="00D24FB8"/>
    <w:rsid w:val="00D25AC3"/>
    <w:rsid w:val="00D26E9F"/>
    <w:rsid w:val="00D27EFD"/>
    <w:rsid w:val="00D33861"/>
    <w:rsid w:val="00D3459A"/>
    <w:rsid w:val="00D34686"/>
    <w:rsid w:val="00D34BF5"/>
    <w:rsid w:val="00D34F38"/>
    <w:rsid w:val="00D352A8"/>
    <w:rsid w:val="00D35ED0"/>
    <w:rsid w:val="00D37533"/>
    <w:rsid w:val="00D378A0"/>
    <w:rsid w:val="00D37E68"/>
    <w:rsid w:val="00D4048E"/>
    <w:rsid w:val="00D41828"/>
    <w:rsid w:val="00D42DA8"/>
    <w:rsid w:val="00D43B3E"/>
    <w:rsid w:val="00D44593"/>
    <w:rsid w:val="00D449EE"/>
    <w:rsid w:val="00D45E13"/>
    <w:rsid w:val="00D47595"/>
    <w:rsid w:val="00D50AB4"/>
    <w:rsid w:val="00D50D9B"/>
    <w:rsid w:val="00D5105B"/>
    <w:rsid w:val="00D52530"/>
    <w:rsid w:val="00D52E17"/>
    <w:rsid w:val="00D53EAA"/>
    <w:rsid w:val="00D54B9D"/>
    <w:rsid w:val="00D57295"/>
    <w:rsid w:val="00D572DB"/>
    <w:rsid w:val="00D57688"/>
    <w:rsid w:val="00D579B8"/>
    <w:rsid w:val="00D57B14"/>
    <w:rsid w:val="00D60E12"/>
    <w:rsid w:val="00D61229"/>
    <w:rsid w:val="00D627B3"/>
    <w:rsid w:val="00D661BB"/>
    <w:rsid w:val="00D71740"/>
    <w:rsid w:val="00D717E6"/>
    <w:rsid w:val="00D728D7"/>
    <w:rsid w:val="00D72FB5"/>
    <w:rsid w:val="00D7300E"/>
    <w:rsid w:val="00D74142"/>
    <w:rsid w:val="00D77173"/>
    <w:rsid w:val="00D779CB"/>
    <w:rsid w:val="00D80EBE"/>
    <w:rsid w:val="00D815AE"/>
    <w:rsid w:val="00D8171C"/>
    <w:rsid w:val="00D8199F"/>
    <w:rsid w:val="00D846A6"/>
    <w:rsid w:val="00D87E0E"/>
    <w:rsid w:val="00D945BF"/>
    <w:rsid w:val="00D94B3B"/>
    <w:rsid w:val="00D962EF"/>
    <w:rsid w:val="00D973D5"/>
    <w:rsid w:val="00D97B92"/>
    <w:rsid w:val="00DB2515"/>
    <w:rsid w:val="00DB3CF8"/>
    <w:rsid w:val="00DC103D"/>
    <w:rsid w:val="00DC26E9"/>
    <w:rsid w:val="00DC66D5"/>
    <w:rsid w:val="00DC70A8"/>
    <w:rsid w:val="00DC7B63"/>
    <w:rsid w:val="00DC7E65"/>
    <w:rsid w:val="00DD0229"/>
    <w:rsid w:val="00DD0397"/>
    <w:rsid w:val="00DD1627"/>
    <w:rsid w:val="00DD2961"/>
    <w:rsid w:val="00DD2DE1"/>
    <w:rsid w:val="00DD40A5"/>
    <w:rsid w:val="00DD5349"/>
    <w:rsid w:val="00DD72AE"/>
    <w:rsid w:val="00DD74A5"/>
    <w:rsid w:val="00DE03DF"/>
    <w:rsid w:val="00DE2140"/>
    <w:rsid w:val="00DE2E60"/>
    <w:rsid w:val="00DE40DD"/>
    <w:rsid w:val="00DE4B2A"/>
    <w:rsid w:val="00DE7304"/>
    <w:rsid w:val="00DF0061"/>
    <w:rsid w:val="00DF0299"/>
    <w:rsid w:val="00DF0D4D"/>
    <w:rsid w:val="00DF3A7A"/>
    <w:rsid w:val="00DF6DA3"/>
    <w:rsid w:val="00E031F5"/>
    <w:rsid w:val="00E051AD"/>
    <w:rsid w:val="00E06662"/>
    <w:rsid w:val="00E07DF8"/>
    <w:rsid w:val="00E13C24"/>
    <w:rsid w:val="00E15441"/>
    <w:rsid w:val="00E15DAD"/>
    <w:rsid w:val="00E16813"/>
    <w:rsid w:val="00E1732C"/>
    <w:rsid w:val="00E17A1E"/>
    <w:rsid w:val="00E20AB3"/>
    <w:rsid w:val="00E21BAC"/>
    <w:rsid w:val="00E24C85"/>
    <w:rsid w:val="00E25831"/>
    <w:rsid w:val="00E2612B"/>
    <w:rsid w:val="00E26BF9"/>
    <w:rsid w:val="00E26E9E"/>
    <w:rsid w:val="00E306F1"/>
    <w:rsid w:val="00E3096E"/>
    <w:rsid w:val="00E319E0"/>
    <w:rsid w:val="00E32798"/>
    <w:rsid w:val="00E343EB"/>
    <w:rsid w:val="00E345F1"/>
    <w:rsid w:val="00E349CF"/>
    <w:rsid w:val="00E3594F"/>
    <w:rsid w:val="00E35F51"/>
    <w:rsid w:val="00E4027A"/>
    <w:rsid w:val="00E41702"/>
    <w:rsid w:val="00E42BBB"/>
    <w:rsid w:val="00E47627"/>
    <w:rsid w:val="00E530F9"/>
    <w:rsid w:val="00E5373F"/>
    <w:rsid w:val="00E537A0"/>
    <w:rsid w:val="00E538BB"/>
    <w:rsid w:val="00E54C76"/>
    <w:rsid w:val="00E5599F"/>
    <w:rsid w:val="00E55FF6"/>
    <w:rsid w:val="00E56AF8"/>
    <w:rsid w:val="00E57233"/>
    <w:rsid w:val="00E6286F"/>
    <w:rsid w:val="00E63DB8"/>
    <w:rsid w:val="00E64255"/>
    <w:rsid w:val="00E64D97"/>
    <w:rsid w:val="00E6530D"/>
    <w:rsid w:val="00E653B8"/>
    <w:rsid w:val="00E66182"/>
    <w:rsid w:val="00E66A0A"/>
    <w:rsid w:val="00E675A5"/>
    <w:rsid w:val="00E70562"/>
    <w:rsid w:val="00E73372"/>
    <w:rsid w:val="00E73C77"/>
    <w:rsid w:val="00E76D2A"/>
    <w:rsid w:val="00E77162"/>
    <w:rsid w:val="00E77CEE"/>
    <w:rsid w:val="00E80574"/>
    <w:rsid w:val="00E83CC8"/>
    <w:rsid w:val="00E859E0"/>
    <w:rsid w:val="00E85BD0"/>
    <w:rsid w:val="00E861CE"/>
    <w:rsid w:val="00E862EB"/>
    <w:rsid w:val="00E86330"/>
    <w:rsid w:val="00E868CA"/>
    <w:rsid w:val="00E86C27"/>
    <w:rsid w:val="00E87435"/>
    <w:rsid w:val="00E92439"/>
    <w:rsid w:val="00E94E80"/>
    <w:rsid w:val="00E9501E"/>
    <w:rsid w:val="00E95CE9"/>
    <w:rsid w:val="00EA080F"/>
    <w:rsid w:val="00EA1265"/>
    <w:rsid w:val="00EA2BF0"/>
    <w:rsid w:val="00EA2E40"/>
    <w:rsid w:val="00EA3FFA"/>
    <w:rsid w:val="00EA4386"/>
    <w:rsid w:val="00EA71EE"/>
    <w:rsid w:val="00EB05FA"/>
    <w:rsid w:val="00EB0A7B"/>
    <w:rsid w:val="00EB114E"/>
    <w:rsid w:val="00EB2B20"/>
    <w:rsid w:val="00EB3B8D"/>
    <w:rsid w:val="00EB4DEB"/>
    <w:rsid w:val="00EB6501"/>
    <w:rsid w:val="00EC041A"/>
    <w:rsid w:val="00EC213C"/>
    <w:rsid w:val="00EC3469"/>
    <w:rsid w:val="00EC4036"/>
    <w:rsid w:val="00EC7DBC"/>
    <w:rsid w:val="00ED1EEA"/>
    <w:rsid w:val="00ED5139"/>
    <w:rsid w:val="00EE01D8"/>
    <w:rsid w:val="00EE183D"/>
    <w:rsid w:val="00EE1B40"/>
    <w:rsid w:val="00EE291A"/>
    <w:rsid w:val="00EE2C20"/>
    <w:rsid w:val="00EE413D"/>
    <w:rsid w:val="00EE4FA7"/>
    <w:rsid w:val="00EE5850"/>
    <w:rsid w:val="00EF0561"/>
    <w:rsid w:val="00EF0A80"/>
    <w:rsid w:val="00EF191F"/>
    <w:rsid w:val="00EF2033"/>
    <w:rsid w:val="00EF252B"/>
    <w:rsid w:val="00EF4657"/>
    <w:rsid w:val="00EF5353"/>
    <w:rsid w:val="00EF658B"/>
    <w:rsid w:val="00EF783C"/>
    <w:rsid w:val="00F00F44"/>
    <w:rsid w:val="00F013FA"/>
    <w:rsid w:val="00F020A3"/>
    <w:rsid w:val="00F02BB4"/>
    <w:rsid w:val="00F031A4"/>
    <w:rsid w:val="00F03CEC"/>
    <w:rsid w:val="00F041A2"/>
    <w:rsid w:val="00F107C1"/>
    <w:rsid w:val="00F11B2B"/>
    <w:rsid w:val="00F126B8"/>
    <w:rsid w:val="00F13359"/>
    <w:rsid w:val="00F13E45"/>
    <w:rsid w:val="00F16DA3"/>
    <w:rsid w:val="00F20099"/>
    <w:rsid w:val="00F2183F"/>
    <w:rsid w:val="00F241EF"/>
    <w:rsid w:val="00F262D7"/>
    <w:rsid w:val="00F27D44"/>
    <w:rsid w:val="00F30369"/>
    <w:rsid w:val="00F3039B"/>
    <w:rsid w:val="00F305BA"/>
    <w:rsid w:val="00F36703"/>
    <w:rsid w:val="00F36BA2"/>
    <w:rsid w:val="00F36F38"/>
    <w:rsid w:val="00F3700D"/>
    <w:rsid w:val="00F37770"/>
    <w:rsid w:val="00F42384"/>
    <w:rsid w:val="00F429BB"/>
    <w:rsid w:val="00F42A76"/>
    <w:rsid w:val="00F4643C"/>
    <w:rsid w:val="00F47197"/>
    <w:rsid w:val="00F517A9"/>
    <w:rsid w:val="00F53705"/>
    <w:rsid w:val="00F540FA"/>
    <w:rsid w:val="00F5643C"/>
    <w:rsid w:val="00F60C24"/>
    <w:rsid w:val="00F6274A"/>
    <w:rsid w:val="00F62CF2"/>
    <w:rsid w:val="00F6494A"/>
    <w:rsid w:val="00F65D0E"/>
    <w:rsid w:val="00F7144A"/>
    <w:rsid w:val="00F74AC6"/>
    <w:rsid w:val="00F7691E"/>
    <w:rsid w:val="00F76D18"/>
    <w:rsid w:val="00F83776"/>
    <w:rsid w:val="00F86FCC"/>
    <w:rsid w:val="00F90433"/>
    <w:rsid w:val="00F91ACD"/>
    <w:rsid w:val="00F91D27"/>
    <w:rsid w:val="00F91EBB"/>
    <w:rsid w:val="00F931EF"/>
    <w:rsid w:val="00F94B75"/>
    <w:rsid w:val="00F951EE"/>
    <w:rsid w:val="00F95EAF"/>
    <w:rsid w:val="00F970E4"/>
    <w:rsid w:val="00FA30E7"/>
    <w:rsid w:val="00FA36E9"/>
    <w:rsid w:val="00FA4277"/>
    <w:rsid w:val="00FA557A"/>
    <w:rsid w:val="00FA5DC5"/>
    <w:rsid w:val="00FA5DDA"/>
    <w:rsid w:val="00FA6A19"/>
    <w:rsid w:val="00FA731C"/>
    <w:rsid w:val="00FB1B8D"/>
    <w:rsid w:val="00FB6C63"/>
    <w:rsid w:val="00FC05C6"/>
    <w:rsid w:val="00FC24DE"/>
    <w:rsid w:val="00FC42FA"/>
    <w:rsid w:val="00FC494B"/>
    <w:rsid w:val="00FC5C92"/>
    <w:rsid w:val="00FC5EEB"/>
    <w:rsid w:val="00FC605E"/>
    <w:rsid w:val="00FC7733"/>
    <w:rsid w:val="00FD152D"/>
    <w:rsid w:val="00FD323C"/>
    <w:rsid w:val="00FD3512"/>
    <w:rsid w:val="00FD4F13"/>
    <w:rsid w:val="00FD6EFA"/>
    <w:rsid w:val="00FE06AD"/>
    <w:rsid w:val="00FE25BC"/>
    <w:rsid w:val="00FE2F18"/>
    <w:rsid w:val="00FE3874"/>
    <w:rsid w:val="00FE3B2E"/>
    <w:rsid w:val="00FE5336"/>
    <w:rsid w:val="00FE61EB"/>
    <w:rsid w:val="00FE6C9C"/>
    <w:rsid w:val="00FE6DD6"/>
    <w:rsid w:val="00FE768A"/>
    <w:rsid w:val="00FF0C5A"/>
    <w:rsid w:val="00FF0DB0"/>
    <w:rsid w:val="00FF13FC"/>
    <w:rsid w:val="00FF1ACA"/>
    <w:rsid w:val="00FF41DE"/>
    <w:rsid w:val="00FF52B2"/>
    <w:rsid w:val="00FF7304"/>
    <w:rsid w:val="01115B19"/>
    <w:rsid w:val="012A3CE6"/>
    <w:rsid w:val="01301DA6"/>
    <w:rsid w:val="0159716B"/>
    <w:rsid w:val="01745EE6"/>
    <w:rsid w:val="018F65A1"/>
    <w:rsid w:val="01BD2958"/>
    <w:rsid w:val="01FE4437"/>
    <w:rsid w:val="02056D00"/>
    <w:rsid w:val="020C7AD2"/>
    <w:rsid w:val="023F0385"/>
    <w:rsid w:val="025374F9"/>
    <w:rsid w:val="02A91B01"/>
    <w:rsid w:val="02BB3C8E"/>
    <w:rsid w:val="02CA1E1B"/>
    <w:rsid w:val="02F06B77"/>
    <w:rsid w:val="02F646C8"/>
    <w:rsid w:val="03595F7F"/>
    <w:rsid w:val="036872F9"/>
    <w:rsid w:val="0372466B"/>
    <w:rsid w:val="037C3F2E"/>
    <w:rsid w:val="03B42563"/>
    <w:rsid w:val="03B50208"/>
    <w:rsid w:val="04060B04"/>
    <w:rsid w:val="0417467E"/>
    <w:rsid w:val="041B6087"/>
    <w:rsid w:val="041F4312"/>
    <w:rsid w:val="042D79C2"/>
    <w:rsid w:val="04315423"/>
    <w:rsid w:val="0444340A"/>
    <w:rsid w:val="04446D1F"/>
    <w:rsid w:val="04784101"/>
    <w:rsid w:val="047C599F"/>
    <w:rsid w:val="04B8274F"/>
    <w:rsid w:val="04C77B1F"/>
    <w:rsid w:val="04E60945"/>
    <w:rsid w:val="051270D7"/>
    <w:rsid w:val="051C58E4"/>
    <w:rsid w:val="054E02B0"/>
    <w:rsid w:val="05894266"/>
    <w:rsid w:val="059C797B"/>
    <w:rsid w:val="05C5666D"/>
    <w:rsid w:val="06027D10"/>
    <w:rsid w:val="0620067D"/>
    <w:rsid w:val="062446D5"/>
    <w:rsid w:val="062B75F0"/>
    <w:rsid w:val="06400C4E"/>
    <w:rsid w:val="06456265"/>
    <w:rsid w:val="064B3BE4"/>
    <w:rsid w:val="068C4E4E"/>
    <w:rsid w:val="06A56428"/>
    <w:rsid w:val="06B258F2"/>
    <w:rsid w:val="06C32025"/>
    <w:rsid w:val="06E14F8A"/>
    <w:rsid w:val="06F10BAA"/>
    <w:rsid w:val="070F1F19"/>
    <w:rsid w:val="0716129B"/>
    <w:rsid w:val="072A1BA2"/>
    <w:rsid w:val="079006E8"/>
    <w:rsid w:val="079344AE"/>
    <w:rsid w:val="07A4303C"/>
    <w:rsid w:val="07A76995"/>
    <w:rsid w:val="07C83718"/>
    <w:rsid w:val="07CA08DA"/>
    <w:rsid w:val="08126AF8"/>
    <w:rsid w:val="0850403A"/>
    <w:rsid w:val="086106FE"/>
    <w:rsid w:val="086B023F"/>
    <w:rsid w:val="08D613F6"/>
    <w:rsid w:val="090148AB"/>
    <w:rsid w:val="09143080"/>
    <w:rsid w:val="09154BCC"/>
    <w:rsid w:val="09473CE2"/>
    <w:rsid w:val="09992208"/>
    <w:rsid w:val="09A426F2"/>
    <w:rsid w:val="09C23FE3"/>
    <w:rsid w:val="0A173A74"/>
    <w:rsid w:val="0A2347A9"/>
    <w:rsid w:val="0A242FFF"/>
    <w:rsid w:val="0A8C7FBE"/>
    <w:rsid w:val="0A8D7E97"/>
    <w:rsid w:val="0ABC0A3B"/>
    <w:rsid w:val="0AC47253"/>
    <w:rsid w:val="0ACF19BE"/>
    <w:rsid w:val="0ADC1D1C"/>
    <w:rsid w:val="0ADC62F5"/>
    <w:rsid w:val="0ADF57C6"/>
    <w:rsid w:val="0AE75B3C"/>
    <w:rsid w:val="0AF14F38"/>
    <w:rsid w:val="0B1B457B"/>
    <w:rsid w:val="0B1F28BD"/>
    <w:rsid w:val="0B576A77"/>
    <w:rsid w:val="0B6D6DD0"/>
    <w:rsid w:val="0B7A7000"/>
    <w:rsid w:val="0B811AED"/>
    <w:rsid w:val="0B8C1D04"/>
    <w:rsid w:val="0B980BE5"/>
    <w:rsid w:val="0B9C06D5"/>
    <w:rsid w:val="0BB43C70"/>
    <w:rsid w:val="0C0D35F1"/>
    <w:rsid w:val="0C160487"/>
    <w:rsid w:val="0C2821A0"/>
    <w:rsid w:val="0C670CE3"/>
    <w:rsid w:val="0C727688"/>
    <w:rsid w:val="0C7D4A46"/>
    <w:rsid w:val="0CC50C29"/>
    <w:rsid w:val="0CC70ABC"/>
    <w:rsid w:val="0D19707A"/>
    <w:rsid w:val="0D32133F"/>
    <w:rsid w:val="0D38267F"/>
    <w:rsid w:val="0D7A75BB"/>
    <w:rsid w:val="0D847672"/>
    <w:rsid w:val="0D927F49"/>
    <w:rsid w:val="0D965E14"/>
    <w:rsid w:val="0D971FFF"/>
    <w:rsid w:val="0D985588"/>
    <w:rsid w:val="0DAC4DE7"/>
    <w:rsid w:val="0DB50520"/>
    <w:rsid w:val="0DD93C67"/>
    <w:rsid w:val="0E000E95"/>
    <w:rsid w:val="0E1C7748"/>
    <w:rsid w:val="0E2A1FC8"/>
    <w:rsid w:val="0E3436F9"/>
    <w:rsid w:val="0E434312"/>
    <w:rsid w:val="0E691717"/>
    <w:rsid w:val="0E9B5CB3"/>
    <w:rsid w:val="0EB16B69"/>
    <w:rsid w:val="0EB463A0"/>
    <w:rsid w:val="0ED24AE4"/>
    <w:rsid w:val="0EDD7297"/>
    <w:rsid w:val="0EF76513"/>
    <w:rsid w:val="0EF86207"/>
    <w:rsid w:val="0F127DBC"/>
    <w:rsid w:val="0F542EBC"/>
    <w:rsid w:val="0F601A19"/>
    <w:rsid w:val="0F7B4964"/>
    <w:rsid w:val="0FB3499A"/>
    <w:rsid w:val="100E3CDE"/>
    <w:rsid w:val="102862AB"/>
    <w:rsid w:val="10582A82"/>
    <w:rsid w:val="10967DE9"/>
    <w:rsid w:val="10983AC1"/>
    <w:rsid w:val="109E036B"/>
    <w:rsid w:val="10D0497D"/>
    <w:rsid w:val="110A2C24"/>
    <w:rsid w:val="110F1949"/>
    <w:rsid w:val="11285AF8"/>
    <w:rsid w:val="1144422A"/>
    <w:rsid w:val="119951F2"/>
    <w:rsid w:val="11BE175A"/>
    <w:rsid w:val="11CD7202"/>
    <w:rsid w:val="11F75EAE"/>
    <w:rsid w:val="11FF21E6"/>
    <w:rsid w:val="124D09DB"/>
    <w:rsid w:val="125F0169"/>
    <w:rsid w:val="126307C1"/>
    <w:rsid w:val="13223C5E"/>
    <w:rsid w:val="137C4C58"/>
    <w:rsid w:val="139F6AD3"/>
    <w:rsid w:val="1402609A"/>
    <w:rsid w:val="140B63F8"/>
    <w:rsid w:val="14101BF8"/>
    <w:rsid w:val="141D6D83"/>
    <w:rsid w:val="14607765"/>
    <w:rsid w:val="14644194"/>
    <w:rsid w:val="14683AE2"/>
    <w:rsid w:val="146975C2"/>
    <w:rsid w:val="148556DC"/>
    <w:rsid w:val="149027CD"/>
    <w:rsid w:val="149D2712"/>
    <w:rsid w:val="14A24168"/>
    <w:rsid w:val="14AD06E3"/>
    <w:rsid w:val="15025589"/>
    <w:rsid w:val="151025BD"/>
    <w:rsid w:val="15950A2F"/>
    <w:rsid w:val="15D062EC"/>
    <w:rsid w:val="15D128B5"/>
    <w:rsid w:val="15D13671"/>
    <w:rsid w:val="15E45152"/>
    <w:rsid w:val="15FA6E59"/>
    <w:rsid w:val="15FE492A"/>
    <w:rsid w:val="1609105D"/>
    <w:rsid w:val="16184405"/>
    <w:rsid w:val="165516F9"/>
    <w:rsid w:val="1657518C"/>
    <w:rsid w:val="167A6B10"/>
    <w:rsid w:val="16830AAE"/>
    <w:rsid w:val="168B1A72"/>
    <w:rsid w:val="16951F73"/>
    <w:rsid w:val="16B1043D"/>
    <w:rsid w:val="16E01DBD"/>
    <w:rsid w:val="170E6F2D"/>
    <w:rsid w:val="17271EE3"/>
    <w:rsid w:val="1754248F"/>
    <w:rsid w:val="175B1D7F"/>
    <w:rsid w:val="175F5CA8"/>
    <w:rsid w:val="17637A3D"/>
    <w:rsid w:val="17967435"/>
    <w:rsid w:val="181E4E3A"/>
    <w:rsid w:val="182D352F"/>
    <w:rsid w:val="186216FF"/>
    <w:rsid w:val="1897143A"/>
    <w:rsid w:val="18AD593E"/>
    <w:rsid w:val="18BA2ED6"/>
    <w:rsid w:val="18C119AD"/>
    <w:rsid w:val="18DD45AA"/>
    <w:rsid w:val="1918508B"/>
    <w:rsid w:val="19265A82"/>
    <w:rsid w:val="193D1F46"/>
    <w:rsid w:val="193F29EB"/>
    <w:rsid w:val="19572472"/>
    <w:rsid w:val="19874E4D"/>
    <w:rsid w:val="198C1D89"/>
    <w:rsid w:val="19924EC5"/>
    <w:rsid w:val="19952FC2"/>
    <w:rsid w:val="19E44197"/>
    <w:rsid w:val="19EF3DBB"/>
    <w:rsid w:val="1A307DEB"/>
    <w:rsid w:val="1A497C7A"/>
    <w:rsid w:val="1A4B662C"/>
    <w:rsid w:val="1A5D3128"/>
    <w:rsid w:val="1A7A062D"/>
    <w:rsid w:val="1AC90C79"/>
    <w:rsid w:val="1B0D2108"/>
    <w:rsid w:val="1B1438B4"/>
    <w:rsid w:val="1B293C37"/>
    <w:rsid w:val="1B3A3A66"/>
    <w:rsid w:val="1B4963EA"/>
    <w:rsid w:val="1B7C0B0B"/>
    <w:rsid w:val="1B7E697A"/>
    <w:rsid w:val="1BAE3795"/>
    <w:rsid w:val="1BB2064E"/>
    <w:rsid w:val="1BB538CF"/>
    <w:rsid w:val="1BBE6445"/>
    <w:rsid w:val="1BDB0DA5"/>
    <w:rsid w:val="1BDC51B0"/>
    <w:rsid w:val="1BE42F8B"/>
    <w:rsid w:val="1C7A3233"/>
    <w:rsid w:val="1C80396E"/>
    <w:rsid w:val="1CA12D03"/>
    <w:rsid w:val="1CB3291E"/>
    <w:rsid w:val="1CBB11C7"/>
    <w:rsid w:val="1CBB2883"/>
    <w:rsid w:val="1CBC76A6"/>
    <w:rsid w:val="1CC75931"/>
    <w:rsid w:val="1CD81789"/>
    <w:rsid w:val="1CE52099"/>
    <w:rsid w:val="1D561E6A"/>
    <w:rsid w:val="1D571301"/>
    <w:rsid w:val="1D6A6A75"/>
    <w:rsid w:val="1D9A06B0"/>
    <w:rsid w:val="1DAC6673"/>
    <w:rsid w:val="1DBB7F40"/>
    <w:rsid w:val="1DD04BEC"/>
    <w:rsid w:val="1DE24C91"/>
    <w:rsid w:val="1DE60C9A"/>
    <w:rsid w:val="1DF41CED"/>
    <w:rsid w:val="1E07129E"/>
    <w:rsid w:val="1E60231B"/>
    <w:rsid w:val="1E9D2342"/>
    <w:rsid w:val="1EA73187"/>
    <w:rsid w:val="1EA747EE"/>
    <w:rsid w:val="1EBB4EBE"/>
    <w:rsid w:val="1EDC0F97"/>
    <w:rsid w:val="1F016385"/>
    <w:rsid w:val="1F26778D"/>
    <w:rsid w:val="1F431523"/>
    <w:rsid w:val="1F630DDF"/>
    <w:rsid w:val="1F7363E0"/>
    <w:rsid w:val="1F9B0BF8"/>
    <w:rsid w:val="1FD90A6B"/>
    <w:rsid w:val="1FEF5FC2"/>
    <w:rsid w:val="20181E20"/>
    <w:rsid w:val="20934A1D"/>
    <w:rsid w:val="209854B7"/>
    <w:rsid w:val="20C0056A"/>
    <w:rsid w:val="20EE5A89"/>
    <w:rsid w:val="20FA1CCE"/>
    <w:rsid w:val="210542E4"/>
    <w:rsid w:val="2116462E"/>
    <w:rsid w:val="21176D6E"/>
    <w:rsid w:val="212A6BCC"/>
    <w:rsid w:val="212E1977"/>
    <w:rsid w:val="2132002E"/>
    <w:rsid w:val="21450638"/>
    <w:rsid w:val="215238B8"/>
    <w:rsid w:val="217F39B2"/>
    <w:rsid w:val="218C384B"/>
    <w:rsid w:val="218D0B38"/>
    <w:rsid w:val="219C2D85"/>
    <w:rsid w:val="21E308D4"/>
    <w:rsid w:val="22682ED4"/>
    <w:rsid w:val="226F3182"/>
    <w:rsid w:val="228A5274"/>
    <w:rsid w:val="22A6140E"/>
    <w:rsid w:val="22AB7335"/>
    <w:rsid w:val="22D57688"/>
    <w:rsid w:val="23122FE5"/>
    <w:rsid w:val="231B4D6E"/>
    <w:rsid w:val="232C3785"/>
    <w:rsid w:val="23300BC5"/>
    <w:rsid w:val="233453A6"/>
    <w:rsid w:val="23390502"/>
    <w:rsid w:val="234A5292"/>
    <w:rsid w:val="235D2A71"/>
    <w:rsid w:val="242410B0"/>
    <w:rsid w:val="242B2707"/>
    <w:rsid w:val="24605FFA"/>
    <w:rsid w:val="24D742F1"/>
    <w:rsid w:val="2523444B"/>
    <w:rsid w:val="253D487F"/>
    <w:rsid w:val="255F1C12"/>
    <w:rsid w:val="25651070"/>
    <w:rsid w:val="25660439"/>
    <w:rsid w:val="259A6176"/>
    <w:rsid w:val="25F06233"/>
    <w:rsid w:val="25F50CB6"/>
    <w:rsid w:val="25F636D3"/>
    <w:rsid w:val="26275713"/>
    <w:rsid w:val="262F270F"/>
    <w:rsid w:val="2644477A"/>
    <w:rsid w:val="267957FB"/>
    <w:rsid w:val="26885AC8"/>
    <w:rsid w:val="26B93B86"/>
    <w:rsid w:val="26BF40CA"/>
    <w:rsid w:val="26CB06DA"/>
    <w:rsid w:val="26EF052C"/>
    <w:rsid w:val="26F23880"/>
    <w:rsid w:val="27303A23"/>
    <w:rsid w:val="275D2C3D"/>
    <w:rsid w:val="27802AB4"/>
    <w:rsid w:val="279D5435"/>
    <w:rsid w:val="27B06CEE"/>
    <w:rsid w:val="27B46399"/>
    <w:rsid w:val="27BF720F"/>
    <w:rsid w:val="27C052F3"/>
    <w:rsid w:val="27C71297"/>
    <w:rsid w:val="27E965F8"/>
    <w:rsid w:val="2801645C"/>
    <w:rsid w:val="280E0EF6"/>
    <w:rsid w:val="282B6940"/>
    <w:rsid w:val="283148C1"/>
    <w:rsid w:val="283652F4"/>
    <w:rsid w:val="283F2588"/>
    <w:rsid w:val="284202E2"/>
    <w:rsid w:val="28422B41"/>
    <w:rsid w:val="285D5757"/>
    <w:rsid w:val="287F7A45"/>
    <w:rsid w:val="288C2580"/>
    <w:rsid w:val="288E7FFE"/>
    <w:rsid w:val="289128C5"/>
    <w:rsid w:val="28991ACC"/>
    <w:rsid w:val="29075876"/>
    <w:rsid w:val="290A1794"/>
    <w:rsid w:val="291E2574"/>
    <w:rsid w:val="2962650F"/>
    <w:rsid w:val="2965244F"/>
    <w:rsid w:val="296C51FC"/>
    <w:rsid w:val="297211E0"/>
    <w:rsid w:val="29A73A5D"/>
    <w:rsid w:val="29BD29EF"/>
    <w:rsid w:val="29D532D8"/>
    <w:rsid w:val="29E225F8"/>
    <w:rsid w:val="29F3493D"/>
    <w:rsid w:val="2A097F2C"/>
    <w:rsid w:val="2A16511E"/>
    <w:rsid w:val="2A2D2BA8"/>
    <w:rsid w:val="2A6130F9"/>
    <w:rsid w:val="2A680504"/>
    <w:rsid w:val="2A8A5477"/>
    <w:rsid w:val="2A9A1E2C"/>
    <w:rsid w:val="2AA03F74"/>
    <w:rsid w:val="2AD43590"/>
    <w:rsid w:val="2AF72431"/>
    <w:rsid w:val="2B7060CA"/>
    <w:rsid w:val="2B7134CD"/>
    <w:rsid w:val="2B7729A9"/>
    <w:rsid w:val="2BE873CA"/>
    <w:rsid w:val="2BED77E9"/>
    <w:rsid w:val="2C067079"/>
    <w:rsid w:val="2C1002FA"/>
    <w:rsid w:val="2C3B6706"/>
    <w:rsid w:val="2C5D5807"/>
    <w:rsid w:val="2C954FA0"/>
    <w:rsid w:val="2C9A7691"/>
    <w:rsid w:val="2CE1413A"/>
    <w:rsid w:val="2D3F3425"/>
    <w:rsid w:val="2D614E83"/>
    <w:rsid w:val="2D6906A3"/>
    <w:rsid w:val="2D8F7B63"/>
    <w:rsid w:val="2DB770D2"/>
    <w:rsid w:val="2DB9106D"/>
    <w:rsid w:val="2DBD58A5"/>
    <w:rsid w:val="2DC14DED"/>
    <w:rsid w:val="2DCC67A0"/>
    <w:rsid w:val="2DD158AE"/>
    <w:rsid w:val="2DE14C0D"/>
    <w:rsid w:val="2DE55AB4"/>
    <w:rsid w:val="2DF45796"/>
    <w:rsid w:val="2DF9443E"/>
    <w:rsid w:val="2DFD5AD3"/>
    <w:rsid w:val="2DFD6B18"/>
    <w:rsid w:val="2E05430D"/>
    <w:rsid w:val="2E1859E5"/>
    <w:rsid w:val="2E2F2F41"/>
    <w:rsid w:val="2E430131"/>
    <w:rsid w:val="2E5210EC"/>
    <w:rsid w:val="2E5B07AB"/>
    <w:rsid w:val="2E6743B8"/>
    <w:rsid w:val="2E6A2DC2"/>
    <w:rsid w:val="2EAF5833"/>
    <w:rsid w:val="2EC554B2"/>
    <w:rsid w:val="2EE76D59"/>
    <w:rsid w:val="2F222924"/>
    <w:rsid w:val="2F3204AF"/>
    <w:rsid w:val="2F8337D6"/>
    <w:rsid w:val="2F9A050E"/>
    <w:rsid w:val="30117F8B"/>
    <w:rsid w:val="30880C87"/>
    <w:rsid w:val="30B07DB8"/>
    <w:rsid w:val="30B8300C"/>
    <w:rsid w:val="31224030"/>
    <w:rsid w:val="312569BD"/>
    <w:rsid w:val="314E2C66"/>
    <w:rsid w:val="31870AE7"/>
    <w:rsid w:val="31AE3A53"/>
    <w:rsid w:val="31CA6DFB"/>
    <w:rsid w:val="31D86357"/>
    <w:rsid w:val="31EA1963"/>
    <w:rsid w:val="31FA4B6D"/>
    <w:rsid w:val="32111360"/>
    <w:rsid w:val="324A7F75"/>
    <w:rsid w:val="325A64E5"/>
    <w:rsid w:val="325B2476"/>
    <w:rsid w:val="32AD7D50"/>
    <w:rsid w:val="334E7CEA"/>
    <w:rsid w:val="33817573"/>
    <w:rsid w:val="33820CDD"/>
    <w:rsid w:val="338A00A4"/>
    <w:rsid w:val="33913825"/>
    <w:rsid w:val="33EE0D47"/>
    <w:rsid w:val="342575EA"/>
    <w:rsid w:val="34480488"/>
    <w:rsid w:val="34792B99"/>
    <w:rsid w:val="349D2C44"/>
    <w:rsid w:val="34D16D92"/>
    <w:rsid w:val="34F05B04"/>
    <w:rsid w:val="35215623"/>
    <w:rsid w:val="35523C1E"/>
    <w:rsid w:val="35817E56"/>
    <w:rsid w:val="358276DA"/>
    <w:rsid w:val="35EE3AC7"/>
    <w:rsid w:val="35F94460"/>
    <w:rsid w:val="36196EE3"/>
    <w:rsid w:val="36540977"/>
    <w:rsid w:val="36555758"/>
    <w:rsid w:val="36F67C9D"/>
    <w:rsid w:val="371367E9"/>
    <w:rsid w:val="37416B21"/>
    <w:rsid w:val="374B7C97"/>
    <w:rsid w:val="37A30634"/>
    <w:rsid w:val="37B509BF"/>
    <w:rsid w:val="37CC7A14"/>
    <w:rsid w:val="37E91312"/>
    <w:rsid w:val="37F7529C"/>
    <w:rsid w:val="38303E85"/>
    <w:rsid w:val="3832078A"/>
    <w:rsid w:val="384F4255"/>
    <w:rsid w:val="384F7AFB"/>
    <w:rsid w:val="38B37F59"/>
    <w:rsid w:val="38D678E3"/>
    <w:rsid w:val="38EF3C8A"/>
    <w:rsid w:val="39113C01"/>
    <w:rsid w:val="392E439F"/>
    <w:rsid w:val="393E343F"/>
    <w:rsid w:val="395003D4"/>
    <w:rsid w:val="397A1D7B"/>
    <w:rsid w:val="397A5F75"/>
    <w:rsid w:val="398850DE"/>
    <w:rsid w:val="39A71E6F"/>
    <w:rsid w:val="39C26429"/>
    <w:rsid w:val="3A306295"/>
    <w:rsid w:val="3A314013"/>
    <w:rsid w:val="3A341A25"/>
    <w:rsid w:val="3A782AD9"/>
    <w:rsid w:val="3A891A84"/>
    <w:rsid w:val="3A9B2E8A"/>
    <w:rsid w:val="3AA36ADA"/>
    <w:rsid w:val="3ABC49A5"/>
    <w:rsid w:val="3B1D301A"/>
    <w:rsid w:val="3B3D5220"/>
    <w:rsid w:val="3B585B17"/>
    <w:rsid w:val="3B5B6F6B"/>
    <w:rsid w:val="3B697D24"/>
    <w:rsid w:val="3B6F60D1"/>
    <w:rsid w:val="3B8C756F"/>
    <w:rsid w:val="3BC27362"/>
    <w:rsid w:val="3BCE3934"/>
    <w:rsid w:val="3BDE7D61"/>
    <w:rsid w:val="3BE70B65"/>
    <w:rsid w:val="3C0226A1"/>
    <w:rsid w:val="3C222680"/>
    <w:rsid w:val="3C265C15"/>
    <w:rsid w:val="3C553C96"/>
    <w:rsid w:val="3C5B73D7"/>
    <w:rsid w:val="3C830040"/>
    <w:rsid w:val="3C8C6FF4"/>
    <w:rsid w:val="3CA8662A"/>
    <w:rsid w:val="3CB07B7D"/>
    <w:rsid w:val="3CD07E3A"/>
    <w:rsid w:val="3CEB36C7"/>
    <w:rsid w:val="3D1F3A14"/>
    <w:rsid w:val="3D285B99"/>
    <w:rsid w:val="3D2900C8"/>
    <w:rsid w:val="3D9214CE"/>
    <w:rsid w:val="3D9F17DB"/>
    <w:rsid w:val="3DBF1E7D"/>
    <w:rsid w:val="3DDF3E65"/>
    <w:rsid w:val="3E2A7486"/>
    <w:rsid w:val="3E333167"/>
    <w:rsid w:val="3E3F4D6C"/>
    <w:rsid w:val="3E84142B"/>
    <w:rsid w:val="3EB23801"/>
    <w:rsid w:val="3ECD0001"/>
    <w:rsid w:val="3F04093B"/>
    <w:rsid w:val="3F5F5F83"/>
    <w:rsid w:val="3F5F7178"/>
    <w:rsid w:val="3F742888"/>
    <w:rsid w:val="3FC63BD0"/>
    <w:rsid w:val="3FCF563B"/>
    <w:rsid w:val="40273242"/>
    <w:rsid w:val="405C7E57"/>
    <w:rsid w:val="40646D0C"/>
    <w:rsid w:val="40AA12E3"/>
    <w:rsid w:val="40C61775"/>
    <w:rsid w:val="40D21EC7"/>
    <w:rsid w:val="40EA3834"/>
    <w:rsid w:val="40EF0781"/>
    <w:rsid w:val="40EF294F"/>
    <w:rsid w:val="40F16909"/>
    <w:rsid w:val="412A5860"/>
    <w:rsid w:val="41456B3D"/>
    <w:rsid w:val="41C37CE9"/>
    <w:rsid w:val="41CD3CC6"/>
    <w:rsid w:val="41DD19CA"/>
    <w:rsid w:val="41F12259"/>
    <w:rsid w:val="42277F9A"/>
    <w:rsid w:val="422F1D77"/>
    <w:rsid w:val="42C228C8"/>
    <w:rsid w:val="42EF410D"/>
    <w:rsid w:val="42F36E1E"/>
    <w:rsid w:val="42F97BDF"/>
    <w:rsid w:val="43121F6B"/>
    <w:rsid w:val="431A58BB"/>
    <w:rsid w:val="432B529D"/>
    <w:rsid w:val="435117C9"/>
    <w:rsid w:val="43515E92"/>
    <w:rsid w:val="43541811"/>
    <w:rsid w:val="435823F0"/>
    <w:rsid w:val="435A7E53"/>
    <w:rsid w:val="43860D47"/>
    <w:rsid w:val="438B013A"/>
    <w:rsid w:val="439C69C6"/>
    <w:rsid w:val="43B6162D"/>
    <w:rsid w:val="43C13A38"/>
    <w:rsid w:val="43E22F2B"/>
    <w:rsid w:val="43EE1010"/>
    <w:rsid w:val="44B122FC"/>
    <w:rsid w:val="44C20CBC"/>
    <w:rsid w:val="44D574AE"/>
    <w:rsid w:val="45193E79"/>
    <w:rsid w:val="452D466E"/>
    <w:rsid w:val="45410B19"/>
    <w:rsid w:val="45604422"/>
    <w:rsid w:val="456879AF"/>
    <w:rsid w:val="458B0897"/>
    <w:rsid w:val="45BB117C"/>
    <w:rsid w:val="45C72596"/>
    <w:rsid w:val="46003033"/>
    <w:rsid w:val="46144A92"/>
    <w:rsid w:val="46312AD7"/>
    <w:rsid w:val="46362591"/>
    <w:rsid w:val="463A697F"/>
    <w:rsid w:val="466B6511"/>
    <w:rsid w:val="46B05FBF"/>
    <w:rsid w:val="46B5661F"/>
    <w:rsid w:val="46D4544D"/>
    <w:rsid w:val="46E576CE"/>
    <w:rsid w:val="46FE6F07"/>
    <w:rsid w:val="4709363F"/>
    <w:rsid w:val="472869B2"/>
    <w:rsid w:val="47315250"/>
    <w:rsid w:val="473B40CD"/>
    <w:rsid w:val="475D1BEE"/>
    <w:rsid w:val="476D0782"/>
    <w:rsid w:val="478248DA"/>
    <w:rsid w:val="479357BC"/>
    <w:rsid w:val="479B74B7"/>
    <w:rsid w:val="47B52DEE"/>
    <w:rsid w:val="47D16C90"/>
    <w:rsid w:val="481C651B"/>
    <w:rsid w:val="48311BC9"/>
    <w:rsid w:val="487E1AE9"/>
    <w:rsid w:val="48CC1E20"/>
    <w:rsid w:val="48DB065E"/>
    <w:rsid w:val="491B4CA7"/>
    <w:rsid w:val="492331F4"/>
    <w:rsid w:val="4946276D"/>
    <w:rsid w:val="494A10C6"/>
    <w:rsid w:val="495225C9"/>
    <w:rsid w:val="495C49C2"/>
    <w:rsid w:val="496E5FA9"/>
    <w:rsid w:val="499F2D26"/>
    <w:rsid w:val="49CE39BF"/>
    <w:rsid w:val="4A0F4ED8"/>
    <w:rsid w:val="4A17094B"/>
    <w:rsid w:val="4A264CF1"/>
    <w:rsid w:val="4A4F79F9"/>
    <w:rsid w:val="4A6A1B72"/>
    <w:rsid w:val="4A952924"/>
    <w:rsid w:val="4AB7670F"/>
    <w:rsid w:val="4AF40C8C"/>
    <w:rsid w:val="4AF53C7E"/>
    <w:rsid w:val="4AFD1B90"/>
    <w:rsid w:val="4B035D90"/>
    <w:rsid w:val="4B6A389F"/>
    <w:rsid w:val="4B764485"/>
    <w:rsid w:val="4B8D5369"/>
    <w:rsid w:val="4B9E7462"/>
    <w:rsid w:val="4BA33FD7"/>
    <w:rsid w:val="4BAB5F07"/>
    <w:rsid w:val="4BB77A45"/>
    <w:rsid w:val="4BB90760"/>
    <w:rsid w:val="4BC26053"/>
    <w:rsid w:val="4BC61731"/>
    <w:rsid w:val="4BCD2CFE"/>
    <w:rsid w:val="4BE66AA6"/>
    <w:rsid w:val="4C7C61AC"/>
    <w:rsid w:val="4C7D049A"/>
    <w:rsid w:val="4CC4190A"/>
    <w:rsid w:val="4D2350B2"/>
    <w:rsid w:val="4D53613E"/>
    <w:rsid w:val="4D572235"/>
    <w:rsid w:val="4D6B3488"/>
    <w:rsid w:val="4D777D7B"/>
    <w:rsid w:val="4DA80BBC"/>
    <w:rsid w:val="4DE06ADA"/>
    <w:rsid w:val="4DFC0E9E"/>
    <w:rsid w:val="4E1502F6"/>
    <w:rsid w:val="4E52662D"/>
    <w:rsid w:val="4E6D3230"/>
    <w:rsid w:val="4EBB6290"/>
    <w:rsid w:val="4EDA0A91"/>
    <w:rsid w:val="4EE75E52"/>
    <w:rsid w:val="4EF43D32"/>
    <w:rsid w:val="4EF60870"/>
    <w:rsid w:val="4F0D2BAF"/>
    <w:rsid w:val="4F3810D9"/>
    <w:rsid w:val="4FCB53B3"/>
    <w:rsid w:val="4FE0501F"/>
    <w:rsid w:val="4FE43BE8"/>
    <w:rsid w:val="4FE614EB"/>
    <w:rsid w:val="4FEA4C4A"/>
    <w:rsid w:val="502533DF"/>
    <w:rsid w:val="504040DC"/>
    <w:rsid w:val="50413025"/>
    <w:rsid w:val="50DE0415"/>
    <w:rsid w:val="50E95C79"/>
    <w:rsid w:val="511E63DD"/>
    <w:rsid w:val="51205319"/>
    <w:rsid w:val="512064B6"/>
    <w:rsid w:val="51683911"/>
    <w:rsid w:val="51B272DD"/>
    <w:rsid w:val="51D11B69"/>
    <w:rsid w:val="51DC0DF8"/>
    <w:rsid w:val="51DD691E"/>
    <w:rsid w:val="51E24AD7"/>
    <w:rsid w:val="51F672FF"/>
    <w:rsid w:val="52062768"/>
    <w:rsid w:val="52616DA0"/>
    <w:rsid w:val="526E379C"/>
    <w:rsid w:val="5290573F"/>
    <w:rsid w:val="52A42F98"/>
    <w:rsid w:val="52C33D66"/>
    <w:rsid w:val="52CA6EA2"/>
    <w:rsid w:val="52CD7259"/>
    <w:rsid w:val="52DF7CE2"/>
    <w:rsid w:val="52F70215"/>
    <w:rsid w:val="53056701"/>
    <w:rsid w:val="53080F8F"/>
    <w:rsid w:val="530D73AE"/>
    <w:rsid w:val="530E421F"/>
    <w:rsid w:val="533678CD"/>
    <w:rsid w:val="53474DB8"/>
    <w:rsid w:val="53552E05"/>
    <w:rsid w:val="535C24BB"/>
    <w:rsid w:val="53AE72B4"/>
    <w:rsid w:val="53DC05B3"/>
    <w:rsid w:val="53DF3426"/>
    <w:rsid w:val="53E94F5A"/>
    <w:rsid w:val="53F7221C"/>
    <w:rsid w:val="545F361A"/>
    <w:rsid w:val="54B37426"/>
    <w:rsid w:val="54DA1D21"/>
    <w:rsid w:val="54F520D3"/>
    <w:rsid w:val="54FC5522"/>
    <w:rsid w:val="55422933"/>
    <w:rsid w:val="55684751"/>
    <w:rsid w:val="557A5408"/>
    <w:rsid w:val="558D7048"/>
    <w:rsid w:val="55971D11"/>
    <w:rsid w:val="5599259A"/>
    <w:rsid w:val="559C3737"/>
    <w:rsid w:val="55A24610"/>
    <w:rsid w:val="55A57753"/>
    <w:rsid w:val="55B20B19"/>
    <w:rsid w:val="55B45E30"/>
    <w:rsid w:val="55C53DB0"/>
    <w:rsid w:val="55D63DB0"/>
    <w:rsid w:val="55DD22CB"/>
    <w:rsid w:val="55F06C20"/>
    <w:rsid w:val="55F160F6"/>
    <w:rsid w:val="55F36D31"/>
    <w:rsid w:val="56293D8F"/>
    <w:rsid w:val="564B6B67"/>
    <w:rsid w:val="565D002E"/>
    <w:rsid w:val="56920F9A"/>
    <w:rsid w:val="56A04764"/>
    <w:rsid w:val="56CE6A63"/>
    <w:rsid w:val="56EB388B"/>
    <w:rsid w:val="56F100F7"/>
    <w:rsid w:val="5776776F"/>
    <w:rsid w:val="57E10EC2"/>
    <w:rsid w:val="57EB7BED"/>
    <w:rsid w:val="584D1923"/>
    <w:rsid w:val="584E40D2"/>
    <w:rsid w:val="585F7AFF"/>
    <w:rsid w:val="589D0FD8"/>
    <w:rsid w:val="58BB3E39"/>
    <w:rsid w:val="58C91677"/>
    <w:rsid w:val="59150D70"/>
    <w:rsid w:val="591F781C"/>
    <w:rsid w:val="59690389"/>
    <w:rsid w:val="59777658"/>
    <w:rsid w:val="59865E37"/>
    <w:rsid w:val="598B6C60"/>
    <w:rsid w:val="59AF0BA0"/>
    <w:rsid w:val="59C12681"/>
    <w:rsid w:val="59E57C07"/>
    <w:rsid w:val="5A09275F"/>
    <w:rsid w:val="5A1C1BF3"/>
    <w:rsid w:val="5A2860FD"/>
    <w:rsid w:val="5A3942DE"/>
    <w:rsid w:val="5A3D7F5A"/>
    <w:rsid w:val="5A4D198C"/>
    <w:rsid w:val="5ACC1FD7"/>
    <w:rsid w:val="5AE10810"/>
    <w:rsid w:val="5AF820D3"/>
    <w:rsid w:val="5B5068D8"/>
    <w:rsid w:val="5B8B1199"/>
    <w:rsid w:val="5B97255D"/>
    <w:rsid w:val="5B987B49"/>
    <w:rsid w:val="5BAB6095"/>
    <w:rsid w:val="5BE5221C"/>
    <w:rsid w:val="5BE978C8"/>
    <w:rsid w:val="5BF258FE"/>
    <w:rsid w:val="5C0B7550"/>
    <w:rsid w:val="5C3C4DEB"/>
    <w:rsid w:val="5C4B6B11"/>
    <w:rsid w:val="5C6651FA"/>
    <w:rsid w:val="5C86273B"/>
    <w:rsid w:val="5CB545BF"/>
    <w:rsid w:val="5CC901CB"/>
    <w:rsid w:val="5CC95986"/>
    <w:rsid w:val="5CE35642"/>
    <w:rsid w:val="5CEA6D6B"/>
    <w:rsid w:val="5D03647F"/>
    <w:rsid w:val="5D0A0E22"/>
    <w:rsid w:val="5D2D5EA1"/>
    <w:rsid w:val="5D55019E"/>
    <w:rsid w:val="5D801A86"/>
    <w:rsid w:val="5D964551"/>
    <w:rsid w:val="5DB70023"/>
    <w:rsid w:val="5DCA5FA9"/>
    <w:rsid w:val="5DCF023F"/>
    <w:rsid w:val="5DD706C5"/>
    <w:rsid w:val="5DED16E4"/>
    <w:rsid w:val="5E272426"/>
    <w:rsid w:val="5E53044A"/>
    <w:rsid w:val="5E53232E"/>
    <w:rsid w:val="5E726674"/>
    <w:rsid w:val="5E8F018D"/>
    <w:rsid w:val="5E901A16"/>
    <w:rsid w:val="5E930A90"/>
    <w:rsid w:val="5ECD7B7A"/>
    <w:rsid w:val="5EFD1844"/>
    <w:rsid w:val="5F074FDA"/>
    <w:rsid w:val="5F104ED2"/>
    <w:rsid w:val="5F524E02"/>
    <w:rsid w:val="5F5B083F"/>
    <w:rsid w:val="5F5E66CD"/>
    <w:rsid w:val="5F6915A6"/>
    <w:rsid w:val="5F9B7625"/>
    <w:rsid w:val="5FAE2ADD"/>
    <w:rsid w:val="5FC5782B"/>
    <w:rsid w:val="5FD92758"/>
    <w:rsid w:val="604E2A82"/>
    <w:rsid w:val="607162E9"/>
    <w:rsid w:val="6073349B"/>
    <w:rsid w:val="60822E4F"/>
    <w:rsid w:val="60A469E0"/>
    <w:rsid w:val="60EB22A9"/>
    <w:rsid w:val="60ED6FEA"/>
    <w:rsid w:val="60F17CF0"/>
    <w:rsid w:val="61447F5B"/>
    <w:rsid w:val="614A02EA"/>
    <w:rsid w:val="614C0D0B"/>
    <w:rsid w:val="6161661E"/>
    <w:rsid w:val="617D69D7"/>
    <w:rsid w:val="61B95189"/>
    <w:rsid w:val="61BA574D"/>
    <w:rsid w:val="61BF7DEE"/>
    <w:rsid w:val="61DD03B3"/>
    <w:rsid w:val="61F70D99"/>
    <w:rsid w:val="62250155"/>
    <w:rsid w:val="62335D39"/>
    <w:rsid w:val="62400DDA"/>
    <w:rsid w:val="624F1172"/>
    <w:rsid w:val="626324F4"/>
    <w:rsid w:val="626B200B"/>
    <w:rsid w:val="627A1800"/>
    <w:rsid w:val="62E945F7"/>
    <w:rsid w:val="62FA0F0F"/>
    <w:rsid w:val="62FB4C6F"/>
    <w:rsid w:val="633345F0"/>
    <w:rsid w:val="63427C35"/>
    <w:rsid w:val="63527926"/>
    <w:rsid w:val="63553D6E"/>
    <w:rsid w:val="638A05DB"/>
    <w:rsid w:val="63A45F91"/>
    <w:rsid w:val="63BD394B"/>
    <w:rsid w:val="63F2620B"/>
    <w:rsid w:val="64162608"/>
    <w:rsid w:val="641D13CD"/>
    <w:rsid w:val="64533922"/>
    <w:rsid w:val="6460175B"/>
    <w:rsid w:val="64745988"/>
    <w:rsid w:val="64A439AF"/>
    <w:rsid w:val="64CC2606"/>
    <w:rsid w:val="65346290"/>
    <w:rsid w:val="65477BB5"/>
    <w:rsid w:val="65557CA1"/>
    <w:rsid w:val="65883FCC"/>
    <w:rsid w:val="65A2082D"/>
    <w:rsid w:val="65B40423"/>
    <w:rsid w:val="65B668C9"/>
    <w:rsid w:val="65D87056"/>
    <w:rsid w:val="6646288C"/>
    <w:rsid w:val="664C0AE5"/>
    <w:rsid w:val="665905FC"/>
    <w:rsid w:val="665C2F12"/>
    <w:rsid w:val="666B22F3"/>
    <w:rsid w:val="66A04090"/>
    <w:rsid w:val="66C22666"/>
    <w:rsid w:val="67184229"/>
    <w:rsid w:val="675D3FEF"/>
    <w:rsid w:val="67731CFA"/>
    <w:rsid w:val="679F300F"/>
    <w:rsid w:val="67A91325"/>
    <w:rsid w:val="680B350F"/>
    <w:rsid w:val="682C57A5"/>
    <w:rsid w:val="6832167E"/>
    <w:rsid w:val="6836496C"/>
    <w:rsid w:val="68700039"/>
    <w:rsid w:val="68A01D1C"/>
    <w:rsid w:val="68A234DF"/>
    <w:rsid w:val="68D31327"/>
    <w:rsid w:val="68E75F4D"/>
    <w:rsid w:val="68F80760"/>
    <w:rsid w:val="6901408C"/>
    <w:rsid w:val="692E2949"/>
    <w:rsid w:val="69333F28"/>
    <w:rsid w:val="69470309"/>
    <w:rsid w:val="695D5090"/>
    <w:rsid w:val="696B1607"/>
    <w:rsid w:val="69751EAA"/>
    <w:rsid w:val="69831F77"/>
    <w:rsid w:val="698372D6"/>
    <w:rsid w:val="69EF1F65"/>
    <w:rsid w:val="6A0D63C4"/>
    <w:rsid w:val="6A1A6E5F"/>
    <w:rsid w:val="6A47013E"/>
    <w:rsid w:val="6A7F636D"/>
    <w:rsid w:val="6A806889"/>
    <w:rsid w:val="6AA42500"/>
    <w:rsid w:val="6AF4265A"/>
    <w:rsid w:val="6B054AC4"/>
    <w:rsid w:val="6B093A52"/>
    <w:rsid w:val="6B0D2DCF"/>
    <w:rsid w:val="6B27393E"/>
    <w:rsid w:val="6B525169"/>
    <w:rsid w:val="6BA047ED"/>
    <w:rsid w:val="6BA222EA"/>
    <w:rsid w:val="6BA33DCC"/>
    <w:rsid w:val="6BC96E53"/>
    <w:rsid w:val="6BE40B7D"/>
    <w:rsid w:val="6BFA25F4"/>
    <w:rsid w:val="6C280B21"/>
    <w:rsid w:val="6C4312E7"/>
    <w:rsid w:val="6C4A485C"/>
    <w:rsid w:val="6C507D50"/>
    <w:rsid w:val="6C53360D"/>
    <w:rsid w:val="6C6C46CF"/>
    <w:rsid w:val="6C8A71E2"/>
    <w:rsid w:val="6CA53DFF"/>
    <w:rsid w:val="6CAE2F39"/>
    <w:rsid w:val="6CB71DEE"/>
    <w:rsid w:val="6CEC62A5"/>
    <w:rsid w:val="6CEC7D37"/>
    <w:rsid w:val="6D74572C"/>
    <w:rsid w:val="6DAC440C"/>
    <w:rsid w:val="6DB04AFE"/>
    <w:rsid w:val="6DBF6490"/>
    <w:rsid w:val="6DC26C9C"/>
    <w:rsid w:val="6DED2E55"/>
    <w:rsid w:val="6E052163"/>
    <w:rsid w:val="6E1C005D"/>
    <w:rsid w:val="6E36197E"/>
    <w:rsid w:val="6E37281E"/>
    <w:rsid w:val="6E3C74D5"/>
    <w:rsid w:val="6E41376D"/>
    <w:rsid w:val="6E713DC9"/>
    <w:rsid w:val="6E774A93"/>
    <w:rsid w:val="6EA0573A"/>
    <w:rsid w:val="6EE36ECA"/>
    <w:rsid w:val="6F0C62B5"/>
    <w:rsid w:val="6F2C357A"/>
    <w:rsid w:val="6F8B7727"/>
    <w:rsid w:val="6FA01D37"/>
    <w:rsid w:val="6FA35752"/>
    <w:rsid w:val="6FBA5211"/>
    <w:rsid w:val="6FC14D32"/>
    <w:rsid w:val="70115A26"/>
    <w:rsid w:val="7092336C"/>
    <w:rsid w:val="70A259DE"/>
    <w:rsid w:val="70BC5C25"/>
    <w:rsid w:val="70D80585"/>
    <w:rsid w:val="70DE37C7"/>
    <w:rsid w:val="70F53606"/>
    <w:rsid w:val="71000C9C"/>
    <w:rsid w:val="71240691"/>
    <w:rsid w:val="71407AB8"/>
    <w:rsid w:val="716342F2"/>
    <w:rsid w:val="71D5562F"/>
    <w:rsid w:val="721F1602"/>
    <w:rsid w:val="722A3062"/>
    <w:rsid w:val="724B7771"/>
    <w:rsid w:val="725F7EAF"/>
    <w:rsid w:val="72A32CBE"/>
    <w:rsid w:val="72A53361"/>
    <w:rsid w:val="72C7472E"/>
    <w:rsid w:val="72CA41B8"/>
    <w:rsid w:val="72DF7A98"/>
    <w:rsid w:val="72FA2EDF"/>
    <w:rsid w:val="73441F01"/>
    <w:rsid w:val="737A7695"/>
    <w:rsid w:val="739C3610"/>
    <w:rsid w:val="73BD7038"/>
    <w:rsid w:val="73E90234"/>
    <w:rsid w:val="73ED106B"/>
    <w:rsid w:val="740A5BE8"/>
    <w:rsid w:val="74854658"/>
    <w:rsid w:val="7496678D"/>
    <w:rsid w:val="74B05252"/>
    <w:rsid w:val="74F05498"/>
    <w:rsid w:val="74F14535"/>
    <w:rsid w:val="753943C8"/>
    <w:rsid w:val="758F1B5A"/>
    <w:rsid w:val="75940517"/>
    <w:rsid w:val="75A86BB4"/>
    <w:rsid w:val="75EB74DE"/>
    <w:rsid w:val="75F22C6F"/>
    <w:rsid w:val="75FE7091"/>
    <w:rsid w:val="763832FC"/>
    <w:rsid w:val="76E97048"/>
    <w:rsid w:val="76ED0E9C"/>
    <w:rsid w:val="774C3C09"/>
    <w:rsid w:val="774D3A7A"/>
    <w:rsid w:val="77A8625B"/>
    <w:rsid w:val="78085BF3"/>
    <w:rsid w:val="782567A5"/>
    <w:rsid w:val="782C0851"/>
    <w:rsid w:val="783A4F8D"/>
    <w:rsid w:val="786605DE"/>
    <w:rsid w:val="789306A9"/>
    <w:rsid w:val="78BE7535"/>
    <w:rsid w:val="790B69FE"/>
    <w:rsid w:val="79297266"/>
    <w:rsid w:val="794E5888"/>
    <w:rsid w:val="79686D59"/>
    <w:rsid w:val="798B6ADC"/>
    <w:rsid w:val="79A202F8"/>
    <w:rsid w:val="7A034973"/>
    <w:rsid w:val="7A1216AE"/>
    <w:rsid w:val="7A3A09C8"/>
    <w:rsid w:val="7A6B663C"/>
    <w:rsid w:val="7A6C49DC"/>
    <w:rsid w:val="7A7D6734"/>
    <w:rsid w:val="7ACB42B8"/>
    <w:rsid w:val="7AEC0EED"/>
    <w:rsid w:val="7B260409"/>
    <w:rsid w:val="7B312A5B"/>
    <w:rsid w:val="7B4D15D5"/>
    <w:rsid w:val="7B50118C"/>
    <w:rsid w:val="7B942659"/>
    <w:rsid w:val="7BAD4739"/>
    <w:rsid w:val="7BE51067"/>
    <w:rsid w:val="7BF8117A"/>
    <w:rsid w:val="7C244A7D"/>
    <w:rsid w:val="7C2F6CBD"/>
    <w:rsid w:val="7C5036AD"/>
    <w:rsid w:val="7C54662F"/>
    <w:rsid w:val="7C603676"/>
    <w:rsid w:val="7C6F7FEF"/>
    <w:rsid w:val="7CE47776"/>
    <w:rsid w:val="7D14029E"/>
    <w:rsid w:val="7D1B3DE1"/>
    <w:rsid w:val="7D374B5B"/>
    <w:rsid w:val="7D6734F0"/>
    <w:rsid w:val="7D7358BD"/>
    <w:rsid w:val="7D9A58D3"/>
    <w:rsid w:val="7DAB45AC"/>
    <w:rsid w:val="7DB22191"/>
    <w:rsid w:val="7DC952BC"/>
    <w:rsid w:val="7DDB1943"/>
    <w:rsid w:val="7E517A89"/>
    <w:rsid w:val="7E56793E"/>
    <w:rsid w:val="7EA87DBF"/>
    <w:rsid w:val="7EB6755E"/>
    <w:rsid w:val="7EC9322B"/>
    <w:rsid w:val="7EE07BB7"/>
    <w:rsid w:val="7EFA2E85"/>
    <w:rsid w:val="7EFC5AA6"/>
    <w:rsid w:val="7F085EB2"/>
    <w:rsid w:val="7F4C2384"/>
    <w:rsid w:val="7F5E476F"/>
    <w:rsid w:val="7F97608A"/>
    <w:rsid w:val="7F9C75E8"/>
    <w:rsid w:val="7FAA39F7"/>
    <w:rsid w:val="7FB47FB2"/>
    <w:rsid w:val="7FCC69B4"/>
    <w:rsid w:val="7FD60CD8"/>
    <w:rsid w:val="7FF6546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99" w:semiHidden="0" w:name="toc 2"/>
    <w:lsdException w:qFormat="1" w:unhideWhenUsed="0" w:uiPriority="99" w:semiHidden="0" w:name="toc 3"/>
    <w:lsdException w:qFormat="1" w:uiPriority="39" w:semiHidden="0"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99"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0"/>
    <w:autoRedefine/>
    <w:qFormat/>
    <w:uiPriority w:val="0"/>
    <w:pPr>
      <w:keepNext/>
      <w:jc w:val="center"/>
      <w:outlineLvl w:val="0"/>
    </w:pPr>
    <w:rPr>
      <w:rFonts w:ascii="黑体" w:eastAsia="黑体"/>
      <w:sz w:val="28"/>
    </w:rPr>
  </w:style>
  <w:style w:type="paragraph" w:styleId="3">
    <w:name w:val="heading 2"/>
    <w:basedOn w:val="1"/>
    <w:next w:val="1"/>
    <w:link w:val="51"/>
    <w:autoRedefine/>
    <w:qFormat/>
    <w:uiPriority w:val="0"/>
    <w:pPr>
      <w:keepNext/>
      <w:spacing w:line="720" w:lineRule="exact"/>
      <w:outlineLvl w:val="1"/>
    </w:pPr>
    <w:rPr>
      <w:rFonts w:ascii="黑体" w:hAnsi="Copperplate Gothic Bold" w:eastAsia="楷体_GB2312"/>
      <w:sz w:val="28"/>
    </w:rPr>
  </w:style>
  <w:style w:type="paragraph" w:styleId="4">
    <w:name w:val="heading 3"/>
    <w:basedOn w:val="1"/>
    <w:next w:val="1"/>
    <w:link w:val="52"/>
    <w:autoRedefine/>
    <w:qFormat/>
    <w:uiPriority w:val="0"/>
    <w:pPr>
      <w:keepNext/>
      <w:spacing w:line="320" w:lineRule="exact"/>
      <w:outlineLvl w:val="2"/>
    </w:pPr>
    <w:rPr>
      <w:rFonts w:ascii="楷体_GB2312" w:eastAsia="楷体_GB2312"/>
      <w:sz w:val="32"/>
    </w:rPr>
  </w:style>
  <w:style w:type="paragraph" w:styleId="5">
    <w:name w:val="heading 4"/>
    <w:basedOn w:val="1"/>
    <w:next w:val="1"/>
    <w:link w:val="53"/>
    <w:autoRedefine/>
    <w:qFormat/>
    <w:uiPriority w:val="99"/>
    <w:pPr>
      <w:keepNext/>
      <w:spacing w:line="600" w:lineRule="exact"/>
      <w:jc w:val="center"/>
      <w:outlineLvl w:val="3"/>
    </w:pPr>
    <w:rPr>
      <w:rFonts w:ascii="楷体_GB2312" w:eastAsia="楷体_GB2312"/>
      <w:sz w:val="32"/>
    </w:rPr>
  </w:style>
  <w:style w:type="paragraph" w:styleId="6">
    <w:name w:val="heading 5"/>
    <w:basedOn w:val="1"/>
    <w:next w:val="1"/>
    <w:link w:val="54"/>
    <w:autoRedefine/>
    <w:qFormat/>
    <w:uiPriority w:val="99"/>
    <w:pPr>
      <w:keepNext/>
      <w:keepLines/>
      <w:spacing w:before="280" w:after="290" w:line="376" w:lineRule="auto"/>
      <w:outlineLvl w:val="4"/>
    </w:pPr>
    <w:rPr>
      <w:b/>
      <w:bCs/>
      <w:sz w:val="28"/>
      <w:szCs w:val="28"/>
    </w:rPr>
  </w:style>
  <w:style w:type="paragraph" w:styleId="7">
    <w:name w:val="heading 6"/>
    <w:basedOn w:val="1"/>
    <w:next w:val="1"/>
    <w:link w:val="55"/>
    <w:autoRedefine/>
    <w:qFormat/>
    <w:uiPriority w:val="99"/>
    <w:pPr>
      <w:keepNext/>
      <w:keepLines/>
      <w:widowControl/>
      <w:spacing w:before="240" w:after="64" w:line="320" w:lineRule="auto"/>
      <w:jc w:val="left"/>
      <w:outlineLvl w:val="5"/>
    </w:pPr>
    <w:rPr>
      <w:rFonts w:ascii="Arial" w:hAnsi="Arial" w:eastAsia="黑体"/>
      <w:b/>
      <w:bCs/>
      <w:kern w:val="0"/>
      <w:sz w:val="24"/>
      <w:szCs w:val="24"/>
    </w:rPr>
  </w:style>
  <w:style w:type="paragraph" w:styleId="8">
    <w:name w:val="heading 7"/>
    <w:basedOn w:val="1"/>
    <w:next w:val="1"/>
    <w:link w:val="56"/>
    <w:autoRedefine/>
    <w:qFormat/>
    <w:uiPriority w:val="99"/>
    <w:pPr>
      <w:keepNext/>
      <w:keepLines/>
      <w:widowControl/>
      <w:spacing w:before="240" w:after="64" w:line="320" w:lineRule="auto"/>
      <w:jc w:val="left"/>
      <w:outlineLvl w:val="6"/>
    </w:pPr>
    <w:rPr>
      <w:b/>
      <w:bCs/>
      <w:kern w:val="0"/>
      <w:sz w:val="24"/>
      <w:szCs w:val="24"/>
    </w:rPr>
  </w:style>
  <w:style w:type="paragraph" w:styleId="9">
    <w:name w:val="heading 8"/>
    <w:basedOn w:val="1"/>
    <w:next w:val="1"/>
    <w:link w:val="57"/>
    <w:autoRedefine/>
    <w:qFormat/>
    <w:uiPriority w:val="99"/>
    <w:pPr>
      <w:keepNext/>
      <w:keepLines/>
      <w:widowControl/>
      <w:spacing w:before="240" w:after="64" w:line="320" w:lineRule="auto"/>
      <w:jc w:val="left"/>
      <w:outlineLvl w:val="7"/>
    </w:pPr>
    <w:rPr>
      <w:rFonts w:ascii="Arial" w:hAnsi="Arial" w:eastAsia="黑体"/>
      <w:kern w:val="0"/>
      <w:sz w:val="24"/>
      <w:szCs w:val="24"/>
    </w:rPr>
  </w:style>
  <w:style w:type="paragraph" w:styleId="10">
    <w:name w:val="heading 9"/>
    <w:basedOn w:val="1"/>
    <w:next w:val="1"/>
    <w:link w:val="58"/>
    <w:autoRedefine/>
    <w:qFormat/>
    <w:uiPriority w:val="99"/>
    <w:pPr>
      <w:keepNext/>
      <w:keepLines/>
      <w:widowControl/>
      <w:spacing w:before="240" w:after="64" w:line="320" w:lineRule="auto"/>
      <w:jc w:val="left"/>
      <w:outlineLvl w:val="8"/>
    </w:pPr>
    <w:rPr>
      <w:rFonts w:ascii="Arial" w:hAnsi="Arial" w:eastAsia="黑体"/>
      <w:kern w:val="0"/>
      <w:szCs w:val="21"/>
    </w:rPr>
  </w:style>
  <w:style w:type="character" w:default="1" w:styleId="39">
    <w:name w:val="Default Paragraph Font"/>
    <w:autoRedefine/>
    <w:unhideWhenUsed/>
    <w:qFormat/>
    <w:uiPriority w:val="1"/>
  </w:style>
  <w:style w:type="table" w:default="1" w:styleId="37">
    <w:name w:val="Normal Table"/>
    <w:autoRedefine/>
    <w:unhideWhenUsed/>
    <w:qFormat/>
    <w:uiPriority w:val="99"/>
    <w:tblPr>
      <w:tblCellMar>
        <w:top w:w="0" w:type="dxa"/>
        <w:left w:w="108" w:type="dxa"/>
        <w:bottom w:w="0" w:type="dxa"/>
        <w:right w:w="108" w:type="dxa"/>
      </w:tblCellMar>
    </w:tblPr>
  </w:style>
  <w:style w:type="paragraph" w:styleId="11">
    <w:name w:val="Normal Indent"/>
    <w:basedOn w:val="1"/>
    <w:next w:val="1"/>
    <w:link w:val="94"/>
    <w:autoRedefine/>
    <w:qFormat/>
    <w:uiPriority w:val="0"/>
    <w:pPr>
      <w:ind w:firstLine="420"/>
    </w:pPr>
  </w:style>
  <w:style w:type="paragraph" w:styleId="12">
    <w:name w:val="Document Map"/>
    <w:basedOn w:val="1"/>
    <w:link w:val="59"/>
    <w:autoRedefine/>
    <w:qFormat/>
    <w:uiPriority w:val="99"/>
    <w:pPr>
      <w:shd w:val="clear" w:color="auto" w:fill="000080"/>
    </w:pPr>
  </w:style>
  <w:style w:type="paragraph" w:styleId="13">
    <w:name w:val="toa heading"/>
    <w:basedOn w:val="1"/>
    <w:next w:val="1"/>
    <w:autoRedefine/>
    <w:qFormat/>
    <w:locked/>
    <w:uiPriority w:val="0"/>
    <w:pPr>
      <w:spacing w:before="120"/>
    </w:pPr>
    <w:rPr>
      <w:rFonts w:ascii="Arial" w:hAnsi="Arial"/>
      <w:sz w:val="24"/>
      <w:szCs w:val="20"/>
    </w:rPr>
  </w:style>
  <w:style w:type="paragraph" w:styleId="14">
    <w:name w:val="annotation text"/>
    <w:basedOn w:val="1"/>
    <w:link w:val="60"/>
    <w:autoRedefine/>
    <w:qFormat/>
    <w:uiPriority w:val="99"/>
    <w:pPr>
      <w:jc w:val="left"/>
    </w:pPr>
  </w:style>
  <w:style w:type="paragraph" w:styleId="15">
    <w:name w:val="Body Text 3"/>
    <w:basedOn w:val="1"/>
    <w:link w:val="61"/>
    <w:autoRedefine/>
    <w:qFormat/>
    <w:uiPriority w:val="99"/>
    <w:pPr>
      <w:jc w:val="center"/>
    </w:pPr>
    <w:rPr>
      <w:b/>
      <w:spacing w:val="-20"/>
      <w:w w:val="110"/>
      <w:sz w:val="52"/>
    </w:rPr>
  </w:style>
  <w:style w:type="paragraph" w:styleId="16">
    <w:name w:val="Body Text"/>
    <w:basedOn w:val="1"/>
    <w:next w:val="1"/>
    <w:link w:val="62"/>
    <w:autoRedefine/>
    <w:qFormat/>
    <w:uiPriority w:val="99"/>
    <w:pPr>
      <w:jc w:val="left"/>
    </w:pPr>
    <w:rPr>
      <w:rFonts w:ascii="Copperplate Gothic Bold" w:hAnsi="Copperplate Gothic Bold"/>
      <w:sz w:val="28"/>
    </w:rPr>
  </w:style>
  <w:style w:type="paragraph" w:styleId="17">
    <w:name w:val="Body Text Indent"/>
    <w:basedOn w:val="1"/>
    <w:next w:val="1"/>
    <w:link w:val="63"/>
    <w:autoRedefine/>
    <w:qFormat/>
    <w:uiPriority w:val="99"/>
    <w:pPr>
      <w:spacing w:line="640" w:lineRule="exact"/>
      <w:ind w:firstLine="585"/>
    </w:pPr>
    <w:rPr>
      <w:rFonts w:ascii="楷体_GB2312" w:eastAsia="楷体_GB2312"/>
      <w:sz w:val="32"/>
    </w:rPr>
  </w:style>
  <w:style w:type="paragraph" w:styleId="18">
    <w:name w:val="Block Text"/>
    <w:basedOn w:val="1"/>
    <w:autoRedefine/>
    <w:qFormat/>
    <w:uiPriority w:val="99"/>
    <w:pPr>
      <w:adjustRightInd w:val="0"/>
      <w:ind w:left="420" w:right="33"/>
      <w:jc w:val="left"/>
      <w:textAlignment w:val="baseline"/>
    </w:pPr>
    <w:rPr>
      <w:kern w:val="0"/>
      <w:sz w:val="24"/>
    </w:rPr>
  </w:style>
  <w:style w:type="paragraph" w:styleId="19">
    <w:name w:val="toc 3"/>
    <w:basedOn w:val="1"/>
    <w:next w:val="1"/>
    <w:autoRedefine/>
    <w:qFormat/>
    <w:uiPriority w:val="99"/>
    <w:pPr>
      <w:ind w:left="840" w:leftChars="400"/>
    </w:pPr>
    <w:rPr>
      <w:szCs w:val="24"/>
    </w:rPr>
  </w:style>
  <w:style w:type="paragraph" w:styleId="20">
    <w:name w:val="Plain Text"/>
    <w:basedOn w:val="1"/>
    <w:link w:val="64"/>
    <w:autoRedefine/>
    <w:qFormat/>
    <w:uiPriority w:val="99"/>
    <w:rPr>
      <w:rFonts w:ascii="宋体" w:hAnsi="Courier New"/>
    </w:rPr>
  </w:style>
  <w:style w:type="paragraph" w:styleId="21">
    <w:name w:val="Date"/>
    <w:basedOn w:val="1"/>
    <w:next w:val="1"/>
    <w:link w:val="65"/>
    <w:autoRedefine/>
    <w:qFormat/>
    <w:uiPriority w:val="99"/>
    <w:rPr>
      <w:rFonts w:ascii="Copperplate Gothic Bold" w:hAnsi="Copperplate Gothic Bold"/>
      <w:sz w:val="32"/>
    </w:rPr>
  </w:style>
  <w:style w:type="paragraph" w:styleId="22">
    <w:name w:val="Body Text Indent 2"/>
    <w:basedOn w:val="1"/>
    <w:link w:val="66"/>
    <w:autoRedefine/>
    <w:qFormat/>
    <w:uiPriority w:val="99"/>
    <w:pPr>
      <w:spacing w:line="640" w:lineRule="exact"/>
      <w:ind w:firstLine="645"/>
    </w:pPr>
    <w:rPr>
      <w:rFonts w:ascii="楷体_GB2312" w:eastAsia="楷体_GB2312"/>
      <w:sz w:val="32"/>
    </w:rPr>
  </w:style>
  <w:style w:type="paragraph" w:styleId="23">
    <w:name w:val="Balloon Text"/>
    <w:basedOn w:val="1"/>
    <w:link w:val="67"/>
    <w:autoRedefine/>
    <w:qFormat/>
    <w:uiPriority w:val="99"/>
    <w:rPr>
      <w:sz w:val="18"/>
      <w:szCs w:val="18"/>
    </w:rPr>
  </w:style>
  <w:style w:type="paragraph" w:styleId="24">
    <w:name w:val="footer"/>
    <w:basedOn w:val="1"/>
    <w:next w:val="16"/>
    <w:link w:val="68"/>
    <w:autoRedefine/>
    <w:qFormat/>
    <w:uiPriority w:val="99"/>
    <w:pPr>
      <w:tabs>
        <w:tab w:val="center" w:pos="4153"/>
        <w:tab w:val="right" w:pos="8306"/>
      </w:tabs>
      <w:snapToGrid w:val="0"/>
      <w:jc w:val="left"/>
    </w:pPr>
    <w:rPr>
      <w:sz w:val="18"/>
      <w:szCs w:val="18"/>
    </w:rPr>
  </w:style>
  <w:style w:type="paragraph" w:styleId="25">
    <w:name w:val="header"/>
    <w:basedOn w:val="1"/>
    <w:link w:val="69"/>
    <w:autoRedefine/>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39"/>
    <w:pPr>
      <w:tabs>
        <w:tab w:val="right" w:leader="dot" w:pos="9060"/>
      </w:tabs>
      <w:spacing w:line="720" w:lineRule="auto"/>
    </w:pPr>
    <w:rPr>
      <w:szCs w:val="24"/>
    </w:rPr>
  </w:style>
  <w:style w:type="paragraph" w:styleId="27">
    <w:name w:val="toc 4"/>
    <w:basedOn w:val="1"/>
    <w:next w:val="1"/>
    <w:autoRedefine/>
    <w:unhideWhenUsed/>
    <w:qFormat/>
    <w:locked/>
    <w:uiPriority w:val="39"/>
    <w:pPr>
      <w:ind w:left="1260" w:leftChars="600"/>
    </w:pPr>
  </w:style>
  <w:style w:type="paragraph" w:styleId="28">
    <w:name w:val="Body Text Indent 3"/>
    <w:basedOn w:val="1"/>
    <w:link w:val="70"/>
    <w:autoRedefine/>
    <w:qFormat/>
    <w:uiPriority w:val="99"/>
    <w:pPr>
      <w:ind w:firstLine="645"/>
    </w:pPr>
    <w:rPr>
      <w:rFonts w:ascii="宋体" w:hAnsi="Copperplate Gothic Bold"/>
      <w:sz w:val="28"/>
    </w:rPr>
  </w:style>
  <w:style w:type="paragraph" w:styleId="29">
    <w:name w:val="toc 2"/>
    <w:basedOn w:val="1"/>
    <w:next w:val="1"/>
    <w:autoRedefine/>
    <w:qFormat/>
    <w:uiPriority w:val="99"/>
    <w:pPr>
      <w:ind w:left="420" w:leftChars="200"/>
    </w:pPr>
    <w:rPr>
      <w:szCs w:val="24"/>
    </w:rPr>
  </w:style>
  <w:style w:type="paragraph" w:styleId="30">
    <w:name w:val="Body Text 2"/>
    <w:basedOn w:val="1"/>
    <w:link w:val="71"/>
    <w:autoRedefine/>
    <w:qFormat/>
    <w:uiPriority w:val="99"/>
    <w:rPr>
      <w:rFonts w:ascii="楷体_GB2312" w:hAnsi="Copperplate Gothic Bold" w:eastAsia="楷体_GB2312"/>
      <w:sz w:val="28"/>
    </w:rPr>
  </w:style>
  <w:style w:type="paragraph" w:styleId="31">
    <w:name w:val="HTML Preformatted"/>
    <w:basedOn w:val="1"/>
    <w:autoRedefine/>
    <w:semiHidden/>
    <w:unhideWhenUsed/>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2">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33">
    <w:name w:val="index 1"/>
    <w:basedOn w:val="1"/>
    <w:next w:val="1"/>
    <w:autoRedefine/>
    <w:qFormat/>
    <w:locked/>
    <w:uiPriority w:val="0"/>
  </w:style>
  <w:style w:type="paragraph" w:styleId="34">
    <w:name w:val="Title"/>
    <w:basedOn w:val="1"/>
    <w:link w:val="72"/>
    <w:autoRedefine/>
    <w:qFormat/>
    <w:uiPriority w:val="99"/>
    <w:pPr>
      <w:adjustRightInd w:val="0"/>
      <w:spacing w:before="240" w:after="60" w:line="312" w:lineRule="atLeast"/>
      <w:jc w:val="center"/>
      <w:textAlignment w:val="baseline"/>
      <w:outlineLvl w:val="0"/>
    </w:pPr>
    <w:rPr>
      <w:rFonts w:ascii="Arial" w:hAnsi="Arial" w:eastAsia="楷体_GB2312" w:cs="Arial"/>
      <w:b/>
      <w:kern w:val="0"/>
      <w:sz w:val="32"/>
      <w:szCs w:val="32"/>
    </w:rPr>
  </w:style>
  <w:style w:type="paragraph" w:styleId="35">
    <w:name w:val="Body Text First Indent"/>
    <w:basedOn w:val="16"/>
    <w:next w:val="1"/>
    <w:autoRedefine/>
    <w:qFormat/>
    <w:locked/>
    <w:uiPriority w:val="0"/>
    <w:pPr>
      <w:adjustRightInd w:val="0"/>
      <w:spacing w:after="0"/>
      <w:ind w:firstLine="420"/>
      <w:jc w:val="left"/>
      <w:textAlignment w:val="baseline"/>
    </w:pPr>
    <w:rPr>
      <w:kern w:val="0"/>
    </w:rPr>
  </w:style>
  <w:style w:type="paragraph" w:styleId="36">
    <w:name w:val="Body Text First Indent 2"/>
    <w:basedOn w:val="17"/>
    <w:next w:val="16"/>
    <w:autoRedefine/>
    <w:qFormat/>
    <w:locked/>
    <w:uiPriority w:val="99"/>
  </w:style>
  <w:style w:type="table" w:styleId="38">
    <w:name w:val="Table Grid"/>
    <w:basedOn w:val="3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autoRedefine/>
    <w:qFormat/>
    <w:uiPriority w:val="99"/>
    <w:rPr>
      <w:rFonts w:cs="Times New Roman"/>
      <w:b/>
    </w:rPr>
  </w:style>
  <w:style w:type="character" w:styleId="41">
    <w:name w:val="page number"/>
    <w:basedOn w:val="39"/>
    <w:autoRedefine/>
    <w:qFormat/>
    <w:uiPriority w:val="99"/>
    <w:rPr>
      <w:rFonts w:cs="Times New Roman"/>
    </w:rPr>
  </w:style>
  <w:style w:type="character" w:styleId="42">
    <w:name w:val="FollowedHyperlink"/>
    <w:basedOn w:val="39"/>
    <w:autoRedefine/>
    <w:qFormat/>
    <w:uiPriority w:val="99"/>
    <w:rPr>
      <w:rFonts w:cs="Times New Roman"/>
      <w:color w:val="800080"/>
      <w:u w:val="single"/>
    </w:rPr>
  </w:style>
  <w:style w:type="character" w:styleId="43">
    <w:name w:val="Emphasis"/>
    <w:basedOn w:val="39"/>
    <w:autoRedefine/>
    <w:qFormat/>
    <w:uiPriority w:val="99"/>
    <w:rPr>
      <w:rFonts w:cs="Times New Roman"/>
      <w:i/>
      <w:iCs/>
    </w:rPr>
  </w:style>
  <w:style w:type="character" w:styleId="44">
    <w:name w:val="Hyperlink"/>
    <w:basedOn w:val="39"/>
    <w:autoRedefine/>
    <w:qFormat/>
    <w:uiPriority w:val="99"/>
    <w:rPr>
      <w:rFonts w:cs="Times New Roman"/>
      <w:color w:val="0000FF"/>
      <w:u w:val="single"/>
    </w:rPr>
  </w:style>
  <w:style w:type="character" w:styleId="45">
    <w:name w:val="annotation reference"/>
    <w:basedOn w:val="39"/>
    <w:autoRedefine/>
    <w:qFormat/>
    <w:uiPriority w:val="99"/>
    <w:rPr>
      <w:rFonts w:cs="Times New Roman"/>
      <w:sz w:val="21"/>
    </w:rPr>
  </w:style>
  <w:style w:type="paragraph" w:customStyle="1" w:styleId="46">
    <w:name w:val="TOC 标题1"/>
    <w:basedOn w:val="2"/>
    <w:next w:val="1"/>
    <w:autoRedefine/>
    <w:qFormat/>
    <w:uiPriority w:val="99"/>
    <w:pPr>
      <w:tabs>
        <w:tab w:val="left" w:pos="432"/>
      </w:tabs>
      <w:spacing w:before="480" w:after="0" w:line="276" w:lineRule="auto"/>
      <w:outlineLvl w:val="9"/>
    </w:pPr>
    <w:rPr>
      <w:rFonts w:ascii="仿宋" w:hAnsi="仿宋" w:eastAsia="仿宋"/>
      <w:color w:val="000000"/>
      <w:kern w:val="0"/>
      <w:szCs w:val="32"/>
    </w:rPr>
  </w:style>
  <w:style w:type="paragraph" w:customStyle="1" w:styleId="47">
    <w:name w:val="正文1"/>
    <w:autoRedefine/>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8">
    <w:name w:val="No Spacing"/>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49">
    <w:name w:val="列出段落1"/>
    <w:basedOn w:val="1"/>
    <w:autoRedefine/>
    <w:qFormat/>
    <w:uiPriority w:val="99"/>
    <w:pPr>
      <w:ind w:firstLine="420" w:firstLineChars="200"/>
    </w:pPr>
  </w:style>
  <w:style w:type="character" w:customStyle="1" w:styleId="50">
    <w:name w:val="标题 1 Char"/>
    <w:basedOn w:val="39"/>
    <w:link w:val="2"/>
    <w:autoRedefine/>
    <w:qFormat/>
    <w:locked/>
    <w:uiPriority w:val="0"/>
    <w:rPr>
      <w:rFonts w:ascii="黑体" w:hAnsi="Times New Roman" w:eastAsia="黑体" w:cs="Times New Roman"/>
      <w:sz w:val="20"/>
      <w:szCs w:val="20"/>
    </w:rPr>
  </w:style>
  <w:style w:type="character" w:customStyle="1" w:styleId="51">
    <w:name w:val="标题 2 Char"/>
    <w:basedOn w:val="39"/>
    <w:link w:val="3"/>
    <w:autoRedefine/>
    <w:qFormat/>
    <w:locked/>
    <w:uiPriority w:val="0"/>
    <w:rPr>
      <w:rFonts w:ascii="黑体" w:hAnsi="Copperplate Gothic Bold" w:eastAsia="楷体_GB2312" w:cs="Times New Roman"/>
      <w:sz w:val="20"/>
      <w:szCs w:val="20"/>
    </w:rPr>
  </w:style>
  <w:style w:type="character" w:customStyle="1" w:styleId="52">
    <w:name w:val="标题 3 Char"/>
    <w:basedOn w:val="39"/>
    <w:link w:val="4"/>
    <w:autoRedefine/>
    <w:qFormat/>
    <w:locked/>
    <w:uiPriority w:val="0"/>
    <w:rPr>
      <w:rFonts w:ascii="楷体_GB2312" w:hAnsi="Times New Roman" w:eastAsia="楷体_GB2312" w:cs="Times New Roman"/>
      <w:sz w:val="20"/>
      <w:szCs w:val="20"/>
    </w:rPr>
  </w:style>
  <w:style w:type="character" w:customStyle="1" w:styleId="53">
    <w:name w:val="标题 4 Char"/>
    <w:basedOn w:val="39"/>
    <w:link w:val="5"/>
    <w:autoRedefine/>
    <w:qFormat/>
    <w:locked/>
    <w:uiPriority w:val="99"/>
    <w:rPr>
      <w:rFonts w:ascii="楷体_GB2312" w:hAnsi="Times New Roman" w:eastAsia="楷体_GB2312" w:cs="Times New Roman"/>
      <w:sz w:val="20"/>
      <w:szCs w:val="20"/>
    </w:rPr>
  </w:style>
  <w:style w:type="character" w:customStyle="1" w:styleId="54">
    <w:name w:val="标题 5 Char"/>
    <w:basedOn w:val="39"/>
    <w:link w:val="6"/>
    <w:autoRedefine/>
    <w:qFormat/>
    <w:locked/>
    <w:uiPriority w:val="99"/>
    <w:rPr>
      <w:rFonts w:cs="Times New Roman"/>
      <w:b/>
      <w:bCs/>
      <w:kern w:val="2"/>
      <w:sz w:val="28"/>
      <w:szCs w:val="28"/>
    </w:rPr>
  </w:style>
  <w:style w:type="character" w:customStyle="1" w:styleId="55">
    <w:name w:val="标题 6 Char"/>
    <w:basedOn w:val="39"/>
    <w:link w:val="7"/>
    <w:autoRedefine/>
    <w:qFormat/>
    <w:locked/>
    <w:uiPriority w:val="99"/>
    <w:rPr>
      <w:rFonts w:ascii="Arial" w:hAnsi="Arial" w:eastAsia="黑体" w:cs="Times New Roman"/>
      <w:b/>
      <w:bCs/>
      <w:sz w:val="24"/>
      <w:szCs w:val="24"/>
    </w:rPr>
  </w:style>
  <w:style w:type="character" w:customStyle="1" w:styleId="56">
    <w:name w:val="标题 7 Char"/>
    <w:basedOn w:val="39"/>
    <w:link w:val="8"/>
    <w:autoRedefine/>
    <w:qFormat/>
    <w:locked/>
    <w:uiPriority w:val="99"/>
    <w:rPr>
      <w:rFonts w:cs="Times New Roman"/>
      <w:b/>
      <w:bCs/>
      <w:sz w:val="24"/>
      <w:szCs w:val="24"/>
    </w:rPr>
  </w:style>
  <w:style w:type="character" w:customStyle="1" w:styleId="57">
    <w:name w:val="标题 8 Char"/>
    <w:basedOn w:val="39"/>
    <w:link w:val="9"/>
    <w:autoRedefine/>
    <w:qFormat/>
    <w:locked/>
    <w:uiPriority w:val="99"/>
    <w:rPr>
      <w:rFonts w:ascii="Arial" w:hAnsi="Arial" w:eastAsia="黑体" w:cs="Times New Roman"/>
      <w:sz w:val="24"/>
      <w:szCs w:val="24"/>
    </w:rPr>
  </w:style>
  <w:style w:type="character" w:customStyle="1" w:styleId="58">
    <w:name w:val="标题 9 Char"/>
    <w:basedOn w:val="39"/>
    <w:link w:val="10"/>
    <w:autoRedefine/>
    <w:qFormat/>
    <w:locked/>
    <w:uiPriority w:val="99"/>
    <w:rPr>
      <w:rFonts w:ascii="Arial" w:hAnsi="Arial" w:eastAsia="黑体" w:cs="Times New Roman"/>
      <w:sz w:val="21"/>
      <w:szCs w:val="21"/>
    </w:rPr>
  </w:style>
  <w:style w:type="character" w:customStyle="1" w:styleId="59">
    <w:name w:val="文档结构图 Char"/>
    <w:basedOn w:val="39"/>
    <w:link w:val="12"/>
    <w:autoRedefine/>
    <w:semiHidden/>
    <w:qFormat/>
    <w:locked/>
    <w:uiPriority w:val="99"/>
    <w:rPr>
      <w:rFonts w:ascii="Times New Roman" w:hAnsi="Times New Roman" w:eastAsia="宋体" w:cs="Times New Roman"/>
      <w:sz w:val="20"/>
      <w:szCs w:val="20"/>
      <w:shd w:val="clear" w:color="auto" w:fill="000080"/>
    </w:rPr>
  </w:style>
  <w:style w:type="character" w:customStyle="1" w:styleId="60">
    <w:name w:val="批注文字 Char"/>
    <w:basedOn w:val="39"/>
    <w:link w:val="14"/>
    <w:autoRedefine/>
    <w:semiHidden/>
    <w:qFormat/>
    <w:locked/>
    <w:uiPriority w:val="99"/>
    <w:rPr>
      <w:rFonts w:ascii="Times New Roman" w:hAnsi="Times New Roman" w:eastAsia="宋体" w:cs="Times New Roman"/>
      <w:sz w:val="20"/>
      <w:szCs w:val="20"/>
    </w:rPr>
  </w:style>
  <w:style w:type="character" w:customStyle="1" w:styleId="61">
    <w:name w:val="正文文本 3 Char"/>
    <w:basedOn w:val="39"/>
    <w:link w:val="15"/>
    <w:autoRedefine/>
    <w:qFormat/>
    <w:locked/>
    <w:uiPriority w:val="99"/>
    <w:rPr>
      <w:rFonts w:ascii="Times New Roman" w:hAnsi="Times New Roman" w:eastAsia="宋体" w:cs="Times New Roman"/>
      <w:b/>
      <w:spacing w:val="-20"/>
      <w:w w:val="110"/>
      <w:sz w:val="20"/>
      <w:szCs w:val="20"/>
    </w:rPr>
  </w:style>
  <w:style w:type="character" w:customStyle="1" w:styleId="62">
    <w:name w:val="正文文本 Char"/>
    <w:basedOn w:val="39"/>
    <w:link w:val="16"/>
    <w:autoRedefine/>
    <w:qFormat/>
    <w:locked/>
    <w:uiPriority w:val="99"/>
    <w:rPr>
      <w:rFonts w:ascii="Copperplate Gothic Bold" w:hAnsi="Copperplate Gothic Bold" w:eastAsia="宋体" w:cs="Times New Roman"/>
      <w:sz w:val="20"/>
      <w:szCs w:val="20"/>
    </w:rPr>
  </w:style>
  <w:style w:type="character" w:customStyle="1" w:styleId="63">
    <w:name w:val="正文文本缩进 Char"/>
    <w:basedOn w:val="39"/>
    <w:link w:val="17"/>
    <w:autoRedefine/>
    <w:qFormat/>
    <w:locked/>
    <w:uiPriority w:val="99"/>
    <w:rPr>
      <w:rFonts w:ascii="楷体_GB2312" w:hAnsi="Times New Roman" w:eastAsia="楷体_GB2312" w:cs="Times New Roman"/>
      <w:sz w:val="20"/>
      <w:szCs w:val="20"/>
    </w:rPr>
  </w:style>
  <w:style w:type="character" w:customStyle="1" w:styleId="64">
    <w:name w:val="纯文本 Char"/>
    <w:basedOn w:val="39"/>
    <w:link w:val="20"/>
    <w:autoRedefine/>
    <w:qFormat/>
    <w:locked/>
    <w:uiPriority w:val="99"/>
    <w:rPr>
      <w:rFonts w:ascii="宋体" w:hAnsi="Courier New" w:eastAsia="宋体" w:cs="Times New Roman"/>
      <w:sz w:val="20"/>
      <w:szCs w:val="20"/>
    </w:rPr>
  </w:style>
  <w:style w:type="character" w:customStyle="1" w:styleId="65">
    <w:name w:val="日期 Char"/>
    <w:basedOn w:val="39"/>
    <w:link w:val="21"/>
    <w:autoRedefine/>
    <w:qFormat/>
    <w:locked/>
    <w:uiPriority w:val="99"/>
    <w:rPr>
      <w:rFonts w:ascii="Copperplate Gothic Bold" w:hAnsi="Copperplate Gothic Bold" w:eastAsia="宋体" w:cs="Times New Roman"/>
      <w:sz w:val="20"/>
      <w:szCs w:val="20"/>
    </w:rPr>
  </w:style>
  <w:style w:type="character" w:customStyle="1" w:styleId="66">
    <w:name w:val="正文文本缩进 2 Char"/>
    <w:basedOn w:val="39"/>
    <w:link w:val="22"/>
    <w:autoRedefine/>
    <w:qFormat/>
    <w:locked/>
    <w:uiPriority w:val="99"/>
    <w:rPr>
      <w:rFonts w:ascii="楷体_GB2312" w:hAnsi="Times New Roman" w:eastAsia="楷体_GB2312" w:cs="Times New Roman"/>
      <w:sz w:val="20"/>
      <w:szCs w:val="20"/>
    </w:rPr>
  </w:style>
  <w:style w:type="character" w:customStyle="1" w:styleId="67">
    <w:name w:val="批注框文本 Char"/>
    <w:basedOn w:val="39"/>
    <w:link w:val="23"/>
    <w:autoRedefine/>
    <w:semiHidden/>
    <w:qFormat/>
    <w:locked/>
    <w:uiPriority w:val="99"/>
    <w:rPr>
      <w:rFonts w:ascii="Times New Roman" w:hAnsi="Times New Roman" w:eastAsia="宋体" w:cs="Times New Roman"/>
      <w:sz w:val="18"/>
      <w:szCs w:val="18"/>
    </w:rPr>
  </w:style>
  <w:style w:type="character" w:customStyle="1" w:styleId="68">
    <w:name w:val="页脚 Char"/>
    <w:basedOn w:val="39"/>
    <w:link w:val="24"/>
    <w:autoRedefine/>
    <w:qFormat/>
    <w:locked/>
    <w:uiPriority w:val="99"/>
    <w:rPr>
      <w:rFonts w:cs="Times New Roman"/>
      <w:sz w:val="18"/>
      <w:szCs w:val="18"/>
    </w:rPr>
  </w:style>
  <w:style w:type="character" w:customStyle="1" w:styleId="69">
    <w:name w:val="页眉 Char"/>
    <w:basedOn w:val="39"/>
    <w:link w:val="25"/>
    <w:autoRedefine/>
    <w:qFormat/>
    <w:locked/>
    <w:uiPriority w:val="99"/>
    <w:rPr>
      <w:rFonts w:cs="Times New Roman"/>
      <w:sz w:val="18"/>
      <w:szCs w:val="18"/>
    </w:rPr>
  </w:style>
  <w:style w:type="character" w:customStyle="1" w:styleId="70">
    <w:name w:val="正文文本缩进 3 Char"/>
    <w:basedOn w:val="39"/>
    <w:link w:val="28"/>
    <w:autoRedefine/>
    <w:qFormat/>
    <w:locked/>
    <w:uiPriority w:val="99"/>
    <w:rPr>
      <w:rFonts w:ascii="宋体" w:hAnsi="Copperplate Gothic Bold" w:eastAsia="宋体" w:cs="Times New Roman"/>
      <w:sz w:val="20"/>
      <w:szCs w:val="20"/>
    </w:rPr>
  </w:style>
  <w:style w:type="character" w:customStyle="1" w:styleId="71">
    <w:name w:val="正文文本 2 Char"/>
    <w:basedOn w:val="39"/>
    <w:link w:val="30"/>
    <w:autoRedefine/>
    <w:qFormat/>
    <w:locked/>
    <w:uiPriority w:val="99"/>
    <w:rPr>
      <w:rFonts w:ascii="楷体_GB2312" w:hAnsi="Copperplate Gothic Bold" w:eastAsia="楷体_GB2312" w:cs="Times New Roman"/>
      <w:sz w:val="20"/>
      <w:szCs w:val="20"/>
    </w:rPr>
  </w:style>
  <w:style w:type="character" w:customStyle="1" w:styleId="72">
    <w:name w:val="标题 Char"/>
    <w:basedOn w:val="39"/>
    <w:link w:val="34"/>
    <w:autoRedefine/>
    <w:qFormat/>
    <w:locked/>
    <w:uiPriority w:val="99"/>
    <w:rPr>
      <w:rFonts w:ascii="Arial" w:hAnsi="Arial" w:eastAsia="楷体_GB2312" w:cs="Arial"/>
      <w:b/>
      <w:sz w:val="32"/>
      <w:szCs w:val="32"/>
    </w:rPr>
  </w:style>
  <w:style w:type="paragraph" w:customStyle="1" w:styleId="73">
    <w:name w:val="缺省文本"/>
    <w:basedOn w:val="1"/>
    <w:autoRedefine/>
    <w:qFormat/>
    <w:uiPriority w:val="99"/>
    <w:pPr>
      <w:autoSpaceDE w:val="0"/>
      <w:autoSpaceDN w:val="0"/>
      <w:adjustRightInd w:val="0"/>
      <w:jc w:val="left"/>
    </w:pPr>
    <w:rPr>
      <w:kern w:val="0"/>
      <w:sz w:val="24"/>
    </w:rPr>
  </w:style>
  <w:style w:type="paragraph" w:customStyle="1" w:styleId="74">
    <w:name w:val="??¨???¨????ì?¨¨??¨?o??????ì?¨¨?"/>
    <w:basedOn w:val="1"/>
    <w:autoRedefine/>
    <w:qFormat/>
    <w:uiPriority w:val="99"/>
    <w:pPr>
      <w:autoSpaceDE w:val="0"/>
      <w:autoSpaceDN w:val="0"/>
      <w:adjustRightInd w:val="0"/>
      <w:jc w:val="left"/>
    </w:pPr>
    <w:rPr>
      <w:kern w:val="0"/>
      <w:sz w:val="24"/>
    </w:rPr>
  </w:style>
  <w:style w:type="paragraph" w:customStyle="1" w:styleId="75">
    <w:name w:val="?§?§?¨¤?§o????¨¤?"/>
    <w:basedOn w:val="1"/>
    <w:autoRedefine/>
    <w:qFormat/>
    <w:uiPriority w:val="99"/>
    <w:pPr>
      <w:autoSpaceDE w:val="0"/>
      <w:autoSpaceDN w:val="0"/>
      <w:adjustRightInd w:val="0"/>
      <w:jc w:val="left"/>
    </w:pPr>
    <w:rPr>
      <w:kern w:val="0"/>
      <w:sz w:val="24"/>
    </w:rPr>
  </w:style>
  <w:style w:type="paragraph" w:customStyle="1" w:styleId="76">
    <w:name w:val="正文段"/>
    <w:basedOn w:val="1"/>
    <w:autoRedefine/>
    <w:qFormat/>
    <w:uiPriority w:val="99"/>
    <w:pPr>
      <w:adjustRightInd w:val="0"/>
      <w:snapToGrid w:val="0"/>
      <w:spacing w:line="360" w:lineRule="auto"/>
    </w:pPr>
    <w:rPr>
      <w:rFonts w:eastAsia="仿宋_GB2312"/>
      <w:spacing w:val="-8"/>
      <w:sz w:val="24"/>
    </w:rPr>
  </w:style>
  <w:style w:type="paragraph" w:customStyle="1" w:styleId="77">
    <w:name w:val="Char"/>
    <w:basedOn w:val="12"/>
    <w:next w:val="1"/>
    <w:autoRedefine/>
    <w:qFormat/>
    <w:uiPriority w:val="99"/>
    <w:rPr>
      <w:rFonts w:ascii="Tahoma" w:hAnsi="Tahoma"/>
      <w:sz w:val="24"/>
    </w:rPr>
  </w:style>
  <w:style w:type="paragraph" w:customStyle="1" w:styleId="78">
    <w:name w:val="Char Char Char"/>
    <w:basedOn w:val="1"/>
    <w:autoRedefine/>
    <w:qFormat/>
    <w:uiPriority w:val="99"/>
  </w:style>
  <w:style w:type="paragraph" w:customStyle="1" w:styleId="79">
    <w:name w:val="Char Char Char Char"/>
    <w:basedOn w:val="1"/>
    <w:autoRedefine/>
    <w:qFormat/>
    <w:uiPriority w:val="99"/>
    <w:pPr>
      <w:widowControl/>
      <w:spacing w:after="160" w:line="240" w:lineRule="exact"/>
      <w:jc w:val="center"/>
    </w:pPr>
    <w:rPr>
      <w:rFonts w:ascii="宋体" w:hAnsi="宋体"/>
      <w:b/>
      <w:kern w:val="0"/>
      <w:sz w:val="28"/>
      <w:szCs w:val="28"/>
      <w:lang w:eastAsia="en-US"/>
    </w:rPr>
  </w:style>
  <w:style w:type="paragraph" w:customStyle="1" w:styleId="80">
    <w:name w:val="Char Char Char Char Char Char"/>
    <w:basedOn w:val="1"/>
    <w:autoRedefine/>
    <w:qFormat/>
    <w:uiPriority w:val="99"/>
    <w:pPr>
      <w:widowControl/>
      <w:spacing w:after="160" w:line="240" w:lineRule="exact"/>
      <w:jc w:val="left"/>
    </w:pPr>
    <w:rPr>
      <w:rFonts w:ascii="Verdana" w:hAnsi="Verdana" w:eastAsia="仿宋_GB2312"/>
      <w:kern w:val="0"/>
      <w:sz w:val="24"/>
      <w:lang w:eastAsia="en-US"/>
    </w:rPr>
  </w:style>
  <w:style w:type="paragraph" w:customStyle="1" w:styleId="81">
    <w:name w:val="文档正文"/>
    <w:basedOn w:val="1"/>
    <w:autoRedefine/>
    <w:qFormat/>
    <w:uiPriority w:val="99"/>
    <w:pPr>
      <w:adjustRightInd w:val="0"/>
      <w:snapToGrid w:val="0"/>
      <w:spacing w:line="440" w:lineRule="exact"/>
      <w:ind w:firstLine="567"/>
      <w:textAlignment w:val="baseline"/>
    </w:pPr>
    <w:rPr>
      <w:rFonts w:ascii="Arial Narrow" w:hAnsi="Arial Narrow"/>
      <w:kern w:val="0"/>
      <w:sz w:val="24"/>
    </w:rPr>
  </w:style>
  <w:style w:type="paragraph" w:customStyle="1" w:styleId="82">
    <w:name w:val="普通正文"/>
    <w:basedOn w:val="1"/>
    <w:autoRedefine/>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83">
    <w:name w:val="图"/>
    <w:basedOn w:val="1"/>
    <w:next w:val="81"/>
    <w:autoRedefine/>
    <w:qFormat/>
    <w:uiPriority w:val="99"/>
    <w:pPr>
      <w:tabs>
        <w:tab w:val="left" w:pos="1755"/>
      </w:tabs>
      <w:adjustRightInd w:val="0"/>
      <w:spacing w:before="60" w:after="60" w:line="360" w:lineRule="atLeast"/>
      <w:ind w:left="1755" w:hanging="1125"/>
      <w:jc w:val="center"/>
      <w:textAlignment w:val="baseline"/>
    </w:pPr>
    <w:rPr>
      <w:rFonts w:eastAsia="黑体"/>
      <w:b/>
      <w:kern w:val="0"/>
      <w:sz w:val="24"/>
    </w:rPr>
  </w:style>
  <w:style w:type="paragraph" w:customStyle="1" w:styleId="84">
    <w:name w:val="Char1"/>
    <w:basedOn w:val="1"/>
    <w:autoRedefine/>
    <w:qFormat/>
    <w:uiPriority w:val="0"/>
    <w:pPr>
      <w:tabs>
        <w:tab w:val="left" w:pos="360"/>
      </w:tabs>
    </w:pPr>
    <w:rPr>
      <w:sz w:val="24"/>
      <w:szCs w:val="24"/>
    </w:rPr>
  </w:style>
  <w:style w:type="paragraph" w:customStyle="1" w:styleId="85">
    <w:name w:val="Char1 Char Char Char"/>
    <w:basedOn w:val="1"/>
    <w:autoRedefine/>
    <w:qFormat/>
    <w:uiPriority w:val="99"/>
    <w:rPr>
      <w:rFonts w:ascii="Tahoma" w:hAnsi="Tahoma"/>
      <w:szCs w:val="24"/>
    </w:rPr>
  </w:style>
  <w:style w:type="paragraph" w:customStyle="1" w:styleId="86">
    <w:name w:val="1册标题2"/>
    <w:basedOn w:val="1"/>
    <w:next w:val="1"/>
    <w:autoRedefine/>
    <w:qFormat/>
    <w:uiPriority w:val="99"/>
    <w:pPr>
      <w:adjustRightInd w:val="0"/>
      <w:spacing w:beforeLines="50" w:afterLines="50" w:line="300" w:lineRule="auto"/>
      <w:jc w:val="center"/>
      <w:textAlignment w:val="baseline"/>
      <w:outlineLvl w:val="1"/>
    </w:pPr>
    <w:rPr>
      <w:rFonts w:ascii="Arial" w:hAnsi="Arial" w:eastAsia="黑体"/>
      <w:bCs/>
      <w:kern w:val="0"/>
      <w:sz w:val="32"/>
      <w:szCs w:val="24"/>
    </w:rPr>
  </w:style>
  <w:style w:type="paragraph" w:customStyle="1" w:styleId="87">
    <w:name w:val="Char Char Char Char1"/>
    <w:basedOn w:val="1"/>
    <w:autoRedefine/>
    <w:qFormat/>
    <w:uiPriority w:val="99"/>
    <w:pPr>
      <w:tabs>
        <w:tab w:val="left" w:pos="360"/>
      </w:tabs>
    </w:pPr>
    <w:rPr>
      <w:sz w:val="24"/>
      <w:szCs w:val="24"/>
    </w:rPr>
  </w:style>
  <w:style w:type="paragraph" w:customStyle="1" w:styleId="88">
    <w:name w:val="pa-11"/>
    <w:basedOn w:val="1"/>
    <w:autoRedefine/>
    <w:qFormat/>
    <w:uiPriority w:val="99"/>
    <w:pPr>
      <w:widowControl/>
      <w:spacing w:line="400" w:lineRule="atLeast"/>
      <w:jc w:val="center"/>
    </w:pPr>
    <w:rPr>
      <w:rFonts w:ascii="宋体" w:hAnsi="宋体" w:cs="宋体"/>
      <w:kern w:val="0"/>
      <w:sz w:val="24"/>
      <w:szCs w:val="24"/>
    </w:rPr>
  </w:style>
  <w:style w:type="paragraph" w:customStyle="1" w:styleId="89">
    <w:name w:val="正文基本样式"/>
    <w:basedOn w:val="1"/>
    <w:autoRedefine/>
    <w:qFormat/>
    <w:uiPriority w:val="99"/>
    <w:pPr>
      <w:spacing w:line="336" w:lineRule="auto"/>
      <w:ind w:firstLine="580"/>
    </w:pPr>
    <w:rPr>
      <w:rFonts w:eastAsia="仿宋_GB2312" w:cs="宋体"/>
      <w:sz w:val="28"/>
    </w:rPr>
  </w:style>
  <w:style w:type="character" w:customStyle="1" w:styleId="90">
    <w:name w:val="base"/>
    <w:basedOn w:val="39"/>
    <w:autoRedefine/>
    <w:qFormat/>
    <w:uiPriority w:val="99"/>
    <w:rPr>
      <w:rFonts w:cs="Times New Roman"/>
    </w:rPr>
  </w:style>
  <w:style w:type="character" w:customStyle="1" w:styleId="91">
    <w:name w:val="unnamed11"/>
    <w:basedOn w:val="39"/>
    <w:autoRedefine/>
    <w:qFormat/>
    <w:uiPriority w:val="99"/>
    <w:rPr>
      <w:rFonts w:cs="Times New Roman"/>
    </w:rPr>
  </w:style>
  <w:style w:type="character" w:customStyle="1" w:styleId="92">
    <w:name w:val="style4"/>
    <w:basedOn w:val="39"/>
    <w:autoRedefine/>
    <w:qFormat/>
    <w:uiPriority w:val="99"/>
    <w:rPr>
      <w:rFonts w:ascii="Arial" w:hAnsi="Arial" w:cs="Arial"/>
      <w:sz w:val="20"/>
      <w:szCs w:val="20"/>
    </w:rPr>
  </w:style>
  <w:style w:type="character" w:customStyle="1" w:styleId="93">
    <w:name w:val="Char Char3"/>
    <w:basedOn w:val="39"/>
    <w:autoRedefine/>
    <w:qFormat/>
    <w:uiPriority w:val="99"/>
    <w:rPr>
      <w:rFonts w:eastAsia="宋体" w:cs="Times New Roman"/>
      <w:kern w:val="2"/>
      <w:sz w:val="18"/>
      <w:lang w:val="en-US" w:eastAsia="zh-CN" w:bidi="ar-SA"/>
    </w:rPr>
  </w:style>
  <w:style w:type="character" w:customStyle="1" w:styleId="94">
    <w:name w:val="正文缩进 Char"/>
    <w:basedOn w:val="39"/>
    <w:link w:val="11"/>
    <w:autoRedefine/>
    <w:qFormat/>
    <w:locked/>
    <w:uiPriority w:val="0"/>
    <w:rPr>
      <w:rFonts w:ascii="Times New Roman" w:hAnsi="Times New Roman" w:eastAsia="宋体" w:cs="Times New Roman"/>
      <w:sz w:val="20"/>
      <w:szCs w:val="20"/>
    </w:rPr>
  </w:style>
  <w:style w:type="character" w:customStyle="1" w:styleId="95">
    <w:name w:val="hui3"/>
    <w:basedOn w:val="39"/>
    <w:autoRedefine/>
    <w:qFormat/>
    <w:uiPriority w:val="99"/>
    <w:rPr>
      <w:rFonts w:cs="Times New Roman"/>
      <w:color w:val="333333"/>
    </w:rPr>
  </w:style>
  <w:style w:type="paragraph" w:customStyle="1" w:styleId="96">
    <w:name w:val="List Paragraph1"/>
    <w:basedOn w:val="1"/>
    <w:autoRedefine/>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97">
    <w:name w:val="Blockquote Char Char"/>
    <w:link w:val="98"/>
    <w:autoRedefine/>
    <w:qFormat/>
    <w:locked/>
    <w:uiPriority w:val="99"/>
    <w:rPr>
      <w:sz w:val="24"/>
    </w:rPr>
  </w:style>
  <w:style w:type="paragraph" w:customStyle="1" w:styleId="98">
    <w:name w:val="Blockquote"/>
    <w:basedOn w:val="1"/>
    <w:link w:val="97"/>
    <w:autoRedefine/>
    <w:qFormat/>
    <w:uiPriority w:val="99"/>
    <w:pPr>
      <w:autoSpaceDE w:val="0"/>
      <w:autoSpaceDN w:val="0"/>
      <w:adjustRightInd w:val="0"/>
      <w:spacing w:before="100" w:after="100"/>
      <w:ind w:left="360" w:right="360"/>
      <w:jc w:val="left"/>
    </w:pPr>
    <w:rPr>
      <w:kern w:val="0"/>
      <w:sz w:val="24"/>
    </w:rPr>
  </w:style>
  <w:style w:type="character" w:customStyle="1" w:styleId="99">
    <w:name w:val="rili11"/>
    <w:autoRedefine/>
    <w:qFormat/>
    <w:uiPriority w:val="99"/>
    <w:rPr>
      <w:sz w:val="21"/>
    </w:rPr>
  </w:style>
  <w:style w:type="character" w:customStyle="1" w:styleId="100">
    <w:name w:val="Char Char Char Char Char Char Char Char Char"/>
    <w:autoRedefine/>
    <w:qFormat/>
    <w:uiPriority w:val="99"/>
    <w:rPr>
      <w:sz w:val="18"/>
    </w:rPr>
  </w:style>
  <w:style w:type="paragraph" w:customStyle="1" w:styleId="101">
    <w:name w:val="Char2"/>
    <w:basedOn w:val="1"/>
    <w:autoRedefine/>
    <w:qFormat/>
    <w:uiPriority w:val="99"/>
    <w:pPr>
      <w:widowControl/>
      <w:spacing w:after="160" w:line="240" w:lineRule="exact"/>
      <w:jc w:val="left"/>
    </w:pPr>
    <w:rPr>
      <w:szCs w:val="24"/>
    </w:rPr>
  </w:style>
  <w:style w:type="paragraph" w:customStyle="1" w:styleId="102">
    <w:name w:val="表格文字"/>
    <w:basedOn w:val="1"/>
    <w:autoRedefine/>
    <w:qFormat/>
    <w:uiPriority w:val="99"/>
    <w:pPr>
      <w:adjustRightInd w:val="0"/>
      <w:spacing w:line="420" w:lineRule="atLeast"/>
      <w:jc w:val="left"/>
      <w:textAlignment w:val="baseline"/>
    </w:pPr>
    <w:rPr>
      <w:kern w:val="0"/>
    </w:rPr>
  </w:style>
  <w:style w:type="paragraph" w:customStyle="1" w:styleId="103">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104">
    <w:name w:val="Char Char1"/>
    <w:basedOn w:val="1"/>
    <w:autoRedefine/>
    <w:qFormat/>
    <w:uiPriority w:val="99"/>
    <w:pPr>
      <w:adjustRightInd w:val="0"/>
      <w:spacing w:line="440" w:lineRule="exact"/>
    </w:pPr>
    <w:rPr>
      <w:rFonts w:ascii="宋体"/>
      <w:kern w:val="0"/>
      <w:sz w:val="28"/>
      <w:szCs w:val="27"/>
    </w:rPr>
  </w:style>
  <w:style w:type="paragraph" w:customStyle="1" w:styleId="105">
    <w:name w:val="Char Char1 Char Char Char Char Char Char Char Char Char Char Char Char Char"/>
    <w:basedOn w:val="1"/>
    <w:autoRedefine/>
    <w:qFormat/>
    <w:uiPriority w:val="99"/>
    <w:pPr>
      <w:widowControl/>
      <w:spacing w:after="160" w:line="240" w:lineRule="exact"/>
      <w:jc w:val="left"/>
    </w:pPr>
    <w:rPr>
      <w:rFonts w:ascii="Verdana" w:hAnsi="Verdana" w:eastAsia="仿宋_GB2312"/>
      <w:kern w:val="0"/>
      <w:sz w:val="24"/>
      <w:lang w:eastAsia="en-US"/>
    </w:rPr>
  </w:style>
  <w:style w:type="paragraph" w:customStyle="1" w:styleId="106">
    <w:name w:val="Char Char1 Char Char Char Char Char Char Char Char Char Char Char Char Char1"/>
    <w:basedOn w:val="1"/>
    <w:autoRedefine/>
    <w:qFormat/>
    <w:uiPriority w:val="99"/>
    <w:pPr>
      <w:widowControl/>
      <w:spacing w:after="160" w:line="240" w:lineRule="exact"/>
      <w:jc w:val="left"/>
    </w:pPr>
    <w:rPr>
      <w:rFonts w:ascii="Verdana" w:hAnsi="Verdana" w:eastAsia="仿宋_GB2312"/>
      <w:kern w:val="0"/>
      <w:sz w:val="24"/>
      <w:lang w:eastAsia="en-US"/>
    </w:rPr>
  </w:style>
  <w:style w:type="paragraph" w:customStyle="1" w:styleId="107">
    <w:name w:val="Char Char Char1"/>
    <w:basedOn w:val="1"/>
    <w:autoRedefine/>
    <w:qFormat/>
    <w:uiPriority w:val="99"/>
    <w:pPr>
      <w:widowControl/>
      <w:spacing w:after="160" w:line="240" w:lineRule="exact"/>
      <w:jc w:val="left"/>
    </w:pPr>
    <w:rPr>
      <w:szCs w:val="24"/>
    </w:rPr>
  </w:style>
  <w:style w:type="paragraph" w:customStyle="1" w:styleId="108">
    <w:name w:val="Char Char Char Char Char Char Char"/>
    <w:basedOn w:val="1"/>
    <w:autoRedefine/>
    <w:qFormat/>
    <w:uiPriority w:val="99"/>
    <w:rPr>
      <w:rFonts w:ascii="Tahoma" w:hAnsi="Tahoma"/>
      <w:sz w:val="24"/>
    </w:rPr>
  </w:style>
  <w:style w:type="paragraph" w:customStyle="1" w:styleId="109">
    <w:name w:val="Char Char Char Char Char Char Char1"/>
    <w:basedOn w:val="1"/>
    <w:autoRedefine/>
    <w:qFormat/>
    <w:uiPriority w:val="99"/>
    <w:rPr>
      <w:rFonts w:ascii="Tahoma" w:hAnsi="Tahoma"/>
      <w:sz w:val="24"/>
      <w:szCs w:val="24"/>
    </w:rPr>
  </w:style>
  <w:style w:type="paragraph" w:customStyle="1" w:styleId="110">
    <w:name w:val="目录"/>
    <w:basedOn w:val="1"/>
    <w:autoRedefine/>
    <w:qFormat/>
    <w:uiPriority w:val="99"/>
    <w:pPr>
      <w:widowControl/>
      <w:jc w:val="center"/>
    </w:pPr>
    <w:rPr>
      <w:rFonts w:ascii="宋体"/>
      <w:b/>
      <w:kern w:val="0"/>
      <w:sz w:val="36"/>
    </w:rPr>
  </w:style>
  <w:style w:type="paragraph" w:customStyle="1" w:styleId="111">
    <w:name w:val="Revision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12">
    <w:name w:val="Char Char Char Char2"/>
    <w:basedOn w:val="1"/>
    <w:autoRedefine/>
    <w:qFormat/>
    <w:uiPriority w:val="99"/>
    <w:pPr>
      <w:widowControl/>
      <w:spacing w:after="160" w:line="240" w:lineRule="exact"/>
      <w:jc w:val="left"/>
    </w:pPr>
    <w:rPr>
      <w:szCs w:val="24"/>
    </w:rPr>
  </w:style>
  <w:style w:type="paragraph" w:customStyle="1" w:styleId="113">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14">
    <w:name w:val="列出段落 Char"/>
    <w:link w:val="115"/>
    <w:autoRedefine/>
    <w:qFormat/>
    <w:uiPriority w:val="0"/>
    <w:rPr>
      <w:szCs w:val="24"/>
    </w:rPr>
  </w:style>
  <w:style w:type="paragraph" w:customStyle="1" w:styleId="115">
    <w:name w:val="List Paragraph"/>
    <w:basedOn w:val="1"/>
    <w:link w:val="114"/>
    <w:autoRedefine/>
    <w:qFormat/>
    <w:uiPriority w:val="0"/>
    <w:pPr>
      <w:ind w:firstLine="420" w:firstLineChars="200"/>
    </w:pPr>
    <w:rPr>
      <w:szCs w:val="24"/>
    </w:rPr>
  </w:style>
  <w:style w:type="paragraph" w:customStyle="1" w:styleId="116">
    <w:name w:val="表格"/>
    <w:basedOn w:val="1"/>
    <w:autoRedefine/>
    <w:qFormat/>
    <w:uiPriority w:val="0"/>
    <w:pPr>
      <w:spacing w:line="400" w:lineRule="exact"/>
    </w:pPr>
    <w:rPr>
      <w:sz w:val="24"/>
      <w:szCs w:val="24"/>
    </w:rPr>
  </w:style>
  <w:style w:type="character" w:customStyle="1" w:styleId="117">
    <w:name w:val="font51"/>
    <w:basedOn w:val="39"/>
    <w:autoRedefine/>
    <w:qFormat/>
    <w:uiPriority w:val="0"/>
    <w:rPr>
      <w:rFonts w:hint="eastAsia" w:ascii="宋体" w:hAnsi="宋体" w:eastAsia="宋体" w:cs="宋体"/>
      <w:color w:val="000000"/>
      <w:sz w:val="24"/>
      <w:szCs w:val="24"/>
    </w:rPr>
  </w:style>
  <w:style w:type="paragraph" w:customStyle="1" w:styleId="118">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19">
    <w:name w:val="font11"/>
    <w:basedOn w:val="39"/>
    <w:autoRedefine/>
    <w:qFormat/>
    <w:uiPriority w:val="0"/>
    <w:rPr>
      <w:rFonts w:hint="eastAsia" w:ascii="宋体" w:hAnsi="宋体" w:eastAsia="宋体" w:cs="宋体"/>
      <w:b/>
      <w:color w:val="FF0000"/>
      <w:sz w:val="20"/>
      <w:szCs w:val="20"/>
      <w:u w:val="none"/>
    </w:rPr>
  </w:style>
  <w:style w:type="character" w:customStyle="1" w:styleId="120">
    <w:name w:val="font21"/>
    <w:basedOn w:val="39"/>
    <w:autoRedefine/>
    <w:qFormat/>
    <w:uiPriority w:val="0"/>
    <w:rPr>
      <w:rFonts w:hint="eastAsia" w:ascii="宋体" w:hAnsi="宋体" w:eastAsia="宋体" w:cs="宋体"/>
      <w:color w:val="000000"/>
      <w:sz w:val="20"/>
      <w:szCs w:val="20"/>
      <w:u w:val="none"/>
    </w:rPr>
  </w:style>
  <w:style w:type="character" w:customStyle="1" w:styleId="121">
    <w:name w:val="font01"/>
    <w:basedOn w:val="39"/>
    <w:autoRedefine/>
    <w:qFormat/>
    <w:uiPriority w:val="0"/>
    <w:rPr>
      <w:rFonts w:hint="eastAsia" w:ascii="宋体" w:hAnsi="宋体" w:eastAsia="宋体" w:cs="宋体"/>
      <w:b/>
      <w:color w:val="000000"/>
      <w:sz w:val="20"/>
      <w:szCs w:val="20"/>
      <w:u w:val="none"/>
    </w:rPr>
  </w:style>
  <w:style w:type="paragraph" w:customStyle="1" w:styleId="122">
    <w:name w:val="样式 首行缩进:  2 字符"/>
    <w:basedOn w:val="1"/>
    <w:autoRedefine/>
    <w:qFormat/>
    <w:uiPriority w:val="0"/>
    <w:pPr>
      <w:spacing w:line="400" w:lineRule="exact"/>
      <w:ind w:firstLine="200" w:firstLineChars="200"/>
    </w:pPr>
    <w:rPr>
      <w:rFonts w:cs="宋体"/>
      <w:sz w:val="24"/>
    </w:rPr>
  </w:style>
  <w:style w:type="character" w:customStyle="1" w:styleId="123">
    <w:name w:val="font41"/>
    <w:basedOn w:val="39"/>
    <w:autoRedefine/>
    <w:qFormat/>
    <w:uiPriority w:val="0"/>
    <w:rPr>
      <w:rFonts w:hint="default" w:ascii="等线" w:hAnsi="等线" w:eastAsia="等线" w:cs="等线"/>
      <w:color w:val="000000"/>
      <w:sz w:val="22"/>
      <w:szCs w:val="22"/>
      <w:u w:val="none"/>
    </w:rPr>
  </w:style>
  <w:style w:type="paragraph" w:customStyle="1" w:styleId="124">
    <w:name w:val="title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25">
    <w:name w:val="p15"/>
    <w:basedOn w:val="1"/>
    <w:autoRedefine/>
    <w:qFormat/>
    <w:uiPriority w:val="0"/>
    <w:pPr>
      <w:widowControl/>
      <w:spacing w:line="360" w:lineRule="auto"/>
      <w:jc w:val="left"/>
    </w:pPr>
    <w:rPr>
      <w:kern w:val="0"/>
      <w:sz w:val="24"/>
    </w:rPr>
  </w:style>
  <w:style w:type="character" w:customStyle="1" w:styleId="126">
    <w:name w:val="NormalCharacter"/>
    <w:link w:val="127"/>
    <w:autoRedefine/>
    <w:semiHidden/>
    <w:qFormat/>
    <w:locked/>
    <w:uiPriority w:val="99"/>
    <w:rPr>
      <w:kern w:val="0"/>
      <w:sz w:val="24"/>
      <w:szCs w:val="20"/>
    </w:rPr>
  </w:style>
  <w:style w:type="paragraph" w:customStyle="1" w:styleId="127">
    <w:name w:val="UserStyle_85"/>
    <w:basedOn w:val="1"/>
    <w:link w:val="126"/>
    <w:autoRedefine/>
    <w:qFormat/>
    <w:uiPriority w:val="99"/>
    <w:pPr>
      <w:spacing w:after="160" w:line="240" w:lineRule="exact"/>
    </w:pPr>
    <w:rPr>
      <w:kern w:val="0"/>
      <w:sz w:val="24"/>
      <w:szCs w:val="20"/>
    </w:rPr>
  </w:style>
  <w:style w:type="paragraph" w:customStyle="1" w:styleId="128">
    <w:name w:val="Normal_36_0"/>
    <w:autoRedefine/>
    <w:qFormat/>
    <w:uiPriority w:val="99"/>
    <w:pPr>
      <w:spacing w:before="120" w:after="240"/>
      <w:jc w:val="both"/>
    </w:pPr>
    <w:rPr>
      <w:rFonts w:ascii="Calibri" w:hAnsi="Calibri" w:eastAsia="宋体" w:cs="Times New Roman"/>
      <w:sz w:val="22"/>
      <w:szCs w:val="22"/>
      <w:lang w:val="en-US" w:eastAsia="en-US" w:bidi="ar-SA"/>
    </w:rPr>
  </w:style>
  <w:style w:type="paragraph" w:customStyle="1" w:styleId="129">
    <w:name w:val="Normal_37_0"/>
    <w:autoRedefine/>
    <w:qFormat/>
    <w:uiPriority w:val="99"/>
    <w:pPr>
      <w:spacing w:before="120" w:after="240"/>
      <w:jc w:val="both"/>
    </w:pPr>
    <w:rPr>
      <w:rFonts w:ascii="Calibri" w:hAnsi="Calibri" w:eastAsia="宋体" w:cs="Times New Roman"/>
      <w:sz w:val="22"/>
      <w:szCs w:val="22"/>
      <w:lang w:val="en-US" w:eastAsia="en-US" w:bidi="ar-SA"/>
    </w:rPr>
  </w:style>
  <w:style w:type="paragraph" w:customStyle="1" w:styleId="130">
    <w:name w:val="标书正文"/>
    <w:basedOn w:val="1"/>
    <w:autoRedefine/>
    <w:qFormat/>
    <w:uiPriority w:val="0"/>
    <w:pPr>
      <w:tabs>
        <w:tab w:val="left" w:pos="600"/>
      </w:tabs>
      <w:snapToGrid w:val="0"/>
      <w:spacing w:line="480" w:lineRule="atLeast"/>
      <w:jc w:val="center"/>
    </w:pPr>
    <w:rPr>
      <w:rFonts w:eastAsia="黑体"/>
      <w:b/>
      <w:sz w:val="30"/>
      <w:szCs w:val="20"/>
    </w:rPr>
  </w:style>
  <w:style w:type="paragraph" w:customStyle="1" w:styleId="131">
    <w:name w:val="表注1"/>
    <w:basedOn w:val="1"/>
    <w:autoRedefine/>
    <w:qFormat/>
    <w:uiPriority w:val="0"/>
    <w:pPr>
      <w:adjustRightInd w:val="0"/>
      <w:snapToGrid w:val="0"/>
      <w:spacing w:before="156" w:beforeLines="50" w:line="300" w:lineRule="auto"/>
      <w:ind w:left="350" w:hanging="350" w:hangingChars="350"/>
    </w:pPr>
    <w:rPr>
      <w:rFonts w:eastAsia="仿宋_GB2312"/>
      <w:bCs/>
      <w:color w:val="000000"/>
      <w:szCs w:val="24"/>
    </w:rPr>
  </w:style>
  <w:style w:type="character" w:customStyle="1" w:styleId="132">
    <w:name w:val="phone"/>
    <w:basedOn w:val="39"/>
    <w:autoRedefine/>
    <w:qFormat/>
    <w:uiPriority w:val="0"/>
    <w:rPr>
      <w:color w:val="FF8833"/>
      <w:sz w:val="18"/>
      <w:szCs w:val="18"/>
    </w:rPr>
  </w:style>
  <w:style w:type="character" w:customStyle="1" w:styleId="133">
    <w:name w:val="proollist"/>
    <w:basedOn w:val="39"/>
    <w:autoRedefine/>
    <w:qFormat/>
    <w:uiPriority w:val="0"/>
  </w:style>
  <w:style w:type="character" w:customStyle="1" w:styleId="134">
    <w:name w:val="number"/>
    <w:basedOn w:val="39"/>
    <w:autoRedefine/>
    <w:qFormat/>
    <w:uiPriority w:val="0"/>
    <w:rPr>
      <w:color w:val="FF8833"/>
      <w:sz w:val="18"/>
      <w:szCs w:val="18"/>
    </w:rPr>
  </w:style>
  <w:style w:type="character" w:customStyle="1" w:styleId="135">
    <w:name w:val="stclosebtn"/>
    <w:basedOn w:val="39"/>
    <w:autoRedefine/>
    <w:qFormat/>
    <w:uiPriority w:val="0"/>
  </w:style>
  <w:style w:type="character" w:customStyle="1" w:styleId="136">
    <w:name w:val="beforeinfotext"/>
    <w:basedOn w:val="39"/>
    <w:autoRedefine/>
    <w:qFormat/>
    <w:uiPriority w:val="0"/>
    <w:rPr>
      <w:color w:val="666666"/>
    </w:rPr>
  </w:style>
  <w:style w:type="paragraph" w:customStyle="1" w:styleId="137">
    <w:name w:val="样式 标题 3 + (中文) 黑体 小四 非加粗 段前: 7.8 磅 段后: 0 磅 行距: 固定值 20 磅"/>
    <w:basedOn w:val="4"/>
    <w:autoRedefine/>
    <w:qFormat/>
    <w:uiPriority w:val="0"/>
    <w:pPr>
      <w:spacing w:before="0" w:after="0" w:line="400" w:lineRule="exact"/>
    </w:pPr>
    <w:rPr>
      <w:rFonts w:eastAsia="黑体" w:cs="宋体"/>
      <w:sz w:val="24"/>
      <w:szCs w:val="20"/>
    </w:rPr>
  </w:style>
  <w:style w:type="paragraph" w:customStyle="1" w:styleId="138">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无间隔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0">
    <w:name w:val="a"/>
    <w:basedOn w:val="1"/>
    <w:autoRedefine/>
    <w:qFormat/>
    <w:uiPriority w:val="0"/>
    <w:pPr>
      <w:widowControl/>
      <w:spacing w:before="100" w:beforeAutospacing="1" w:after="100" w:afterAutospacing="1"/>
      <w:jc w:val="left"/>
    </w:pPr>
    <w:rPr>
      <w:rFonts w:ascii="宋体" w:cs="宋体"/>
      <w:kern w:val="0"/>
    </w:rPr>
  </w:style>
  <w:style w:type="paragraph" w:customStyle="1" w:styleId="141">
    <w:name w:val="a0"/>
    <w:basedOn w:val="1"/>
    <w:autoRedefine/>
    <w:qFormat/>
    <w:uiPriority w:val="0"/>
    <w:pPr>
      <w:widowControl/>
      <w:spacing w:before="100" w:beforeAutospacing="1" w:after="100" w:afterAutospacing="1"/>
      <w:jc w:val="left"/>
    </w:pPr>
    <w:rPr>
      <w:rFonts w:ascii="宋体" w:cs="宋体"/>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DA8C56-56B8-4650-81B4-34FD7A2E23D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93</Pages>
  <Words>39072</Words>
  <Characters>41777</Characters>
  <Lines>257</Lines>
  <Paragraphs>72</Paragraphs>
  <TotalTime>214</TotalTime>
  <ScaleCrop>false</ScaleCrop>
  <LinksUpToDate>false</LinksUpToDate>
  <CharactersWithSpaces>43574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2017-10-30T07:32:00Z</dcterms:created>
  <dc:creator>Administrator</dc:creator>
  <cp:lastModifiedBy>Lulu^</cp:lastModifiedBy>
  <cp:lastPrinted>2025-09-18T07:53:00Z</cp:lastPrinted>
  <dcterms:modified xsi:type="dcterms:W3CDTF">2025-09-23T07:51:19Z</dcterms:modified>
  <dc:title>_                                    招标编号：ZD0814-013Z</dc:title>
  <cp:revision>340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4D3247C741154AF4816AA7A8525A8A4E_13</vt:lpwstr>
  </property>
  <property fmtid="{D5CDD505-2E9C-101B-9397-08002B2CF9AE}" pid="4" name="KSOTemplateDocerSaveRecord">
    <vt:lpwstr>eyJoZGlkIjoiN2YwNDUyN2NiYzUyYzU4NWM4YzZlNWQwMzJhMzEzYmYiLCJ1c2VySWQiOiI5MjQ1OTQ4MjcifQ==</vt:lpwstr>
  </property>
</Properties>
</file>