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1364"/>
      <w:bookmarkStart w:id="1" w:name="_Toc27312"/>
      <w:r>
        <w:rPr>
          <w:rFonts w:hint="eastAsia" w:ascii="宋体" w:hAnsi="宋体" w:cs="宋体"/>
          <w:b/>
          <w:bCs/>
          <w:i w:val="0"/>
          <w:iCs w:val="0"/>
          <w:caps w:val="0"/>
          <w:color w:val="auto"/>
          <w:spacing w:val="0"/>
          <w:sz w:val="24"/>
          <w:szCs w:val="24"/>
          <w:shd w:val="clear" w:fill="FFFFFF"/>
          <w:vertAlign w:val="baseline"/>
          <w:lang w:eastAsia="zh-CN"/>
        </w:rPr>
        <w:t>府谷县机关事业单位已交楼未进行消防验收办公用房消防提升改造项目（庙沟门镇政府办公楼）</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bookmarkEnd w:id="1"/>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府谷县机关事业单位已交楼未进行消防验收办公用房消防提升改造项目（庙沟门镇政府办公楼）</w:t>
      </w: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lang w:eastAsia="zh-CN"/>
        </w:rPr>
        <w:t>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20</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740838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HJLZB-2025-69</w:t>
      </w:r>
    </w:p>
    <w:p w14:paraId="1F0D1B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 xml:space="preserve">府谷县机关事业单位已交楼未进行消防验收办公用房消防提升改造项目（庙沟门镇政府办公楼）  </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2156957.00</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府谷县机关事业单位已交楼未进行消防验收办公用房消防提升改造项目（庙沟门镇政府办公楼）</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2156957.00</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2156957.00</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2"/>
        <w:gridCol w:w="1100"/>
        <w:gridCol w:w="2188"/>
        <w:gridCol w:w="892"/>
        <w:gridCol w:w="1675"/>
        <w:gridCol w:w="1510"/>
        <w:gridCol w:w="1510"/>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5821B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消防工程和安防工程</w:t>
            </w:r>
          </w:p>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p>
        </w:tc>
        <w:tc>
          <w:tcPr>
            <w:tcW w:w="2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府谷县机关事业单位已交楼未进行消防验收办公用房消防提升改造项目（庙沟门镇政府办公楼）  </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2156957.00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2156957.00</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60日历天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府谷县机关事业单位已交楼未进行消防验收办公用房消防提升改造项目（庙沟门镇政府办公楼）</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府谷县机关事业单位已交楼未进行消防验收办公用房消防提升改造项目（庙沟门镇政府办公楼）</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建筑工程施工总承包三级</w:t>
      </w:r>
      <w:r>
        <w:rPr>
          <w:rFonts w:hint="eastAsia" w:ascii="宋体" w:hAnsi="宋体" w:eastAsia="宋体" w:cs="宋体"/>
          <w:color w:val="auto"/>
          <w:sz w:val="24"/>
          <w:szCs w:val="24"/>
          <w:highlight w:val="none"/>
          <w:lang w:val="en-US" w:eastAsia="zh-CN"/>
        </w:rPr>
        <w:t>及其以上资质的独立企业法人，并具备有效的安全生产许可证，并在人员、设备、资金等方面有相应的施工能力。</w:t>
      </w:r>
    </w:p>
    <w:p w14:paraId="5B4179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3、拟派往本工程项目负责人需具备建筑工程专业二级及以上注册建造师注册证书和有效的安全生产考核合格证书（建安B证），且未担任其他在建工程项目的项目负责人、身份证复印件。</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日至2025年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15</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20</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陕西省府谷县新区高家湾世纪花园三楼</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20</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陕西省府谷县新区高家湾世纪花园三楼</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日至2025年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15</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1.采购人信息</w:t>
      </w:r>
    </w:p>
    <w:p w14:paraId="5AAC9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名称：府谷县庙沟门镇人民政府</w:t>
      </w:r>
    </w:p>
    <w:p w14:paraId="654C1D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lang w:val="en-US" w:eastAsia="zh-CN" w:bidi="ar"/>
        </w:rPr>
      </w:pPr>
      <w:r>
        <w:rPr>
          <w:rFonts w:hint="eastAsia" w:ascii="宋体" w:hAnsi="宋体" w:eastAsia="宋体" w:cs="宋体"/>
          <w:i w:val="0"/>
          <w:caps w:val="0"/>
          <w:color w:val="auto"/>
          <w:spacing w:val="0"/>
          <w:kern w:val="0"/>
          <w:sz w:val="22"/>
          <w:szCs w:val="22"/>
          <w:shd w:val="clear" w:color="auto" w:fill="FFFFFF"/>
          <w:lang w:val="en-US" w:eastAsia="zh-CN" w:bidi="ar"/>
        </w:rPr>
        <w:t>地址：府谷县庙沟门镇庙沟门村一道街</w:t>
      </w:r>
    </w:p>
    <w:p w14:paraId="31C499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联系方式：15353387786</w:t>
      </w:r>
    </w:p>
    <w:p w14:paraId="142F4F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2.采购代理机构信息</w:t>
      </w:r>
    </w:p>
    <w:p w14:paraId="230A30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名称：华建联（陕西）招标代理有限公司</w:t>
      </w:r>
    </w:p>
    <w:p w14:paraId="641303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地址：陕西省府谷县新区高家湾世纪花园三楼</w:t>
      </w:r>
    </w:p>
    <w:p w14:paraId="5BB716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3.项目联系方式</w:t>
      </w:r>
    </w:p>
    <w:p w14:paraId="7DFD9C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lang w:val="en-US" w:eastAsia="zh-CN" w:bidi="ar"/>
        </w:rPr>
      </w:pPr>
      <w:r>
        <w:rPr>
          <w:rFonts w:hint="eastAsia" w:ascii="宋体" w:hAnsi="宋体" w:eastAsia="宋体" w:cs="宋体"/>
          <w:i w:val="0"/>
          <w:caps w:val="0"/>
          <w:color w:val="auto"/>
          <w:spacing w:val="0"/>
          <w:kern w:val="0"/>
          <w:sz w:val="22"/>
          <w:szCs w:val="22"/>
          <w:shd w:val="clear" w:color="auto" w:fill="FFFFFF"/>
          <w:lang w:val="en-US" w:eastAsia="zh-CN" w:bidi="ar"/>
        </w:rPr>
        <w:t>项目联系人：马工</w:t>
      </w:r>
    </w:p>
    <w:p w14:paraId="6F421C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电话：19929136686</w:t>
      </w:r>
    </w:p>
    <w:p w14:paraId="269B4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p>
    <w:p w14:paraId="65EB3AD9">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22FDD"/>
    <w:rsid w:val="5E122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6">
    <w:name w:val="Plain Text"/>
    <w:basedOn w:val="1"/>
    <w:next w:val="1"/>
    <w:qFormat/>
    <w:uiPriority w:val="0"/>
    <w:rPr>
      <w:rFonts w:ascii="宋体" w:hAnsi="Courier New"/>
      <w:szCs w:val="21"/>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spacing w:beforeAutospacing="1" w:afterAutospacing="1"/>
      <w:jc w:val="left"/>
    </w:pPr>
    <w:rPr>
      <w:rFonts w:cs="Times New Roman"/>
      <w:kern w:val="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2025-10-09T06:00:00Z</dcterms:created>
  <dc:creator>那条逆流而上的鱼</dc:creator>
  <cp:lastModifiedBy>那条逆流而上的鱼</cp:lastModifiedBy>
  <dcterms:modified xsi:type="dcterms:W3CDTF">2025-10-09T06:00:44Z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A2807C0764B74C52AE2DF76BDE57CC0B_11</vt:lpwstr>
  </property>
  <property fmtid="{D5CDD505-2E9C-101B-9397-08002B2CF9AE}" pid="4" name="KSOTemplateDocerSaveRecord">
    <vt:lpwstr>eyJoZGlkIjoiNjRlNmFlM2YzOTgxZjNhMDIyNTc3YTY3NGI5N2JiNTkiLCJ1c2VySWQiOiI2NDUxNjkyOTIifQ==</vt:lpwstr>
  </property>
</Properties>
</file>