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D0167">
      <w:pPr>
        <w:pStyle w:val="5"/>
        <w:spacing w:line="360" w:lineRule="auto"/>
        <w:outlineLvl w:val="0"/>
      </w:pPr>
      <w:r>
        <w:rPr>
          <w:rFonts w:ascii="宋体" w:hAnsi="宋体" w:eastAsia="宋体" w:cs="宋体"/>
          <w:b/>
          <w:sz w:val="44"/>
        </w:rPr>
        <w:t>服务内容及要求</w:t>
      </w:r>
    </w:p>
    <w:p w14:paraId="749DCC27">
      <w:pPr>
        <w:pStyle w:val="5"/>
        <w:spacing w:line="360" w:lineRule="auto"/>
        <w:ind w:firstLine="480"/>
        <w:jc w:val="both"/>
      </w:pPr>
      <w:r>
        <w:rPr>
          <w:rFonts w:ascii="宋体" w:hAnsi="宋体" w:eastAsia="宋体" w:cs="宋体"/>
          <w:sz w:val="24"/>
        </w:rPr>
        <w:t>一</w:t>
      </w:r>
      <w:r>
        <w:rPr>
          <w:rFonts w:hint="eastAsia" w:ascii="宋体" w:hAnsi="宋体" w:eastAsia="宋体" w:cs="宋体"/>
          <w:sz w:val="24"/>
          <w:lang w:eastAsia="zh-CN"/>
        </w:rPr>
        <w:t>、</w:t>
      </w:r>
      <w:r>
        <w:rPr>
          <w:rFonts w:ascii="宋体" w:hAnsi="宋体" w:eastAsia="宋体" w:cs="宋体"/>
          <w:sz w:val="24"/>
        </w:rPr>
        <w:t>采购内容</w:t>
      </w:r>
    </w:p>
    <w:p w14:paraId="4ED07FC8">
      <w:pPr>
        <w:pStyle w:val="5"/>
        <w:spacing w:line="360" w:lineRule="auto"/>
        <w:ind w:firstLine="480"/>
        <w:jc w:val="both"/>
      </w:pPr>
      <w:r>
        <w:rPr>
          <w:rFonts w:ascii="宋体" w:hAnsi="宋体" w:eastAsia="宋体" w:cs="宋体"/>
          <w:sz w:val="24"/>
        </w:rPr>
        <w:t>临潼区农产品质量安全种植业定量检测及标准化项目，根据《农产品质量安全法》《农产品质量安全监测管理办法》规定，我区组织对全区主要种植业产品开展农产品农药残留定量检测，为确保高质量完成全年监测任务。为了掌握农产品质量安全状况和开展农产品质量安全风险评估，系统和持续地对影响农产品质量安全的有害因素进行检验、分析和评价的活动。</w:t>
      </w:r>
    </w:p>
    <w:p w14:paraId="563B7F0E">
      <w:pPr>
        <w:pStyle w:val="5"/>
        <w:spacing w:line="360" w:lineRule="auto"/>
        <w:ind w:firstLine="480"/>
        <w:jc w:val="both"/>
      </w:pPr>
      <w:r>
        <w:rPr>
          <w:rFonts w:ascii="宋体" w:hAnsi="宋体" w:eastAsia="宋体" w:cs="宋体"/>
          <w:sz w:val="24"/>
        </w:rPr>
        <w:t>二、服务要求</w:t>
      </w:r>
    </w:p>
    <w:p w14:paraId="7D77A0C2">
      <w:pPr>
        <w:pStyle w:val="5"/>
        <w:spacing w:line="360" w:lineRule="auto"/>
        <w:ind w:firstLine="480"/>
        <w:jc w:val="both"/>
      </w:pPr>
      <w:r>
        <w:rPr>
          <w:rFonts w:ascii="宋体" w:hAnsi="宋体" w:eastAsia="宋体" w:cs="宋体"/>
          <w:sz w:val="24"/>
        </w:rPr>
        <w:t>要求具备资质证书的检测机构在服务期内、在甲方指定的工作范围对指定的产品按照规定的检测参数和方法，按照甲方采购需求出具结果报告并具有满足抽样和保持原始记录的条件和场所。</w:t>
      </w:r>
    </w:p>
    <w:p w14:paraId="70A2492F">
      <w:pPr>
        <w:pStyle w:val="5"/>
        <w:spacing w:line="360" w:lineRule="auto"/>
        <w:ind w:firstLine="480"/>
        <w:jc w:val="both"/>
      </w:pPr>
      <w:r>
        <w:rPr>
          <w:rFonts w:ascii="宋体" w:hAnsi="宋体" w:eastAsia="宋体" w:cs="宋体"/>
          <w:sz w:val="24"/>
        </w:rPr>
        <w:t>1、工作范围</w:t>
      </w:r>
    </w:p>
    <w:p w14:paraId="3C9F218D">
      <w:pPr>
        <w:pStyle w:val="5"/>
        <w:spacing w:line="360" w:lineRule="auto"/>
        <w:ind w:firstLine="480"/>
        <w:jc w:val="both"/>
      </w:pPr>
      <w:r>
        <w:rPr>
          <w:rFonts w:ascii="宋体" w:hAnsi="宋体" w:eastAsia="宋体" w:cs="宋体"/>
          <w:sz w:val="24"/>
        </w:rPr>
        <w:t>（一）区域范围、数量及分包情况</w:t>
      </w:r>
    </w:p>
    <w:p w14:paraId="72DDB59D">
      <w:pPr>
        <w:pStyle w:val="5"/>
        <w:spacing w:line="360" w:lineRule="auto"/>
        <w:ind w:firstLine="480"/>
        <w:jc w:val="both"/>
      </w:pPr>
      <w:r>
        <w:rPr>
          <w:rFonts w:ascii="宋体" w:hAnsi="宋体" w:eastAsia="宋体" w:cs="宋体"/>
          <w:sz w:val="24"/>
        </w:rPr>
        <w:t>临潼区辖区内种植品，共抽检</w:t>
      </w:r>
      <w:r>
        <w:rPr>
          <w:rFonts w:hint="eastAsia" w:ascii="宋体" w:hAnsi="宋体" w:eastAsia="宋体" w:cs="宋体"/>
          <w:sz w:val="24"/>
          <w:lang w:val="en-US" w:eastAsia="zh-CN"/>
        </w:rPr>
        <w:t>451</w:t>
      </w:r>
      <w:r>
        <w:rPr>
          <w:rFonts w:ascii="宋体" w:hAnsi="宋体" w:eastAsia="宋体" w:cs="宋体"/>
          <w:sz w:val="24"/>
        </w:rPr>
        <w:t>批次农产品。</w:t>
      </w:r>
    </w:p>
    <w:p w14:paraId="2478C551">
      <w:pPr>
        <w:pStyle w:val="5"/>
        <w:spacing w:line="360" w:lineRule="auto"/>
        <w:ind w:firstLine="480"/>
        <w:jc w:val="both"/>
        <w:rPr>
          <w:rFonts w:hint="eastAsia" w:ascii="宋体" w:hAnsi="宋体" w:eastAsia="宋体" w:cs="宋体"/>
          <w:sz w:val="24"/>
          <w:lang w:val="en-US" w:eastAsia="zh-CN"/>
        </w:rPr>
      </w:pPr>
      <w:r>
        <w:rPr>
          <w:rFonts w:ascii="宋体" w:hAnsi="宋体" w:eastAsia="宋体" w:cs="宋体"/>
          <w:sz w:val="24"/>
        </w:rPr>
        <w:t>（二）产品</w:t>
      </w:r>
      <w:r>
        <w:rPr>
          <w:rFonts w:hint="eastAsia" w:ascii="宋体" w:hAnsi="宋体" w:eastAsia="宋体" w:cs="宋体"/>
          <w:sz w:val="24"/>
          <w:lang w:val="en-US" w:eastAsia="zh-CN"/>
        </w:rPr>
        <w:t>种类</w:t>
      </w:r>
    </w:p>
    <w:p w14:paraId="51664E51">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1）蔬菜：依据我市农产品目录清单，重点监测生产环节的芹菜、菠菜、叶用莴苣、芫荽、茼蒿、普通白菜、大白菜、蕹菜、花椰菜、甘蓝、青花菜、菜薹、黄瓜、苦瓜、丝瓜、西葫芦、辣椒、番茄、茄子、豇豆、菜豆、食荚豌豆、蚕豆、扁豆、韭菜、大葱、细香葱、洋葱、大蒜、莲藕、茭白、萝卜、胡萝卜、马铃薯、山药、甘薯、生姜、黄花菜、芦笋、香椿、南瓜、冬瓜、蒜苗、芋、芥菜、茎用莴苣等品种。</w:t>
      </w:r>
    </w:p>
    <w:p w14:paraId="46457DC1">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2）水 果：重点监测猕猴桃、草莓、樱桃、葡萄、西瓜、石榴、甜瓜、柿子、李、杏、梨、桃、枣等我市特色或小宗品种。</w:t>
      </w:r>
    </w:p>
    <w:p w14:paraId="76002036">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3）食用菌：重点监测香菇、平菇、双孢蘑菇、金针菇、秀珍菇、黑木耳（含毛木耳）、银耳、茶树菇、杏鲍菇、草菇等品种，均为鲜品。</w:t>
      </w:r>
    </w:p>
    <w:p w14:paraId="79063DF9">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4）专项监测品种：芹菜、桃、猕猴桃，葡萄。</w:t>
      </w:r>
    </w:p>
    <w:p w14:paraId="7B143F9F">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2、抽样及检测要求</w:t>
      </w:r>
    </w:p>
    <w:p w14:paraId="080FE772">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（一）抽样要求</w:t>
      </w:r>
    </w:p>
    <w:p w14:paraId="5C1B3980">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应有满足农产品抽样的专用车辆和不少于2个的专业抽样人员，严格按照NY/T 789-2004《农药残留分析样本的采样方法》执行，确保当天完成抽样并到达实验室，抽样时应采集现场影像等信息并记录，并有能力保障样品在储存、运输过程有效防护，样品确保可追溯。样品制备三份（检测样、备份样、复检样），每份300-400克。</w:t>
      </w:r>
    </w:p>
    <w:p w14:paraId="1F8BEB6A">
      <w:pPr>
        <w:pStyle w:val="5"/>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（二）检测参数、方法及判定依据</w:t>
      </w:r>
    </w:p>
    <w:p w14:paraId="7052038E">
      <w:pPr>
        <w:pStyle w:val="5"/>
        <w:spacing w:line="360" w:lineRule="auto"/>
        <w:ind w:firstLine="480"/>
        <w:jc w:val="both"/>
        <w:rPr>
          <w:rFonts w:hint="default" w:ascii="宋体" w:hAnsi="宋体" w:eastAsia="宋体" w:cs="宋体"/>
          <w:sz w:val="24"/>
          <w:lang w:val="en-US" w:eastAsia="zh-CN"/>
        </w:rPr>
      </w:pPr>
      <w:r>
        <w:rPr>
          <w:rFonts w:hint="eastAsia" w:ascii="宋体" w:hAnsi="宋体" w:eastAsia="宋体" w:cs="宋体"/>
          <w:sz w:val="24"/>
          <w:lang w:val="en-US" w:eastAsia="zh-CN"/>
        </w:rPr>
        <w:t>检测参数和检测方法严格按下表要求进行，每批次共检测70种农药参数，选择对应合适的检测方法。</w:t>
      </w:r>
    </w:p>
    <w:p w14:paraId="2E68FEC4">
      <w:pPr>
        <w:numPr>
          <w:ilvl w:val="0"/>
          <w:numId w:val="0"/>
        </w:numPr>
        <w:snapToGrid w:val="0"/>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蔬菜、食用菌、水果应检参数及判定依据</w:t>
      </w:r>
    </w:p>
    <w:tbl>
      <w:tblPr>
        <w:tblStyle w:val="3"/>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860"/>
        <w:gridCol w:w="2550"/>
      </w:tblGrid>
      <w:tr w14:paraId="50B4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64" w:type="dxa"/>
            <w:vAlign w:val="center"/>
          </w:tcPr>
          <w:p w14:paraId="79A152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农药类别</w:t>
            </w:r>
          </w:p>
        </w:tc>
        <w:tc>
          <w:tcPr>
            <w:tcW w:w="4860" w:type="dxa"/>
            <w:vAlign w:val="center"/>
          </w:tcPr>
          <w:p w14:paraId="132D78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监测参数</w:t>
            </w:r>
          </w:p>
        </w:tc>
        <w:tc>
          <w:tcPr>
            <w:tcW w:w="2550" w:type="dxa"/>
            <w:vAlign w:val="center"/>
          </w:tcPr>
          <w:p w14:paraId="2423A4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检测方法</w:t>
            </w:r>
          </w:p>
        </w:tc>
      </w:tr>
      <w:tr w14:paraId="31C3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264" w:type="dxa"/>
            <w:vAlign w:val="center"/>
          </w:tcPr>
          <w:p w14:paraId="7F880B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禁用农药</w:t>
            </w:r>
            <w:r>
              <w:rPr>
                <w:rFonts w:hint="eastAsia" w:ascii="宋体" w:hAnsi="宋体" w:cs="宋体"/>
                <w:sz w:val="24"/>
                <w:szCs w:val="24"/>
                <w:vertAlign w:val="baseline"/>
                <w:lang w:val="en-US" w:eastAsia="zh-CN"/>
              </w:rPr>
              <w:t>（14种）</w:t>
            </w:r>
          </w:p>
        </w:tc>
        <w:tc>
          <w:tcPr>
            <w:tcW w:w="4860" w:type="dxa"/>
            <w:vAlign w:val="center"/>
          </w:tcPr>
          <w:p w14:paraId="625C93EE">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甲胺磷、对硫磷、甲基对硫磷、六六六、三氯杀螨醇、甲拌磷、水胺硫磷、甲基异柳磷；氧乐果、克百威（包括 3-羟基克百威)、</w:t>
            </w:r>
          </w:p>
          <w:p w14:paraId="1819065E">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涕灭威（包括涕灭威砜和涕灭威亚砜）、灭多威（2026 年 6 月 1 日起禁止使用）、灭线磷、杀扑磷</w:t>
            </w:r>
          </w:p>
        </w:tc>
        <w:tc>
          <w:tcPr>
            <w:tcW w:w="2550" w:type="dxa"/>
            <w:vMerge w:val="restart"/>
            <w:vAlign w:val="center"/>
          </w:tcPr>
          <w:p w14:paraId="5B193B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按GB/T 20769</w:t>
            </w:r>
          </w:p>
          <w:p w14:paraId="494D55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或GB 23200.113</w:t>
            </w:r>
          </w:p>
          <w:p w14:paraId="49A447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或GB 23200.121</w:t>
            </w:r>
          </w:p>
          <w:p w14:paraId="34FB77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或GB 23200.8</w:t>
            </w:r>
          </w:p>
          <w:p w14:paraId="792E6C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或NY/T 761 进行检测</w:t>
            </w:r>
          </w:p>
        </w:tc>
      </w:tr>
      <w:tr w14:paraId="6754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Align w:val="center"/>
          </w:tcPr>
          <w:p w14:paraId="2602B6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限用农药</w:t>
            </w:r>
            <w:r>
              <w:rPr>
                <w:rFonts w:hint="eastAsia" w:ascii="宋体" w:hAnsi="宋体" w:cs="宋体"/>
                <w:sz w:val="24"/>
                <w:szCs w:val="24"/>
                <w:vertAlign w:val="baseline"/>
                <w:lang w:val="en-US" w:eastAsia="zh-CN"/>
              </w:rPr>
              <w:t>（5种）</w:t>
            </w:r>
          </w:p>
        </w:tc>
        <w:tc>
          <w:tcPr>
            <w:tcW w:w="4860" w:type="dxa"/>
            <w:vAlign w:val="center"/>
          </w:tcPr>
          <w:p w14:paraId="2E23340D">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氟虫腈（包括氟甲腈、氟虫腈硫醚、氟虫腈砜）、毒死蜱、三唑磷、乐果、乙酰甲胺磷</w:t>
            </w:r>
          </w:p>
        </w:tc>
        <w:tc>
          <w:tcPr>
            <w:tcW w:w="2550" w:type="dxa"/>
            <w:vMerge w:val="continue"/>
            <w:vAlign w:val="center"/>
          </w:tcPr>
          <w:p w14:paraId="6D4B36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b w:val="0"/>
                <w:bCs w:val="0"/>
                <w:color w:val="auto"/>
                <w:kern w:val="0"/>
                <w:sz w:val="24"/>
                <w:szCs w:val="24"/>
              </w:rPr>
            </w:pPr>
          </w:p>
        </w:tc>
      </w:tr>
      <w:tr w14:paraId="2FBD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Align w:val="center"/>
          </w:tcPr>
          <w:p w14:paraId="2C82F1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常规农药</w:t>
            </w:r>
            <w:r>
              <w:rPr>
                <w:rFonts w:hint="eastAsia" w:ascii="宋体" w:hAnsi="宋体" w:cs="宋体"/>
                <w:sz w:val="24"/>
                <w:szCs w:val="24"/>
                <w:vertAlign w:val="baseline"/>
                <w:lang w:val="en-US" w:eastAsia="zh-CN"/>
              </w:rPr>
              <w:t>（51种）</w:t>
            </w:r>
          </w:p>
        </w:tc>
        <w:tc>
          <w:tcPr>
            <w:tcW w:w="4860" w:type="dxa"/>
            <w:vAlign w:val="center"/>
          </w:tcPr>
          <w:p w14:paraId="7510EB77">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敌敌畏、杀螟硫磷、丙溴磷、马拉硫磷、亚胺硫磷、辛硫磷、氯氰菊酯、氰戊菊酯、溴氰菊酯、甲氰菊酯、联苯菊酯、氯氟氰菊酯、</w:t>
            </w:r>
          </w:p>
          <w:p w14:paraId="1AD56581">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氟氯氰菊酯、氯吡脲、除虫脲、灭幼脲、吡虫啉、啶虫脒、哒螨灵、阿维菌素、甲氨基阿维菌素苯甲酸盐、虫螨腈、噻虫嗪、氟啶脲、异菌脲、五氯硝基苯、三唑酮、百菌清、腐霉利、乙烯菌核利、多菌灵、苯醚甲环唑、嘧霉胺、烯酰吗啉、咪鲜胺、嘧菌酯、二甲戊灵、灭蝇胺、甲霜灵、霜霉威、氯虫苯甲酰胺、氯菊酯（异构体之和）、醚菊酯、虫酰肼、吡唑醚菌酯、二嗪磷、伏杀硫磷、甲萘威、氟胺氰菊酯、三唑醇、多效唑</w:t>
            </w:r>
          </w:p>
        </w:tc>
        <w:tc>
          <w:tcPr>
            <w:tcW w:w="2550" w:type="dxa"/>
            <w:vMerge w:val="continue"/>
            <w:vAlign w:val="center"/>
          </w:tcPr>
          <w:p w14:paraId="661B84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szCs w:val="24"/>
                <w:lang w:val="en-US" w:eastAsia="zh-CN"/>
              </w:rPr>
            </w:pPr>
          </w:p>
        </w:tc>
      </w:tr>
      <w:tr w14:paraId="521A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Align w:val="center"/>
          </w:tcPr>
          <w:p w14:paraId="112342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判定依据</w:t>
            </w:r>
          </w:p>
        </w:tc>
        <w:tc>
          <w:tcPr>
            <w:tcW w:w="7410" w:type="dxa"/>
            <w:gridSpan w:val="2"/>
            <w:vAlign w:val="center"/>
          </w:tcPr>
          <w:p w14:paraId="4E422A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种植业产品中的农药残留按《食品安全国家标准食品中农药 最大残留限量》(GB2763-2021)  和《食品安全国家标准食品中 2,4-滴丁酸钠盐等112种农药最大残留限量》(GB 2763.1-2022) 进行判定，有一项指标不合格的，即判定为不合格。</w:t>
            </w:r>
          </w:p>
        </w:tc>
      </w:tr>
    </w:tbl>
    <w:p w14:paraId="4D1B9E53">
      <w:pPr>
        <w:pStyle w:val="5"/>
        <w:spacing w:line="360" w:lineRule="auto"/>
        <w:jc w:val="both"/>
        <w:outlineLvl w:val="0"/>
        <w:rPr>
          <w:rFonts w:ascii="宋体" w:hAnsi="宋体" w:eastAsia="宋体" w:cs="宋体"/>
          <w:b/>
          <w:sz w:val="44"/>
        </w:rPr>
      </w:pPr>
    </w:p>
    <w:p w14:paraId="585640A2">
      <w:pPr>
        <w:pStyle w:val="5"/>
        <w:spacing w:line="360" w:lineRule="auto"/>
        <w:jc w:val="both"/>
        <w:outlineLvl w:val="0"/>
        <w:rPr>
          <w:rFonts w:ascii="宋体" w:hAnsi="宋体" w:eastAsia="宋体" w:cs="宋体"/>
          <w:b/>
          <w:sz w:val="44"/>
        </w:rPr>
      </w:pPr>
    </w:p>
    <w:p w14:paraId="4863763B">
      <w:pPr>
        <w:pStyle w:val="5"/>
        <w:spacing w:line="360" w:lineRule="auto"/>
        <w:jc w:val="both"/>
        <w:outlineLvl w:val="0"/>
        <w:rPr>
          <w:rFonts w:ascii="宋体" w:hAnsi="宋体" w:eastAsia="宋体" w:cs="宋体"/>
          <w:b/>
          <w:sz w:val="44"/>
        </w:rPr>
      </w:pPr>
    </w:p>
    <w:p w14:paraId="65D41951">
      <w:pPr>
        <w:pStyle w:val="5"/>
        <w:spacing w:line="360" w:lineRule="auto"/>
        <w:jc w:val="both"/>
        <w:outlineLvl w:val="0"/>
        <w:rPr>
          <w:rFonts w:ascii="宋体" w:hAnsi="宋体" w:eastAsia="宋体" w:cs="宋体"/>
          <w:b/>
          <w:sz w:val="44"/>
        </w:rPr>
      </w:pPr>
    </w:p>
    <w:p w14:paraId="291DAA40">
      <w:pPr>
        <w:pStyle w:val="5"/>
        <w:spacing w:line="360" w:lineRule="auto"/>
        <w:jc w:val="both"/>
        <w:outlineLvl w:val="0"/>
        <w:rPr>
          <w:rFonts w:ascii="宋体" w:hAnsi="宋体" w:eastAsia="宋体" w:cs="宋体"/>
          <w:b/>
          <w:sz w:val="44"/>
        </w:rPr>
      </w:pPr>
    </w:p>
    <w:p w14:paraId="46B3F058">
      <w:pPr>
        <w:pStyle w:val="5"/>
        <w:spacing w:line="360" w:lineRule="auto"/>
        <w:jc w:val="both"/>
        <w:outlineLvl w:val="0"/>
        <w:rPr>
          <w:rFonts w:ascii="宋体" w:hAnsi="宋体" w:eastAsia="宋体" w:cs="宋体"/>
          <w:b/>
          <w:sz w:val="44"/>
        </w:rPr>
      </w:pPr>
    </w:p>
    <w:p w14:paraId="3BF5232B">
      <w:pPr>
        <w:pStyle w:val="5"/>
        <w:spacing w:line="360" w:lineRule="auto"/>
        <w:jc w:val="both"/>
        <w:outlineLvl w:val="0"/>
        <w:rPr>
          <w:rFonts w:ascii="宋体" w:hAnsi="宋体" w:eastAsia="宋体" w:cs="宋体"/>
          <w:b/>
          <w:sz w:val="44"/>
        </w:rPr>
      </w:pPr>
    </w:p>
    <w:p w14:paraId="0DC3F6B7">
      <w:pPr>
        <w:pStyle w:val="5"/>
        <w:spacing w:line="360" w:lineRule="auto"/>
        <w:jc w:val="both"/>
        <w:outlineLvl w:val="0"/>
      </w:pPr>
      <w:r>
        <w:rPr>
          <w:rFonts w:ascii="宋体" w:hAnsi="宋体" w:eastAsia="宋体" w:cs="宋体"/>
          <w:b/>
          <w:sz w:val="44"/>
        </w:rPr>
        <w:t>商务要求</w:t>
      </w:r>
    </w:p>
    <w:p w14:paraId="362827C0">
      <w:pPr>
        <w:pStyle w:val="5"/>
        <w:spacing w:line="360" w:lineRule="auto"/>
        <w:ind w:firstLine="480"/>
        <w:jc w:val="both"/>
      </w:pPr>
      <w:r>
        <w:rPr>
          <w:rFonts w:ascii="宋体" w:hAnsi="宋体" w:eastAsia="宋体" w:cs="宋体"/>
          <w:sz w:val="24"/>
        </w:rPr>
        <w:t>一、服务期限及地点：</w:t>
      </w:r>
    </w:p>
    <w:p w14:paraId="65B3518F">
      <w:pPr>
        <w:pStyle w:val="5"/>
        <w:spacing w:line="360" w:lineRule="auto"/>
        <w:ind w:left="-60" w:firstLine="720"/>
        <w:jc w:val="both"/>
      </w:pPr>
      <w:r>
        <w:rPr>
          <w:rFonts w:ascii="宋体" w:hAnsi="宋体" w:eastAsia="宋体" w:cs="宋体"/>
          <w:sz w:val="24"/>
        </w:rPr>
        <w:t>1、服务期限：自合同签订之日起一年。</w:t>
      </w:r>
    </w:p>
    <w:p w14:paraId="0755632F">
      <w:pPr>
        <w:pStyle w:val="5"/>
        <w:spacing w:line="360" w:lineRule="auto"/>
        <w:ind w:left="-60" w:firstLine="720"/>
        <w:jc w:val="both"/>
      </w:pPr>
      <w:r>
        <w:rPr>
          <w:rFonts w:ascii="宋体" w:hAnsi="宋体" w:eastAsia="宋体" w:cs="宋体"/>
          <w:sz w:val="24"/>
        </w:rPr>
        <w:t>2、服务地点：临潼区</w:t>
      </w:r>
    </w:p>
    <w:p w14:paraId="147139F2">
      <w:pPr>
        <w:pStyle w:val="5"/>
        <w:spacing w:line="360" w:lineRule="auto"/>
        <w:ind w:left="-60" w:firstLine="720"/>
        <w:jc w:val="both"/>
      </w:pPr>
      <w:r>
        <w:rPr>
          <w:rFonts w:ascii="宋体" w:hAnsi="宋体" w:eastAsia="宋体" w:cs="宋体"/>
          <w:sz w:val="24"/>
        </w:rPr>
        <w:t>3、服务质量：合格</w:t>
      </w:r>
    </w:p>
    <w:p w14:paraId="7FD7809B">
      <w:pPr>
        <w:pStyle w:val="5"/>
        <w:spacing w:line="360" w:lineRule="auto"/>
        <w:ind w:left="-60" w:firstLine="720"/>
        <w:jc w:val="both"/>
      </w:pPr>
      <w:r>
        <w:rPr>
          <w:rFonts w:ascii="宋体" w:hAnsi="宋体" w:eastAsia="宋体" w:cs="宋体"/>
          <w:sz w:val="24"/>
        </w:rPr>
        <w:t>4、服务范围：完成本次采购项目所有任务。</w:t>
      </w:r>
      <w:bookmarkStart w:id="0" w:name="_GoBack"/>
      <w:bookmarkEnd w:id="0"/>
    </w:p>
    <w:p w14:paraId="6BD0DFC0">
      <w:pPr>
        <w:pStyle w:val="5"/>
        <w:spacing w:line="360" w:lineRule="auto"/>
        <w:ind w:left="-60" w:firstLine="720"/>
        <w:jc w:val="both"/>
      </w:pPr>
      <w:r>
        <w:rPr>
          <w:rFonts w:ascii="宋体" w:hAnsi="宋体" w:eastAsia="宋体" w:cs="宋体"/>
          <w:sz w:val="24"/>
        </w:rPr>
        <w:t>5、服务要求:满足本次采购项目所有服务内容。</w:t>
      </w:r>
    </w:p>
    <w:p w14:paraId="0330E2A7">
      <w:pPr>
        <w:pStyle w:val="5"/>
        <w:spacing w:line="360" w:lineRule="auto"/>
        <w:ind w:firstLine="480"/>
        <w:jc w:val="both"/>
        <w:rPr>
          <w:rFonts w:hint="eastAsia" w:ascii="宋体" w:hAnsi="宋体" w:eastAsia="宋体" w:cs="宋体"/>
          <w:sz w:val="24"/>
          <w:lang w:eastAsia="zh-CN"/>
        </w:rPr>
      </w:pPr>
      <w:r>
        <w:rPr>
          <w:rFonts w:ascii="宋体" w:hAnsi="宋体" w:eastAsia="宋体" w:cs="宋体"/>
          <w:sz w:val="24"/>
        </w:rPr>
        <w:t>二、付款方式：</w:t>
      </w:r>
      <w:r>
        <w:rPr>
          <w:rFonts w:hint="eastAsia" w:ascii="宋体" w:hAnsi="宋体" w:eastAsia="宋体" w:cs="宋体"/>
          <w:sz w:val="24"/>
        </w:rPr>
        <w:t>合同签订后，达到付款条件起30日内，支付合同总金额的40%；</w:t>
      </w:r>
      <w:r>
        <w:rPr>
          <w:rFonts w:hint="eastAsia" w:ascii="宋体" w:hAnsi="宋体" w:eastAsia="宋体" w:cs="宋体"/>
          <w:sz w:val="24"/>
          <w:lang w:val="en-US" w:eastAsia="zh-CN"/>
        </w:rPr>
        <w:t>项目完成后</w:t>
      </w:r>
      <w:r>
        <w:rPr>
          <w:rFonts w:hint="eastAsia" w:ascii="宋体" w:hAnsi="宋体" w:eastAsia="宋体" w:cs="宋体"/>
          <w:sz w:val="24"/>
        </w:rPr>
        <w:t>，达到付款条件起30日内，支付合同总金额的50.00%；</w:t>
      </w:r>
      <w:r>
        <w:rPr>
          <w:rFonts w:hint="eastAsia" w:ascii="宋体" w:hAnsi="宋体" w:eastAsia="宋体" w:cs="宋体"/>
          <w:sz w:val="24"/>
          <w:lang w:val="en-US" w:eastAsia="zh-CN"/>
        </w:rPr>
        <w:t>项目</w:t>
      </w:r>
      <w:r>
        <w:rPr>
          <w:rFonts w:hint="eastAsia" w:ascii="宋体" w:hAnsi="宋体" w:eastAsia="宋体" w:cs="宋体"/>
          <w:sz w:val="24"/>
        </w:rPr>
        <w:t>验收合格后，达到付款条件起30日内，支付合同总金额的10.00%</w:t>
      </w:r>
      <w:r>
        <w:rPr>
          <w:rFonts w:hint="eastAsia" w:ascii="宋体" w:hAnsi="宋体" w:eastAsia="宋体" w:cs="宋体"/>
          <w:sz w:val="24"/>
          <w:lang w:eastAsia="zh-CN"/>
        </w:rPr>
        <w:t>。</w:t>
      </w:r>
    </w:p>
    <w:p w14:paraId="5550BFF4">
      <w:pPr>
        <w:spacing w:line="360" w:lineRule="auto"/>
      </w:pPr>
      <w:r>
        <w:rPr>
          <w:rFonts w:ascii="宋体" w:hAnsi="宋体" w:eastAsia="宋体" w:cs="宋体"/>
          <w:b/>
          <w:sz w:val="24"/>
        </w:rPr>
        <w:t>注：商务要求为实质性要求，不得负偏离。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7113E"/>
    <w:rsid w:val="2FFF76FC"/>
    <w:rsid w:val="47492E84"/>
    <w:rsid w:val="58800117"/>
    <w:rsid w:val="6DAC2A98"/>
    <w:rsid w:val="778F58D2"/>
    <w:rsid w:val="77F1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1539</Words>
  <Characters>1632</Characters>
  <Lines>0</Lines>
  <Paragraphs>0</Paragraphs>
  <TotalTime>0</TotalTime>
  <ScaleCrop>false</ScaleCrop>
  <LinksUpToDate>false</LinksUpToDate>
  <CharactersWithSpaces>1652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2025-09-22T01:49:00Z</dcterms:created>
  <dc:creator>MyPC</dc:creator>
  <cp:lastModifiedBy>滴滴</cp:lastModifiedBy>
  <dcterms:modified xsi:type="dcterms:W3CDTF">2025-10-09T07:26:22Z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eyJoZGlkIjoiN2EzZTVkOGVjMTBjMGYwODY1N2Q5MjNjYjljMjBjOWMiLCJ1c2VySWQiOiIxMzY5MDczMjIyIn0=</vt:lpwstr>
  </property>
  <property fmtid="{D5CDD505-2E9C-101B-9397-08002B2CF9AE}" pid="4" name="ICV">
    <vt:lpwstr>0095EB7CC96B42798544CBF0156DD88C_12</vt:lpwstr>
  </property>
</Properties>
</file>