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大荔县设施农业发展中心大荔县2025年老旧设施改造提升项目招标公告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大荔县2025年老旧设施改造提升项目</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2025年10月31日 09时30分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项目编号：HLZB2025-150</w:t>
      </w:r>
    </w:p>
    <w:p>
      <w:pPr>
        <w:pStyle w:val="null3"/>
      </w:pPr>
      <w:r>
        <w:rPr>
          <w:rFonts w:ascii="仿宋_GB2312" w:hAnsi="仿宋_GB2312" w:cs="仿宋_GB2312" w:eastAsia="仿宋_GB2312"/>
        </w:rPr>
        <w:t>项目名称：大荔县2025年老旧设施改造提升项目</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预算金额：2,000,000.00元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采购包1：自合同签订之日起180个日历日内供货安装调试完毕。</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合同包1(大荔县2025年老旧设施改造提升项目)落实政府采购政策需满足的资格要求如下: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合同包1(大荔县2025年老旧设施改造提升项目)特定资格要求如下:</w:t>
      </w:r>
    </w:p>
    <w:p>
      <w:pPr>
        <w:pStyle w:val="null3"/>
      </w:pPr>
      <w:r>
        <w:rPr>
          <w:rFonts w:ascii="仿宋_GB2312" w:hAnsi="仿宋_GB2312" w:cs="仿宋_GB2312" w:eastAsia="仿宋_GB2312"/>
        </w:rPr>
        <w:t>(1)具有独立承担民事责任能力的法人、其他组织或自然人，并出具合法有效的营业执照或事业单位法人证书等国家规定的相关证明，自然人参与的提供其身份证明</w:t>
      </w:r>
    </w:p>
    <w:p>
      <w:pPr>
        <w:pStyle w:val="null3"/>
      </w:pPr>
      <w:r>
        <w:rPr>
          <w:rFonts w:ascii="仿宋_GB2312" w:hAnsi="仿宋_GB2312" w:cs="仿宋_GB2312" w:eastAsia="仿宋_GB2312"/>
        </w:rPr>
        <w:t>(2)提供具有财务审计资质单位出具的2023年度或2024年度财务审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null3"/>
      </w:pPr>
      <w:r>
        <w:rPr>
          <w:rFonts w:ascii="仿宋_GB2312" w:hAnsi="仿宋_GB2312" w:cs="仿宋_GB2312" w:eastAsia="仿宋_GB2312"/>
        </w:rPr>
        <w:t>(3)提供2025年1月1日至今任意一个月已缴纳的纳税证明或完税证明（包含增值税、企业所得税、营业税至少一种）；（依法免税的投标人应提供相关文件证明）</w:t>
      </w:r>
    </w:p>
    <w:p>
      <w:pPr>
        <w:pStyle w:val="null3"/>
      </w:pPr>
      <w:r>
        <w:rPr>
          <w:rFonts w:ascii="仿宋_GB2312" w:hAnsi="仿宋_GB2312" w:cs="仿宋_GB2312" w:eastAsia="仿宋_GB2312"/>
        </w:rPr>
        <w:t>(4)提供2025年1月1日至今任意一个月的社保缴费凭据或社保机构开具的社会保险参保缴费情况证明；（依法不需要缴纳社会保障资金的投标人应提供相关证明）</w:t>
      </w:r>
    </w:p>
    <w:p>
      <w:pPr>
        <w:pStyle w:val="null3"/>
      </w:pPr>
      <w:r>
        <w:rPr>
          <w:rFonts w:ascii="仿宋_GB2312" w:hAnsi="仿宋_GB2312" w:cs="仿宋_GB2312" w:eastAsia="仿宋_GB2312"/>
        </w:rPr>
        <w:t>(5)提供具有履行本合同所必需的设备和专业技术能力的说明及承诺（提供书面说明及承诺，加盖投标人公章）</w:t>
      </w:r>
    </w:p>
    <w:p>
      <w:pPr>
        <w:pStyle w:val="null3"/>
      </w:pPr>
      <w:r>
        <w:rPr>
          <w:rFonts w:ascii="仿宋_GB2312" w:hAnsi="仿宋_GB2312" w:cs="仿宋_GB2312" w:eastAsia="仿宋_GB2312"/>
        </w:rPr>
        <w:t>(6)提供参加政府采购活动前三年内在经营活动中没有重大违法记录的书面声明；（格式自拟，加盖投标人公章）</w:t>
      </w:r>
    </w:p>
    <w:p>
      <w:pPr>
        <w:pStyle w:val="null3"/>
      </w:pPr>
      <w:r>
        <w:rPr>
          <w:rFonts w:ascii="仿宋_GB2312" w:hAnsi="仿宋_GB2312" w:cs="仿宋_GB2312" w:eastAsia="仿宋_GB2312"/>
        </w:rPr>
        <w:t>(7)法定代表人或负责人参与投标时需提供法定代表人或负责人资格证明书（附法定代表人或负责人身份证复印件）；</w:t>
      </w:r>
    </w:p>
    <w:p>
      <w:pPr>
        <w:pStyle w:val="null3"/>
      </w:pPr>
      <w:r>
        <w:rPr>
          <w:rFonts w:ascii="仿宋_GB2312" w:hAnsi="仿宋_GB2312" w:cs="仿宋_GB2312" w:eastAsia="仿宋_GB2312"/>
        </w:rPr>
        <w:t>(8)被授权人参与投标时需提供法定代表人或负责人授权委托书（附法定代表人或负责人及被授权人身份证复印件，被授权人需为本公司人员，提供相关证明材料或承诺书）；</w:t>
      </w:r>
    </w:p>
    <w:p>
      <w:pPr>
        <w:pStyle w:val="null3"/>
      </w:pPr>
      <w:r>
        <w:rPr>
          <w:rFonts w:ascii="仿宋_GB2312" w:hAnsi="仿宋_GB2312" w:cs="仿宋_GB2312" w:eastAsia="仿宋_GB2312"/>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pStyle w:val="null3"/>
      </w:pPr>
      <w:r>
        <w:rPr>
          <w:rFonts w:ascii="仿宋_GB2312" w:hAnsi="仿宋_GB2312" w:cs="仿宋_GB2312" w:eastAsia="仿宋_GB2312"/>
        </w:rPr>
        <w:t>(10)单位负责人为同一人或者存在直接控股、管理关系的不同供应商，不得参加同一合同项下的政府采购活动；（提供书面承诺函，格式自拟加盖供应商公章）</w:t>
      </w:r>
    </w:p>
    <w:p>
      <w:pPr>
        <w:pStyle w:val="null3"/>
      </w:pPr>
      <w:r>
        <w:rPr>
          <w:rFonts w:ascii="仿宋_GB2312" w:hAnsi="仿宋_GB2312" w:cs="仿宋_GB2312" w:eastAsia="仿宋_GB2312"/>
        </w:rPr>
        <w:t>(11)本项目不接受联合体投标。（提供书面承诺函，格式自拟加盖投标人公章）</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2025年10月10日 </w:t>
      </w:r>
      <w:r>
        <w:rPr>
          <w:rFonts w:ascii="仿宋_GB2312" w:hAnsi="仿宋_GB2312" w:cs="仿宋_GB2312" w:eastAsia="仿宋_GB2312"/>
        </w:rPr>
        <w:t>至</w:t>
      </w:r>
      <w:r>
        <w:rPr>
          <w:rFonts w:ascii="仿宋_GB2312" w:hAnsi="仿宋_GB2312" w:cs="仿宋_GB2312" w:eastAsia="仿宋_GB2312"/>
        </w:rPr>
        <w:t xml:space="preserve"> 2025年10月16日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2025年10月31日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sz w:val="21"/>
          <w:b/>
          <w:color w:val="000000"/>
        </w:rPr>
        <w:t>（六）落实的政府采购政策：</w:t>
      </w:r>
    </w:p>
    <w:p>
      <w:pPr>
        <w:pStyle w:val="null3"/>
        <w:jc w:val="left"/>
      </w:pPr>
      <w:r>
        <w:rPr>
          <w:rFonts w:ascii="仿宋_GB2312" w:hAnsi="仿宋_GB2312" w:cs="仿宋_GB2312" w:eastAsia="仿宋_GB2312"/>
          <w:sz w:val="21"/>
          <w:color w:val="000000"/>
        </w:rPr>
        <w:t>（1）《政府采购促进中小企业发展管理办法》的通知--财库[2020]46号、</w:t>
      </w:r>
      <w:r>
        <w:rPr>
          <w:rFonts w:ascii="仿宋_GB2312" w:hAnsi="仿宋_GB2312" w:cs="仿宋_GB2312" w:eastAsia="仿宋_GB2312"/>
          <w:sz w:val="21"/>
          <w:color w:val="000000"/>
        </w:rPr>
        <w:t>《</w:t>
      </w:r>
      <w:r>
        <w:rPr>
          <w:rFonts w:ascii="仿宋_GB2312" w:hAnsi="仿宋_GB2312" w:cs="仿宋_GB2312" w:eastAsia="仿宋_GB2312"/>
          <w:sz w:val="21"/>
          <w:color w:val="000000"/>
        </w:rPr>
        <w:t>关于进一步加大政府采购支持中小企业力度的通知</w:t>
      </w:r>
      <w:r>
        <w:rPr>
          <w:rFonts w:ascii="仿宋_GB2312" w:hAnsi="仿宋_GB2312" w:cs="仿宋_GB2312" w:eastAsia="仿宋_GB2312"/>
          <w:sz w:val="21"/>
          <w:color w:val="000000"/>
        </w:rPr>
        <w:t>》</w:t>
      </w:r>
      <w:r>
        <w:rPr>
          <w:rFonts w:ascii="仿宋_GB2312" w:hAnsi="仿宋_GB2312" w:cs="仿宋_GB2312" w:eastAsia="仿宋_GB2312"/>
          <w:sz w:val="21"/>
          <w:color w:val="000000"/>
        </w:rPr>
        <w:t>（财库[2022]19号）、《财政部司法部关于政府采购支持监狱企业发展有关问题的通知》（财库〔2014〕68号）、《财政部民政部中国残疾人联合会关于促进残疾人就业政府采购政策的通知》（财库〔2017〕141号）；（2）《陕西省财政厅关于加快推进我省中小企业政府采购信用融资工作的通知》（陕财办采〔2020〕15号）、陕西省财政厅关于印发《陕西省中小企业政府采购信用融资办法》(陕财办采[2018]23号)；（3）《国务院办公厅关于建立政府强制采购节能产品制度的通知》（国办发〔2007〕51号）、《财政部发展改革委生态环境部市场监管总局关于调整优化节能产品、环境标志产品政府采购执行机制的通知》（财库[2019]9号）、</w:t>
      </w:r>
      <w:r>
        <w:rPr>
          <w:rFonts w:ascii="仿宋_GB2312" w:hAnsi="仿宋_GB2312" w:cs="仿宋_GB2312" w:eastAsia="仿宋_GB2312"/>
          <w:sz w:val="21"/>
          <w:color w:val="000000"/>
        </w:rPr>
        <w:t>《关于印发环境标志产品政府采购品目清单的通知》（财库〔2019〕18号）</w:t>
      </w:r>
      <w:r>
        <w:rPr>
          <w:rFonts w:ascii="仿宋_GB2312" w:hAnsi="仿宋_GB2312" w:cs="仿宋_GB2312" w:eastAsia="仿宋_GB2312"/>
          <w:sz w:val="21"/>
          <w:color w:val="000000"/>
        </w:rPr>
        <w:t>、</w:t>
      </w:r>
      <w:r>
        <w:rPr>
          <w:rFonts w:ascii="仿宋_GB2312" w:hAnsi="仿宋_GB2312" w:cs="仿宋_GB2312" w:eastAsia="仿宋_GB2312"/>
          <w:sz w:val="21"/>
          <w:color w:val="000000"/>
        </w:rPr>
        <w:t>《关于印发节能产品政府采购品目清单的通知》（财库〔2019〕19号）</w:t>
      </w:r>
      <w:r>
        <w:rPr>
          <w:rFonts w:ascii="仿宋_GB2312" w:hAnsi="仿宋_GB2312" w:cs="仿宋_GB2312" w:eastAsia="仿宋_GB2312"/>
          <w:sz w:val="21"/>
          <w:color w:val="000000"/>
        </w:rPr>
        <w:t>、《市场监管总局关于发布参与实施政府采购节能产品、环境标志产品认证机构名录的公告》（2019年第16号）；（4）《陕西省财政厅关于进一步加大政府采购支持中小企业力度的通知》（陕财办采〔2022〕5号）、《陕西省财政厅关于落实政府采购支持中小企业政策有关事项的通知》（陕财办采函〔2022〕10号）；</w:t>
      </w:r>
      <w:r>
        <w:rPr>
          <w:rFonts w:ascii="仿宋_GB2312" w:hAnsi="仿宋_GB2312" w:cs="仿宋_GB2312" w:eastAsia="仿宋_GB2312"/>
          <w:sz w:val="21"/>
          <w:color w:val="000000"/>
        </w:rPr>
        <w:t>（</w:t>
      </w:r>
      <w:r>
        <w:rPr>
          <w:rFonts w:ascii="仿宋_GB2312" w:hAnsi="仿宋_GB2312" w:cs="仿宋_GB2312" w:eastAsia="仿宋_GB2312"/>
          <w:sz w:val="21"/>
          <w:color w:val="000000"/>
        </w:rPr>
        <w:t>5</w:t>
      </w:r>
      <w:r>
        <w:rPr>
          <w:rFonts w:ascii="仿宋_GB2312" w:hAnsi="仿宋_GB2312" w:cs="仿宋_GB2312" w:eastAsia="仿宋_GB2312"/>
          <w:sz w:val="21"/>
          <w:color w:val="000000"/>
        </w:rPr>
        <w:t>）</w:t>
      </w:r>
      <w:r>
        <w:rPr>
          <w:rFonts w:ascii="仿宋_GB2312" w:hAnsi="仿宋_GB2312" w:cs="仿宋_GB2312" w:eastAsia="仿宋_GB2312"/>
          <w:sz w:val="21"/>
          <w:color w:val="000000"/>
        </w:rPr>
        <w:t>《财政部 农业农村部 国家乡村振兴局关于运用政府采购政策支持乡村产业振兴的通知》（财库〔2021〕19 号）</w:t>
      </w:r>
      <w:r>
        <w:rPr>
          <w:rFonts w:ascii="仿宋_GB2312" w:hAnsi="仿宋_GB2312" w:cs="仿宋_GB2312" w:eastAsia="仿宋_GB2312"/>
          <w:sz w:val="21"/>
          <w:color w:val="000000"/>
        </w:rPr>
        <w:t>、</w:t>
      </w:r>
      <w:r>
        <w:rPr>
          <w:rFonts w:ascii="仿宋_GB2312" w:hAnsi="仿宋_GB2312" w:cs="仿宋_GB2312" w:eastAsia="仿宋_GB2312"/>
          <w:sz w:val="21"/>
          <w:color w:val="000000"/>
        </w:rPr>
        <w:t>《财政部农业农村部国家乡村振兴局 中华全国供销合作总社关于印发&lt;关于深入开展政府采购脱贫地区农副产品工作推进乡村产业振兴的实施意见&gt;的通知》（财库〔2021〕20 号）</w:t>
      </w:r>
      <w:r>
        <w:rPr>
          <w:rFonts w:ascii="仿宋_GB2312" w:hAnsi="仿宋_GB2312" w:cs="仿宋_GB2312" w:eastAsia="仿宋_GB2312"/>
          <w:sz w:val="21"/>
          <w:color w:val="000000"/>
        </w:rPr>
        <w:t>、</w:t>
      </w:r>
      <w:r>
        <w:rPr>
          <w:rFonts w:ascii="仿宋_GB2312" w:hAnsi="仿宋_GB2312" w:cs="仿宋_GB2312" w:eastAsia="仿宋_GB2312"/>
          <w:sz w:val="21"/>
          <w:color w:val="000000"/>
        </w:rPr>
        <w:t>《财政部国务院扶贫办关于运用政府采购政策支持脱贫攻坚的通知》（财库〔2019〕27号）；（6）《关于进一步加强政府绿色采购有关问题的通知》（陕财办采〔2021〕29号）；（7）如有最新颁布的政府采购政策，按最新的文件执行。</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大荔县设施农业发展中心</w:t>
      </w:r>
    </w:p>
    <w:p>
      <w:pPr>
        <w:pStyle w:val="null3"/>
      </w:pPr>
      <w:r>
        <w:rPr>
          <w:rFonts w:ascii="仿宋_GB2312" w:hAnsi="仿宋_GB2312" w:cs="仿宋_GB2312" w:eastAsia="仿宋_GB2312"/>
        </w:rPr>
        <w:t>地址：</w:t>
      </w:r>
      <w:r>
        <w:rPr>
          <w:rFonts w:ascii="仿宋_GB2312" w:hAnsi="仿宋_GB2312" w:cs="仿宋_GB2312" w:eastAsia="仿宋_GB2312"/>
        </w:rPr>
        <w:t>大荔县府门前12号</w:t>
      </w:r>
    </w:p>
    <w:p>
      <w:pPr>
        <w:pStyle w:val="null3"/>
      </w:pPr>
      <w:r>
        <w:rPr>
          <w:rFonts w:ascii="仿宋_GB2312" w:hAnsi="仿宋_GB2312" w:cs="仿宋_GB2312" w:eastAsia="仿宋_GB2312"/>
        </w:rPr>
        <w:t>联系方式：</w:t>
      </w:r>
      <w:r>
        <w:rPr>
          <w:rFonts w:ascii="仿宋_GB2312" w:hAnsi="仿宋_GB2312" w:cs="仿宋_GB2312" w:eastAsia="仿宋_GB2312"/>
        </w:rPr>
        <w:t>0913-3256180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陕西翰林招标有限公司</w:t>
      </w:r>
    </w:p>
    <w:p>
      <w:pPr>
        <w:pStyle w:val="null3"/>
      </w:pPr>
      <w:r>
        <w:rPr>
          <w:rFonts w:ascii="仿宋_GB2312" w:hAnsi="仿宋_GB2312" w:cs="仿宋_GB2312" w:eastAsia="仿宋_GB2312"/>
        </w:rPr>
        <w:t>地址：</w:t>
      </w:r>
      <w:r>
        <w:rPr>
          <w:rFonts w:ascii="仿宋_GB2312" w:hAnsi="仿宋_GB2312" w:cs="仿宋_GB2312" w:eastAsia="仿宋_GB2312"/>
        </w:rPr>
        <w:t>西安市雁塔区西部国际广场B座28层2803室</w:t>
      </w:r>
    </w:p>
    <w:p>
      <w:pPr>
        <w:pStyle w:val="null3"/>
      </w:pPr>
      <w:r>
        <w:rPr>
          <w:rFonts w:ascii="仿宋_GB2312" w:hAnsi="仿宋_GB2312" w:cs="仿宋_GB2312" w:eastAsia="仿宋_GB2312"/>
        </w:rPr>
        <w:t>联系方式：</w:t>
      </w:r>
      <w:r>
        <w:rPr>
          <w:rFonts w:ascii="仿宋_GB2312" w:hAnsi="仿宋_GB2312" w:cs="仿宋_GB2312" w:eastAsia="仿宋_GB2312"/>
        </w:rPr>
        <w:t>029-89640570</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刘工</w:t>
      </w:r>
    </w:p>
    <w:p>
      <w:pPr>
        <w:pStyle w:val="null3"/>
      </w:pPr>
      <w:r>
        <w:rPr>
          <w:rFonts w:ascii="仿宋_GB2312" w:hAnsi="仿宋_GB2312" w:cs="仿宋_GB2312" w:eastAsia="仿宋_GB2312"/>
        </w:rPr>
        <w:t>电话：</w:t>
      </w:r>
      <w:r>
        <w:rPr>
          <w:rFonts w:ascii="仿宋_GB2312" w:hAnsi="仿宋_GB2312" w:cs="仿宋_GB2312" w:eastAsia="仿宋_GB2312"/>
        </w:rPr>
        <w:t>029-89640570</w:t>
      </w:r>
    </w:p>
    <w:p>
      <w:pPr>
        <w:pStyle w:val="null3"/>
        <w:jc w:val="right"/>
      </w:pPr>
      <w:r>
        <w:rPr>
          <w:rFonts w:ascii="仿宋_GB2312" w:hAnsi="仿宋_GB2312" w:cs="仿宋_GB2312" w:eastAsia="仿宋_GB2312"/>
        </w:rPr>
        <w:t>陕西翰林招标有限公司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