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67147">
      <w:pPr>
        <w:spacing w:line="240" w:lineRule="auto"/>
        <w:jc w:val="center"/>
        <w:rPr>
          <w:rFonts w:cs="Times New Roman"/>
          <w:color w:val="auto"/>
          <w:sz w:val="52"/>
          <w:szCs w:val="52"/>
          <w:highlight w:val="none"/>
        </w:rPr>
      </w:pPr>
    </w:p>
    <w:p w14:paraId="57E46199">
      <w:pPr>
        <w:spacing w:line="240" w:lineRule="auto"/>
        <w:jc w:val="center"/>
        <w:rPr>
          <w:rFonts w:cs="Times New Roman"/>
          <w:color w:val="auto"/>
          <w:sz w:val="52"/>
          <w:szCs w:val="52"/>
          <w:highlight w:val="none"/>
        </w:rPr>
      </w:pPr>
    </w:p>
    <w:p w14:paraId="5953D543">
      <w:pPr>
        <w:spacing w:line="240" w:lineRule="auto"/>
        <w:jc w:val="center"/>
        <w:rPr>
          <w:rFonts w:eastAsia="华文中宋" w:cs="Times New Roman"/>
          <w:color w:val="auto"/>
          <w:kern w:val="0"/>
          <w:sz w:val="96"/>
          <w:szCs w:val="96"/>
          <w:highlight w:val="none"/>
        </w:rPr>
      </w:pPr>
      <w:r>
        <w:rPr>
          <w:rFonts w:hint="eastAsia" w:cs="华文仿宋"/>
          <w:color w:val="auto"/>
          <w:sz w:val="52"/>
          <w:szCs w:val="52"/>
          <w:highlight w:val="none"/>
        </w:rPr>
        <w:t>陕西省省级单位政府采购中心</w:t>
      </w:r>
    </w:p>
    <w:p w14:paraId="473E123F">
      <w:pPr>
        <w:spacing w:line="240" w:lineRule="auto"/>
        <w:jc w:val="center"/>
        <w:rPr>
          <w:rFonts w:eastAsia="华文中宋" w:cs="Times New Roman"/>
          <w:color w:val="auto"/>
          <w:sz w:val="96"/>
          <w:szCs w:val="96"/>
          <w:highlight w:val="none"/>
          <w:shd w:val="clear" w:color="FFFFFF" w:fill="D9D9D9"/>
        </w:rPr>
      </w:pPr>
      <w:r>
        <w:rPr>
          <w:rFonts w:hint="eastAsia" w:eastAsia="华文中宋" w:cs="华文中宋"/>
          <w:color w:val="auto"/>
          <w:kern w:val="0"/>
          <w:sz w:val="96"/>
          <w:szCs w:val="96"/>
          <w:highlight w:val="none"/>
        </w:rPr>
        <w:t>公开招标文件</w:t>
      </w:r>
    </w:p>
    <w:p w14:paraId="1749A2A6">
      <w:pPr>
        <w:spacing w:line="500" w:lineRule="exact"/>
        <w:jc w:val="center"/>
        <w:rPr>
          <w:rFonts w:hint="eastAsia" w:eastAsia="华文仿宋" w:cs="Times New Roman"/>
          <w:color w:val="auto"/>
          <w:sz w:val="36"/>
          <w:szCs w:val="36"/>
          <w:highlight w:val="none"/>
          <w:lang w:eastAsia="zh-CN"/>
        </w:rPr>
      </w:pPr>
      <w:r>
        <w:rPr>
          <w:rFonts w:hint="eastAsia" w:cs="Times New Roman"/>
          <w:color w:val="auto"/>
          <w:sz w:val="36"/>
          <w:szCs w:val="36"/>
          <w:highlight w:val="none"/>
        </w:rPr>
        <w:t>（专门面向中小企业</w:t>
      </w:r>
      <w:r>
        <w:rPr>
          <w:rFonts w:hint="eastAsia"/>
          <w:color w:val="auto"/>
          <w:sz w:val="36"/>
          <w:szCs w:val="36"/>
          <w:highlight w:val="none"/>
        </w:rPr>
        <w:t>项目</w:t>
      </w:r>
      <w:r>
        <w:rPr>
          <w:rFonts w:hint="eastAsia" w:cs="Times New Roman"/>
          <w:color w:val="auto"/>
          <w:sz w:val="36"/>
          <w:szCs w:val="36"/>
          <w:highlight w:val="none"/>
        </w:rPr>
        <w:t>）</w:t>
      </w:r>
    </w:p>
    <w:p w14:paraId="44E3624C">
      <w:pPr>
        <w:pStyle w:val="8"/>
        <w:spacing w:after="190"/>
        <w:jc w:val="center"/>
        <w:rPr>
          <w:rFonts w:hint="eastAsia" w:eastAsia="华文仿宋" w:cs="Times New Roman"/>
          <w:color w:val="auto"/>
          <w:sz w:val="36"/>
          <w:szCs w:val="36"/>
          <w:highlight w:val="none"/>
          <w:lang w:eastAsia="zh-CN"/>
        </w:rPr>
      </w:pPr>
      <w:r>
        <w:rPr>
          <w:rFonts w:hint="eastAsia" w:cs="Times New Roman"/>
          <w:color w:val="auto"/>
          <w:sz w:val="36"/>
          <w:szCs w:val="36"/>
          <w:highlight w:val="none"/>
        </w:rPr>
        <w:t>（</w:t>
      </w:r>
      <w:r>
        <w:rPr>
          <w:rFonts w:hint="eastAsia" w:cs="Times New Roman"/>
          <w:color w:val="auto"/>
          <w:sz w:val="36"/>
          <w:szCs w:val="36"/>
          <w:highlight w:val="none"/>
          <w:lang w:val="en-US" w:eastAsia="zh-CN"/>
        </w:rPr>
        <w:t>三次</w:t>
      </w:r>
      <w:r>
        <w:rPr>
          <w:rFonts w:hint="eastAsia" w:cs="Times New Roman"/>
          <w:color w:val="auto"/>
          <w:sz w:val="36"/>
          <w:szCs w:val="36"/>
          <w:highlight w:val="none"/>
        </w:rPr>
        <w:t>）</w:t>
      </w:r>
    </w:p>
    <w:p w14:paraId="3C2FE85D">
      <w:pPr>
        <w:spacing w:line="900" w:lineRule="exact"/>
        <w:ind w:right="707" w:rightChars="250"/>
        <w:rPr>
          <w:rFonts w:cs="Times New Roman"/>
          <w:color w:val="auto"/>
          <w:sz w:val="36"/>
          <w:szCs w:val="36"/>
          <w:highlight w:val="none"/>
        </w:rPr>
      </w:pPr>
    </w:p>
    <w:p w14:paraId="4BF5AF69">
      <w:pPr>
        <w:pStyle w:val="8"/>
        <w:spacing w:after="190"/>
        <w:rPr>
          <w:color w:val="auto"/>
          <w:highlight w:val="none"/>
        </w:rPr>
      </w:pPr>
    </w:p>
    <w:p w14:paraId="104A3F2D">
      <w:pPr>
        <w:pStyle w:val="23"/>
        <w:ind w:firstLine="363"/>
        <w:rPr>
          <w:color w:val="auto"/>
          <w:sz w:val="36"/>
          <w:szCs w:val="36"/>
          <w:highlight w:val="none"/>
        </w:rPr>
      </w:pPr>
    </w:p>
    <w:p w14:paraId="6EA99AB6">
      <w:pPr>
        <w:widowControl w:val="0"/>
        <w:spacing w:line="240" w:lineRule="auto"/>
        <w:ind w:left="2539" w:leftChars="256" w:right="707" w:rightChars="250" w:hanging="1815" w:hangingChars="500"/>
        <w:jc w:val="left"/>
        <w:rPr>
          <w:rFonts w:hint="eastAsia" w:ascii="华文仿宋" w:hAnsi="华文仿宋" w:eastAsia="华文仿宋" w:cs="华文仿宋"/>
          <w:b/>
          <w:bCs/>
          <w:sz w:val="36"/>
          <w:szCs w:val="36"/>
          <w:lang w:eastAsia="zh-CN"/>
        </w:rPr>
      </w:pPr>
      <w:r>
        <w:rPr>
          <w:rFonts w:hint="eastAsia" w:ascii="华文仿宋" w:hAnsi="华文仿宋" w:cs="华文仿宋"/>
          <w:b/>
          <w:bCs/>
          <w:sz w:val="36"/>
          <w:szCs w:val="36"/>
        </w:rPr>
        <w:t>项目名称：</w:t>
      </w:r>
      <w:r>
        <w:rPr>
          <w:rFonts w:hint="eastAsia" w:ascii="仿宋" w:hAnsi="仿宋" w:eastAsia="仿宋" w:cs="仿宋"/>
          <w:b/>
          <w:bCs/>
          <w:sz w:val="36"/>
          <w:szCs w:val="36"/>
          <w:lang w:eastAsia="zh-CN"/>
        </w:rPr>
        <w:t>陕西交通职业技术学院2025年云数据中心升级扩容项目</w:t>
      </w:r>
    </w:p>
    <w:p w14:paraId="67DF913D">
      <w:pPr>
        <w:widowControl w:val="0"/>
        <w:spacing w:line="240" w:lineRule="auto"/>
        <w:ind w:left="2539" w:leftChars="256" w:right="707" w:rightChars="250" w:hanging="1815" w:hangingChars="500"/>
        <w:jc w:val="left"/>
        <w:rPr>
          <w:rFonts w:hint="default" w:ascii="仿宋" w:hAnsi="仿宋" w:eastAsia="仿宋" w:cs="仿宋"/>
          <w:b/>
          <w:bCs/>
          <w:sz w:val="36"/>
          <w:szCs w:val="36"/>
          <w:lang w:val="en-US" w:eastAsia="zh-CN"/>
        </w:rPr>
      </w:pPr>
      <w:r>
        <w:rPr>
          <w:rFonts w:hint="eastAsia" w:ascii="华文仿宋" w:hAnsi="华文仿宋" w:cs="华文仿宋"/>
          <w:b/>
          <w:bCs/>
          <w:sz w:val="36"/>
          <w:szCs w:val="36"/>
        </w:rPr>
        <w:t>项目编号：</w:t>
      </w:r>
      <w:r>
        <w:rPr>
          <w:rFonts w:hint="eastAsia" w:ascii="仿宋" w:hAnsi="仿宋" w:eastAsia="仿宋" w:cs="仿宋"/>
          <w:b/>
          <w:bCs/>
          <w:sz w:val="36"/>
          <w:szCs w:val="36"/>
        </w:rPr>
        <w:t>SNCG-FM-202</w:t>
      </w:r>
      <w:r>
        <w:rPr>
          <w:rFonts w:hint="eastAsia" w:ascii="仿宋" w:hAnsi="仿宋" w:eastAsia="仿宋" w:cs="仿宋"/>
          <w:b/>
          <w:bCs/>
          <w:sz w:val="36"/>
          <w:szCs w:val="36"/>
          <w:lang w:val="en-US" w:eastAsia="zh-CN"/>
        </w:rPr>
        <w:t>5</w:t>
      </w:r>
      <w:r>
        <w:rPr>
          <w:rFonts w:hint="eastAsia" w:ascii="仿宋" w:hAnsi="仿宋" w:eastAsia="仿宋" w:cs="仿宋"/>
          <w:b/>
          <w:bCs/>
          <w:sz w:val="36"/>
          <w:szCs w:val="36"/>
        </w:rPr>
        <w:t>0</w:t>
      </w:r>
      <w:r>
        <w:rPr>
          <w:rFonts w:hint="eastAsia" w:ascii="仿宋" w:hAnsi="仿宋" w:eastAsia="仿宋" w:cs="仿宋"/>
          <w:b/>
          <w:bCs/>
          <w:sz w:val="36"/>
          <w:szCs w:val="36"/>
          <w:lang w:val="en-US" w:eastAsia="zh-CN"/>
        </w:rPr>
        <w:t>72</w:t>
      </w:r>
    </w:p>
    <w:p w14:paraId="0FF48B5C">
      <w:pPr>
        <w:widowControl w:val="0"/>
        <w:spacing w:line="240" w:lineRule="auto"/>
        <w:ind w:left="2539" w:leftChars="256" w:right="707" w:rightChars="250" w:hanging="1815" w:hangingChars="500"/>
        <w:jc w:val="left"/>
        <w:rPr>
          <w:rFonts w:hint="eastAsia" w:ascii="仿宋" w:hAnsi="仿宋" w:eastAsia="华文仿宋" w:cs="仿宋"/>
          <w:b/>
          <w:bCs/>
          <w:color w:val="000000"/>
          <w:sz w:val="36"/>
          <w:szCs w:val="36"/>
          <w:lang w:eastAsia="zh-CN"/>
        </w:rPr>
      </w:pPr>
      <w:r>
        <w:rPr>
          <w:rFonts w:hint="eastAsia" w:ascii="华文仿宋" w:hAnsi="华文仿宋" w:cs="华文仿宋"/>
          <w:b/>
          <w:bCs/>
          <w:sz w:val="36"/>
          <w:szCs w:val="36"/>
        </w:rPr>
        <w:t>采 购 人：</w:t>
      </w:r>
      <w:r>
        <w:rPr>
          <w:rFonts w:hint="eastAsia" w:ascii="华文仿宋" w:hAnsi="华文仿宋" w:cs="华文仿宋"/>
          <w:b/>
          <w:bCs/>
          <w:sz w:val="36"/>
          <w:szCs w:val="36"/>
          <w:lang w:eastAsia="zh-CN"/>
        </w:rPr>
        <w:t>陕西交通职业技术学院</w:t>
      </w:r>
    </w:p>
    <w:p w14:paraId="7E05A6D7">
      <w:pPr>
        <w:widowControl w:val="0"/>
        <w:spacing w:line="240" w:lineRule="auto"/>
        <w:ind w:left="2539" w:leftChars="256" w:right="707" w:rightChars="250" w:hanging="1815" w:hangingChars="500"/>
        <w:jc w:val="left"/>
        <w:rPr>
          <w:rFonts w:ascii="华文仿宋" w:hAnsi="华文仿宋" w:cs="华文仿宋"/>
          <w:b/>
          <w:bCs/>
          <w:sz w:val="36"/>
          <w:szCs w:val="36"/>
        </w:rPr>
      </w:pPr>
      <w:r>
        <w:rPr>
          <w:rFonts w:hint="eastAsia" w:ascii="华文仿宋" w:hAnsi="华文仿宋" w:cs="华文仿宋"/>
          <w:b/>
          <w:bCs/>
          <w:sz w:val="36"/>
          <w:szCs w:val="36"/>
        </w:rPr>
        <w:t>采购代理机构：陕西省省级单位政府采购中心</w:t>
      </w:r>
    </w:p>
    <w:p w14:paraId="191D05FD">
      <w:pPr>
        <w:spacing w:after="190" w:line="240" w:lineRule="auto"/>
        <w:ind w:left="2139" w:leftChars="256" w:right="707" w:rightChars="250" w:hanging="1415" w:hangingChars="500"/>
        <w:jc w:val="left"/>
        <w:rPr>
          <w:rFonts w:cs="Times New Roman"/>
          <w:color w:val="auto"/>
          <w:highlight w:val="none"/>
        </w:rPr>
      </w:pPr>
    </w:p>
    <w:p w14:paraId="6E453DE3">
      <w:pPr>
        <w:rPr>
          <w:rFonts w:cs="Times New Roman"/>
          <w:color w:val="auto"/>
          <w:highlight w:val="none"/>
        </w:rPr>
      </w:pPr>
    </w:p>
    <w:p w14:paraId="0DF09AAD">
      <w:pPr>
        <w:rPr>
          <w:rFonts w:cs="Times New Roman"/>
          <w:color w:val="auto"/>
          <w:highlight w:val="none"/>
        </w:rPr>
      </w:pPr>
    </w:p>
    <w:p w14:paraId="4A181F42">
      <w:pPr>
        <w:pStyle w:val="6"/>
        <w:rPr>
          <w:color w:val="auto"/>
          <w:highlight w:val="none"/>
        </w:rPr>
      </w:pPr>
    </w:p>
    <w:p w14:paraId="4CCF2151">
      <w:pPr>
        <w:tabs>
          <w:tab w:val="right" w:leader="hyphen" w:pos="8504"/>
        </w:tabs>
        <w:spacing w:after="381" w:afterLines="100" w:line="440" w:lineRule="exact"/>
        <w:ind w:right="566" w:rightChars="200"/>
        <w:jc w:val="center"/>
        <w:rPr>
          <w:rFonts w:ascii="仿宋" w:hAnsi="仿宋" w:eastAsia="仿宋" w:cs="Times New Roman"/>
          <w:b/>
          <w:bCs/>
          <w:color w:val="auto"/>
          <w:sz w:val="36"/>
          <w:szCs w:val="36"/>
          <w:highlight w:val="none"/>
        </w:rPr>
        <w:sectPr>
          <w:headerReference r:id="rId5" w:type="default"/>
          <w:footerReference r:id="rId6" w:type="default"/>
          <w:pgSz w:w="11906" w:h="16838"/>
          <w:pgMar w:top="1417" w:right="1417" w:bottom="1417" w:left="1417" w:header="850" w:footer="992" w:gutter="0"/>
          <w:pgNumType w:fmt="numberInDash" w:start="1"/>
          <w:cols w:space="720" w:num="1"/>
          <w:docGrid w:type="linesAndChars" w:linePitch="381" w:charSpace="704"/>
        </w:sectPr>
      </w:pPr>
      <w:r>
        <w:rPr>
          <w:rFonts w:ascii="仿宋" w:hAnsi="仿宋" w:eastAsia="仿宋" w:cs="仿宋"/>
          <w:b/>
          <w:bCs/>
          <w:color w:val="auto"/>
          <w:sz w:val="36"/>
          <w:szCs w:val="36"/>
          <w:highlight w:val="none"/>
        </w:rPr>
        <w:t>202</w:t>
      </w:r>
      <w:r>
        <w:rPr>
          <w:rFonts w:hint="eastAsia" w:ascii="仿宋" w:hAnsi="仿宋" w:eastAsia="仿宋" w:cs="仿宋"/>
          <w:b/>
          <w:bCs/>
          <w:color w:val="auto"/>
          <w:sz w:val="36"/>
          <w:szCs w:val="36"/>
          <w:highlight w:val="none"/>
          <w:lang w:val="en-US" w:eastAsia="zh-CN"/>
        </w:rPr>
        <w:t>5</w:t>
      </w:r>
      <w:r>
        <w:rPr>
          <w:rFonts w:hint="eastAsia" w:ascii="仿宋" w:hAnsi="仿宋" w:eastAsia="仿宋" w:cs="仿宋"/>
          <w:b/>
          <w:bCs/>
          <w:color w:val="auto"/>
          <w:sz w:val="36"/>
          <w:szCs w:val="36"/>
          <w:highlight w:val="none"/>
        </w:rPr>
        <w:t>年</w:t>
      </w:r>
      <w:r>
        <w:rPr>
          <w:rFonts w:hint="eastAsia" w:ascii="仿宋" w:hAnsi="仿宋" w:eastAsia="仿宋" w:cs="仿宋"/>
          <w:b/>
          <w:bCs/>
          <w:color w:val="auto"/>
          <w:sz w:val="36"/>
          <w:szCs w:val="36"/>
          <w:highlight w:val="none"/>
          <w:lang w:val="en-US" w:eastAsia="zh-CN"/>
        </w:rPr>
        <w:t>09</w:t>
      </w:r>
      <w:r>
        <w:rPr>
          <w:rFonts w:hint="eastAsia" w:ascii="仿宋" w:hAnsi="仿宋" w:eastAsia="仿宋" w:cs="仿宋"/>
          <w:b/>
          <w:bCs/>
          <w:color w:val="auto"/>
          <w:sz w:val="36"/>
          <w:szCs w:val="36"/>
          <w:highlight w:val="none"/>
        </w:rPr>
        <w:t>月</w:t>
      </w:r>
      <w:bookmarkStart w:id="0" w:name="_Toc852"/>
      <w:bookmarkStart w:id="1" w:name="_Toc21160"/>
      <w:bookmarkStart w:id="2" w:name="_Toc16154"/>
      <w:bookmarkStart w:id="3" w:name="_Toc6774"/>
      <w:bookmarkStart w:id="4" w:name="_Toc20135"/>
      <w:bookmarkStart w:id="5" w:name="_Toc7047"/>
      <w:bookmarkStart w:id="6" w:name="_Toc1"/>
      <w:bookmarkStart w:id="7" w:name="_Toc10513"/>
      <w:r>
        <w:rPr>
          <w:rFonts w:hint="eastAsia" w:ascii="仿宋" w:hAnsi="仿宋" w:eastAsia="仿宋" w:cs="仿宋"/>
          <w:b/>
          <w:bCs/>
          <w:color w:val="auto"/>
          <w:sz w:val="36"/>
          <w:szCs w:val="36"/>
          <w:highlight w:val="none"/>
          <w:lang w:val="en-US" w:eastAsia="zh-CN"/>
        </w:rPr>
        <w:t>22</w:t>
      </w:r>
      <w:r>
        <w:rPr>
          <w:rFonts w:hint="eastAsia" w:ascii="仿宋" w:hAnsi="仿宋" w:eastAsia="仿宋" w:cs="仿宋"/>
          <w:b/>
          <w:bCs/>
          <w:color w:val="auto"/>
          <w:sz w:val="36"/>
          <w:szCs w:val="36"/>
          <w:highlight w:val="none"/>
        </w:rPr>
        <w:t>日</w:t>
      </w:r>
    </w:p>
    <w:p w14:paraId="20E3187F">
      <w:pPr>
        <w:pStyle w:val="18"/>
        <w:tabs>
          <w:tab w:val="right" w:leader="dot" w:pos="9072"/>
        </w:tabs>
        <w:spacing w:after="381" w:afterLines="100" w:line="440" w:lineRule="exact"/>
        <w:ind w:left="567" w:right="566" w:rightChars="200"/>
        <w:jc w:val="center"/>
        <w:rPr>
          <w:rFonts w:ascii="Calibri Light" w:hAnsi="Calibri Light" w:eastAsia="华文仿宋" w:cs="Calibri Light"/>
          <w:color w:val="auto"/>
          <w:kern w:val="2"/>
          <w:sz w:val="28"/>
          <w:szCs w:val="28"/>
          <w:highlight w:val="none"/>
          <w:lang w:val="en-US" w:eastAsia="zh-CN" w:bidi="ar-SA"/>
        </w:rPr>
      </w:pPr>
      <w:bookmarkStart w:id="8" w:name="_Toc29970"/>
      <w:bookmarkStart w:id="9" w:name="_Toc447"/>
      <w:bookmarkStart w:id="10" w:name="_Toc29675"/>
      <w:r>
        <w:rPr>
          <w:rFonts w:hint="eastAsia" w:ascii="黑体" w:hAnsi="黑体" w:eastAsia="黑体" w:cs="黑体"/>
          <w:color w:val="auto"/>
          <w:sz w:val="44"/>
          <w:szCs w:val="44"/>
          <w:highlight w:val="none"/>
        </w:rPr>
        <w:t>目</w:t>
      </w:r>
      <w:r>
        <w:rPr>
          <w:rFonts w:hint="eastAsia" w:ascii="黑体" w:hAnsi="黑体" w:eastAsia="黑体" w:cs="黑体"/>
          <w:color w:val="auto"/>
          <w:sz w:val="44"/>
          <w:szCs w:val="44"/>
          <w:highlight w:val="none"/>
          <w:lang w:val="en-US" w:eastAsia="zh-CN"/>
        </w:rPr>
        <w:t xml:space="preserve">  </w:t>
      </w:r>
      <w:r>
        <w:rPr>
          <w:rFonts w:hint="eastAsia" w:ascii="黑体" w:hAnsi="黑体" w:eastAsia="黑体" w:cs="黑体"/>
          <w:color w:val="auto"/>
          <w:sz w:val="44"/>
          <w:szCs w:val="44"/>
          <w:highlight w:val="none"/>
        </w:rPr>
        <w:t>录</w:t>
      </w:r>
      <w:bookmarkEnd w:id="0"/>
      <w:bookmarkEnd w:id="1"/>
      <w:bookmarkEnd w:id="2"/>
      <w:bookmarkEnd w:id="3"/>
      <w:bookmarkEnd w:id="4"/>
      <w:bookmarkEnd w:id="5"/>
      <w:bookmarkEnd w:id="6"/>
      <w:bookmarkEnd w:id="7"/>
      <w:bookmarkEnd w:id="8"/>
      <w:bookmarkEnd w:id="9"/>
      <w:bookmarkEnd w:id="10"/>
      <w:bookmarkStart w:id="11" w:name="_Toc445306491"/>
      <w:bookmarkStart w:id="12" w:name="_Toc495014647"/>
      <w:bookmarkStart w:id="13" w:name="_Toc495014609"/>
      <w:bookmarkStart w:id="14" w:name="_Toc495012769"/>
      <w:bookmarkStart w:id="15" w:name="_Toc495014583"/>
      <w:bookmarkStart w:id="16" w:name="_Toc495012819"/>
      <w:bookmarkStart w:id="17" w:name="_Toc26289"/>
      <w:bookmarkStart w:id="18" w:name="_Toc495014918"/>
      <w:r>
        <w:rPr>
          <w:color w:val="auto"/>
          <w:highlight w:val="none"/>
        </w:rPr>
        <w:fldChar w:fldCharType="begin"/>
      </w:r>
      <w:r>
        <w:rPr>
          <w:color w:val="auto"/>
          <w:highlight w:val="none"/>
        </w:rPr>
        <w:instrText xml:space="preserve">TOC \o "1-3" \u </w:instrText>
      </w:r>
      <w:r>
        <w:rPr>
          <w:color w:val="auto"/>
          <w:highlight w:val="none"/>
        </w:rPr>
        <w:fldChar w:fldCharType="separate"/>
      </w:r>
    </w:p>
    <w:p w14:paraId="0D9E82B5">
      <w:pPr>
        <w:pStyle w:val="1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szCs w:val="32"/>
          <w:highlight w:val="none"/>
        </w:rPr>
        <w:t>第一章  投标邀请函</w:t>
      </w:r>
      <w:r>
        <w:rPr>
          <w:color w:val="auto"/>
          <w:highlight w:val="none"/>
        </w:rPr>
        <w:tab/>
      </w:r>
      <w:r>
        <w:rPr>
          <w:color w:val="auto"/>
          <w:highlight w:val="none"/>
        </w:rPr>
        <w:fldChar w:fldCharType="begin"/>
      </w:r>
      <w:r>
        <w:rPr>
          <w:color w:val="auto"/>
          <w:highlight w:val="none"/>
        </w:rPr>
        <w:instrText xml:space="preserve"> PAGEREF _Toc11397 \h </w:instrText>
      </w:r>
      <w:r>
        <w:rPr>
          <w:color w:val="auto"/>
          <w:highlight w:val="none"/>
        </w:rPr>
        <w:fldChar w:fldCharType="separate"/>
      </w:r>
      <w:r>
        <w:rPr>
          <w:color w:val="auto"/>
          <w:highlight w:val="none"/>
        </w:rPr>
        <w:t>1</w:t>
      </w:r>
      <w:r>
        <w:rPr>
          <w:color w:val="auto"/>
          <w:highlight w:val="none"/>
        </w:rPr>
        <w:fldChar w:fldCharType="end"/>
      </w:r>
    </w:p>
    <w:p w14:paraId="0F83D9A7">
      <w:pPr>
        <w:pStyle w:val="1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szCs w:val="32"/>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_Toc23317 \h </w:instrText>
      </w:r>
      <w:r>
        <w:rPr>
          <w:color w:val="auto"/>
          <w:highlight w:val="none"/>
        </w:rPr>
        <w:fldChar w:fldCharType="separate"/>
      </w:r>
      <w:r>
        <w:rPr>
          <w:color w:val="auto"/>
          <w:highlight w:val="none"/>
        </w:rPr>
        <w:t>7</w:t>
      </w:r>
      <w:r>
        <w:rPr>
          <w:color w:val="auto"/>
          <w:highlight w:val="none"/>
        </w:rPr>
        <w:fldChar w:fldCharType="end"/>
      </w:r>
    </w:p>
    <w:p w14:paraId="567E9BFE">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一、定义</w:t>
      </w:r>
      <w:r>
        <w:rPr>
          <w:color w:val="auto"/>
          <w:highlight w:val="none"/>
        </w:rPr>
        <w:tab/>
      </w:r>
      <w:r>
        <w:rPr>
          <w:color w:val="auto"/>
          <w:highlight w:val="none"/>
        </w:rPr>
        <w:fldChar w:fldCharType="begin"/>
      </w:r>
      <w:r>
        <w:rPr>
          <w:color w:val="auto"/>
          <w:highlight w:val="none"/>
        </w:rPr>
        <w:instrText xml:space="preserve"> PAGEREF _Toc16222 \h </w:instrText>
      </w:r>
      <w:r>
        <w:rPr>
          <w:color w:val="auto"/>
          <w:highlight w:val="none"/>
        </w:rPr>
        <w:fldChar w:fldCharType="separate"/>
      </w:r>
      <w:r>
        <w:rPr>
          <w:color w:val="auto"/>
          <w:highlight w:val="none"/>
        </w:rPr>
        <w:t>7</w:t>
      </w:r>
      <w:r>
        <w:rPr>
          <w:color w:val="auto"/>
          <w:highlight w:val="none"/>
        </w:rPr>
        <w:fldChar w:fldCharType="end"/>
      </w:r>
    </w:p>
    <w:p w14:paraId="68C61308">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二、投标人注意事项</w:t>
      </w:r>
      <w:r>
        <w:rPr>
          <w:color w:val="auto"/>
          <w:highlight w:val="none"/>
        </w:rPr>
        <w:tab/>
      </w:r>
      <w:r>
        <w:rPr>
          <w:color w:val="auto"/>
          <w:highlight w:val="none"/>
        </w:rPr>
        <w:fldChar w:fldCharType="begin"/>
      </w:r>
      <w:r>
        <w:rPr>
          <w:color w:val="auto"/>
          <w:highlight w:val="none"/>
        </w:rPr>
        <w:instrText xml:space="preserve"> PAGEREF _Toc24264 \h </w:instrText>
      </w:r>
      <w:r>
        <w:rPr>
          <w:color w:val="auto"/>
          <w:highlight w:val="none"/>
        </w:rPr>
        <w:fldChar w:fldCharType="separate"/>
      </w:r>
      <w:r>
        <w:rPr>
          <w:color w:val="auto"/>
          <w:highlight w:val="none"/>
        </w:rPr>
        <w:t>7</w:t>
      </w:r>
      <w:r>
        <w:rPr>
          <w:color w:val="auto"/>
          <w:highlight w:val="none"/>
        </w:rPr>
        <w:fldChar w:fldCharType="end"/>
      </w:r>
    </w:p>
    <w:p w14:paraId="06CD978F">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三、招标文件</w:t>
      </w:r>
      <w:r>
        <w:rPr>
          <w:color w:val="auto"/>
          <w:highlight w:val="none"/>
        </w:rPr>
        <w:tab/>
      </w:r>
      <w:r>
        <w:rPr>
          <w:color w:val="auto"/>
          <w:highlight w:val="none"/>
        </w:rPr>
        <w:fldChar w:fldCharType="begin"/>
      </w:r>
      <w:r>
        <w:rPr>
          <w:color w:val="auto"/>
          <w:highlight w:val="none"/>
        </w:rPr>
        <w:instrText xml:space="preserve"> PAGEREF _Toc13167 \h </w:instrText>
      </w:r>
      <w:r>
        <w:rPr>
          <w:color w:val="auto"/>
          <w:highlight w:val="none"/>
        </w:rPr>
        <w:fldChar w:fldCharType="separate"/>
      </w:r>
      <w:r>
        <w:rPr>
          <w:color w:val="auto"/>
          <w:highlight w:val="none"/>
        </w:rPr>
        <w:t>15</w:t>
      </w:r>
      <w:r>
        <w:rPr>
          <w:color w:val="auto"/>
          <w:highlight w:val="none"/>
        </w:rPr>
        <w:fldChar w:fldCharType="end"/>
      </w:r>
    </w:p>
    <w:p w14:paraId="7777EA00">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四、投标报价</w:t>
      </w:r>
      <w:r>
        <w:rPr>
          <w:color w:val="auto"/>
          <w:highlight w:val="none"/>
        </w:rPr>
        <w:tab/>
      </w:r>
      <w:r>
        <w:rPr>
          <w:color w:val="auto"/>
          <w:highlight w:val="none"/>
        </w:rPr>
        <w:fldChar w:fldCharType="begin"/>
      </w:r>
      <w:r>
        <w:rPr>
          <w:color w:val="auto"/>
          <w:highlight w:val="none"/>
        </w:rPr>
        <w:instrText xml:space="preserve"> PAGEREF _Toc17025 \h </w:instrText>
      </w:r>
      <w:r>
        <w:rPr>
          <w:color w:val="auto"/>
          <w:highlight w:val="none"/>
        </w:rPr>
        <w:fldChar w:fldCharType="separate"/>
      </w:r>
      <w:r>
        <w:rPr>
          <w:color w:val="auto"/>
          <w:highlight w:val="none"/>
        </w:rPr>
        <w:t>17</w:t>
      </w:r>
      <w:r>
        <w:rPr>
          <w:color w:val="auto"/>
          <w:highlight w:val="none"/>
        </w:rPr>
        <w:fldChar w:fldCharType="end"/>
      </w:r>
    </w:p>
    <w:p w14:paraId="155593F2">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五、投标文件</w:t>
      </w:r>
      <w:r>
        <w:rPr>
          <w:color w:val="auto"/>
          <w:highlight w:val="none"/>
        </w:rPr>
        <w:tab/>
      </w:r>
      <w:r>
        <w:rPr>
          <w:color w:val="auto"/>
          <w:highlight w:val="none"/>
        </w:rPr>
        <w:fldChar w:fldCharType="begin"/>
      </w:r>
      <w:r>
        <w:rPr>
          <w:color w:val="auto"/>
          <w:highlight w:val="none"/>
        </w:rPr>
        <w:instrText xml:space="preserve"> PAGEREF _Toc18552 \h </w:instrText>
      </w:r>
      <w:r>
        <w:rPr>
          <w:color w:val="auto"/>
          <w:highlight w:val="none"/>
        </w:rPr>
        <w:fldChar w:fldCharType="separate"/>
      </w:r>
      <w:r>
        <w:rPr>
          <w:color w:val="auto"/>
          <w:highlight w:val="none"/>
        </w:rPr>
        <w:t>18</w:t>
      </w:r>
      <w:r>
        <w:rPr>
          <w:color w:val="auto"/>
          <w:highlight w:val="none"/>
        </w:rPr>
        <w:fldChar w:fldCharType="end"/>
      </w:r>
    </w:p>
    <w:p w14:paraId="38C3101D">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六、组织开标</w:t>
      </w:r>
      <w:r>
        <w:rPr>
          <w:color w:val="auto"/>
          <w:highlight w:val="none"/>
        </w:rPr>
        <w:tab/>
      </w:r>
      <w:r>
        <w:rPr>
          <w:color w:val="auto"/>
          <w:highlight w:val="none"/>
        </w:rPr>
        <w:fldChar w:fldCharType="begin"/>
      </w:r>
      <w:r>
        <w:rPr>
          <w:color w:val="auto"/>
          <w:highlight w:val="none"/>
        </w:rPr>
        <w:instrText xml:space="preserve"> PAGEREF _Toc22913 \h </w:instrText>
      </w:r>
      <w:r>
        <w:rPr>
          <w:color w:val="auto"/>
          <w:highlight w:val="none"/>
        </w:rPr>
        <w:fldChar w:fldCharType="separate"/>
      </w:r>
      <w:r>
        <w:rPr>
          <w:color w:val="auto"/>
          <w:highlight w:val="none"/>
        </w:rPr>
        <w:t>19</w:t>
      </w:r>
      <w:r>
        <w:rPr>
          <w:color w:val="auto"/>
          <w:highlight w:val="none"/>
        </w:rPr>
        <w:fldChar w:fldCharType="end"/>
      </w:r>
    </w:p>
    <w:p w14:paraId="2042F3AD">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七、资格审查</w:t>
      </w:r>
      <w:r>
        <w:rPr>
          <w:color w:val="auto"/>
          <w:highlight w:val="none"/>
        </w:rPr>
        <w:tab/>
      </w:r>
      <w:r>
        <w:rPr>
          <w:color w:val="auto"/>
          <w:highlight w:val="none"/>
        </w:rPr>
        <w:fldChar w:fldCharType="begin"/>
      </w:r>
      <w:r>
        <w:rPr>
          <w:color w:val="auto"/>
          <w:highlight w:val="none"/>
        </w:rPr>
        <w:instrText xml:space="preserve"> PAGEREF _Toc20401 \h </w:instrText>
      </w:r>
      <w:r>
        <w:rPr>
          <w:color w:val="auto"/>
          <w:highlight w:val="none"/>
        </w:rPr>
        <w:fldChar w:fldCharType="separate"/>
      </w:r>
      <w:r>
        <w:rPr>
          <w:color w:val="auto"/>
          <w:highlight w:val="none"/>
        </w:rPr>
        <w:t>20</w:t>
      </w:r>
      <w:r>
        <w:rPr>
          <w:color w:val="auto"/>
          <w:highlight w:val="none"/>
        </w:rPr>
        <w:fldChar w:fldCharType="end"/>
      </w:r>
    </w:p>
    <w:p w14:paraId="5A0E2D48">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八、组织评标</w:t>
      </w:r>
      <w:r>
        <w:rPr>
          <w:color w:val="auto"/>
          <w:highlight w:val="none"/>
        </w:rPr>
        <w:tab/>
      </w:r>
      <w:r>
        <w:rPr>
          <w:color w:val="auto"/>
          <w:highlight w:val="none"/>
        </w:rPr>
        <w:fldChar w:fldCharType="begin"/>
      </w:r>
      <w:r>
        <w:rPr>
          <w:color w:val="auto"/>
          <w:highlight w:val="none"/>
        </w:rPr>
        <w:instrText xml:space="preserve"> PAGEREF _Toc9308 \h </w:instrText>
      </w:r>
      <w:r>
        <w:rPr>
          <w:color w:val="auto"/>
          <w:highlight w:val="none"/>
        </w:rPr>
        <w:fldChar w:fldCharType="separate"/>
      </w:r>
      <w:r>
        <w:rPr>
          <w:color w:val="auto"/>
          <w:highlight w:val="none"/>
        </w:rPr>
        <w:t>21</w:t>
      </w:r>
      <w:r>
        <w:rPr>
          <w:color w:val="auto"/>
          <w:highlight w:val="none"/>
        </w:rPr>
        <w:fldChar w:fldCharType="end"/>
      </w:r>
    </w:p>
    <w:p w14:paraId="14880757">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九、中标</w:t>
      </w:r>
      <w:r>
        <w:rPr>
          <w:color w:val="auto"/>
          <w:highlight w:val="none"/>
        </w:rPr>
        <w:tab/>
      </w:r>
      <w:r>
        <w:rPr>
          <w:color w:val="auto"/>
          <w:highlight w:val="none"/>
        </w:rPr>
        <w:fldChar w:fldCharType="begin"/>
      </w:r>
      <w:r>
        <w:rPr>
          <w:color w:val="auto"/>
          <w:highlight w:val="none"/>
        </w:rPr>
        <w:instrText xml:space="preserve"> PAGEREF _Toc15958 \h </w:instrText>
      </w:r>
      <w:r>
        <w:rPr>
          <w:color w:val="auto"/>
          <w:highlight w:val="none"/>
        </w:rPr>
        <w:fldChar w:fldCharType="separate"/>
      </w:r>
      <w:r>
        <w:rPr>
          <w:color w:val="auto"/>
          <w:highlight w:val="none"/>
        </w:rPr>
        <w:t>26</w:t>
      </w:r>
      <w:r>
        <w:rPr>
          <w:color w:val="auto"/>
          <w:highlight w:val="none"/>
        </w:rPr>
        <w:fldChar w:fldCharType="end"/>
      </w:r>
    </w:p>
    <w:p w14:paraId="279C316D">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十、签订政府采购合同</w:t>
      </w:r>
      <w:r>
        <w:rPr>
          <w:color w:val="auto"/>
          <w:highlight w:val="none"/>
        </w:rPr>
        <w:tab/>
      </w:r>
      <w:r>
        <w:rPr>
          <w:color w:val="auto"/>
          <w:highlight w:val="none"/>
        </w:rPr>
        <w:fldChar w:fldCharType="begin"/>
      </w:r>
      <w:r>
        <w:rPr>
          <w:color w:val="auto"/>
          <w:highlight w:val="none"/>
        </w:rPr>
        <w:instrText xml:space="preserve"> PAGEREF _Toc1921 \h </w:instrText>
      </w:r>
      <w:r>
        <w:rPr>
          <w:color w:val="auto"/>
          <w:highlight w:val="none"/>
        </w:rPr>
        <w:fldChar w:fldCharType="separate"/>
      </w:r>
      <w:r>
        <w:rPr>
          <w:color w:val="auto"/>
          <w:highlight w:val="none"/>
        </w:rPr>
        <w:t>27</w:t>
      </w:r>
      <w:r>
        <w:rPr>
          <w:color w:val="auto"/>
          <w:highlight w:val="none"/>
        </w:rPr>
        <w:fldChar w:fldCharType="end"/>
      </w:r>
    </w:p>
    <w:p w14:paraId="3B35709A">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十一、其他</w:t>
      </w:r>
      <w:r>
        <w:rPr>
          <w:color w:val="auto"/>
          <w:highlight w:val="none"/>
        </w:rPr>
        <w:tab/>
      </w:r>
      <w:r>
        <w:rPr>
          <w:color w:val="auto"/>
          <w:highlight w:val="none"/>
        </w:rPr>
        <w:fldChar w:fldCharType="begin"/>
      </w:r>
      <w:r>
        <w:rPr>
          <w:color w:val="auto"/>
          <w:highlight w:val="none"/>
        </w:rPr>
        <w:instrText xml:space="preserve"> PAGEREF _Toc15906 \h </w:instrText>
      </w:r>
      <w:r>
        <w:rPr>
          <w:color w:val="auto"/>
          <w:highlight w:val="none"/>
        </w:rPr>
        <w:fldChar w:fldCharType="separate"/>
      </w:r>
      <w:r>
        <w:rPr>
          <w:color w:val="auto"/>
          <w:highlight w:val="none"/>
        </w:rPr>
        <w:t>28</w:t>
      </w:r>
      <w:r>
        <w:rPr>
          <w:color w:val="auto"/>
          <w:highlight w:val="none"/>
        </w:rPr>
        <w:fldChar w:fldCharType="end"/>
      </w:r>
    </w:p>
    <w:p w14:paraId="69FFBA8B">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华文仿宋" w:hAnsi="华文仿宋" w:cs="华文仿宋"/>
          <w:color w:val="auto"/>
          <w:szCs w:val="28"/>
          <w:highlight w:val="none"/>
        </w:rPr>
        <w:t>十二、采购代理服务费</w:t>
      </w:r>
      <w:r>
        <w:rPr>
          <w:color w:val="auto"/>
          <w:highlight w:val="none"/>
        </w:rPr>
        <w:tab/>
      </w:r>
      <w:r>
        <w:rPr>
          <w:color w:val="auto"/>
          <w:highlight w:val="none"/>
        </w:rPr>
        <w:fldChar w:fldCharType="begin"/>
      </w:r>
      <w:r>
        <w:rPr>
          <w:color w:val="auto"/>
          <w:highlight w:val="none"/>
        </w:rPr>
        <w:instrText xml:space="preserve"> PAGEREF _Toc22922 \h </w:instrText>
      </w:r>
      <w:r>
        <w:rPr>
          <w:color w:val="auto"/>
          <w:highlight w:val="none"/>
        </w:rPr>
        <w:fldChar w:fldCharType="separate"/>
      </w:r>
      <w:r>
        <w:rPr>
          <w:color w:val="auto"/>
          <w:highlight w:val="none"/>
        </w:rPr>
        <w:t>29</w:t>
      </w:r>
      <w:r>
        <w:rPr>
          <w:color w:val="auto"/>
          <w:highlight w:val="none"/>
        </w:rPr>
        <w:fldChar w:fldCharType="end"/>
      </w:r>
    </w:p>
    <w:p w14:paraId="79372B08">
      <w:pPr>
        <w:pStyle w:val="1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szCs w:val="32"/>
          <w:highlight w:val="none"/>
        </w:rPr>
        <w:t>第三章  评审办法及标准</w:t>
      </w:r>
      <w:r>
        <w:rPr>
          <w:color w:val="auto"/>
          <w:highlight w:val="none"/>
        </w:rPr>
        <w:tab/>
      </w:r>
      <w:r>
        <w:rPr>
          <w:color w:val="auto"/>
          <w:highlight w:val="none"/>
        </w:rPr>
        <w:fldChar w:fldCharType="begin"/>
      </w:r>
      <w:r>
        <w:rPr>
          <w:color w:val="auto"/>
          <w:highlight w:val="none"/>
        </w:rPr>
        <w:instrText xml:space="preserve"> PAGEREF _Toc10337 \h </w:instrText>
      </w:r>
      <w:r>
        <w:rPr>
          <w:color w:val="auto"/>
          <w:highlight w:val="none"/>
        </w:rPr>
        <w:fldChar w:fldCharType="separate"/>
      </w:r>
      <w:r>
        <w:rPr>
          <w:color w:val="auto"/>
          <w:highlight w:val="none"/>
        </w:rPr>
        <w:t>30</w:t>
      </w:r>
      <w:r>
        <w:rPr>
          <w:color w:val="auto"/>
          <w:highlight w:val="none"/>
        </w:rPr>
        <w:fldChar w:fldCharType="end"/>
      </w:r>
    </w:p>
    <w:p w14:paraId="12E1378C">
      <w:pPr>
        <w:pStyle w:val="1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szCs w:val="32"/>
          <w:highlight w:val="none"/>
        </w:rPr>
        <w:t>第四章  招标内容及采购要求</w:t>
      </w:r>
      <w:r>
        <w:rPr>
          <w:color w:val="auto"/>
          <w:highlight w:val="none"/>
        </w:rPr>
        <w:tab/>
      </w:r>
      <w:r>
        <w:rPr>
          <w:color w:val="auto"/>
          <w:highlight w:val="none"/>
        </w:rPr>
        <w:fldChar w:fldCharType="begin"/>
      </w:r>
      <w:r>
        <w:rPr>
          <w:color w:val="auto"/>
          <w:highlight w:val="none"/>
        </w:rPr>
        <w:instrText xml:space="preserve"> PAGEREF _Toc27121 \h </w:instrText>
      </w:r>
      <w:r>
        <w:rPr>
          <w:color w:val="auto"/>
          <w:highlight w:val="none"/>
        </w:rPr>
        <w:fldChar w:fldCharType="separate"/>
      </w:r>
      <w:r>
        <w:rPr>
          <w:color w:val="auto"/>
          <w:highlight w:val="none"/>
        </w:rPr>
        <w:t>36</w:t>
      </w:r>
      <w:r>
        <w:rPr>
          <w:color w:val="auto"/>
          <w:highlight w:val="none"/>
        </w:rPr>
        <w:fldChar w:fldCharType="end"/>
      </w:r>
    </w:p>
    <w:p w14:paraId="14785627">
      <w:pPr>
        <w:pStyle w:val="1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szCs w:val="32"/>
          <w:highlight w:val="none"/>
        </w:rPr>
        <w:t>第五章  合同基本条款</w:t>
      </w:r>
      <w:r>
        <w:rPr>
          <w:color w:val="auto"/>
          <w:highlight w:val="none"/>
        </w:rPr>
        <w:tab/>
      </w:r>
      <w:r>
        <w:rPr>
          <w:color w:val="auto"/>
          <w:highlight w:val="none"/>
        </w:rPr>
        <w:fldChar w:fldCharType="begin"/>
      </w:r>
      <w:r>
        <w:rPr>
          <w:color w:val="auto"/>
          <w:highlight w:val="none"/>
        </w:rPr>
        <w:instrText xml:space="preserve"> PAGEREF _Toc21489 \h </w:instrText>
      </w:r>
      <w:r>
        <w:rPr>
          <w:color w:val="auto"/>
          <w:highlight w:val="none"/>
        </w:rPr>
        <w:fldChar w:fldCharType="separate"/>
      </w:r>
      <w:r>
        <w:rPr>
          <w:color w:val="auto"/>
          <w:highlight w:val="none"/>
        </w:rPr>
        <w:t>45</w:t>
      </w:r>
      <w:r>
        <w:rPr>
          <w:color w:val="auto"/>
          <w:highlight w:val="none"/>
        </w:rPr>
        <w:fldChar w:fldCharType="end"/>
      </w:r>
    </w:p>
    <w:p w14:paraId="35FA6D9E">
      <w:pPr>
        <w:pStyle w:val="16"/>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szCs w:val="32"/>
          <w:highlight w:val="none"/>
        </w:rPr>
        <w:t>第六章  投标文件构成及格式</w:t>
      </w:r>
      <w:r>
        <w:rPr>
          <w:color w:val="auto"/>
          <w:highlight w:val="none"/>
        </w:rPr>
        <w:tab/>
      </w:r>
      <w:r>
        <w:rPr>
          <w:color w:val="auto"/>
          <w:highlight w:val="none"/>
        </w:rPr>
        <w:fldChar w:fldCharType="begin"/>
      </w:r>
      <w:r>
        <w:rPr>
          <w:color w:val="auto"/>
          <w:highlight w:val="none"/>
        </w:rPr>
        <w:instrText xml:space="preserve"> PAGEREF _Toc27494 \h </w:instrText>
      </w:r>
      <w:r>
        <w:rPr>
          <w:color w:val="auto"/>
          <w:highlight w:val="none"/>
        </w:rPr>
        <w:fldChar w:fldCharType="separate"/>
      </w:r>
      <w:r>
        <w:rPr>
          <w:color w:val="auto"/>
          <w:highlight w:val="none"/>
        </w:rPr>
        <w:t>47</w:t>
      </w:r>
      <w:r>
        <w:rPr>
          <w:color w:val="auto"/>
          <w:highlight w:val="none"/>
        </w:rPr>
        <w:fldChar w:fldCharType="end"/>
      </w:r>
    </w:p>
    <w:p w14:paraId="322EE8B9">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highlight w:val="none"/>
        </w:rPr>
        <w:t>第一部分  资格证明文件</w:t>
      </w:r>
      <w:r>
        <w:rPr>
          <w:color w:val="auto"/>
          <w:highlight w:val="none"/>
        </w:rPr>
        <w:tab/>
      </w:r>
      <w:r>
        <w:rPr>
          <w:color w:val="auto"/>
          <w:highlight w:val="none"/>
        </w:rPr>
        <w:fldChar w:fldCharType="begin"/>
      </w:r>
      <w:r>
        <w:rPr>
          <w:color w:val="auto"/>
          <w:highlight w:val="none"/>
        </w:rPr>
        <w:instrText xml:space="preserve"> PAGEREF _Toc13957 \h </w:instrText>
      </w:r>
      <w:r>
        <w:rPr>
          <w:color w:val="auto"/>
          <w:highlight w:val="none"/>
        </w:rPr>
        <w:fldChar w:fldCharType="separate"/>
      </w:r>
      <w:r>
        <w:rPr>
          <w:color w:val="auto"/>
          <w:highlight w:val="none"/>
        </w:rPr>
        <w:t>50</w:t>
      </w:r>
      <w:r>
        <w:rPr>
          <w:color w:val="auto"/>
          <w:highlight w:val="none"/>
        </w:rPr>
        <w:fldChar w:fldCharType="end"/>
      </w:r>
    </w:p>
    <w:p w14:paraId="7504E403">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highlight w:val="none"/>
        </w:rPr>
        <w:t>第二部分  符合性证明文件</w:t>
      </w:r>
      <w:r>
        <w:rPr>
          <w:color w:val="auto"/>
          <w:highlight w:val="none"/>
        </w:rPr>
        <w:tab/>
      </w:r>
      <w:r>
        <w:rPr>
          <w:color w:val="auto"/>
          <w:highlight w:val="none"/>
        </w:rPr>
        <w:fldChar w:fldCharType="begin"/>
      </w:r>
      <w:r>
        <w:rPr>
          <w:color w:val="auto"/>
          <w:highlight w:val="none"/>
        </w:rPr>
        <w:instrText xml:space="preserve"> PAGEREF _Toc19563 \h </w:instrText>
      </w:r>
      <w:r>
        <w:rPr>
          <w:color w:val="auto"/>
          <w:highlight w:val="none"/>
        </w:rPr>
        <w:fldChar w:fldCharType="separate"/>
      </w:r>
      <w:r>
        <w:rPr>
          <w:color w:val="auto"/>
          <w:highlight w:val="none"/>
        </w:rPr>
        <w:t>60</w:t>
      </w:r>
      <w:r>
        <w:rPr>
          <w:color w:val="auto"/>
          <w:highlight w:val="none"/>
        </w:rPr>
        <w:fldChar w:fldCharType="end"/>
      </w:r>
    </w:p>
    <w:p w14:paraId="32B6583E">
      <w:pPr>
        <w:pStyle w:val="18"/>
        <w:keepNext w:val="0"/>
        <w:keepLines w:val="0"/>
        <w:pageBreakBefore w:val="0"/>
        <w:widowControl/>
        <w:tabs>
          <w:tab w:val="right" w:leader="dot" w:pos="9072"/>
        </w:tabs>
        <w:kinsoku/>
        <w:wordWrap/>
        <w:overflowPunct/>
        <w:topLinePunct w:val="0"/>
        <w:autoSpaceDE/>
        <w:autoSpaceDN/>
        <w:bidi w:val="0"/>
        <w:adjustRightInd/>
        <w:snapToGrid/>
        <w:spacing w:line="500" w:lineRule="exact"/>
        <w:textAlignment w:val="auto"/>
        <w:rPr>
          <w:color w:val="auto"/>
          <w:highlight w:val="none"/>
        </w:rPr>
      </w:pPr>
      <w:r>
        <w:rPr>
          <w:rFonts w:hint="eastAsia" w:ascii="黑体" w:hAnsi="黑体" w:eastAsia="黑体" w:cs="黑体"/>
          <w:bCs w:val="0"/>
          <w:color w:val="auto"/>
          <w:highlight w:val="none"/>
        </w:rPr>
        <w:t>第三部分  投标方案</w:t>
      </w:r>
      <w:r>
        <w:rPr>
          <w:color w:val="auto"/>
          <w:highlight w:val="none"/>
        </w:rPr>
        <w:tab/>
      </w:r>
      <w:r>
        <w:rPr>
          <w:color w:val="auto"/>
          <w:highlight w:val="none"/>
        </w:rPr>
        <w:fldChar w:fldCharType="begin"/>
      </w:r>
      <w:r>
        <w:rPr>
          <w:color w:val="auto"/>
          <w:highlight w:val="none"/>
        </w:rPr>
        <w:instrText xml:space="preserve"> PAGEREF _Toc28580 \h </w:instrText>
      </w:r>
      <w:r>
        <w:rPr>
          <w:color w:val="auto"/>
          <w:highlight w:val="none"/>
        </w:rPr>
        <w:fldChar w:fldCharType="separate"/>
      </w:r>
      <w:r>
        <w:rPr>
          <w:color w:val="auto"/>
          <w:highlight w:val="none"/>
        </w:rPr>
        <w:t>68</w:t>
      </w:r>
      <w:r>
        <w:rPr>
          <w:color w:val="auto"/>
          <w:highlight w:val="none"/>
        </w:rPr>
        <w:fldChar w:fldCharType="end"/>
      </w:r>
    </w:p>
    <w:p w14:paraId="61FDAB8C">
      <w:pPr>
        <w:tabs>
          <w:tab w:val="right" w:leader="hyphen" w:pos="8504"/>
        </w:tabs>
        <w:spacing w:after="381" w:afterLines="100" w:line="440" w:lineRule="exact"/>
        <w:ind w:left="567" w:right="566" w:rightChars="200"/>
        <w:jc w:val="center"/>
        <w:rPr>
          <w:rFonts w:ascii="黑体" w:hAnsi="黑体" w:eastAsia="黑体" w:cs="Times New Roman"/>
          <w:color w:val="auto"/>
          <w:sz w:val="32"/>
          <w:szCs w:val="32"/>
          <w:highlight w:val="none"/>
        </w:rPr>
        <w:sectPr>
          <w:headerReference r:id="rId7" w:type="default"/>
          <w:footerReference r:id="rId8" w:type="default"/>
          <w:pgSz w:w="11906" w:h="16838"/>
          <w:pgMar w:top="1417" w:right="1417" w:bottom="1417" w:left="1417" w:header="794" w:footer="992" w:gutter="0"/>
          <w:pgNumType w:fmt="numberInDash" w:start="1"/>
          <w:cols w:space="720" w:num="1"/>
          <w:docGrid w:type="linesAndChars" w:linePitch="381" w:charSpace="704"/>
        </w:sectPr>
      </w:pPr>
      <w:r>
        <w:rPr>
          <w:color w:val="auto"/>
          <w:highlight w:val="none"/>
        </w:rPr>
        <w:fldChar w:fldCharType="end"/>
      </w:r>
    </w:p>
    <w:p w14:paraId="304CD554">
      <w:pPr>
        <w:tabs>
          <w:tab w:val="right" w:leader="hyphen" w:pos="8504"/>
        </w:tabs>
        <w:spacing w:after="381" w:afterLines="100" w:line="440" w:lineRule="exact"/>
        <w:ind w:left="567" w:right="566" w:rightChars="200"/>
        <w:jc w:val="center"/>
        <w:outlineLvl w:val="0"/>
        <w:rPr>
          <w:rFonts w:ascii="黑体" w:hAnsi="黑体" w:eastAsia="黑体" w:cs="Times New Roman"/>
          <w:b w:val="0"/>
          <w:bCs w:val="0"/>
          <w:color w:val="auto"/>
          <w:sz w:val="32"/>
          <w:szCs w:val="32"/>
          <w:highlight w:val="none"/>
        </w:rPr>
      </w:pPr>
      <w:bookmarkStart w:id="19" w:name="_Toc21838"/>
      <w:bookmarkStart w:id="20" w:name="_Toc11397"/>
      <w:r>
        <w:rPr>
          <w:rFonts w:hint="eastAsia" w:ascii="黑体" w:hAnsi="黑体" w:eastAsia="黑体" w:cs="黑体"/>
          <w:b w:val="0"/>
          <w:bCs w:val="0"/>
          <w:color w:val="auto"/>
          <w:sz w:val="32"/>
          <w:szCs w:val="32"/>
          <w:highlight w:val="none"/>
        </w:rPr>
        <w:t>第一章  投标邀请函</w:t>
      </w:r>
      <w:bookmarkEnd w:id="11"/>
      <w:bookmarkEnd w:id="12"/>
      <w:bookmarkEnd w:id="13"/>
      <w:bookmarkEnd w:id="14"/>
      <w:bookmarkEnd w:id="15"/>
      <w:bookmarkEnd w:id="16"/>
      <w:bookmarkEnd w:id="17"/>
      <w:bookmarkEnd w:id="18"/>
      <w:bookmarkEnd w:id="19"/>
      <w:bookmarkEnd w:id="20"/>
    </w:p>
    <w:p w14:paraId="60405F9F">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lang w:val="en-US" w:eastAsia="zh-CN"/>
        </w:rPr>
        <w:t>陕西交通职业技术学院</w:t>
      </w:r>
      <w:r>
        <w:rPr>
          <w:rFonts w:hint="eastAsia" w:ascii="仿宋" w:hAnsi="仿宋" w:eastAsia="仿宋" w:cs="仿宋"/>
          <w:b/>
          <w:bCs/>
          <w:color w:val="auto"/>
          <w:highlight w:val="none"/>
          <w:lang w:val="en-US" w:eastAsia="zh-CN"/>
        </w:rPr>
        <w:t>2025</w:t>
      </w:r>
      <w:r>
        <w:rPr>
          <w:rFonts w:hint="eastAsia" w:ascii="华文仿宋" w:hAnsi="华文仿宋" w:cs="华文仿宋"/>
          <w:b/>
          <w:bCs/>
          <w:color w:val="auto"/>
          <w:highlight w:val="none"/>
          <w:lang w:val="en-US" w:eastAsia="zh-CN"/>
        </w:rPr>
        <w:t>年云数据中心升级扩容项目</w:t>
      </w:r>
      <w:r>
        <w:rPr>
          <w:rFonts w:hint="eastAsia" w:ascii="华文仿宋" w:hAnsi="华文仿宋" w:cs="华文仿宋"/>
          <w:color w:val="auto"/>
          <w:highlight w:val="none"/>
        </w:rPr>
        <w:t>潜在的投标人可在全国公共资源交易中心平台（陕西省）政府采购交易系统获取招标文件，并于</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rPr>
        <w:t xml:space="preserve"> 09:30:00</w:t>
      </w:r>
      <w:r>
        <w:rPr>
          <w:rFonts w:hint="eastAsia" w:ascii="华文仿宋" w:hAnsi="华文仿宋" w:cs="华文仿宋"/>
          <w:color w:val="auto"/>
          <w:highlight w:val="none"/>
        </w:rPr>
        <w:t>前递交投标文件。</w:t>
      </w:r>
    </w:p>
    <w:p w14:paraId="2546EF99">
      <w:pPr>
        <w:numPr>
          <w:ilvl w:val="0"/>
          <w:numId w:val="1"/>
        </w:numPr>
        <w:spacing w:line="500" w:lineRule="exact"/>
        <w:ind w:firstLine="566" w:firstLineChars="200"/>
        <w:rPr>
          <w:rFonts w:ascii="华文仿宋" w:hAnsi="华文仿宋" w:eastAsia="仿宋" w:cs="Times New Roman"/>
          <w:color w:val="auto"/>
          <w:highlight w:val="none"/>
        </w:rPr>
      </w:pPr>
      <w:r>
        <w:rPr>
          <w:rFonts w:hint="eastAsia" w:ascii="华文仿宋" w:hAnsi="华文仿宋" w:cs="华文仿宋"/>
          <w:b/>
          <w:bCs/>
          <w:color w:val="auto"/>
          <w:highlight w:val="none"/>
        </w:rPr>
        <w:t>项目名称</w:t>
      </w:r>
      <w:r>
        <w:rPr>
          <w:rFonts w:hint="eastAsia" w:ascii="华文仿宋" w:hAnsi="华文仿宋" w:cs="华文仿宋"/>
          <w:color w:val="auto"/>
          <w:highlight w:val="none"/>
        </w:rPr>
        <w:t>：</w:t>
      </w:r>
      <w:r>
        <w:rPr>
          <w:rFonts w:hint="eastAsia" w:ascii="华文仿宋" w:hAnsi="华文仿宋" w:cs="华文仿宋"/>
          <w:color w:val="auto"/>
          <w:highlight w:val="none"/>
          <w:lang w:val="en-US" w:eastAsia="zh-CN"/>
        </w:rPr>
        <w:t>陕西交通职业技术学院</w:t>
      </w:r>
      <w:r>
        <w:rPr>
          <w:rFonts w:hint="eastAsia" w:ascii="仿宋" w:hAnsi="仿宋" w:eastAsia="仿宋" w:cs="仿宋"/>
          <w:color w:val="auto"/>
          <w:highlight w:val="none"/>
          <w:lang w:val="en-US" w:eastAsia="zh-CN"/>
        </w:rPr>
        <w:t>2025</w:t>
      </w:r>
      <w:r>
        <w:rPr>
          <w:rFonts w:hint="eastAsia" w:ascii="华文仿宋" w:hAnsi="华文仿宋" w:cs="华文仿宋"/>
          <w:color w:val="auto"/>
          <w:highlight w:val="none"/>
          <w:lang w:val="en-US" w:eastAsia="zh-CN"/>
        </w:rPr>
        <w:t>年云数据中心升级扩容项目</w:t>
      </w:r>
    </w:p>
    <w:p w14:paraId="3FBCF842">
      <w:pPr>
        <w:numPr>
          <w:ilvl w:val="0"/>
          <w:numId w:val="1"/>
        </w:numPr>
        <w:spacing w:line="500" w:lineRule="exact"/>
        <w:ind w:firstLine="566" w:firstLineChars="200"/>
        <w:rPr>
          <w:rFonts w:hint="eastAsia" w:ascii="仿宋" w:hAnsi="仿宋" w:eastAsia="仿宋" w:cs="仿宋"/>
          <w:color w:val="auto"/>
          <w:highlight w:val="none"/>
        </w:rPr>
      </w:pPr>
      <w:r>
        <w:rPr>
          <w:rFonts w:hint="eastAsia" w:ascii="华文仿宋" w:hAnsi="华文仿宋" w:cs="华文仿宋"/>
          <w:b/>
          <w:bCs/>
          <w:color w:val="auto"/>
          <w:highlight w:val="none"/>
        </w:rPr>
        <w:t>项目编号</w:t>
      </w:r>
      <w:r>
        <w:rPr>
          <w:rFonts w:hint="eastAsia" w:ascii="华文仿宋" w:hAnsi="华文仿宋" w:cs="华文仿宋"/>
          <w:color w:val="auto"/>
          <w:highlight w:val="none"/>
        </w:rPr>
        <w:t>：</w:t>
      </w:r>
      <w:r>
        <w:rPr>
          <w:rFonts w:hint="eastAsia" w:ascii="仿宋" w:hAnsi="仿宋" w:eastAsia="仿宋" w:cs="仿宋"/>
          <w:color w:val="auto"/>
          <w:highlight w:val="none"/>
        </w:rPr>
        <w:t>SNCG-FM-202</w:t>
      </w:r>
      <w:r>
        <w:rPr>
          <w:rFonts w:hint="eastAsia" w:ascii="仿宋" w:hAnsi="仿宋" w:eastAsia="仿宋" w:cs="仿宋"/>
          <w:color w:val="auto"/>
          <w:highlight w:val="none"/>
          <w:lang w:val="en-US" w:eastAsia="zh-CN"/>
        </w:rPr>
        <w:t>5072</w:t>
      </w:r>
    </w:p>
    <w:p w14:paraId="44F07967">
      <w:pPr>
        <w:numPr>
          <w:ilvl w:val="0"/>
          <w:numId w:val="1"/>
        </w:numPr>
        <w:shd w:val="clear" w:color="auto" w:fill="auto"/>
        <w:spacing w:line="500" w:lineRule="exact"/>
        <w:ind w:firstLine="566" w:firstLineChars="200"/>
        <w:rPr>
          <w:rFonts w:hint="eastAsia" w:ascii="华文仿宋" w:hAnsi="华文仿宋" w:eastAsia="华文仿宋" w:cs="华文仿宋"/>
          <w:color w:val="auto"/>
          <w:highlight w:val="none"/>
          <w:lang w:eastAsia="zh-CN"/>
        </w:rPr>
      </w:pPr>
      <w:r>
        <w:rPr>
          <w:rFonts w:hint="eastAsia" w:ascii="华文仿宋" w:hAnsi="华文仿宋" w:cs="华文仿宋"/>
          <w:b/>
          <w:bCs/>
          <w:color w:val="auto"/>
          <w:highlight w:val="none"/>
        </w:rPr>
        <w:t>采购人：</w:t>
      </w:r>
      <w:r>
        <w:rPr>
          <w:rFonts w:hint="eastAsia" w:ascii="华文仿宋" w:hAnsi="华文仿宋" w:cs="华文仿宋"/>
          <w:color w:val="auto"/>
          <w:highlight w:val="none"/>
          <w:lang w:eastAsia="zh-CN"/>
        </w:rPr>
        <w:t>陕西交通职业技术学院</w:t>
      </w:r>
    </w:p>
    <w:p w14:paraId="74A05A8C">
      <w:pPr>
        <w:shd w:val="clear" w:color="auto" w:fill="auto"/>
        <w:spacing w:line="500" w:lineRule="exact"/>
        <w:ind w:firstLine="1132" w:firstLineChars="400"/>
        <w:rPr>
          <w:rFonts w:hint="default" w:ascii="华文仿宋" w:hAnsi="华文仿宋" w:eastAsia="华文仿宋" w:cs="华文仿宋"/>
          <w:color w:val="auto"/>
          <w:highlight w:val="none"/>
          <w:lang w:val="en-US" w:eastAsia="zh-CN"/>
        </w:rPr>
      </w:pPr>
      <w:r>
        <w:rPr>
          <w:rFonts w:hint="eastAsia" w:ascii="华文仿宋" w:hAnsi="华文仿宋" w:cs="华文仿宋"/>
          <w:color w:val="auto"/>
          <w:highlight w:val="none"/>
        </w:rPr>
        <w:t>地址：</w:t>
      </w:r>
      <w:r>
        <w:rPr>
          <w:rFonts w:hint="eastAsia" w:ascii="华文仿宋" w:hAnsi="华文仿宋" w:cs="华文仿宋"/>
          <w:color w:val="auto"/>
          <w:highlight w:val="none"/>
          <w:lang w:val="en-US" w:eastAsia="zh-CN"/>
        </w:rPr>
        <w:t>西安市未央区文景路</w:t>
      </w:r>
      <w:r>
        <w:rPr>
          <w:rFonts w:hint="eastAsia" w:ascii="仿宋" w:hAnsi="仿宋" w:eastAsia="仿宋" w:cs="仿宋"/>
          <w:color w:val="auto"/>
          <w:highlight w:val="none"/>
          <w:lang w:val="en-US" w:eastAsia="zh-CN"/>
        </w:rPr>
        <w:t>19</w:t>
      </w:r>
      <w:r>
        <w:rPr>
          <w:rFonts w:hint="eastAsia" w:ascii="华文仿宋" w:hAnsi="华文仿宋" w:cs="华文仿宋"/>
          <w:color w:val="auto"/>
          <w:highlight w:val="none"/>
          <w:lang w:val="en-US" w:eastAsia="zh-CN"/>
        </w:rPr>
        <w:t>号</w:t>
      </w:r>
    </w:p>
    <w:p w14:paraId="38D1CFA5">
      <w:pPr>
        <w:pStyle w:val="46"/>
        <w:shd w:val="clear" w:color="auto" w:fill="auto"/>
        <w:spacing w:line="500" w:lineRule="exact"/>
        <w:rPr>
          <w:rFonts w:ascii="华文仿宋" w:hAnsi="华文仿宋" w:cs="华文仿宋"/>
          <w:color w:val="auto"/>
          <w:highlight w:val="none"/>
        </w:rPr>
      </w:pPr>
      <w:r>
        <w:rPr>
          <w:rFonts w:hint="eastAsia" w:ascii="华文仿宋" w:hAnsi="华文仿宋" w:cs="华文仿宋"/>
          <w:color w:val="auto"/>
          <w:highlight w:val="none"/>
        </w:rPr>
        <w:t>联系人：</w:t>
      </w:r>
      <w:r>
        <w:rPr>
          <w:rFonts w:hint="eastAsia" w:ascii="华文仿宋" w:hAnsi="华文仿宋" w:cs="华文仿宋"/>
          <w:color w:val="auto"/>
          <w:highlight w:val="none"/>
          <w:lang w:val="en-US" w:eastAsia="zh-CN"/>
        </w:rPr>
        <w:t>吴老师、车</w:t>
      </w:r>
      <w:r>
        <w:rPr>
          <w:rFonts w:hint="eastAsia" w:ascii="华文仿宋" w:hAnsi="华文仿宋" w:cs="华文仿宋"/>
          <w:color w:val="auto"/>
          <w:highlight w:val="none"/>
        </w:rPr>
        <w:t>老师</w:t>
      </w:r>
    </w:p>
    <w:p w14:paraId="66D242ED">
      <w:pPr>
        <w:pStyle w:val="46"/>
        <w:shd w:val="clear" w:color="auto" w:fill="auto"/>
        <w:spacing w:line="500" w:lineRule="exact"/>
        <w:rPr>
          <w:rFonts w:hint="default" w:ascii="仿宋" w:hAnsi="仿宋" w:eastAsia="华文仿宋" w:cs="仿宋"/>
          <w:color w:val="auto"/>
          <w:highlight w:val="none"/>
          <w:lang w:val="en-US" w:eastAsia="zh-CN"/>
        </w:rPr>
      </w:pPr>
      <w:r>
        <w:rPr>
          <w:rFonts w:hint="eastAsia" w:ascii="华文仿宋" w:hAnsi="华文仿宋" w:cs="华文仿宋"/>
          <w:color w:val="auto"/>
          <w:highlight w:val="none"/>
        </w:rPr>
        <w:t>联系方式：</w:t>
      </w:r>
      <w:r>
        <w:rPr>
          <w:rFonts w:hint="eastAsia" w:ascii="仿宋" w:hAnsi="仿宋" w:eastAsia="仿宋" w:cs="仿宋"/>
          <w:color w:val="auto"/>
          <w:highlight w:val="none"/>
          <w:lang w:val="en-US" w:eastAsia="zh-CN"/>
        </w:rPr>
        <w:t>029-86405598</w:t>
      </w:r>
    </w:p>
    <w:p w14:paraId="0614BB9C">
      <w:pPr>
        <w:spacing w:line="500" w:lineRule="exact"/>
        <w:ind w:firstLine="566" w:firstLineChars="200"/>
        <w:rPr>
          <w:rFonts w:ascii="华文仿宋" w:cs="Times New Roman"/>
          <w:color w:val="auto"/>
          <w:highlight w:val="none"/>
        </w:rPr>
      </w:pPr>
      <w:r>
        <w:rPr>
          <w:rFonts w:hint="eastAsia" w:ascii="华文仿宋" w:hAnsi="华文仿宋" w:cs="华文仿宋"/>
          <w:b/>
          <w:bCs/>
          <w:color w:val="auto"/>
          <w:highlight w:val="none"/>
        </w:rPr>
        <w:t>四、采购代理机构</w:t>
      </w:r>
      <w:r>
        <w:rPr>
          <w:rFonts w:hint="eastAsia" w:ascii="华文仿宋" w:hAnsi="华文仿宋" w:cs="华文仿宋"/>
          <w:color w:val="auto"/>
          <w:highlight w:val="none"/>
        </w:rPr>
        <w:t>：</w:t>
      </w:r>
      <w:r>
        <w:rPr>
          <w:rFonts w:hint="eastAsia" w:ascii="华文仿宋" w:hAnsi="华文仿宋" w:cs="华文仿宋"/>
          <w:color w:val="auto"/>
          <w:highlight w:val="none"/>
          <w:lang w:val="zh-CN"/>
        </w:rPr>
        <w:t>陕西省省级单位政府采购中心</w:t>
      </w:r>
    </w:p>
    <w:p w14:paraId="1FB18E2F">
      <w:pPr>
        <w:pStyle w:val="46"/>
        <w:spacing w:line="500" w:lineRule="exact"/>
        <w:rPr>
          <w:rFonts w:ascii="华文仿宋" w:cs="Times New Roman"/>
          <w:color w:val="auto"/>
          <w:highlight w:val="none"/>
        </w:rPr>
      </w:pPr>
      <w:r>
        <w:rPr>
          <w:rFonts w:hint="eastAsia" w:ascii="华文仿宋" w:hAnsi="华文仿宋" w:cs="华文仿宋"/>
          <w:color w:val="auto"/>
          <w:highlight w:val="none"/>
        </w:rPr>
        <w:t>地址：西安市碑林区长安北路</w:t>
      </w:r>
      <w:r>
        <w:rPr>
          <w:rFonts w:ascii="仿宋" w:hAnsi="仿宋" w:eastAsia="仿宋" w:cs="仿宋"/>
          <w:color w:val="auto"/>
          <w:highlight w:val="none"/>
        </w:rPr>
        <w:t>14</w:t>
      </w:r>
      <w:r>
        <w:rPr>
          <w:rFonts w:hint="eastAsia" w:ascii="华文仿宋" w:hAnsi="华文仿宋" w:cs="华文仿宋"/>
          <w:color w:val="auto"/>
          <w:highlight w:val="none"/>
        </w:rPr>
        <w:t>号</w:t>
      </w:r>
    </w:p>
    <w:p w14:paraId="45B11DA9">
      <w:pPr>
        <w:pStyle w:val="46"/>
        <w:spacing w:line="500" w:lineRule="exact"/>
        <w:rPr>
          <w:rFonts w:ascii="华文仿宋" w:cs="Times New Roman"/>
          <w:color w:val="auto"/>
          <w:highlight w:val="none"/>
        </w:rPr>
      </w:pPr>
      <w:r>
        <w:rPr>
          <w:rFonts w:hint="eastAsia" w:ascii="华文仿宋" w:hAnsi="华文仿宋" w:cs="华文仿宋"/>
          <w:color w:val="auto"/>
          <w:highlight w:val="none"/>
        </w:rPr>
        <w:t>联系人：</w:t>
      </w:r>
      <w:r>
        <w:rPr>
          <w:rFonts w:hint="eastAsia" w:ascii="华文仿宋" w:hAnsi="华文仿宋" w:cs="华文仿宋"/>
          <w:color w:val="auto"/>
          <w:highlight w:val="none"/>
          <w:lang w:val="en-US" w:eastAsia="zh-CN"/>
        </w:rPr>
        <w:t>陈</w:t>
      </w:r>
      <w:r>
        <w:rPr>
          <w:rFonts w:hint="eastAsia" w:ascii="华文仿宋" w:hAnsi="华文仿宋" w:cs="华文仿宋"/>
          <w:color w:val="auto"/>
          <w:highlight w:val="none"/>
        </w:rPr>
        <w:t>老师</w:t>
      </w:r>
    </w:p>
    <w:p w14:paraId="7D38ECAA">
      <w:pPr>
        <w:pStyle w:val="46"/>
        <w:spacing w:line="500" w:lineRule="exact"/>
        <w:rPr>
          <w:rFonts w:ascii="仿宋" w:eastAsia="仿宋" w:cs="Times New Roman"/>
          <w:color w:val="auto"/>
          <w:highlight w:val="none"/>
        </w:rPr>
      </w:pPr>
      <w:r>
        <w:rPr>
          <w:rFonts w:hint="eastAsia" w:ascii="华文仿宋" w:hAnsi="华文仿宋" w:cs="华文仿宋"/>
          <w:color w:val="auto"/>
          <w:highlight w:val="none"/>
        </w:rPr>
        <w:t>联系方式：</w:t>
      </w:r>
      <w:r>
        <w:rPr>
          <w:rFonts w:ascii="仿宋" w:hAnsi="仿宋" w:eastAsia="仿宋" w:cs="仿宋"/>
          <w:color w:val="auto"/>
          <w:highlight w:val="none"/>
        </w:rPr>
        <w:t>029-886612</w:t>
      </w:r>
      <w:r>
        <w:rPr>
          <w:rFonts w:hint="eastAsia" w:ascii="仿宋" w:hAnsi="仿宋" w:eastAsia="仿宋" w:cs="仿宋"/>
          <w:color w:val="auto"/>
          <w:highlight w:val="none"/>
        </w:rPr>
        <w:t>94</w:t>
      </w:r>
    </w:p>
    <w:p w14:paraId="0C1FAB56">
      <w:pPr>
        <w:spacing w:line="500" w:lineRule="exact"/>
        <w:ind w:firstLine="566" w:firstLineChars="200"/>
        <w:rPr>
          <w:rFonts w:cs="Times New Roman"/>
          <w:color w:val="auto"/>
          <w:highlight w:val="none"/>
        </w:rPr>
      </w:pPr>
      <w:r>
        <w:rPr>
          <w:rFonts w:hint="eastAsia" w:ascii="华文仿宋" w:hAnsi="华文仿宋" w:cs="华文仿宋"/>
          <w:b/>
          <w:bCs/>
          <w:color w:val="auto"/>
          <w:highlight w:val="none"/>
        </w:rPr>
        <w:t>五、招标内容和要求</w:t>
      </w:r>
    </w:p>
    <w:p w14:paraId="3975D2D7">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本项目为</w:t>
      </w:r>
      <w:r>
        <w:rPr>
          <w:rFonts w:hint="eastAsia" w:ascii="华文仿宋" w:hAnsi="华文仿宋" w:cs="华文仿宋"/>
          <w:color w:val="auto"/>
          <w:highlight w:val="none"/>
          <w:lang w:val="en-US" w:eastAsia="zh-CN"/>
        </w:rPr>
        <w:t>陕西交通职业技术学院</w:t>
      </w:r>
      <w:r>
        <w:rPr>
          <w:rFonts w:hint="eastAsia" w:ascii="仿宋" w:hAnsi="仿宋" w:eastAsia="仿宋" w:cs="仿宋"/>
          <w:color w:val="auto"/>
          <w:highlight w:val="none"/>
          <w:lang w:val="en-US" w:eastAsia="zh-CN"/>
        </w:rPr>
        <w:t>2025</w:t>
      </w:r>
      <w:r>
        <w:rPr>
          <w:rFonts w:hint="eastAsia" w:ascii="华文仿宋" w:hAnsi="华文仿宋" w:cs="华文仿宋"/>
          <w:color w:val="auto"/>
          <w:highlight w:val="none"/>
          <w:lang w:val="en-US" w:eastAsia="zh-CN"/>
        </w:rPr>
        <w:t>年云数据中心升级扩容项目。</w:t>
      </w:r>
      <w:r>
        <w:rPr>
          <w:rFonts w:hint="eastAsia" w:ascii="华文仿宋" w:hAnsi="华文仿宋" w:cs="华文仿宋"/>
          <w:color w:val="auto"/>
          <w:highlight w:val="none"/>
        </w:rPr>
        <w:t>（详见招标文件第四章〈招标内容及采购要求〉）</w:t>
      </w:r>
    </w:p>
    <w:p w14:paraId="76952022">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六、资金来源</w:t>
      </w:r>
      <w:r>
        <w:rPr>
          <w:rFonts w:hint="eastAsia" w:ascii="华文仿宋" w:hAnsi="华文仿宋" w:cs="华文仿宋"/>
          <w:color w:val="auto"/>
          <w:highlight w:val="none"/>
        </w:rPr>
        <w:t>：预算内</w:t>
      </w:r>
    </w:p>
    <w:p w14:paraId="7CC5B9C3">
      <w:pPr>
        <w:shd w:val="clear" w:color="auto" w:fill="auto"/>
        <w:spacing w:line="500" w:lineRule="exact"/>
        <w:ind w:firstLine="566" w:firstLineChars="200"/>
        <w:rPr>
          <w:rFonts w:hint="eastAsia" w:ascii="华文仿宋" w:hAnsi="华文仿宋" w:cs="华文仿宋"/>
          <w:b/>
          <w:bCs/>
          <w:color w:val="auto"/>
          <w:highlight w:val="none"/>
          <w:lang w:val="en-US" w:eastAsia="zh-CN"/>
        </w:rPr>
      </w:pPr>
      <w:r>
        <w:rPr>
          <w:rFonts w:hint="eastAsia" w:ascii="华文仿宋" w:hAnsi="华文仿宋" w:cs="华文仿宋"/>
          <w:b/>
          <w:bCs/>
          <w:color w:val="auto"/>
          <w:highlight w:val="none"/>
        </w:rPr>
        <w:t>七、采购预算</w:t>
      </w:r>
      <w:r>
        <w:rPr>
          <w:rFonts w:hint="eastAsia" w:ascii="仿宋" w:hAnsi="仿宋" w:eastAsia="仿宋" w:cs="仿宋"/>
          <w:b w:val="0"/>
          <w:bCs w:val="0"/>
          <w:color w:val="auto"/>
          <w:highlight w:val="none"/>
        </w:rPr>
        <w:t>：</w:t>
      </w:r>
      <w:r>
        <w:rPr>
          <w:rFonts w:hint="eastAsia" w:ascii="仿宋" w:hAnsi="仿宋" w:eastAsia="仿宋" w:cs="仿宋"/>
          <w:b w:val="0"/>
          <w:bCs w:val="0"/>
          <w:color w:val="auto"/>
          <w:highlight w:val="none"/>
          <w:lang w:val="en-US" w:eastAsia="zh-CN"/>
        </w:rPr>
        <w:t>80</w:t>
      </w:r>
      <w:r>
        <w:rPr>
          <w:rFonts w:hint="eastAsia" w:ascii="华文仿宋" w:hAnsi="华文仿宋" w:cs="华文仿宋"/>
          <w:b w:val="0"/>
          <w:bCs w:val="0"/>
          <w:color w:val="auto"/>
          <w:highlight w:val="none"/>
          <w:lang w:val="en-US" w:eastAsia="zh-CN"/>
        </w:rPr>
        <w:t>万元</w:t>
      </w:r>
    </w:p>
    <w:p w14:paraId="502694A4">
      <w:pPr>
        <w:shd w:val="clear" w:color="auto" w:fill="auto"/>
        <w:spacing w:line="500" w:lineRule="exact"/>
        <w:ind w:firstLine="1132" w:firstLineChars="400"/>
        <w:rPr>
          <w:rFonts w:ascii="华文仿宋" w:hAnsi="华文仿宋" w:cs="华文仿宋"/>
          <w:color w:val="auto"/>
          <w:highlight w:val="none"/>
        </w:rPr>
      </w:pPr>
      <w:r>
        <w:rPr>
          <w:rFonts w:hint="eastAsia" w:ascii="华文仿宋" w:hAnsi="华文仿宋" w:cs="华文仿宋"/>
          <w:b/>
          <w:bCs/>
          <w:color w:val="auto"/>
          <w:highlight w:val="none"/>
          <w:lang w:val="en-US" w:eastAsia="zh-CN"/>
        </w:rPr>
        <w:t>最高限价：</w:t>
      </w:r>
      <w:r>
        <w:rPr>
          <w:rFonts w:hint="eastAsia" w:ascii="仿宋" w:hAnsi="仿宋" w:eastAsia="仿宋" w:cs="仿宋"/>
          <w:b w:val="0"/>
          <w:bCs w:val="0"/>
          <w:color w:val="auto"/>
          <w:highlight w:val="none"/>
          <w:lang w:val="en-US" w:eastAsia="zh-CN"/>
        </w:rPr>
        <w:t>76.1</w:t>
      </w:r>
      <w:r>
        <w:rPr>
          <w:rFonts w:hint="eastAsia" w:ascii="华文仿宋" w:hAnsi="华文仿宋" w:cs="华文仿宋"/>
          <w:color w:val="auto"/>
          <w:highlight w:val="none"/>
        </w:rPr>
        <w:t>万元</w:t>
      </w:r>
    </w:p>
    <w:p w14:paraId="1F2E114B">
      <w:pPr>
        <w:numPr>
          <w:ilvl w:val="0"/>
          <w:numId w:val="0"/>
        </w:numPr>
        <w:shd w:val="clear" w:color="auto" w:fill="auto"/>
        <w:spacing w:line="500" w:lineRule="exact"/>
        <w:ind w:firstLine="566" w:firstLineChars="200"/>
        <w:rPr>
          <w:rFonts w:hint="eastAsia" w:ascii="华文仿宋" w:hAnsi="华文仿宋" w:cs="华文仿宋"/>
          <w:color w:val="auto"/>
          <w:highlight w:val="none"/>
        </w:rPr>
      </w:pPr>
      <w:r>
        <w:rPr>
          <w:rFonts w:hint="eastAsia" w:ascii="华文仿宋" w:hAnsi="华文仿宋" w:eastAsia="华文仿宋" w:cs="华文仿宋"/>
          <w:b/>
          <w:bCs/>
          <w:color w:val="auto"/>
          <w:kern w:val="2"/>
          <w:sz w:val="28"/>
          <w:szCs w:val="28"/>
          <w:lang w:val="en-US" w:eastAsia="zh-CN" w:bidi="ar-SA"/>
        </w:rPr>
        <w:t>八、</w:t>
      </w:r>
      <w:r>
        <w:rPr>
          <w:rFonts w:hint="eastAsia" w:ascii="华文仿宋" w:hAnsi="华文仿宋" w:cs="华文仿宋"/>
          <w:b/>
          <w:bCs/>
          <w:color w:val="auto"/>
          <w:highlight w:val="none"/>
        </w:rPr>
        <w:t>所属行业：</w:t>
      </w:r>
      <w:r>
        <w:rPr>
          <w:rFonts w:hint="eastAsia" w:ascii="华文仿宋" w:hAnsi="华文仿宋" w:cs="华文仿宋"/>
          <w:color w:val="auto"/>
          <w:highlight w:val="none"/>
          <w:lang w:val="en-US" w:eastAsia="zh-CN"/>
        </w:rPr>
        <w:t>软件和信息技术服务业</w:t>
      </w:r>
    </w:p>
    <w:p w14:paraId="7FC544F5">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b/>
          <w:bCs/>
          <w:color w:val="auto"/>
          <w:highlight w:val="none"/>
        </w:rPr>
      </w:pPr>
      <w:r>
        <w:rPr>
          <w:rFonts w:hint="eastAsia" w:ascii="华文仿宋" w:hAnsi="华文仿宋" w:cs="华文仿宋"/>
          <w:b/>
          <w:bCs/>
          <w:color w:val="auto"/>
          <w:highlight w:val="none"/>
        </w:rPr>
        <w:t>九、</w:t>
      </w:r>
      <w:r>
        <w:rPr>
          <w:rFonts w:hint="eastAsia"/>
          <w:b/>
          <w:bCs/>
          <w:color w:val="auto"/>
          <w:highlight w:val="none"/>
        </w:rPr>
        <w:t>项目属性：</w:t>
      </w:r>
      <w:r>
        <w:rPr>
          <w:rFonts w:hint="eastAsia"/>
          <w:color w:val="auto"/>
          <w:highlight w:val="none"/>
        </w:rPr>
        <w:t>服务</w:t>
      </w:r>
      <w:r>
        <w:rPr>
          <w:rFonts w:hint="eastAsia" w:ascii="华文仿宋" w:hAnsi="华文仿宋" w:cs="华文仿宋"/>
          <w:color w:val="auto"/>
          <w:highlight w:val="none"/>
        </w:rPr>
        <w:t>类</w:t>
      </w:r>
    </w:p>
    <w:p w14:paraId="19450176">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hAnsi="华文仿宋" w:cs="华文仿宋"/>
          <w:b/>
          <w:bCs/>
          <w:color w:val="auto"/>
          <w:highlight w:val="none"/>
        </w:rPr>
      </w:pPr>
      <w:r>
        <w:rPr>
          <w:rFonts w:hint="eastAsia" w:ascii="华文仿宋" w:hAnsi="华文仿宋" w:cs="华文仿宋"/>
          <w:b/>
          <w:bCs/>
          <w:color w:val="auto"/>
          <w:highlight w:val="none"/>
        </w:rPr>
        <w:t>十、投标人资格要求</w:t>
      </w:r>
    </w:p>
    <w:p w14:paraId="76C93DDE">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cs="Times New Roman"/>
          <w:color w:val="auto"/>
          <w:kern w:val="0"/>
          <w:highlight w:val="none"/>
          <w:lang w:val="zh-CN"/>
        </w:rPr>
      </w:pPr>
      <w:r>
        <w:rPr>
          <w:rFonts w:hint="eastAsia" w:ascii="华文仿宋" w:hAnsi="华文仿宋" w:cs="华文仿宋"/>
          <w:color w:val="auto"/>
          <w:highlight w:val="none"/>
        </w:rPr>
        <w:t>符合《中华人民共和国政府采购法》第二十二条的规定，</w:t>
      </w:r>
      <w:r>
        <w:rPr>
          <w:rFonts w:hint="eastAsia" w:ascii="华文仿宋" w:hAnsi="华文仿宋" w:cs="华文仿宋"/>
          <w:color w:val="auto"/>
          <w:kern w:val="0"/>
          <w:highlight w:val="none"/>
          <w:lang w:val="zh-CN"/>
        </w:rPr>
        <w:t>并提供下列材料：</w:t>
      </w:r>
    </w:p>
    <w:p w14:paraId="114E23BD">
      <w:pPr>
        <w:keepNext w:val="0"/>
        <w:keepLines w:val="0"/>
        <w:pageBreakBefore w:val="0"/>
        <w:widowControl w:val="0"/>
        <w:kinsoku/>
        <w:wordWrap/>
        <w:overflowPunct/>
        <w:topLinePunct w:val="0"/>
        <w:autoSpaceDE/>
        <w:autoSpaceDN/>
        <w:bidi w:val="0"/>
        <w:adjustRightInd/>
        <w:snapToGrid/>
        <w:spacing w:line="500" w:lineRule="exact"/>
        <w:ind w:firstLine="566" w:firstLineChars="200"/>
        <w:textAlignment w:val="auto"/>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、营业执照等主体资格证明文件：提供有效存续的企业营业执照（副本）</w:t>
      </w:r>
      <w:r>
        <w:rPr>
          <w:rFonts w:ascii="华文仿宋" w:hAnsi="华文仿宋" w:cs="华文仿宋"/>
          <w:color w:val="auto"/>
          <w:highlight w:val="none"/>
        </w:rPr>
        <w:t>/</w:t>
      </w:r>
      <w:r>
        <w:rPr>
          <w:rFonts w:hint="eastAsia" w:ascii="华文仿宋" w:hAnsi="华文仿宋" w:cs="华文仿宋"/>
          <w:color w:val="auto"/>
          <w:highlight w:val="none"/>
        </w:rPr>
        <w:t>事业单位法人证书</w:t>
      </w:r>
      <w:r>
        <w:rPr>
          <w:rFonts w:ascii="华文仿宋" w:hAnsi="华文仿宋" w:cs="华文仿宋"/>
          <w:color w:val="auto"/>
          <w:highlight w:val="none"/>
        </w:rPr>
        <w:t>/</w:t>
      </w:r>
      <w:r>
        <w:rPr>
          <w:rFonts w:hint="eastAsia" w:ascii="华文仿宋" w:hAnsi="华文仿宋" w:cs="华文仿宋"/>
          <w:color w:val="auto"/>
          <w:highlight w:val="none"/>
        </w:rPr>
        <w:t>专业服务机构执业许可证</w:t>
      </w:r>
      <w:r>
        <w:rPr>
          <w:rFonts w:ascii="华文仿宋" w:hAnsi="华文仿宋" w:cs="华文仿宋"/>
          <w:color w:val="auto"/>
          <w:highlight w:val="none"/>
        </w:rPr>
        <w:t>/</w:t>
      </w:r>
      <w:r>
        <w:rPr>
          <w:rFonts w:hint="eastAsia" w:ascii="华文仿宋" w:hAnsi="华文仿宋" w:cs="华文仿宋"/>
          <w:color w:val="auto"/>
          <w:highlight w:val="none"/>
        </w:rPr>
        <w:t>民办非企业单位登记证书。</w:t>
      </w:r>
    </w:p>
    <w:p w14:paraId="612CD9F0">
      <w:pPr>
        <w:widowControl w:val="0"/>
        <w:spacing w:line="500" w:lineRule="exact"/>
        <w:ind w:firstLine="566" w:firstLineChars="200"/>
        <w:rPr>
          <w:rFonts w:hint="eastAsia" w:ascii="华文仿宋" w:hAnsi="华文仿宋" w:cs="华文仿宋"/>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w:t>
      </w:r>
      <w:r>
        <w:rPr>
          <w:rFonts w:hint="eastAsia" w:ascii="仿宋" w:hAnsi="仿宋" w:eastAsia="仿宋" w:cs="仿宋"/>
          <w:color w:val="auto"/>
          <w:highlight w:val="none"/>
        </w:rPr>
        <w:t>财务状况报告</w:t>
      </w:r>
      <w:r>
        <w:rPr>
          <w:rFonts w:hint="eastAsia" w:ascii="华文仿宋" w:hAnsi="华文仿宋" w:cs="华文仿宋"/>
          <w:color w:val="auto"/>
          <w:highlight w:val="none"/>
        </w:rPr>
        <w:t>（以下三种资料提供任</w:t>
      </w:r>
      <w:r>
        <w:rPr>
          <w:rFonts w:hint="eastAsia" w:ascii="华文仿宋" w:hAnsi="华文仿宋" w:cs="华文仿宋"/>
          <w:color w:val="auto"/>
          <w:highlight w:val="none"/>
          <w:lang w:val="en-US" w:eastAsia="zh-CN"/>
        </w:rPr>
        <w:t>意</w:t>
      </w:r>
      <w:r>
        <w:rPr>
          <w:rFonts w:hint="eastAsia" w:ascii="华文仿宋" w:hAnsi="华文仿宋" w:cs="华文仿宋"/>
          <w:color w:val="auto"/>
          <w:highlight w:val="none"/>
        </w:rPr>
        <w:t>一种即可）：</w:t>
      </w:r>
    </w:p>
    <w:p w14:paraId="7902FC79">
      <w:pPr>
        <w:widowControl w:val="0"/>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（1）提供递交投标文件截止之日前两年内任意一个年度经审计的财务报告（包括“四表一注”，即资产负债表、利润表、现金流量表、所有者权益变动表及其附注，符合《</w:t>
      </w:r>
      <w:r>
        <w:rPr>
          <w:rFonts w:hint="eastAsia" w:ascii="华文仿宋" w:hAnsi="华文仿宋" w:cs="华文仿宋"/>
          <w:color w:val="auto"/>
          <w:highlight w:val="none"/>
        </w:rPr>
        <w:fldChar w:fldCharType="begin"/>
      </w:r>
      <w:r>
        <w:rPr>
          <w:rFonts w:hint="eastAsia" w:ascii="华文仿宋" w:hAnsi="华文仿宋" w:cs="华文仿宋"/>
          <w:color w:val="auto"/>
          <w:highlight w:val="none"/>
        </w:rPr>
        <w:instrText xml:space="preserve"> HYPERLINK "https://baike.baidu.com/item/%E4%B8%AD%E5%B0%8F%E4%BC%81%E4%B8%9A%E5%88%92%E5%9E%8B%E6%A0%87%E5%87%86%E8%A7%84%E5%AE%9A/0?fromModule=lemma_inlink" \t "https://baike.baidu.com/item/%E5%B0%8F%E4%BC%81%E4%B8%9A%E4%BC%9A%E8%AE%A1%E5%87%86%E5%88%99/_blank" </w:instrText>
      </w:r>
      <w:r>
        <w:rPr>
          <w:rFonts w:hint="eastAsia" w:ascii="华文仿宋" w:hAnsi="华文仿宋" w:cs="华文仿宋"/>
          <w:color w:val="auto"/>
          <w:highlight w:val="none"/>
        </w:rPr>
        <w:fldChar w:fldCharType="separate"/>
      </w:r>
      <w:r>
        <w:rPr>
          <w:rFonts w:hint="eastAsia" w:ascii="华文仿宋" w:hAnsi="华文仿宋" w:cs="华文仿宋"/>
          <w:color w:val="auto"/>
          <w:highlight w:val="none"/>
        </w:rPr>
        <w:t>中小企业划型标准规定</w:t>
      </w:r>
      <w:r>
        <w:rPr>
          <w:rFonts w:hint="eastAsia" w:ascii="华文仿宋" w:hAnsi="华文仿宋" w:cs="华文仿宋"/>
          <w:color w:val="auto"/>
          <w:highlight w:val="none"/>
        </w:rPr>
        <w:fldChar w:fldCharType="end"/>
      </w:r>
      <w:r>
        <w:rPr>
          <w:rFonts w:hint="eastAsia" w:ascii="华文仿宋" w:hAnsi="华文仿宋" w:cs="华文仿宋"/>
          <w:color w:val="auto"/>
          <w:highlight w:val="none"/>
        </w:rPr>
        <w:t>》的小型企业按照《小企业会计准则》执行。成立时间至提交投标文件截止时间不足一年的可提供成立后任意时段的资产负债表）；</w:t>
      </w:r>
    </w:p>
    <w:p w14:paraId="008714CE">
      <w:pPr>
        <w:widowControl w:val="0"/>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（2）其开标前三个月内基本开户银行出具的资信证明；</w:t>
      </w:r>
    </w:p>
    <w:p w14:paraId="64B9E6CD">
      <w:pPr>
        <w:widowControl w:val="0"/>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（3）信用担保机构出具的投标担保函。</w:t>
      </w:r>
    </w:p>
    <w:p w14:paraId="05E3FF0F">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3、社保缴纳证明：提供递交投标文件截止之日前一年内任意一个月的社会保障资金缴存单据或社保机构开具的社会保险参保缴费情况证明。依法不需要缴纳社会保障资金的投标人应提供相关文件证明。</w:t>
      </w:r>
    </w:p>
    <w:p w14:paraId="56407D64">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税收缴纳证明：提供递交投标文件截止之日前一年内任意一个月的依法缴纳税收的完税证明，完税证明应有税务机关或代收机关的公章或业务专用章。依法免税或无须缴纳税收的投标人，应提供相应证明文件。</w:t>
      </w:r>
    </w:p>
    <w:p w14:paraId="3C06586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5、信用记录：提供《</w:t>
      </w:r>
      <w:r>
        <w:rPr>
          <w:rFonts w:hint="eastAsia" w:ascii="华文仿宋" w:hAnsi="华文仿宋" w:cs="华文仿宋"/>
          <w:color w:val="auto"/>
          <w:highlight w:val="none"/>
          <w:lang w:eastAsia="zh-CN"/>
        </w:rPr>
        <w:t>投标人</w:t>
      </w:r>
      <w:r>
        <w:rPr>
          <w:rFonts w:hint="eastAsia" w:ascii="华文仿宋" w:hAnsi="华文仿宋" w:cs="华文仿宋"/>
          <w:color w:val="auto"/>
          <w:highlight w:val="none"/>
        </w:rPr>
        <w:t>信用记录书面声明函》。经查，投标人未被列入“信用中国”网站记录的“失信被执行人”或“重大税收违法案件当事人”名单；不处于“中国政府采购网”记录的“政府采购严重违法失信行为记录名单”中的禁止参加政府采购活动期间。</w:t>
      </w:r>
    </w:p>
    <w:p w14:paraId="671A69F3">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6、控股管理关系：提供直接控股和管理关系清单。若与其他投标人存在单位负责人为同一人或者存在直接控股、管理关系的，则投标无效。</w:t>
      </w:r>
    </w:p>
    <w:p w14:paraId="4AA90483">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7、书面声明：提供书面声明，包括声明具有履行合同所必需的设备和专业技术能力；未为本项目提供整体设计、规范编制或者项目管理、监理、检测等服务。</w:t>
      </w:r>
    </w:p>
    <w:p w14:paraId="54FCFC3E">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8、法定代表人授权委托书：法定代表人参加投标的，须提供本人身份证复印件（附在资格证明文件中）；法定代表人授权他人参加投标的，须提供法定代表人授权委托书。招标文件中凡是需要法定代表人盖章之处，非法人单位的负责人均参照执行。</w:t>
      </w:r>
    </w:p>
    <w:p w14:paraId="41CD658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法人的分支机构参与投标时，除提供《法定代表人授权委托书》外，还须同时提供法人给分支机构出具的授权书。</w:t>
      </w:r>
    </w:p>
    <w:p w14:paraId="43C7CD2F">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9、落实政府采购政策需满足的资格要求</w:t>
      </w:r>
    </w:p>
    <w:p w14:paraId="05C8D2DE">
      <w:pPr>
        <w:spacing w:line="500" w:lineRule="exact"/>
        <w:ind w:firstLine="566" w:firstLineChars="200"/>
        <w:rPr>
          <w:rFonts w:hint="eastAsia" w:ascii="仿宋" w:hAnsi="仿宋" w:eastAsia="仿宋" w:cs="仿宋"/>
          <w:color w:val="auto"/>
          <w:highlight w:val="none"/>
        </w:rPr>
      </w:pPr>
      <w:r>
        <w:rPr>
          <w:rFonts w:hint="eastAsia" w:ascii="仿宋" w:hAnsi="仿宋" w:eastAsia="仿宋" w:cs="仿宋"/>
          <w:b/>
          <w:bCs/>
          <w:color w:val="auto"/>
          <w:highlight w:val="none"/>
        </w:rPr>
        <w:t>本项目为专门面向中小企业项目，投标人应为中型企业、小型企业、微型企业或监狱企业或残疾人福利性单位。</w:t>
      </w:r>
      <w:r>
        <w:rPr>
          <w:rFonts w:hint="eastAsia" w:ascii="仿宋" w:hAnsi="仿宋" w:eastAsia="仿宋" w:cs="仿宋"/>
          <w:color w:val="auto"/>
          <w:highlight w:val="none"/>
        </w:rPr>
        <w:t>投标人为中小企业的，提供《中小企业声明函》，且中小企业的划分标准所属行业为</w:t>
      </w:r>
      <w:r>
        <w:rPr>
          <w:rFonts w:hint="eastAsia" w:ascii="仿宋" w:hAnsi="仿宋" w:eastAsia="仿宋" w:cs="仿宋"/>
          <w:b/>
          <w:bCs/>
          <w:color w:val="auto"/>
          <w:highlight w:val="none"/>
          <w:lang w:val="en-US" w:eastAsia="zh-CN"/>
        </w:rPr>
        <w:t>软件和信息技术服务业</w:t>
      </w:r>
      <w:r>
        <w:rPr>
          <w:rFonts w:hint="eastAsia" w:ascii="仿宋" w:hAnsi="仿宋" w:eastAsia="仿宋" w:cs="仿宋"/>
          <w:color w:val="auto"/>
          <w:highlight w:val="none"/>
        </w:rPr>
        <w:t>；投标人为监狱企业的，应提供监狱企业的证明文件；投标人为残疾人福利性单位的，应提供《残疾人福利性单位声明函》（监狱企业或残疾人福利性单位视同小型、微型企业）。</w:t>
      </w:r>
    </w:p>
    <w:p w14:paraId="29CCD087">
      <w:pPr>
        <w:spacing w:line="500" w:lineRule="exact"/>
        <w:ind w:firstLine="566" w:firstLineChars="200"/>
        <w:rPr>
          <w:rFonts w:ascii="宋体" w:hAnsi="宋体" w:eastAsia="宋体" w:cs="宋体"/>
          <w:color w:val="auto"/>
          <w:highlight w:val="none"/>
        </w:rPr>
      </w:pPr>
      <w:r>
        <w:rPr>
          <w:rFonts w:hint="eastAsia" w:ascii="华文仿宋" w:hAnsi="华文仿宋" w:cs="华文仿宋"/>
          <w:b/>
          <w:bCs/>
          <w:color w:val="auto"/>
          <w:highlight w:val="none"/>
          <w:lang w:val="en-US" w:eastAsia="zh-CN"/>
        </w:rPr>
        <w:t>10、</w:t>
      </w:r>
      <w:r>
        <w:rPr>
          <w:rFonts w:hint="eastAsia" w:ascii="华文仿宋" w:hAnsi="华文仿宋" w:cs="华文仿宋"/>
          <w:b/>
          <w:bCs/>
          <w:color w:val="auto"/>
          <w:highlight w:val="none"/>
        </w:rPr>
        <w:t>本项目</w:t>
      </w:r>
      <w:r>
        <w:rPr>
          <w:rFonts w:hint="eastAsia" w:ascii="华文仿宋" w:hAnsi="华文仿宋" w:cs="华文仿宋"/>
          <w:b/>
          <w:bCs/>
          <w:color w:val="auto"/>
          <w:kern w:val="0"/>
          <w:highlight w:val="none"/>
        </w:rPr>
        <w:t>不接受</w:t>
      </w:r>
      <w:r>
        <w:rPr>
          <w:rFonts w:hint="eastAsia" w:ascii="华文仿宋" w:hAnsi="华文仿宋" w:cs="华文仿宋"/>
          <w:b/>
          <w:bCs/>
          <w:color w:val="auto"/>
          <w:highlight w:val="none"/>
        </w:rPr>
        <w:t>联合体投标，不允许分包。</w:t>
      </w:r>
      <w:r>
        <w:rPr>
          <w:rFonts w:hint="eastAsia" w:ascii="华文仿宋" w:hAnsi="华文仿宋" w:cs="华文仿宋"/>
          <w:color w:val="auto"/>
          <w:highlight w:val="none"/>
        </w:rPr>
        <w:t>投标人应提供《非联合体不分包投标声明》，视为独立投标，不分包。</w:t>
      </w:r>
    </w:p>
    <w:p w14:paraId="167B2229">
      <w:pPr>
        <w:spacing w:line="240" w:lineRule="auto"/>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备注：1、以上资格要求均为必备资格，需提供相关证明文件并加盖投标人公章（如相关证明材料由第三方出具，应有第三方公章），缺少其中任何一项，其投标文件视为无效文件。</w:t>
      </w:r>
    </w:p>
    <w:p w14:paraId="4A9853D9">
      <w:pPr>
        <w:spacing w:line="240" w:lineRule="auto"/>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信用记录书面声明函》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控股管理关系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《法定代表人授权委托书》《书面声明》</w:t>
      </w:r>
      <w:r>
        <w:rPr>
          <w:rFonts w:hint="eastAsia" w:ascii="宋体" w:hAnsi="宋体" w:eastAsia="宋体" w:cs="宋体"/>
          <w:color w:val="auto"/>
          <w:sz w:val="21"/>
          <w:szCs w:val="21"/>
          <w:highlight w:val="none"/>
          <w:lang w:eastAsia="zh-CN"/>
        </w:rPr>
        <w:t>《残疾人福利性单位声明函》</w:t>
      </w:r>
      <w:r>
        <w:rPr>
          <w:rFonts w:hint="eastAsia" w:ascii="宋体" w:hAnsi="宋体" w:eastAsia="宋体" w:cs="宋体"/>
          <w:color w:val="auto"/>
          <w:sz w:val="21"/>
          <w:szCs w:val="21"/>
          <w:highlight w:val="none"/>
        </w:rPr>
        <w:t>《非联合体不分包投标声明》应按招标文件第六章第一部分给定的格式填写。</w:t>
      </w:r>
    </w:p>
    <w:p w14:paraId="48023FD2">
      <w:pPr>
        <w:spacing w:line="240" w:lineRule="auto"/>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法人的分支机构参与投标时，投标文件中应附法人给分支机构出具的授权书。授权书附在《法定代表人授权委托书》后，如无授权，将被视为无效文件。法人只能授权一家分支机构参与投标，且不能与分支机构同时参与投标。</w:t>
      </w:r>
    </w:p>
    <w:p w14:paraId="56E733E0">
      <w:pPr>
        <w:spacing w:line="240" w:lineRule="auto"/>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4、事业单位法人参与投标可不提供财务状况报告和社会保障资金缴纳证明及税收缴纳证明。</w:t>
      </w:r>
    </w:p>
    <w:p w14:paraId="3EE86704">
      <w:pPr>
        <w:ind w:firstLine="566"/>
        <w:rPr>
          <w:color w:val="auto"/>
          <w:highlight w:val="none"/>
        </w:rPr>
      </w:pPr>
      <w:r>
        <w:rPr>
          <w:rFonts w:hint="eastAsia" w:ascii="华文仿宋" w:hAnsi="华文仿宋" w:cs="华文仿宋"/>
          <w:b/>
          <w:bCs/>
          <w:color w:val="auto"/>
          <w:highlight w:val="none"/>
        </w:rPr>
        <w:t>十一</w:t>
      </w:r>
      <w:r>
        <w:rPr>
          <w:rFonts w:hint="eastAsia" w:cs="华文仿宋"/>
          <w:b/>
          <w:bCs/>
          <w:color w:val="auto"/>
          <w:highlight w:val="none"/>
        </w:rPr>
        <w:t>、执行其他政府采购政策</w:t>
      </w:r>
    </w:p>
    <w:p w14:paraId="106EE103">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、《关于在政府采购活动中查询及使用信用记录有关问题的通知》（财库</w:t>
      </w:r>
      <w:r>
        <w:rPr>
          <w:rFonts w:hint="eastAsia" w:ascii="仿宋" w:hAnsi="仿宋" w:eastAsia="仿宋" w:cs="仿宋"/>
          <w:color w:val="auto"/>
          <w:highlight w:val="none"/>
        </w:rPr>
        <w:t>〔</w:t>
      </w:r>
      <w:r>
        <w:rPr>
          <w:rFonts w:ascii="仿宋" w:hAnsi="仿宋" w:eastAsia="仿宋" w:cs="仿宋"/>
          <w:color w:val="auto"/>
          <w:highlight w:val="none"/>
        </w:rPr>
        <w:t>2016</w:t>
      </w:r>
      <w:r>
        <w:rPr>
          <w:rFonts w:hint="eastAsia" w:ascii="仿宋" w:hAnsi="仿宋" w:eastAsia="仿宋" w:cs="仿宋"/>
          <w:color w:val="auto"/>
          <w:highlight w:val="none"/>
        </w:rPr>
        <w:t>〕</w:t>
      </w:r>
      <w:r>
        <w:rPr>
          <w:rFonts w:ascii="仿宋" w:hAnsi="仿宋" w:eastAsia="仿宋" w:cs="仿宋"/>
          <w:color w:val="auto"/>
          <w:highlight w:val="none"/>
        </w:rPr>
        <w:t>125</w:t>
      </w:r>
      <w:r>
        <w:rPr>
          <w:rFonts w:hint="eastAsia" w:ascii="华文仿宋" w:hAnsi="华文仿宋" w:cs="华文仿宋"/>
          <w:color w:val="auto"/>
          <w:highlight w:val="none"/>
        </w:rPr>
        <w:t>号）。</w:t>
      </w:r>
    </w:p>
    <w:p w14:paraId="6DFD3836">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、《政府采购促进中小企业发展管理办法》（财库</w:t>
      </w:r>
      <w:r>
        <w:rPr>
          <w:rFonts w:hint="eastAsia" w:ascii="仿宋" w:hAnsi="仿宋" w:eastAsia="仿宋" w:cs="仿宋"/>
          <w:color w:val="auto"/>
          <w:highlight w:val="none"/>
        </w:rPr>
        <w:t>〔</w:t>
      </w:r>
      <w:r>
        <w:rPr>
          <w:rFonts w:ascii="仿宋" w:hAnsi="仿宋" w:eastAsia="仿宋" w:cs="仿宋"/>
          <w:color w:val="auto"/>
          <w:highlight w:val="none"/>
        </w:rPr>
        <w:t>20</w:t>
      </w:r>
      <w:r>
        <w:rPr>
          <w:rFonts w:hint="eastAsia" w:ascii="仿宋" w:hAnsi="仿宋" w:eastAsia="仿宋" w:cs="仿宋"/>
          <w:color w:val="auto"/>
          <w:highlight w:val="none"/>
        </w:rPr>
        <w:t>20〕46</w:t>
      </w:r>
      <w:r>
        <w:rPr>
          <w:rFonts w:hint="eastAsia" w:ascii="华文仿宋" w:hAnsi="华文仿宋" w:cs="华文仿宋"/>
          <w:color w:val="auto"/>
          <w:highlight w:val="none"/>
        </w:rPr>
        <w:t>号）、《关于政府采购支持监狱企业发展有关问题的通知》（财库</w:t>
      </w:r>
      <w:r>
        <w:rPr>
          <w:rFonts w:hint="eastAsia" w:ascii="仿宋" w:hAnsi="仿宋" w:eastAsia="仿宋" w:cs="仿宋"/>
          <w:color w:val="auto"/>
          <w:highlight w:val="none"/>
        </w:rPr>
        <w:t>〔</w:t>
      </w:r>
      <w:r>
        <w:rPr>
          <w:rFonts w:ascii="仿宋" w:hAnsi="仿宋" w:eastAsia="仿宋" w:cs="仿宋"/>
          <w:color w:val="auto"/>
          <w:highlight w:val="none"/>
        </w:rPr>
        <w:t>2014</w:t>
      </w:r>
      <w:r>
        <w:rPr>
          <w:rFonts w:hint="eastAsia" w:ascii="仿宋" w:hAnsi="仿宋" w:eastAsia="仿宋" w:cs="仿宋"/>
          <w:color w:val="auto"/>
          <w:highlight w:val="none"/>
        </w:rPr>
        <w:t>〕</w:t>
      </w:r>
      <w:r>
        <w:rPr>
          <w:rFonts w:ascii="仿宋" w:hAnsi="仿宋" w:eastAsia="仿宋" w:cs="仿宋"/>
          <w:color w:val="auto"/>
          <w:highlight w:val="none"/>
        </w:rPr>
        <w:t>68</w:t>
      </w:r>
      <w:r>
        <w:rPr>
          <w:rFonts w:hint="eastAsia" w:ascii="华文仿宋" w:hAnsi="华文仿宋" w:cs="华文仿宋"/>
          <w:color w:val="auto"/>
          <w:highlight w:val="none"/>
        </w:rPr>
        <w:t>号）以及《关于促进残疾人就业政府采购政策的通知》（财库</w:t>
      </w:r>
      <w:r>
        <w:rPr>
          <w:rFonts w:hint="eastAsia" w:ascii="仿宋" w:hAnsi="仿宋" w:eastAsia="仿宋" w:cs="仿宋"/>
          <w:color w:val="auto"/>
          <w:highlight w:val="none"/>
        </w:rPr>
        <w:t>〔</w:t>
      </w:r>
      <w:r>
        <w:rPr>
          <w:rFonts w:ascii="仿宋" w:hAnsi="仿宋" w:eastAsia="仿宋" w:cs="仿宋"/>
          <w:color w:val="auto"/>
          <w:highlight w:val="none"/>
        </w:rPr>
        <w:t>2017</w:t>
      </w:r>
      <w:r>
        <w:rPr>
          <w:rFonts w:hint="eastAsia" w:ascii="仿宋" w:hAnsi="仿宋" w:eastAsia="仿宋" w:cs="仿宋"/>
          <w:color w:val="auto"/>
          <w:highlight w:val="none"/>
        </w:rPr>
        <w:t>〕</w:t>
      </w:r>
      <w:r>
        <w:rPr>
          <w:rFonts w:ascii="仿宋" w:hAnsi="仿宋" w:eastAsia="仿宋" w:cs="仿宋"/>
          <w:color w:val="auto"/>
          <w:highlight w:val="none"/>
        </w:rPr>
        <w:t>141</w:t>
      </w:r>
      <w:r>
        <w:rPr>
          <w:rFonts w:hint="eastAsia" w:ascii="华文仿宋" w:hAnsi="华文仿宋" w:cs="华文仿宋"/>
          <w:color w:val="auto"/>
          <w:highlight w:val="none"/>
        </w:rPr>
        <w:t>号）。</w:t>
      </w:r>
    </w:p>
    <w:p w14:paraId="7700F17D">
      <w:pPr>
        <w:spacing w:line="500" w:lineRule="exact"/>
        <w:ind w:firstLine="566" w:firstLineChars="200"/>
        <w:rPr>
          <w:rFonts w:ascii="华文仿宋" w:hAnsi="华文仿宋" w:cs="华文仿宋"/>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、国务院办公厅《关于建立政府强制采购节能产品制度的通知》（国办发</w:t>
      </w:r>
      <w:r>
        <w:rPr>
          <w:rFonts w:hint="eastAsia" w:ascii="仿宋" w:hAnsi="仿宋" w:eastAsia="仿宋" w:cs="仿宋"/>
          <w:color w:val="auto"/>
          <w:highlight w:val="none"/>
        </w:rPr>
        <w:t>〔</w:t>
      </w:r>
      <w:r>
        <w:rPr>
          <w:rFonts w:ascii="仿宋" w:hAnsi="仿宋" w:eastAsia="仿宋" w:cs="仿宋"/>
          <w:color w:val="auto"/>
          <w:highlight w:val="none"/>
        </w:rPr>
        <w:t>2007</w:t>
      </w:r>
      <w:r>
        <w:rPr>
          <w:rFonts w:hint="eastAsia" w:ascii="仿宋" w:hAnsi="仿宋" w:eastAsia="仿宋" w:cs="仿宋"/>
          <w:color w:val="auto"/>
          <w:highlight w:val="none"/>
        </w:rPr>
        <w:t>〕</w:t>
      </w:r>
      <w:r>
        <w:rPr>
          <w:rFonts w:ascii="仿宋" w:hAnsi="仿宋" w:eastAsia="仿宋" w:cs="仿宋"/>
          <w:color w:val="auto"/>
          <w:highlight w:val="none"/>
        </w:rPr>
        <w:t>51</w:t>
      </w:r>
      <w:r>
        <w:rPr>
          <w:rFonts w:hint="eastAsia" w:ascii="华文仿宋" w:hAnsi="华文仿宋" w:cs="华文仿宋"/>
          <w:color w:val="auto"/>
          <w:highlight w:val="none"/>
        </w:rPr>
        <w:t>号）。财政部、国家发改委、生态环境部、市场</w:t>
      </w:r>
      <w:r>
        <w:rPr>
          <w:rFonts w:hint="eastAsia" w:ascii="华文仿宋" w:hAnsi="华文仿宋" w:cs="华文仿宋"/>
          <w:color w:val="auto"/>
          <w:highlight w:val="none"/>
          <w:lang w:val="en-US" w:eastAsia="zh-CN"/>
        </w:rPr>
        <w:t>监督</w:t>
      </w:r>
      <w:r>
        <w:rPr>
          <w:rFonts w:hint="eastAsia" w:ascii="华文仿宋" w:hAnsi="华文仿宋" w:cs="华文仿宋"/>
          <w:color w:val="auto"/>
          <w:highlight w:val="none"/>
        </w:rPr>
        <w:t>总局联合印发《关于调整优化节能产品、环境标志产品政府采购执行机制的通知》（财库</w:t>
      </w:r>
      <w:r>
        <w:rPr>
          <w:rFonts w:hint="eastAsia" w:ascii="仿宋" w:hAnsi="仿宋" w:eastAsia="仿宋" w:cs="仿宋"/>
          <w:color w:val="auto"/>
          <w:highlight w:val="none"/>
        </w:rPr>
        <w:t>〔2019〕9</w:t>
      </w:r>
      <w:r>
        <w:rPr>
          <w:rFonts w:hint="eastAsia" w:ascii="华文仿宋" w:hAnsi="华文仿宋" w:cs="华文仿宋"/>
          <w:color w:val="auto"/>
          <w:highlight w:val="none"/>
        </w:rPr>
        <w:t>号）。</w:t>
      </w:r>
    </w:p>
    <w:p w14:paraId="414E87DD">
      <w:pPr>
        <w:spacing w:line="500" w:lineRule="exact"/>
        <w:ind w:firstLine="566" w:firstLineChars="200"/>
        <w:rPr>
          <w:rFonts w:ascii="华文仿宋" w:hAnsi="华文仿宋" w:cs="华文仿宋"/>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、《财政部 农业农村部 国家乡村振兴局关于运用政府采购政策支持乡村产业振兴的通知》（财库〔</w:t>
      </w:r>
      <w:r>
        <w:rPr>
          <w:rFonts w:hint="eastAsia" w:ascii="仿宋" w:hAnsi="仿宋" w:eastAsia="仿宋" w:cs="仿宋"/>
          <w:color w:val="auto"/>
          <w:highlight w:val="none"/>
        </w:rPr>
        <w:t>2021〕19</w:t>
      </w:r>
      <w:r>
        <w:rPr>
          <w:rFonts w:hint="eastAsia" w:ascii="华文仿宋" w:hAnsi="华文仿宋" w:cs="华文仿宋"/>
          <w:color w:val="auto"/>
          <w:highlight w:val="none"/>
        </w:rPr>
        <w:t>号）、《财政部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color w:val="auto"/>
          <w:highlight w:val="none"/>
        </w:rPr>
        <w:t>〔2021</w:t>
      </w:r>
      <w:r>
        <w:rPr>
          <w:rFonts w:hint="eastAsia" w:ascii="华文仿宋" w:hAnsi="华文仿宋" w:cs="华文仿宋"/>
          <w:color w:val="auto"/>
          <w:highlight w:val="none"/>
        </w:rPr>
        <w:t>〕</w:t>
      </w:r>
      <w:r>
        <w:rPr>
          <w:rFonts w:hint="eastAsia" w:ascii="仿宋" w:hAnsi="仿宋" w:eastAsia="仿宋" w:cs="仿宋"/>
          <w:color w:val="auto"/>
          <w:highlight w:val="none"/>
        </w:rPr>
        <w:t>20</w:t>
      </w:r>
      <w:r>
        <w:rPr>
          <w:rFonts w:hint="eastAsia" w:ascii="华文仿宋" w:hAnsi="华文仿宋" w:cs="华文仿宋"/>
          <w:color w:val="auto"/>
          <w:highlight w:val="none"/>
        </w:rPr>
        <w:t>号）。</w:t>
      </w:r>
    </w:p>
    <w:p w14:paraId="1EF0CFD3">
      <w:pPr>
        <w:pStyle w:val="8"/>
        <w:spacing w:afterLines="0" w:line="500" w:lineRule="exact"/>
        <w:ind w:firstLine="566" w:firstLineChars="200"/>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rPr>
        <w:t>5、《陕西省财政厅关于加快推进我省中小企业政府采购信用融资工作的通知》（陕财办采〔</w:t>
      </w:r>
      <w:r>
        <w:rPr>
          <w:rFonts w:hint="eastAsia" w:ascii="仿宋" w:hAnsi="仿宋" w:eastAsia="仿宋" w:cs="仿宋"/>
          <w:color w:val="auto"/>
          <w:sz w:val="28"/>
          <w:szCs w:val="28"/>
          <w:highlight w:val="none"/>
        </w:rPr>
        <w:t>2020〕15</w:t>
      </w:r>
      <w:r>
        <w:rPr>
          <w:rFonts w:hint="eastAsia" w:ascii="华文仿宋" w:hAnsi="华文仿宋" w:cs="华文仿宋"/>
          <w:color w:val="auto"/>
          <w:sz w:val="28"/>
          <w:szCs w:val="28"/>
          <w:highlight w:val="none"/>
        </w:rPr>
        <w:t>号）、陕西省财政厅关于印发《陕西省中小企业政府采购信用融资办法》（陕财办采〔</w:t>
      </w:r>
      <w:r>
        <w:rPr>
          <w:rFonts w:hint="eastAsia" w:ascii="仿宋" w:hAnsi="仿宋" w:eastAsia="仿宋" w:cs="仿宋"/>
          <w:color w:val="auto"/>
          <w:sz w:val="28"/>
          <w:szCs w:val="28"/>
          <w:highlight w:val="none"/>
        </w:rPr>
        <w:t>2018〕23</w:t>
      </w:r>
      <w:r>
        <w:rPr>
          <w:rFonts w:hint="eastAsia" w:ascii="华文仿宋" w:hAnsi="华文仿宋" w:cs="华文仿宋"/>
          <w:color w:val="auto"/>
          <w:sz w:val="28"/>
          <w:szCs w:val="28"/>
          <w:highlight w:val="none"/>
        </w:rPr>
        <w:t>号）。</w:t>
      </w:r>
    </w:p>
    <w:p w14:paraId="41D85BBD">
      <w:pPr>
        <w:spacing w:line="500" w:lineRule="exact"/>
        <w:ind w:firstLine="566" w:firstLineChars="200"/>
        <w:rPr>
          <w:color w:val="auto"/>
          <w:highlight w:val="none"/>
        </w:rPr>
      </w:pPr>
      <w:r>
        <w:rPr>
          <w:rFonts w:hint="eastAsia" w:ascii="华文仿宋" w:hAnsi="华文仿宋" w:cs="华文仿宋"/>
          <w:color w:val="auto"/>
          <w:highlight w:val="none"/>
        </w:rPr>
        <w:t>6、详见《投标人须知》中“落实的政府采购政策”有关内容。</w:t>
      </w:r>
    </w:p>
    <w:p w14:paraId="0782A1D7">
      <w:pPr>
        <w:spacing w:line="500" w:lineRule="exact"/>
        <w:ind w:firstLine="566" w:firstLineChars="200"/>
        <w:rPr>
          <w:rFonts w:cs="Times New Roman"/>
          <w:b/>
          <w:bCs/>
          <w:color w:val="auto"/>
          <w:highlight w:val="none"/>
        </w:rPr>
      </w:pPr>
      <w:r>
        <w:rPr>
          <w:rFonts w:hint="eastAsia" w:cs="华文仿宋"/>
          <w:b/>
          <w:bCs/>
          <w:color w:val="auto"/>
          <w:highlight w:val="none"/>
        </w:rPr>
        <w:t>十二、获取招标文件的时间及方式</w:t>
      </w:r>
    </w:p>
    <w:p w14:paraId="5164CCA3">
      <w:pPr>
        <w:wordWrap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１、获取方式：投标人可登录全国公共资源交易平台（陕西省）（</w:t>
      </w:r>
      <w:r>
        <w:rPr>
          <w:rFonts w:hint="eastAsia" w:ascii="仿宋" w:hAnsi="仿宋" w:eastAsia="仿宋" w:cs="仿宋"/>
          <w:color w:val="auto"/>
          <w:highlight w:val="none"/>
        </w:rPr>
        <w:t>http://www.sxggzyjy.cn/</w:t>
      </w:r>
      <w:r>
        <w:rPr>
          <w:rFonts w:hint="eastAsia" w:ascii="华文仿宋" w:hAnsi="华文仿宋" w:cs="华文仿宋"/>
          <w:color w:val="auto"/>
          <w:highlight w:val="none"/>
        </w:rPr>
        <w:t>），选择“电子交易平台</w:t>
      </w:r>
      <w:r>
        <w:rPr>
          <w:rFonts w:ascii="华文仿宋" w:hAnsi="华文仿宋" w:cs="华文仿宋"/>
          <w:color w:val="auto"/>
          <w:highlight w:val="none"/>
        </w:rPr>
        <w:t>—</w:t>
      </w:r>
      <w:r>
        <w:rPr>
          <w:rFonts w:hint="eastAsia" w:ascii="华文仿宋" w:hAnsi="华文仿宋" w:cs="华文仿宋"/>
          <w:color w:val="auto"/>
          <w:highlight w:val="none"/>
        </w:rPr>
        <w:t>陕西政府采购交易系统</w:t>
      </w:r>
      <w:r>
        <w:rPr>
          <w:rFonts w:ascii="华文仿宋" w:hAnsi="华文仿宋" w:cs="华文仿宋"/>
          <w:color w:val="auto"/>
          <w:highlight w:val="none"/>
        </w:rPr>
        <w:t>—</w:t>
      </w:r>
      <w:r>
        <w:rPr>
          <w:rFonts w:hint="eastAsia" w:ascii="华文仿宋" w:hAnsi="华文仿宋" w:cs="华文仿宋"/>
          <w:color w:val="auto"/>
          <w:highlight w:val="none"/>
        </w:rPr>
        <w:t>企业端”进行登录，登录后选择“交易乙方”身份进入投标人界面后，选择有意向的项目点击“我要投标”，参与投标活动。然后即可在〖我的项目〗中点击“项目流程</w:t>
      </w:r>
      <w:r>
        <w:rPr>
          <w:rFonts w:ascii="华文仿宋" w:hAnsi="华文仿宋" w:cs="华文仿宋"/>
          <w:color w:val="auto"/>
          <w:highlight w:val="none"/>
        </w:rPr>
        <w:t>&gt;</w:t>
      </w:r>
      <w:r>
        <w:rPr>
          <w:rFonts w:hint="eastAsia" w:ascii="华文仿宋" w:hAnsi="华文仿宋" w:cs="华文仿宋"/>
          <w:color w:val="auto"/>
          <w:highlight w:val="none"/>
        </w:rPr>
        <w:t>交易文件下载”免费下载电子招标文件。</w:t>
      </w:r>
    </w:p>
    <w:p w14:paraId="76864315">
      <w:pPr>
        <w:wordWrap w:val="0"/>
        <w:spacing w:line="500" w:lineRule="exact"/>
        <w:ind w:firstLine="566" w:firstLineChars="200"/>
        <w:rPr>
          <w:rFonts w:ascii="华文仿宋" w:hAnsi="华文仿宋" w:cs="华文仿宋"/>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、投标人初次使用交易平台，须先完成诚信入库登记、数字认证证书（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锁）认证及企业信息绑定。相关操作流程详见全国公共资源交易平台（陕西省）网站〖首页·〉服务指南·〉下载专区〗中的《陕西省省级单位电子化政府采购项目投标指南》。</w:t>
      </w:r>
    </w:p>
    <w:p w14:paraId="4F7EA686">
      <w:pPr>
        <w:shd w:val="clear" w:color="auto" w:fill="auto"/>
        <w:wordWrap w:val="0"/>
        <w:spacing w:line="500" w:lineRule="exact"/>
        <w:ind w:firstLine="566" w:firstLineChars="200"/>
        <w:rPr>
          <w:rFonts w:ascii="仿宋" w:hAnsi="仿宋" w:eastAsia="仿宋" w:cs="仿宋"/>
          <w:color w:val="auto"/>
          <w:highlight w:val="none"/>
        </w:rPr>
      </w:pPr>
      <w:r>
        <w:rPr>
          <w:rFonts w:hint="eastAsia" w:ascii="华文仿宋" w:hAnsi="华文仿宋" w:cs="华文仿宋"/>
          <w:color w:val="auto"/>
          <w:highlight w:val="none"/>
        </w:rPr>
        <w:t>3、</w:t>
      </w:r>
      <w:r>
        <w:rPr>
          <w:rFonts w:hint="eastAsia" w:ascii="仿宋" w:hAnsi="仿宋" w:eastAsia="仿宋" w:cs="仿宋"/>
          <w:color w:val="auto"/>
          <w:highlight w:val="none"/>
        </w:rPr>
        <w:t>数字认证证书（CA锁）办理详见全国公共资源交易平台（陕西省）网站〖首页·〉服务指南·〉常见问题解答〉CA证书办理〗中的《CA办理常见问题解答》，网址：http://www.sxggzyjy.cn/fwzn/004002/004002007/20250108/efdc53a2-c250-44b1-876c-c44ab6c5e66d.html。现场办理地址：西安市长安北路14号省公共资源交易中心一楼办理大厅3、4号窗口，咨询电话：029-88661241。</w:t>
      </w:r>
    </w:p>
    <w:p w14:paraId="3086C70D">
      <w:pPr>
        <w:wordWrap w:val="0"/>
        <w:spacing w:line="500" w:lineRule="exact"/>
        <w:ind w:firstLine="566" w:firstLineChars="200"/>
        <w:rPr>
          <w:rFonts w:ascii="仿宋" w:hAnsi="仿宋" w:eastAsia="仿宋" w:cs="仿宋"/>
          <w:b/>
          <w:bCs/>
          <w:color w:val="auto"/>
          <w:highlight w:val="none"/>
        </w:rPr>
      </w:pPr>
      <w:bookmarkStart w:id="21" w:name="_Hlk511229508"/>
      <w:r>
        <w:rPr>
          <w:rFonts w:hint="eastAsia" w:ascii="仿宋" w:hAnsi="仿宋" w:eastAsia="仿宋" w:cs="仿宋"/>
          <w:b/>
          <w:bCs/>
          <w:color w:val="auto"/>
          <w:highlight w:val="none"/>
        </w:rPr>
        <w:t>4、获取时间：202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09</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23</w:t>
      </w:r>
      <w:r>
        <w:rPr>
          <w:rFonts w:hint="eastAsia" w:ascii="仿宋" w:hAnsi="仿宋" w:eastAsia="仿宋" w:cs="仿宋"/>
          <w:b/>
          <w:bCs/>
          <w:color w:val="auto"/>
          <w:highlight w:val="none"/>
        </w:rPr>
        <w:t>日至202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10</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15</w:t>
      </w:r>
      <w:r>
        <w:rPr>
          <w:rFonts w:hint="eastAsia" w:ascii="仿宋" w:hAnsi="仿宋" w:eastAsia="仿宋" w:cs="仿宋"/>
          <w:b/>
          <w:bCs/>
          <w:color w:val="auto"/>
          <w:highlight w:val="none"/>
        </w:rPr>
        <w:t>日，每天上午08:00:00至12:00:00，下午12:00:00至18:00:00（北京时间,法定节假日除外）</w:t>
      </w:r>
    </w:p>
    <w:p w14:paraId="0712D1CE">
      <w:pPr>
        <w:spacing w:line="500" w:lineRule="exact"/>
        <w:ind w:firstLine="566" w:firstLineChars="200"/>
        <w:rPr>
          <w:rFonts w:ascii="华文仿宋" w:cs="Times New Roman"/>
          <w:color w:val="auto"/>
          <w:highlight w:val="none"/>
          <w:lang w:val="zh-CN"/>
        </w:rPr>
      </w:pPr>
      <w:r>
        <w:rPr>
          <w:rFonts w:hint="eastAsia" w:ascii="华文仿宋" w:hAnsi="华文仿宋" w:cs="华文仿宋"/>
          <w:b/>
          <w:bCs/>
          <w:color w:val="auto"/>
          <w:highlight w:val="none"/>
        </w:rPr>
        <w:t>十三、投标保证金的交纳</w:t>
      </w:r>
    </w:p>
    <w:p w14:paraId="4CE89347">
      <w:pPr>
        <w:spacing w:line="500" w:lineRule="exact"/>
        <w:ind w:firstLine="566" w:firstLineChars="200"/>
        <w:rPr>
          <w:rFonts w:cs="华文仿宋"/>
          <w:b/>
          <w:bCs/>
          <w:color w:val="auto"/>
          <w:highlight w:val="none"/>
        </w:rPr>
      </w:pPr>
      <w:r>
        <w:rPr>
          <w:rFonts w:hint="eastAsia" w:ascii="华文仿宋" w:hAnsi="华文仿宋" w:cs="华文仿宋"/>
          <w:color w:val="auto"/>
          <w:highlight w:val="none"/>
        </w:rPr>
        <w:t>本项目不收取投标保证金。</w:t>
      </w:r>
    </w:p>
    <w:p w14:paraId="05B0C0AB">
      <w:pPr>
        <w:ind w:firstLine="566" w:firstLineChars="200"/>
        <w:jc w:val="left"/>
        <w:rPr>
          <w:rFonts w:cs="Times New Roman"/>
          <w:color w:val="auto"/>
          <w:highlight w:val="none"/>
        </w:rPr>
      </w:pPr>
      <w:r>
        <w:rPr>
          <w:rFonts w:hint="eastAsia"/>
          <w:b/>
          <w:bCs/>
          <w:color w:val="auto"/>
          <w:highlight w:val="none"/>
        </w:rPr>
        <w:t>十四、</w:t>
      </w:r>
      <w:r>
        <w:rPr>
          <w:rFonts w:hint="eastAsia" w:cs="华文仿宋"/>
          <w:b/>
          <w:bCs/>
          <w:color w:val="auto"/>
          <w:highlight w:val="none"/>
        </w:rPr>
        <w:t>提交投标文件截止时间及开标时间和地点</w:t>
      </w:r>
    </w:p>
    <w:p w14:paraId="5972394F">
      <w:pPr>
        <w:spacing w:line="500" w:lineRule="exact"/>
        <w:ind w:firstLine="566" w:firstLineChars="200"/>
        <w:rPr>
          <w:rFonts w:cs="Times New Roman"/>
          <w:color w:val="auto"/>
          <w:highlight w:val="none"/>
        </w:rPr>
      </w:pPr>
      <w:r>
        <w:rPr>
          <w:b/>
          <w:bCs/>
          <w:color w:val="auto"/>
          <w:highlight w:val="none"/>
        </w:rPr>
        <w:t>1</w:t>
      </w:r>
      <w:r>
        <w:rPr>
          <w:rFonts w:hint="eastAsia" w:cs="华文仿宋"/>
          <w:b/>
          <w:bCs/>
          <w:color w:val="auto"/>
          <w:highlight w:val="none"/>
        </w:rPr>
        <w:t>、提交投标文件：电子投标文件一份</w:t>
      </w:r>
      <w:r>
        <w:rPr>
          <w:rFonts w:hint="eastAsia" w:cs="华文仿宋"/>
          <w:color w:val="auto"/>
          <w:highlight w:val="none"/>
        </w:rPr>
        <w:t>。</w:t>
      </w:r>
    </w:p>
    <w:p w14:paraId="678BEE5D">
      <w:pPr>
        <w:spacing w:line="500" w:lineRule="exact"/>
        <w:ind w:firstLine="566" w:firstLineChars="200"/>
        <w:rPr>
          <w:rFonts w:cs="Times New Roman"/>
          <w:color w:val="auto"/>
          <w:highlight w:val="none"/>
        </w:rPr>
      </w:pPr>
      <w:r>
        <w:rPr>
          <w:rFonts w:hint="eastAsia" w:cs="华文仿宋"/>
          <w:color w:val="auto"/>
          <w:highlight w:val="none"/>
        </w:rPr>
        <w:t>电子投标文件（</w:t>
      </w:r>
      <w:r>
        <w:rPr>
          <w:color w:val="auto"/>
          <w:highlight w:val="none"/>
        </w:rPr>
        <w:t>*.SXSTF</w:t>
      </w:r>
      <w:r>
        <w:rPr>
          <w:rFonts w:hint="eastAsia" w:cs="华文仿宋"/>
          <w:color w:val="auto"/>
          <w:highlight w:val="none"/>
        </w:rPr>
        <w:t>）可于提交投标文件截止时间前任意时段登录全国公共资源交易平台（陕西省）网站进行提交，逾期系统将拒绝接收。</w:t>
      </w:r>
    </w:p>
    <w:p w14:paraId="2396673E">
      <w:pPr>
        <w:spacing w:line="500" w:lineRule="exact"/>
        <w:ind w:firstLine="566" w:firstLineChars="200"/>
        <w:rPr>
          <w:rFonts w:eastAsia="仿宋" w:cs="Times New Roman"/>
          <w:b/>
          <w:bCs/>
          <w:color w:val="auto"/>
          <w:highlight w:val="none"/>
        </w:rPr>
      </w:pPr>
      <w:r>
        <w:rPr>
          <w:b/>
          <w:bCs/>
          <w:color w:val="auto"/>
          <w:highlight w:val="none"/>
        </w:rPr>
        <w:t>2</w:t>
      </w:r>
      <w:r>
        <w:rPr>
          <w:rFonts w:hint="eastAsia" w:cs="华文仿宋"/>
          <w:b/>
          <w:bCs/>
          <w:color w:val="auto"/>
          <w:highlight w:val="none"/>
        </w:rPr>
        <w:t>、提交投标文件截止时间：</w:t>
      </w:r>
      <w:r>
        <w:rPr>
          <w:rFonts w:ascii="仿宋" w:hAnsi="仿宋" w:eastAsia="仿宋" w:cs="仿宋"/>
          <w:b/>
          <w:bCs/>
          <w:color w:val="auto"/>
          <w:highlight w:val="none"/>
        </w:rPr>
        <w:t>202</w:t>
      </w:r>
      <w:r>
        <w:rPr>
          <w:rFonts w:hint="eastAsia" w:ascii="仿宋" w:hAnsi="仿宋" w:eastAsia="仿宋" w:cs="仿宋"/>
          <w:b/>
          <w:bCs/>
          <w:color w:val="auto"/>
          <w:highlight w:val="none"/>
          <w:lang w:val="en-US" w:eastAsia="zh-CN"/>
        </w:rPr>
        <w:t>5</w:t>
      </w:r>
      <w:r>
        <w:rPr>
          <w:rFonts w:hint="eastAsia" w:ascii="仿宋" w:hAnsi="仿宋" w:eastAsia="仿宋" w:cs="仿宋"/>
          <w:b/>
          <w:bCs/>
          <w:color w:val="auto"/>
          <w:highlight w:val="none"/>
        </w:rPr>
        <w:t>年</w:t>
      </w:r>
      <w:r>
        <w:rPr>
          <w:rFonts w:hint="eastAsia" w:ascii="仿宋" w:hAnsi="仿宋" w:eastAsia="仿宋" w:cs="仿宋"/>
          <w:b/>
          <w:bCs/>
          <w:color w:val="auto"/>
          <w:highlight w:val="none"/>
          <w:lang w:val="en-US" w:eastAsia="zh-CN"/>
        </w:rPr>
        <w:t>10</w:t>
      </w:r>
      <w:r>
        <w:rPr>
          <w:rFonts w:hint="eastAsia" w:ascii="仿宋" w:hAnsi="仿宋" w:eastAsia="仿宋" w:cs="仿宋"/>
          <w:b/>
          <w:bCs/>
          <w:color w:val="auto"/>
          <w:highlight w:val="none"/>
        </w:rPr>
        <w:t>月</w:t>
      </w:r>
      <w:r>
        <w:rPr>
          <w:rFonts w:hint="eastAsia" w:ascii="仿宋" w:hAnsi="仿宋" w:eastAsia="仿宋" w:cs="仿宋"/>
          <w:b/>
          <w:bCs/>
          <w:color w:val="auto"/>
          <w:highlight w:val="none"/>
          <w:lang w:val="en-US" w:eastAsia="zh-CN"/>
        </w:rPr>
        <w:t>16</w:t>
      </w:r>
      <w:bookmarkStart w:id="631" w:name="_GoBack"/>
      <w:bookmarkEnd w:id="631"/>
      <w:r>
        <w:rPr>
          <w:rFonts w:hint="eastAsia" w:ascii="仿宋" w:hAnsi="仿宋" w:eastAsia="仿宋" w:cs="仿宋"/>
          <w:b/>
          <w:bCs/>
          <w:color w:val="auto"/>
          <w:highlight w:val="none"/>
        </w:rPr>
        <w:t>日 0</w:t>
      </w:r>
      <w:r>
        <w:rPr>
          <w:rFonts w:ascii="仿宋" w:hAnsi="仿宋" w:eastAsia="仿宋" w:cs="仿宋"/>
          <w:b/>
          <w:bCs/>
          <w:color w:val="auto"/>
          <w:highlight w:val="none"/>
        </w:rPr>
        <w:t>9:30</w:t>
      </w:r>
    </w:p>
    <w:p w14:paraId="221040D2">
      <w:pPr>
        <w:spacing w:line="500" w:lineRule="exact"/>
        <w:ind w:firstLine="566" w:firstLineChars="200"/>
        <w:rPr>
          <w:rFonts w:cs="Times New Roman"/>
          <w:b/>
          <w:bCs/>
          <w:color w:val="auto"/>
          <w:highlight w:val="none"/>
        </w:rPr>
      </w:pPr>
      <w:r>
        <w:rPr>
          <w:b/>
          <w:bCs/>
          <w:color w:val="auto"/>
          <w:highlight w:val="none"/>
        </w:rPr>
        <w:t>3</w:t>
      </w:r>
      <w:r>
        <w:rPr>
          <w:rFonts w:hint="eastAsia" w:cs="华文仿宋"/>
          <w:b/>
          <w:bCs/>
          <w:color w:val="auto"/>
          <w:highlight w:val="none"/>
        </w:rPr>
        <w:t>、开标时间：同提交投标文件截止时间</w:t>
      </w:r>
    </w:p>
    <w:p w14:paraId="39BBCEA9">
      <w:pPr>
        <w:spacing w:line="500" w:lineRule="exact"/>
        <w:ind w:left="0" w:leftChars="0" w:firstLine="566" w:firstLineChars="200"/>
        <w:rPr>
          <w:rFonts w:cs="华文仿宋"/>
          <w:b/>
          <w:bCs/>
          <w:color w:val="auto"/>
          <w:highlight w:val="none"/>
        </w:rPr>
      </w:pPr>
      <w:r>
        <w:rPr>
          <w:b/>
          <w:bCs/>
          <w:color w:val="auto"/>
          <w:highlight w:val="none"/>
        </w:rPr>
        <w:t>4</w:t>
      </w:r>
      <w:r>
        <w:rPr>
          <w:rFonts w:hint="eastAsia" w:cs="华文仿宋"/>
          <w:b/>
          <w:bCs/>
          <w:color w:val="auto"/>
          <w:highlight w:val="none"/>
        </w:rPr>
        <w:t>、开标地点：西安市碑林区长安北路</w:t>
      </w:r>
      <w:r>
        <w:rPr>
          <w:rFonts w:ascii="仿宋" w:hAnsi="仿宋" w:eastAsia="仿宋" w:cs="仿宋"/>
          <w:b/>
          <w:bCs/>
          <w:color w:val="auto"/>
          <w:highlight w:val="none"/>
        </w:rPr>
        <w:t>14</w:t>
      </w:r>
      <w:r>
        <w:rPr>
          <w:rFonts w:hint="eastAsia" w:cs="华文仿宋"/>
          <w:b/>
          <w:bCs/>
          <w:color w:val="auto"/>
          <w:highlight w:val="none"/>
        </w:rPr>
        <w:t>号陕西省公共资源交易中心</w:t>
      </w:r>
      <w:r>
        <w:rPr>
          <w:rFonts w:hint="eastAsia" w:ascii="仿宋" w:hAnsi="仿宋" w:eastAsia="仿宋" w:cs="仿宋"/>
          <w:b/>
          <w:bCs/>
          <w:color w:val="auto"/>
          <w:highlight w:val="none"/>
        </w:rPr>
        <w:t>30</w:t>
      </w:r>
      <w:r>
        <w:rPr>
          <w:rFonts w:hint="eastAsia" w:ascii="仿宋" w:hAnsi="仿宋" w:eastAsia="仿宋" w:cs="仿宋"/>
          <w:b/>
          <w:bCs/>
          <w:color w:val="auto"/>
          <w:highlight w:val="none"/>
          <w:lang w:val="en-US" w:eastAsia="zh-CN"/>
        </w:rPr>
        <w:t>6</w:t>
      </w:r>
      <w:r>
        <w:rPr>
          <w:rFonts w:hint="eastAsia" w:cs="华文仿宋"/>
          <w:b/>
          <w:bCs/>
          <w:color w:val="auto"/>
          <w:highlight w:val="none"/>
        </w:rPr>
        <w:t>室（不见面开标）。</w:t>
      </w:r>
    </w:p>
    <w:p w14:paraId="57057D01">
      <w:pPr>
        <w:pStyle w:val="23"/>
        <w:wordWrap w:val="0"/>
        <w:spacing w:line="500" w:lineRule="exact"/>
        <w:ind w:firstLine="566" w:firstLineChars="200"/>
        <w:rPr>
          <w:rFonts w:ascii="华文仿宋" w:hAnsi="华文仿宋" w:cs="华文仿宋"/>
          <w:color w:val="auto"/>
          <w:sz w:val="28"/>
          <w:szCs w:val="28"/>
          <w:highlight w:val="none"/>
        </w:rPr>
      </w:pPr>
      <w:r>
        <w:rPr>
          <w:rFonts w:hint="eastAsia" w:ascii="华文仿宋" w:hAnsi="华文仿宋" w:cs="华文仿宋"/>
          <w:b/>
          <w:bCs/>
          <w:color w:val="auto"/>
          <w:sz w:val="28"/>
          <w:szCs w:val="28"/>
          <w:highlight w:val="none"/>
        </w:rPr>
        <w:t>5、开标形式：本项目采用不见面开标方式。</w:t>
      </w:r>
      <w:r>
        <w:rPr>
          <w:rFonts w:hint="eastAsia" w:ascii="华文仿宋" w:hAnsi="华文仿宋" w:cs="华文仿宋"/>
          <w:color w:val="auto"/>
          <w:sz w:val="28"/>
          <w:szCs w:val="28"/>
          <w:highlight w:val="none"/>
        </w:rPr>
        <w:t>投标人需在开启前最少一个小时登录全国公共资源交易平台（陕西省）首页选择“不见面开标-陕西省本级”自行调试，并按照工作人员要求进行投标文件解密，远程观看开标直播。及时加入网络开标大厅公布的腾讯</w:t>
      </w:r>
      <w:r>
        <w:rPr>
          <w:rFonts w:hint="eastAsia" w:ascii="仿宋" w:hAnsi="仿宋" w:eastAsia="仿宋" w:cs="仿宋"/>
          <w:color w:val="auto"/>
          <w:sz w:val="28"/>
          <w:szCs w:val="28"/>
          <w:highlight w:val="none"/>
        </w:rPr>
        <w:t>QQ号</w:t>
      </w:r>
      <w:r>
        <w:rPr>
          <w:rFonts w:hint="eastAsia" w:ascii="华文仿宋" w:hAnsi="华文仿宋" w:cs="华文仿宋"/>
          <w:color w:val="auto"/>
          <w:sz w:val="28"/>
          <w:szCs w:val="28"/>
          <w:highlight w:val="none"/>
        </w:rPr>
        <w:t>，以便澄清等情况处理。如遇困难，请拨打系统平台技术支持电话：</w:t>
      </w:r>
      <w:r>
        <w:rPr>
          <w:rFonts w:hint="eastAsia" w:ascii="仿宋" w:hAnsi="仿宋" w:eastAsia="仿宋" w:cs="仿宋"/>
          <w:b/>
          <w:bCs/>
          <w:color w:val="auto"/>
          <w:sz w:val="28"/>
          <w:szCs w:val="28"/>
          <w:highlight w:val="none"/>
        </w:rPr>
        <w:t>4009980000</w:t>
      </w:r>
      <w:r>
        <w:rPr>
          <w:rFonts w:hint="eastAsia" w:ascii="华文仿宋" w:hAnsi="华文仿宋" w:cs="华文仿宋"/>
          <w:color w:val="auto"/>
          <w:sz w:val="28"/>
          <w:szCs w:val="28"/>
          <w:highlight w:val="none"/>
        </w:rPr>
        <w:t>。</w:t>
      </w:r>
    </w:p>
    <w:p w14:paraId="0F340DBE">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开标时，投标人应按照工作人员要求进行远程解密，如因投标人自身原因，在规定时间内未完成投标文件解密，按无效投标对待。</w:t>
      </w:r>
    </w:p>
    <w:p w14:paraId="0AA6FDA9">
      <w:pPr>
        <w:pStyle w:val="23"/>
        <w:wordWrap w:val="0"/>
        <w:spacing w:line="5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备注：1、相关操作流程详见全国公共资源交易平台（陕西省）网站〖首页·〉服务指南·〉下载专区〗中的《陕西省公共资源交易中心政府采购项目远程不见面开标操作手册（供应商版）》。</w:t>
      </w:r>
    </w:p>
    <w:p w14:paraId="4A6BBEF7">
      <w:pPr>
        <w:pStyle w:val="23"/>
        <w:wordWrap w:val="0"/>
        <w:spacing w:line="5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2、“规定时间”由现场工作人员具体确定。</w:t>
      </w:r>
    </w:p>
    <w:p w14:paraId="6B29BCE7">
      <w:pPr>
        <w:spacing w:line="500" w:lineRule="exact"/>
        <w:ind w:firstLine="566" w:firstLineChars="200"/>
        <w:rPr>
          <w:b/>
          <w:bCs/>
          <w:color w:val="auto"/>
          <w:highlight w:val="none"/>
        </w:rPr>
      </w:pPr>
      <w:r>
        <w:rPr>
          <w:rFonts w:hint="eastAsia"/>
          <w:b/>
          <w:bCs/>
          <w:color w:val="auto"/>
          <w:highlight w:val="none"/>
        </w:rPr>
        <w:t>十五、采购代理机构收费标准：免费</w:t>
      </w:r>
    </w:p>
    <w:p w14:paraId="4CFDD328">
      <w:pPr>
        <w:spacing w:line="500" w:lineRule="exact"/>
        <w:ind w:firstLine="566" w:firstLineChars="200"/>
        <w:rPr>
          <w:b/>
          <w:bCs/>
          <w:color w:val="auto"/>
          <w:highlight w:val="none"/>
        </w:rPr>
      </w:pPr>
      <w:bookmarkStart w:id="22" w:name="_Toc17917"/>
      <w:bookmarkStart w:id="23" w:name="_Toc14110_WPSOffice_Level2"/>
      <w:bookmarkStart w:id="24" w:name="_Toc20005"/>
      <w:bookmarkStart w:id="25" w:name="_Toc22849_WPSOffice_Level2"/>
      <w:bookmarkStart w:id="26" w:name="_Toc10758_WPSOffice_Level2"/>
      <w:r>
        <w:rPr>
          <w:rFonts w:hint="eastAsia"/>
          <w:b/>
          <w:bCs/>
          <w:color w:val="auto"/>
          <w:highlight w:val="none"/>
        </w:rPr>
        <w:t>十六、公告期自发布之日起</w:t>
      </w:r>
      <w:r>
        <w:rPr>
          <w:rFonts w:hint="eastAsia" w:ascii="仿宋" w:hAnsi="仿宋" w:eastAsia="仿宋" w:cs="仿宋"/>
          <w:b/>
          <w:bCs/>
          <w:color w:val="auto"/>
          <w:highlight w:val="none"/>
        </w:rPr>
        <w:t>5</w:t>
      </w:r>
      <w:r>
        <w:rPr>
          <w:rFonts w:hint="eastAsia"/>
          <w:b/>
          <w:bCs/>
          <w:color w:val="auto"/>
          <w:highlight w:val="none"/>
        </w:rPr>
        <w:t>个工作日。</w:t>
      </w:r>
      <w:bookmarkEnd w:id="22"/>
      <w:bookmarkEnd w:id="23"/>
      <w:bookmarkEnd w:id="24"/>
      <w:bookmarkEnd w:id="25"/>
      <w:bookmarkEnd w:id="26"/>
    </w:p>
    <w:p w14:paraId="615A6B4E">
      <w:pPr>
        <w:spacing w:line="500" w:lineRule="exact"/>
        <w:ind w:firstLine="566" w:firstLineChars="200"/>
        <w:rPr>
          <w:rFonts w:ascii="仿宋" w:hAnsi="仿宋" w:eastAsia="仿宋" w:cs="仿宋"/>
          <w:b/>
          <w:bCs/>
          <w:color w:val="auto"/>
          <w:highlight w:val="none"/>
        </w:rPr>
      </w:pPr>
      <w:r>
        <w:rPr>
          <w:rFonts w:hint="eastAsia"/>
          <w:b/>
          <w:bCs/>
          <w:color w:val="auto"/>
          <w:highlight w:val="none"/>
        </w:rPr>
        <w:t>十七、陕西省省级单位政府采购中心联系电话：</w:t>
      </w:r>
      <w:r>
        <w:rPr>
          <w:rFonts w:hint="eastAsia" w:ascii="仿宋" w:hAnsi="仿宋" w:eastAsia="仿宋" w:cs="仿宋"/>
          <w:b/>
          <w:bCs/>
          <w:color w:val="auto"/>
          <w:highlight w:val="none"/>
        </w:rPr>
        <w:t>029-88661294</w:t>
      </w:r>
    </w:p>
    <w:p w14:paraId="3AF05F21">
      <w:pPr>
        <w:spacing w:line="500" w:lineRule="exact"/>
        <w:ind w:firstLine="566" w:firstLineChars="200"/>
        <w:rPr>
          <w:rFonts w:hint="eastAsia" w:ascii="宋体" w:hAnsi="宋体" w:eastAsia="宋体" w:cs="宋体"/>
          <w:b/>
          <w:bCs/>
          <w:color w:val="auto"/>
          <w:highlight w:val="none"/>
        </w:rPr>
      </w:pPr>
    </w:p>
    <w:p w14:paraId="3B545E87">
      <w:pPr>
        <w:pStyle w:val="8"/>
        <w:rPr>
          <w:rFonts w:hint="eastAsia"/>
        </w:rPr>
      </w:pPr>
    </w:p>
    <w:p w14:paraId="227EC780">
      <w:pPr>
        <w:spacing w:line="500" w:lineRule="exact"/>
        <w:ind w:firstLine="566" w:firstLineChars="200"/>
        <w:rPr>
          <w:rFonts w:ascii="宋体" w:hAnsi="宋体" w:eastAsia="宋体" w:cs="Times New Roman"/>
          <w:b/>
          <w:bCs/>
          <w:color w:val="auto"/>
          <w:highlight w:val="none"/>
        </w:rPr>
      </w:pPr>
      <w:r>
        <w:rPr>
          <w:rFonts w:hint="eastAsia" w:ascii="宋体" w:hAnsi="宋体" w:eastAsia="宋体" w:cs="宋体"/>
          <w:b/>
          <w:bCs/>
          <w:color w:val="auto"/>
          <w:highlight w:val="none"/>
        </w:rPr>
        <w:t>特别提醒：</w:t>
      </w:r>
    </w:p>
    <w:bookmarkEnd w:id="21"/>
    <w:p w14:paraId="365614E8">
      <w:pPr>
        <w:wordWrap w:val="0"/>
        <w:spacing w:line="440" w:lineRule="exact"/>
        <w:ind w:firstLine="426" w:firstLineChars="200"/>
        <w:rPr>
          <w:rFonts w:ascii="宋体" w:hAnsi="宋体" w:eastAsia="宋体" w:cs="宋体"/>
          <w:b/>
          <w:bCs/>
          <w:color w:val="auto"/>
          <w:sz w:val="21"/>
          <w:szCs w:val="21"/>
          <w:highlight w:val="none"/>
        </w:rPr>
      </w:pPr>
      <w:bookmarkStart w:id="27" w:name="_Toc495014648"/>
      <w:bookmarkStart w:id="28" w:name="_Toc445306492"/>
      <w:bookmarkStart w:id="29" w:name="_Toc26954"/>
      <w:bookmarkStart w:id="30" w:name="_Toc495014584"/>
      <w:bookmarkStart w:id="31" w:name="_Toc8753"/>
      <w:bookmarkStart w:id="32" w:name="_Toc495012820"/>
      <w:bookmarkStart w:id="33" w:name="_Toc495014919"/>
      <w:bookmarkStart w:id="34" w:name="_Toc495014953"/>
      <w:bookmarkStart w:id="35" w:name="_Toc495012770"/>
      <w:bookmarkStart w:id="36" w:name="_Toc495014610"/>
      <w:bookmarkStart w:id="37" w:name="_Toc16643"/>
      <w:r>
        <w:rPr>
          <w:rFonts w:hint="eastAsia" w:ascii="宋体" w:hAnsi="宋体" w:eastAsia="宋体" w:cs="宋体"/>
          <w:b/>
          <w:bCs/>
          <w:color w:val="auto"/>
          <w:sz w:val="21"/>
          <w:szCs w:val="21"/>
          <w:highlight w:val="none"/>
        </w:rPr>
        <w:t>1、本项目采用电子化投标及远程不见面开标方式。投标人须使用数字认证证书（CA锁）对电子投标文件进行签章、加密、递交及开标时解密等相关招投标事宜。开标前，投标人需登录网络开标大厅。开标时，按照工作人员要求进行远程解密，如因投标人自身原因造成无法解密投标文件，按无效投标对待。</w:t>
      </w:r>
    </w:p>
    <w:p w14:paraId="527DBEFE">
      <w:pPr>
        <w:wordWrap w:val="0"/>
        <w:spacing w:line="44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制作电子投标文件。投标人须在“全国公共资源交易中心平台（陕西省）（http://www.sxggzyjy.cn/）”的“服务指南”栏目“下载专区”中，免费下载“陕西省公共资源交易平台政府采购电子标书制作工具”，并升级至最新版本，使用该客户端制作电子投标文件，制作扩展名为“*.SXSTF”的电子投标文件。”</w:t>
      </w:r>
    </w:p>
    <w:p w14:paraId="2E82EB94">
      <w:pPr>
        <w:wordWrap w:val="0"/>
        <w:spacing w:line="44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递交电子投标文件。登录全国公共资源交易中心平台（陕西省）（http://www.sxggzyjy.cn/），选择“电子交易平台—陕西政府采购交易系统—企业端”进行登录，登录后选择“交易乙方”身份进入，进入菜单“采购业务—我的项目—项目流程—上传投标文件”，上传加密的电子投标文件。上传成功后，电子化平台将予以记录。</w:t>
      </w:r>
    </w:p>
    <w:p w14:paraId="2935B450">
      <w:pPr>
        <w:wordWrap w:val="0"/>
        <w:spacing w:line="44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4、为了保证远程不见面开标顺利进行，投标人需使用配备音响和拾音设备的电脑提前1小时登录网络开标大厅（相关操作流程见本章第十四条第5款备注（1））。</w:t>
      </w:r>
    </w:p>
    <w:p w14:paraId="436E4ABA">
      <w:pPr>
        <w:pStyle w:val="8"/>
        <w:spacing w:afterLines="0" w:line="440" w:lineRule="exact"/>
        <w:ind w:firstLine="426" w:firstLineChars="200"/>
        <w:rPr>
          <w:rFonts w:eastAsia="宋体"/>
          <w:b/>
          <w:bCs/>
          <w:color w:val="auto"/>
          <w:sz w:val="21"/>
          <w:szCs w:val="21"/>
          <w:highlight w:val="none"/>
          <w:shd w:val="clear" w:color="FFFFFF" w:fill="D9D9D9"/>
        </w:rPr>
      </w:pPr>
      <w:r>
        <w:rPr>
          <w:rFonts w:hint="eastAsia" w:eastAsia="宋体"/>
          <w:b/>
          <w:bCs/>
          <w:color w:val="auto"/>
          <w:sz w:val="21"/>
          <w:szCs w:val="21"/>
          <w:highlight w:val="none"/>
        </w:rPr>
        <w:t>5、投标人需安装新点播放器，以便观看远程不见面开标直播画面（播放器下载链接为：https://download.bqpoint.com/download/downloaddetail.html?SourceFrom=Down&amp;SoftGuid=55aa4e06-c384-4005-bcb9-48932d410fd4）。</w:t>
      </w:r>
    </w:p>
    <w:p w14:paraId="52EBFB9B">
      <w:pPr>
        <w:pStyle w:val="2"/>
        <w:rPr>
          <w:rFonts w:cs="Times New Roman"/>
          <w:color w:val="auto"/>
          <w:highlight w:val="none"/>
        </w:rPr>
      </w:pPr>
      <w:r>
        <w:rPr>
          <w:rFonts w:hint="eastAsia" w:ascii="黑体" w:hAnsi="黑体" w:eastAsia="黑体" w:cs="黑体"/>
          <w:b w:val="0"/>
          <w:bCs w:val="0"/>
          <w:color w:val="auto"/>
          <w:sz w:val="32"/>
          <w:szCs w:val="32"/>
          <w:highlight w:val="none"/>
        </w:rPr>
        <w:br w:type="page"/>
      </w:r>
      <w:bookmarkStart w:id="38" w:name="_Toc23317"/>
      <w:r>
        <w:rPr>
          <w:rFonts w:hint="eastAsia" w:ascii="黑体" w:hAnsi="黑体" w:eastAsia="黑体" w:cs="黑体"/>
          <w:b w:val="0"/>
          <w:bCs w:val="0"/>
          <w:color w:val="auto"/>
          <w:sz w:val="32"/>
          <w:szCs w:val="32"/>
          <w:highlight w:val="none"/>
        </w:rPr>
        <w:t>第二章  投标人须知</w:t>
      </w:r>
      <w:bookmarkEnd w:id="27"/>
      <w:bookmarkEnd w:id="28"/>
      <w:bookmarkEnd w:id="29"/>
      <w:bookmarkEnd w:id="30"/>
      <w:bookmarkEnd w:id="31"/>
      <w:bookmarkEnd w:id="32"/>
      <w:bookmarkEnd w:id="33"/>
      <w:bookmarkEnd w:id="34"/>
      <w:bookmarkEnd w:id="35"/>
      <w:bookmarkEnd w:id="36"/>
      <w:bookmarkEnd w:id="37"/>
      <w:bookmarkEnd w:id="38"/>
    </w:p>
    <w:p w14:paraId="3514C9C4">
      <w:pPr>
        <w:pStyle w:val="3"/>
        <w:spacing w:line="500" w:lineRule="exact"/>
        <w:ind w:firstLine="566" w:firstLineChars="200"/>
        <w:rPr>
          <w:rFonts w:ascii="华文仿宋" w:cs="Times New Roman"/>
          <w:color w:val="auto"/>
          <w:sz w:val="28"/>
          <w:szCs w:val="28"/>
          <w:highlight w:val="none"/>
        </w:rPr>
      </w:pPr>
      <w:bookmarkStart w:id="39" w:name="_Toc16222"/>
      <w:bookmarkStart w:id="40" w:name="_Toc9277"/>
      <w:bookmarkStart w:id="41" w:name="_Toc2084"/>
      <w:r>
        <w:rPr>
          <w:rFonts w:hint="eastAsia" w:ascii="华文仿宋" w:hAnsi="华文仿宋" w:cs="华文仿宋"/>
          <w:color w:val="auto"/>
          <w:sz w:val="28"/>
          <w:szCs w:val="28"/>
          <w:highlight w:val="none"/>
        </w:rPr>
        <w:t>一、定义</w:t>
      </w:r>
      <w:bookmarkEnd w:id="39"/>
      <w:bookmarkEnd w:id="40"/>
      <w:bookmarkEnd w:id="41"/>
    </w:p>
    <w:p w14:paraId="0D14686B">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（一）采购人：</w:t>
      </w:r>
      <w:r>
        <w:rPr>
          <w:rFonts w:hint="eastAsia" w:ascii="华文仿宋" w:hAnsi="华文仿宋" w:cs="华文仿宋"/>
          <w:color w:val="auto"/>
          <w:highlight w:val="none"/>
          <w:lang w:eastAsia="zh-CN"/>
        </w:rPr>
        <w:t>陕西交通职业技术学院</w:t>
      </w:r>
    </w:p>
    <w:p w14:paraId="790EB051">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（二）监督机构：陕西省财政厅</w:t>
      </w:r>
    </w:p>
    <w:p w14:paraId="522CBB12">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（三）采购代理机构：陕西省省级单位政府采购中心</w:t>
      </w:r>
    </w:p>
    <w:p w14:paraId="00072F16">
      <w:pPr>
        <w:spacing w:line="500" w:lineRule="exact"/>
        <w:ind w:left="1415" w:leftChars="200" w:hanging="849" w:hangingChars="300"/>
        <w:rPr>
          <w:rFonts w:ascii="华文仿宋" w:hAnsi="华文仿宋" w:cs="华文仿宋"/>
          <w:color w:val="auto"/>
          <w:highlight w:val="none"/>
        </w:rPr>
      </w:pPr>
      <w:r>
        <w:rPr>
          <w:rFonts w:hint="eastAsia" w:ascii="华文仿宋" w:hAnsi="华文仿宋" w:cs="华文仿宋"/>
          <w:color w:val="auto"/>
          <w:highlight w:val="none"/>
        </w:rPr>
        <w:t>（四）投标人：拟向采购人提供货物、工程或者服务的法人、其他组</w:t>
      </w:r>
    </w:p>
    <w:p w14:paraId="6B6AEA45">
      <w:pPr>
        <w:spacing w:line="500" w:lineRule="exact"/>
        <w:rPr>
          <w:rFonts w:ascii="华文仿宋" w:cs="Times New Roman"/>
          <w:color w:val="auto"/>
          <w:highlight w:val="none"/>
        </w:rPr>
      </w:pPr>
      <w:r>
        <w:rPr>
          <w:rFonts w:hint="eastAsia" w:ascii="华文仿宋" w:hAnsi="华文仿宋" w:cs="华文仿宋"/>
          <w:color w:val="auto"/>
          <w:highlight w:val="none"/>
        </w:rPr>
        <w:t>织或者自然人</w:t>
      </w:r>
    </w:p>
    <w:p w14:paraId="29782B73">
      <w:pPr>
        <w:pStyle w:val="3"/>
        <w:spacing w:line="500" w:lineRule="exact"/>
        <w:ind w:firstLine="566" w:firstLineChars="200"/>
        <w:rPr>
          <w:rFonts w:ascii="华文仿宋" w:cs="Times New Roman"/>
          <w:color w:val="auto"/>
          <w:sz w:val="28"/>
          <w:szCs w:val="28"/>
          <w:highlight w:val="none"/>
        </w:rPr>
      </w:pPr>
      <w:bookmarkStart w:id="42" w:name="_Toc24264"/>
      <w:bookmarkStart w:id="43" w:name="_Toc4889"/>
      <w:bookmarkStart w:id="44" w:name="_Toc17842"/>
      <w:r>
        <w:rPr>
          <w:rFonts w:hint="eastAsia" w:ascii="华文仿宋" w:hAnsi="华文仿宋" w:cs="华文仿宋"/>
          <w:color w:val="auto"/>
          <w:sz w:val="28"/>
          <w:szCs w:val="28"/>
          <w:highlight w:val="none"/>
        </w:rPr>
        <w:t>二、投标人注意事项</w:t>
      </w:r>
      <w:bookmarkEnd w:id="42"/>
      <w:bookmarkEnd w:id="43"/>
      <w:bookmarkEnd w:id="44"/>
    </w:p>
    <w:p w14:paraId="01473E14">
      <w:pPr>
        <w:pStyle w:val="3"/>
        <w:spacing w:line="500" w:lineRule="exact"/>
        <w:ind w:firstLine="566" w:firstLineChars="200"/>
        <w:rPr>
          <w:rFonts w:ascii="华文仿宋" w:cs="Times New Roman"/>
          <w:color w:val="auto"/>
          <w:sz w:val="28"/>
          <w:szCs w:val="28"/>
          <w:highlight w:val="none"/>
        </w:rPr>
      </w:pPr>
      <w:bookmarkStart w:id="45" w:name="_Toc28214"/>
      <w:bookmarkStart w:id="46" w:name="_Toc32309"/>
      <w:bookmarkStart w:id="47" w:name="_Toc10905"/>
      <w:bookmarkStart w:id="48" w:name="_Toc16764"/>
      <w:bookmarkStart w:id="49" w:name="_Toc30368"/>
      <w:bookmarkStart w:id="50" w:name="_Toc24852"/>
      <w:bookmarkStart w:id="51" w:name="_Toc28589"/>
      <w:bookmarkStart w:id="52" w:name="_Toc30161"/>
      <w:bookmarkStart w:id="53" w:name="_Toc1795"/>
      <w:bookmarkStart w:id="54" w:name="_Toc1370"/>
      <w:bookmarkStart w:id="55" w:name="_Toc21886"/>
      <w:bookmarkStart w:id="56" w:name="_Toc11128"/>
      <w:bookmarkStart w:id="57" w:name="_Toc17374"/>
      <w:bookmarkStart w:id="58" w:name="_Toc23045"/>
      <w:bookmarkStart w:id="59" w:name="_Toc1837"/>
      <w:bookmarkStart w:id="60" w:name="_Toc28058"/>
      <w:bookmarkStart w:id="61" w:name="_Toc32684"/>
      <w:bookmarkStart w:id="62" w:name="_Toc734"/>
      <w:bookmarkStart w:id="63" w:name="_Toc11734"/>
      <w:r>
        <w:rPr>
          <w:rFonts w:hint="eastAsia" w:ascii="华文仿宋" w:hAnsi="华文仿宋" w:cs="华文仿宋"/>
          <w:color w:val="auto"/>
          <w:sz w:val="28"/>
          <w:szCs w:val="28"/>
          <w:highlight w:val="none"/>
        </w:rPr>
        <w:t>（一）询问</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73E68D3">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投标人针对</w:t>
      </w:r>
      <w:r>
        <w:rPr>
          <w:rFonts w:hint="eastAsia" w:ascii="华文仿宋" w:hAnsi="华文仿宋" w:cs="华文仿宋"/>
          <w:color w:val="auto"/>
          <w:highlight w:val="none"/>
          <w:lang w:val="en-US" w:eastAsia="zh-CN"/>
        </w:rPr>
        <w:t>招</w:t>
      </w:r>
      <w:r>
        <w:rPr>
          <w:rFonts w:hint="eastAsia" w:ascii="华文仿宋" w:hAnsi="华文仿宋" w:cs="华文仿宋"/>
          <w:color w:val="auto"/>
          <w:highlight w:val="none"/>
        </w:rPr>
        <w:t>标文件（包括采购需求、投标人资格条件、商务条款等）</w:t>
      </w:r>
      <w:r>
        <w:rPr>
          <w:rFonts w:hint="eastAsia" w:ascii="仿宋" w:hAnsi="仿宋" w:eastAsia="仿宋" w:cs="仿宋"/>
          <w:bCs/>
          <w:color w:val="auto"/>
          <w:highlight w:val="none"/>
        </w:rPr>
        <w:t>和公开/邀请招标资格审查结果</w:t>
      </w:r>
      <w:r>
        <w:rPr>
          <w:rFonts w:hint="eastAsia" w:ascii="华文仿宋" w:hAnsi="华文仿宋" w:cs="华文仿宋"/>
          <w:color w:val="auto"/>
          <w:highlight w:val="none"/>
        </w:rPr>
        <w:t>依法提出书面询问的，采购人应在三个工作日内书面答复；投标人向陕西省省级单位政府采购中心提出书面询问的，陕西省省级单位政府采购中心应告知采购人并协助采购人做出答复。</w:t>
      </w:r>
    </w:p>
    <w:p w14:paraId="37229867">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投标人对采购过程</w:t>
      </w:r>
      <w:r>
        <w:rPr>
          <w:rFonts w:hint="eastAsia" w:ascii="仿宋" w:hAnsi="仿宋" w:eastAsia="仿宋" w:cs="仿宋"/>
          <w:bCs/>
          <w:color w:val="auto"/>
          <w:highlight w:val="none"/>
        </w:rPr>
        <w:t>（不含公开/邀请招标资格审查结果）</w:t>
      </w:r>
      <w:r>
        <w:rPr>
          <w:rFonts w:hint="eastAsia" w:ascii="华文仿宋" w:hAnsi="华文仿宋" w:cs="华文仿宋"/>
          <w:color w:val="auto"/>
          <w:highlight w:val="none"/>
        </w:rPr>
        <w:t>、中标（成交）结果，向陕西省省级单位政府采购中心提出书面询问的，陕西省省级单位政府采购中心应在三个工作日内书面答复。</w:t>
      </w:r>
    </w:p>
    <w:p w14:paraId="5785722A">
      <w:pPr>
        <w:pStyle w:val="3"/>
        <w:spacing w:line="500" w:lineRule="exact"/>
        <w:ind w:firstLine="566" w:firstLineChars="200"/>
        <w:rPr>
          <w:rFonts w:ascii="华文仿宋" w:cs="Times New Roman"/>
          <w:color w:val="auto"/>
          <w:sz w:val="28"/>
          <w:szCs w:val="28"/>
          <w:highlight w:val="none"/>
        </w:rPr>
      </w:pPr>
      <w:bookmarkStart w:id="64" w:name="_Toc17968"/>
      <w:bookmarkStart w:id="65" w:name="_Toc10767"/>
      <w:bookmarkStart w:id="66" w:name="_Toc30658"/>
      <w:bookmarkStart w:id="67" w:name="_Toc20728"/>
      <w:bookmarkStart w:id="68" w:name="_Toc9372"/>
      <w:bookmarkStart w:id="69" w:name="_Toc23676"/>
      <w:bookmarkStart w:id="70" w:name="_Toc26397"/>
      <w:bookmarkStart w:id="71" w:name="_Toc11418"/>
      <w:bookmarkStart w:id="72" w:name="_Toc10749"/>
      <w:bookmarkStart w:id="73" w:name="_Toc9295"/>
      <w:bookmarkStart w:id="74" w:name="_Toc29525"/>
      <w:bookmarkStart w:id="75" w:name="_Toc7423"/>
      <w:bookmarkStart w:id="76" w:name="_Toc2552"/>
      <w:bookmarkStart w:id="77" w:name="_Toc25620"/>
      <w:bookmarkStart w:id="78" w:name="_Toc16663"/>
      <w:bookmarkStart w:id="79" w:name="_Toc18061"/>
      <w:bookmarkStart w:id="80" w:name="_Toc2542"/>
      <w:bookmarkStart w:id="81" w:name="_Toc12755"/>
      <w:bookmarkStart w:id="82" w:name="_Toc5585"/>
      <w:r>
        <w:rPr>
          <w:rFonts w:hint="eastAsia" w:ascii="华文仿宋" w:hAnsi="华文仿宋" w:cs="华文仿宋"/>
          <w:color w:val="auto"/>
          <w:sz w:val="28"/>
          <w:szCs w:val="28"/>
          <w:highlight w:val="none"/>
        </w:rPr>
        <w:t>（二）现场踏勘及标前答疑会</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FE03080">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采购项目安排现场考察和标前答疑的，采购人应尽量在现场予以解答（口头提问可口头答复），现场不能做出解答的，应在三个工作日内书面答复，并交由陕西省省级单位政府采购中心在财政部门指定的媒体上发布。</w:t>
      </w:r>
    </w:p>
    <w:p w14:paraId="34E94259">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答复内容可能影响投标文件编制的，应当顺延开标时间。凡未参加现场踏勘和标前答疑的投标人，由此造成的偏差由各投标人自行负责。</w:t>
      </w:r>
    </w:p>
    <w:p w14:paraId="767BAC9F">
      <w:pPr>
        <w:pStyle w:val="46"/>
        <w:spacing w:line="500" w:lineRule="exact"/>
        <w:ind w:firstLine="566" w:firstLineChars="200"/>
        <w:rPr>
          <w:rFonts w:hint="eastAsia" w:ascii="华文仿宋" w:hAnsi="华文仿宋" w:cs="华文仿宋"/>
          <w:b/>
          <w:color w:val="auto"/>
          <w:highlight w:val="none"/>
        </w:rPr>
      </w:pPr>
      <w:bookmarkStart w:id="83" w:name="_Toc19048"/>
      <w:bookmarkStart w:id="84" w:name="_Toc11479"/>
      <w:bookmarkStart w:id="85" w:name="_Toc12086"/>
      <w:bookmarkStart w:id="86" w:name="_Toc19340"/>
      <w:bookmarkStart w:id="87" w:name="_Toc5892"/>
      <w:bookmarkStart w:id="88" w:name="_Toc13487"/>
      <w:bookmarkStart w:id="89" w:name="_Toc7114"/>
      <w:bookmarkStart w:id="90" w:name="_Toc32452"/>
      <w:bookmarkStart w:id="91" w:name="_Toc13711"/>
      <w:bookmarkStart w:id="92" w:name="_Toc17393"/>
      <w:bookmarkStart w:id="93" w:name="_Toc7492"/>
      <w:bookmarkStart w:id="94" w:name="_Toc29658"/>
      <w:bookmarkStart w:id="95" w:name="_Toc30373"/>
      <w:bookmarkStart w:id="96" w:name="_Toc12196"/>
      <w:bookmarkStart w:id="97" w:name="_Toc25161"/>
      <w:bookmarkStart w:id="98" w:name="_Toc21760"/>
      <w:bookmarkStart w:id="99" w:name="_Toc23122"/>
      <w:bookmarkStart w:id="100" w:name="_Toc32440"/>
      <w:bookmarkStart w:id="101" w:name="_Toc23212"/>
      <w:r>
        <w:rPr>
          <w:rFonts w:hint="eastAsia" w:ascii="华文仿宋" w:hAnsi="华文仿宋" w:cs="华文仿宋"/>
          <w:b/>
          <w:color w:val="auto"/>
          <w:highlight w:val="none"/>
        </w:rPr>
        <w:t>本项目不组织集中踏勘和标前答疑。</w:t>
      </w:r>
    </w:p>
    <w:p w14:paraId="45E05361">
      <w:pPr>
        <w:pStyle w:val="3"/>
        <w:spacing w:line="500" w:lineRule="exact"/>
        <w:ind w:firstLine="566" w:firstLineChars="200"/>
        <w:rPr>
          <w:rFonts w:ascii="华文仿宋" w:cs="Times New Roman"/>
          <w:color w:val="auto"/>
          <w:sz w:val="28"/>
          <w:szCs w:val="28"/>
          <w:highlight w:val="none"/>
        </w:rPr>
      </w:pPr>
      <w:r>
        <w:rPr>
          <w:rFonts w:hint="eastAsia" w:ascii="华文仿宋" w:hAnsi="华文仿宋" w:cs="华文仿宋"/>
          <w:color w:val="auto"/>
          <w:sz w:val="28"/>
          <w:szCs w:val="28"/>
          <w:highlight w:val="none"/>
        </w:rPr>
        <w:t>（三）质疑和投诉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D44210E">
      <w:pPr>
        <w:spacing w:line="500" w:lineRule="exact"/>
        <w:ind w:firstLine="566" w:firstLineChars="200"/>
        <w:contextualSpacing/>
        <w:rPr>
          <w:rFonts w:ascii="华文仿宋" w:hAnsi="华文仿宋" w:cs="华文仿宋"/>
          <w:color w:val="auto"/>
          <w:highlight w:val="none"/>
        </w:rPr>
      </w:pPr>
      <w:r>
        <w:rPr>
          <w:rFonts w:hint="eastAsia" w:ascii="华文仿宋" w:hAnsi="华文仿宋" w:cs="华文仿宋"/>
          <w:color w:val="auto"/>
          <w:highlight w:val="none"/>
        </w:rPr>
        <w:t>投标人如果认为招标文件（包括采购需求、投标人资格条件、商务条款等）使自身的合法权益受到损害，可以在获取招标文件之日起７个工作日内，以书面形式向采购人提出质疑；投标人如果认为采购过程</w:t>
      </w:r>
      <w:r>
        <w:rPr>
          <w:rFonts w:hint="eastAsia" w:ascii="仿宋" w:hAnsi="仿宋" w:eastAsia="仿宋" w:cs="仿宋"/>
          <w:bCs/>
          <w:color w:val="auto"/>
          <w:highlight w:val="none"/>
        </w:rPr>
        <w:t>（不含公开/邀请招标资格审查结果）</w:t>
      </w:r>
      <w:r>
        <w:rPr>
          <w:rFonts w:hint="eastAsia" w:ascii="华文仿宋" w:hAnsi="华文仿宋" w:cs="华文仿宋"/>
          <w:color w:val="auto"/>
          <w:highlight w:val="none"/>
        </w:rPr>
        <w:t>或中标结果使自身的合法权益受到损害，可以在知道或应知其权益受到损害之日起7个工作日内，以书面形式向陕西省省级单位政府采购中心提出质疑。</w:t>
      </w:r>
    </w:p>
    <w:p w14:paraId="196ABAAB">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、投标人提出质疑应当提交质疑函和必要的证明材料，并按财政部《质疑函范本》给定的格式进行填写，范本下载详见【财政部国库司（gks.mof.gov.cn）】网站〖首页</w:t>
      </w:r>
      <w:r>
        <w:rPr>
          <w:rFonts w:ascii="华文仿宋" w:cs="Times New Roman"/>
          <w:color w:val="auto"/>
          <w:highlight w:val="none"/>
        </w:rPr>
        <w:t>•</w:t>
      </w:r>
      <w:r>
        <w:rPr>
          <w:rFonts w:hint="eastAsia" w:ascii="华文仿宋" w:hAnsi="华文仿宋" w:cs="华文仿宋"/>
          <w:color w:val="auto"/>
          <w:highlight w:val="none"/>
        </w:rPr>
        <w:t>〉政府采购管理〗栏目中的《政府采购供应商质疑函范本》。</w:t>
      </w:r>
    </w:p>
    <w:p w14:paraId="6A49F1CB">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《政府采购供应商质疑函范本》链接地址：</w:t>
      </w:r>
    </w:p>
    <w:p w14:paraId="79335AC4">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http://gks.mof.gov.cn/ztztz/zhengfucaigouguanli/201802/t20180201_2804589.htm</w:t>
      </w:r>
    </w:p>
    <w:p w14:paraId="4F2B324E">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68DAAE8E">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、在法定质疑期内，针对同一采购程序环节的质疑应当一次性提出。陕西省省级单位政府采购中心或采购人将在收到书面质疑后</w:t>
      </w:r>
      <w:r>
        <w:rPr>
          <w:rFonts w:ascii="仿宋" w:hAnsi="仿宋" w:eastAsia="仿宋" w:cs="仿宋"/>
          <w:color w:val="auto"/>
          <w:highlight w:val="none"/>
        </w:rPr>
        <w:t>7</w:t>
      </w:r>
      <w:r>
        <w:rPr>
          <w:rFonts w:hint="eastAsia" w:ascii="华文仿宋" w:hAnsi="华文仿宋" w:cs="华文仿宋"/>
          <w:color w:val="auto"/>
          <w:highlight w:val="none"/>
        </w:rPr>
        <w:t>个工作日内做出答复，并以书面形式通知质疑人和其他有关投标人。</w:t>
      </w:r>
    </w:p>
    <w:p w14:paraId="24AA83A8">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、有下列情形之一的，属于无效质疑，陕西省省级单位政府采购中心和采购人不予受理：</w:t>
      </w:r>
    </w:p>
    <w:p w14:paraId="2C2BC56F">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）质疑人不是参与本次政府采购项目的</w:t>
      </w:r>
      <w:r>
        <w:rPr>
          <w:rFonts w:hint="eastAsia" w:ascii="华文仿宋" w:hAnsi="华文仿宋" w:cs="华文仿宋"/>
          <w:color w:val="auto"/>
          <w:highlight w:val="none"/>
          <w:lang w:eastAsia="zh-CN"/>
        </w:rPr>
        <w:t>投标人</w:t>
      </w:r>
      <w:r>
        <w:rPr>
          <w:rFonts w:hint="eastAsia" w:ascii="华文仿宋" w:hAnsi="华文仿宋" w:cs="华文仿宋"/>
          <w:color w:val="auto"/>
          <w:highlight w:val="none"/>
        </w:rPr>
        <w:t>或潜在投标人；</w:t>
      </w:r>
    </w:p>
    <w:p w14:paraId="3BFEA520">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）质疑人与质疑事项不存在利害关系的；</w:t>
      </w:r>
    </w:p>
    <w:p w14:paraId="44F3600E">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）未在法定期限内提出质疑的；</w:t>
      </w:r>
    </w:p>
    <w:p w14:paraId="4DCFF1EB">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4</w:t>
      </w:r>
      <w:r>
        <w:rPr>
          <w:rFonts w:hint="eastAsia" w:ascii="华文仿宋" w:hAnsi="华文仿宋" w:cs="华文仿宋"/>
          <w:color w:val="auto"/>
          <w:highlight w:val="none"/>
        </w:rPr>
        <w:t>）质疑未以书面形式提出，或质疑函主要内容构成不完整的，或缺乏必要的证明材料及证明材料不完整的；</w:t>
      </w:r>
    </w:p>
    <w:p w14:paraId="05907C24">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5</w:t>
      </w:r>
      <w:r>
        <w:rPr>
          <w:rFonts w:hint="eastAsia" w:ascii="华文仿宋" w:hAnsi="华文仿宋" w:cs="华文仿宋"/>
          <w:color w:val="auto"/>
          <w:highlight w:val="none"/>
        </w:rPr>
        <w:t>）质疑函没有合法有效的签字、盖章或授权的；</w:t>
      </w:r>
    </w:p>
    <w:p w14:paraId="52DE947F">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6</w:t>
      </w:r>
      <w:r>
        <w:rPr>
          <w:rFonts w:hint="eastAsia" w:ascii="华文仿宋" w:hAnsi="华文仿宋" w:cs="华文仿宋"/>
          <w:color w:val="auto"/>
          <w:highlight w:val="none"/>
        </w:rPr>
        <w:t>）以非法手段取得证据、材料的；</w:t>
      </w:r>
    </w:p>
    <w:p w14:paraId="709DF665">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（7）不符合法律、法规、规章和政府采购监管机构规定的其他条件的。</w:t>
      </w:r>
    </w:p>
    <w:p w14:paraId="4D6601B7">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5</w:t>
      </w:r>
      <w:r>
        <w:rPr>
          <w:rFonts w:hint="eastAsia" w:ascii="华文仿宋" w:hAnsi="华文仿宋" w:cs="华文仿宋"/>
          <w:color w:val="auto"/>
          <w:highlight w:val="none"/>
        </w:rPr>
        <w:t>、质疑人对陕西省省级单位政府采购中心或采购人的答复不满意，以及陕西省省级单位政府采购中心或采购人未在规定时间内做出答复的，可以在答复期满后</w:t>
      </w:r>
      <w:r>
        <w:rPr>
          <w:rFonts w:ascii="仿宋" w:hAnsi="仿宋" w:eastAsia="仿宋" w:cs="仿宋"/>
          <w:color w:val="auto"/>
          <w:highlight w:val="none"/>
        </w:rPr>
        <w:t>15</w:t>
      </w:r>
      <w:r>
        <w:rPr>
          <w:rFonts w:hint="eastAsia" w:ascii="华文仿宋" w:hAnsi="华文仿宋" w:cs="华文仿宋"/>
          <w:color w:val="auto"/>
          <w:highlight w:val="none"/>
        </w:rPr>
        <w:t>个工作日内向政府采购监管机构提出投诉。</w:t>
      </w:r>
    </w:p>
    <w:p w14:paraId="6AAE5482">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6</w:t>
      </w:r>
      <w:r>
        <w:rPr>
          <w:rFonts w:hint="eastAsia" w:ascii="华文仿宋" w:hAnsi="华文仿宋" w:cs="华文仿宋"/>
          <w:color w:val="auto"/>
          <w:highlight w:val="none"/>
        </w:rPr>
        <w:t>、投标人投诉的事项不得超出已质疑事项的范围。</w:t>
      </w:r>
    </w:p>
    <w:p w14:paraId="015DFCE0">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7</w:t>
      </w:r>
      <w:r>
        <w:rPr>
          <w:rFonts w:hint="eastAsia" w:ascii="华文仿宋" w:hAnsi="华文仿宋" w:cs="华文仿宋"/>
          <w:b/>
          <w:bCs/>
          <w:color w:val="auto"/>
          <w:highlight w:val="none"/>
        </w:rPr>
        <w:t>、对捏造事实、提供虚假材料进行质疑、投诉的行为予以严肃处理：</w:t>
      </w:r>
    </w:p>
    <w:p w14:paraId="333845D5">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依据《中华人民共和国政府采购法》及其实施条例、《政府采购货物和服务招标投标管理办法》（财政部令第87号）、《政府采购质疑和投诉办法》等法律法规的规定，投标人质疑、投诉应当有明确的请求和必要的证明材料。</w:t>
      </w:r>
      <w:r>
        <w:rPr>
          <w:rFonts w:hint="eastAsia" w:ascii="华文仿宋" w:hAnsi="华文仿宋" w:cs="华文仿宋"/>
          <w:b/>
          <w:bCs/>
          <w:color w:val="auto"/>
          <w:highlight w:val="none"/>
        </w:rPr>
        <w:t>投诉人在全国范围内十二个月内三次以上投诉查无实据的，由财政部门列入不良行为记录名单。</w:t>
      </w:r>
      <w:r>
        <w:rPr>
          <w:rFonts w:hint="eastAsia" w:ascii="华文仿宋" w:hAnsi="华文仿宋" w:cs="华文仿宋"/>
          <w:color w:val="auto"/>
          <w:highlight w:val="none"/>
        </w:rPr>
        <w:t>对于捏造事实、提供虚假材料或者以非法手段取得证明材料进行投诉的，财政部门应当予以驳回，并将其列入不良行为记录名单，禁止其一至三年内参加政府采购活动。</w:t>
      </w:r>
    </w:p>
    <w:p w14:paraId="5B9D5B49">
      <w:pPr>
        <w:spacing w:line="500" w:lineRule="exact"/>
        <w:ind w:firstLine="566" w:firstLineChars="200"/>
        <w:rPr>
          <w:rFonts w:ascii="华文仿宋" w:cs="Times New Roman"/>
          <w:b/>
          <w:bCs/>
          <w:color w:val="auto"/>
          <w:highlight w:val="none"/>
        </w:rPr>
      </w:pPr>
      <w:r>
        <w:rPr>
          <w:rFonts w:ascii="华文仿宋" w:hAnsi="华文仿宋" w:cs="华文仿宋"/>
          <w:color w:val="auto"/>
          <w:highlight w:val="none"/>
        </w:rPr>
        <w:t>8</w:t>
      </w:r>
      <w:r>
        <w:rPr>
          <w:rFonts w:hint="eastAsia" w:ascii="华文仿宋" w:hAnsi="华文仿宋" w:cs="华文仿宋"/>
          <w:color w:val="auto"/>
          <w:highlight w:val="none"/>
        </w:rPr>
        <w:t>、</w:t>
      </w:r>
      <w:r>
        <w:rPr>
          <w:rFonts w:hint="eastAsia" w:ascii="华文仿宋" w:hAnsi="华文仿宋" w:cs="华文仿宋"/>
          <w:b/>
          <w:bCs/>
          <w:color w:val="auto"/>
          <w:highlight w:val="none"/>
        </w:rPr>
        <w:t>对捏造事实诬告陷害他人、诽谤他人的法律适用：</w:t>
      </w:r>
    </w:p>
    <w:p w14:paraId="37D5A049">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《中华人民共和国刑法》第</w:t>
      </w:r>
      <w:r>
        <w:rPr>
          <w:rFonts w:ascii="仿宋" w:hAnsi="仿宋" w:eastAsia="仿宋" w:cs="仿宋"/>
          <w:color w:val="auto"/>
          <w:highlight w:val="none"/>
        </w:rPr>
        <w:t>243</w:t>
      </w:r>
      <w:r>
        <w:rPr>
          <w:rFonts w:hint="eastAsia" w:ascii="华文仿宋" w:hAnsi="华文仿宋" w:cs="华文仿宋"/>
          <w:color w:val="auto"/>
          <w:highlight w:val="none"/>
        </w:rPr>
        <w:t>条【诬告陷害罪】捏造事实诬告陷害他人，意图使他人受刑事追究，情节严重的，处三年以下有期徒刑、拘役或者管制；造成严重后果的，处三年以上十年以下有期徒刑。</w:t>
      </w:r>
    </w:p>
    <w:p w14:paraId="06E24DC8">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《中华人民共和国刑法》第</w:t>
      </w:r>
      <w:r>
        <w:rPr>
          <w:rFonts w:ascii="仿宋" w:hAnsi="仿宋" w:eastAsia="仿宋" w:cs="仿宋"/>
          <w:color w:val="auto"/>
          <w:highlight w:val="none"/>
        </w:rPr>
        <w:t>246</w:t>
      </w:r>
      <w:r>
        <w:rPr>
          <w:rFonts w:hint="eastAsia" w:ascii="华文仿宋" w:hAnsi="华文仿宋" w:cs="华文仿宋"/>
          <w:color w:val="auto"/>
          <w:highlight w:val="none"/>
        </w:rPr>
        <w:t>条【侮辱罪、诽谤罪】以暴力或者其他方法公然侮辱他人或者捏造事实诽谤他人，情节严重的，处三年以下有期徒刑、拘役、管制或者剥夺政治权利。</w:t>
      </w:r>
    </w:p>
    <w:p w14:paraId="26AC0394">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9</w:t>
      </w:r>
      <w:r>
        <w:rPr>
          <w:rFonts w:hint="eastAsia" w:ascii="华文仿宋" w:hAnsi="华文仿宋" w:cs="华文仿宋"/>
          <w:color w:val="auto"/>
          <w:highlight w:val="none"/>
        </w:rPr>
        <w:t>、质疑函递交地址：陕西省公共资源交易中心交易受理处</w:t>
      </w:r>
    </w:p>
    <w:p w14:paraId="4AE04856">
      <w:pPr>
        <w:spacing w:line="500" w:lineRule="exact"/>
        <w:ind w:firstLine="566" w:firstLineChars="200"/>
        <w:rPr>
          <w:rFonts w:hint="eastAsia" w:ascii="华文仿宋" w:eastAsia="仿宋" w:cs="Times New Roman"/>
          <w:color w:val="auto"/>
          <w:highlight w:val="none"/>
          <w:lang w:eastAsia="zh-CN"/>
        </w:rPr>
      </w:pPr>
      <w:r>
        <w:rPr>
          <w:rFonts w:hint="eastAsia" w:ascii="华文仿宋" w:hAnsi="华文仿宋" w:cs="华文仿宋"/>
          <w:color w:val="auto"/>
          <w:highlight w:val="none"/>
        </w:rPr>
        <w:t>联系电话：</w:t>
      </w:r>
      <w:r>
        <w:rPr>
          <w:rFonts w:ascii="仿宋" w:hAnsi="仿宋" w:eastAsia="仿宋" w:cs="仿宋"/>
          <w:color w:val="auto"/>
          <w:highlight w:val="none"/>
        </w:rPr>
        <w:t>029-8866125</w:t>
      </w:r>
      <w:r>
        <w:rPr>
          <w:rFonts w:hint="eastAsia" w:ascii="仿宋" w:hAnsi="仿宋" w:eastAsia="仿宋" w:cs="仿宋"/>
          <w:color w:val="auto"/>
          <w:highlight w:val="none"/>
          <w:lang w:val="en-US" w:eastAsia="zh-CN"/>
        </w:rPr>
        <w:t>7</w:t>
      </w:r>
    </w:p>
    <w:p w14:paraId="14AC78E1">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投诉书递交地址：西安市莲湖区冰窖巷</w:t>
      </w:r>
      <w:r>
        <w:rPr>
          <w:rFonts w:ascii="仿宋" w:hAnsi="仿宋" w:eastAsia="仿宋" w:cs="仿宋"/>
          <w:color w:val="auto"/>
          <w:highlight w:val="none"/>
        </w:rPr>
        <w:t>6</w:t>
      </w:r>
      <w:r>
        <w:rPr>
          <w:rFonts w:hint="eastAsia" w:ascii="华文仿宋" w:hAnsi="华文仿宋" w:cs="华文仿宋"/>
          <w:color w:val="auto"/>
          <w:highlight w:val="none"/>
        </w:rPr>
        <w:t>号陕西省财政厅</w:t>
      </w:r>
      <w:r>
        <w:rPr>
          <w:rFonts w:ascii="仿宋" w:hAnsi="仿宋" w:eastAsia="仿宋" w:cs="仿宋"/>
          <w:color w:val="auto"/>
          <w:highlight w:val="none"/>
        </w:rPr>
        <w:t>509</w:t>
      </w:r>
      <w:r>
        <w:rPr>
          <w:rFonts w:hint="eastAsia" w:ascii="华文仿宋" w:hAnsi="华文仿宋" w:cs="华文仿宋"/>
          <w:color w:val="auto"/>
          <w:highlight w:val="none"/>
        </w:rPr>
        <w:t>室</w:t>
      </w:r>
    </w:p>
    <w:p w14:paraId="675468FF">
      <w:pPr>
        <w:spacing w:line="500" w:lineRule="exact"/>
        <w:ind w:firstLine="566" w:firstLineChars="200"/>
        <w:rPr>
          <w:rFonts w:ascii="华文仿宋" w:cs="Times New Roman"/>
          <w:color w:val="auto"/>
          <w:highlight w:val="none"/>
          <w:u w:val="single"/>
        </w:rPr>
      </w:pPr>
      <w:r>
        <w:rPr>
          <w:rFonts w:hint="eastAsia" w:ascii="华文仿宋" w:hAnsi="华文仿宋" w:cs="华文仿宋"/>
          <w:color w:val="auto"/>
          <w:highlight w:val="none"/>
        </w:rPr>
        <w:t>联系电话：</w:t>
      </w:r>
      <w:r>
        <w:rPr>
          <w:rFonts w:ascii="仿宋" w:hAnsi="仿宋" w:eastAsia="仿宋" w:cs="仿宋"/>
          <w:color w:val="auto"/>
          <w:highlight w:val="none"/>
        </w:rPr>
        <w:t>029-68936154</w:t>
      </w:r>
    </w:p>
    <w:p w14:paraId="54010C75">
      <w:pPr>
        <w:pStyle w:val="3"/>
        <w:spacing w:line="500" w:lineRule="exact"/>
        <w:ind w:firstLine="566" w:firstLineChars="200"/>
        <w:rPr>
          <w:rFonts w:ascii="华文仿宋" w:cs="Times New Roman"/>
          <w:color w:val="auto"/>
          <w:sz w:val="28"/>
          <w:szCs w:val="28"/>
          <w:highlight w:val="none"/>
        </w:rPr>
      </w:pPr>
      <w:bookmarkStart w:id="102" w:name="_Toc13615"/>
      <w:bookmarkStart w:id="103" w:name="_Toc5569"/>
      <w:bookmarkStart w:id="104" w:name="_Toc25731"/>
      <w:bookmarkStart w:id="105" w:name="_Toc6747"/>
      <w:bookmarkStart w:id="106" w:name="_Toc5260"/>
      <w:bookmarkStart w:id="107" w:name="_Toc18975"/>
      <w:bookmarkStart w:id="108" w:name="_Toc22091"/>
      <w:bookmarkStart w:id="109" w:name="_Toc7801"/>
      <w:r>
        <w:rPr>
          <w:rFonts w:hint="eastAsia" w:ascii="华文仿宋" w:hAnsi="华文仿宋" w:cs="华文仿宋"/>
          <w:color w:val="auto"/>
          <w:sz w:val="28"/>
          <w:szCs w:val="28"/>
          <w:highlight w:val="none"/>
        </w:rPr>
        <w:t>（四）关于信用记录的查询和使用</w:t>
      </w:r>
      <w:bookmarkEnd w:id="102"/>
      <w:bookmarkEnd w:id="103"/>
      <w:bookmarkEnd w:id="104"/>
      <w:bookmarkEnd w:id="105"/>
      <w:bookmarkEnd w:id="106"/>
      <w:bookmarkEnd w:id="107"/>
      <w:bookmarkEnd w:id="108"/>
      <w:bookmarkEnd w:id="109"/>
    </w:p>
    <w:p w14:paraId="4E08C5C9">
      <w:pPr>
        <w:wordWrap w:val="0"/>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、采购人将在资格审查阶段通过【</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5"/>
          <w:rFonts w:hint="eastAsia" w:ascii="华文仿宋" w:hAnsi="华文仿宋" w:cs="华文仿宋"/>
          <w:color w:val="auto"/>
          <w:sz w:val="28"/>
          <w:szCs w:val="28"/>
          <w:highlight w:val="none"/>
        </w:rPr>
        <w:t>信用中国</w:t>
      </w:r>
      <w:r>
        <w:rPr>
          <w:rStyle w:val="35"/>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t>
      </w:r>
      <w:r>
        <w:rPr>
          <w:rFonts w:ascii="仿宋" w:hAnsi="仿宋" w:eastAsia="仿宋" w:cs="仿宋"/>
          <w:color w:val="auto"/>
          <w:highlight w:val="none"/>
        </w:rPr>
        <w:t>www.creditchina.gov.cn</w:t>
      </w:r>
      <w:r>
        <w:rPr>
          <w:rFonts w:hint="eastAsia" w:ascii="华文仿宋" w:hAnsi="华文仿宋" w:cs="华文仿宋"/>
          <w:color w:val="auto"/>
          <w:highlight w:val="none"/>
        </w:rPr>
        <w:t>）】、【</w:t>
      </w:r>
      <w:r>
        <w:rPr>
          <w:color w:val="auto"/>
          <w:highlight w:val="none"/>
        </w:rPr>
        <w:fldChar w:fldCharType="begin"/>
      </w:r>
      <w:r>
        <w:rPr>
          <w:color w:val="auto"/>
          <w:highlight w:val="none"/>
        </w:rPr>
        <w:instrText xml:space="preserve"> HYPERLINK "http://www.ccgp.gov.cn/cr/list" </w:instrText>
      </w:r>
      <w:r>
        <w:rPr>
          <w:color w:val="auto"/>
          <w:highlight w:val="none"/>
        </w:rPr>
        <w:fldChar w:fldCharType="separate"/>
      </w:r>
      <w:r>
        <w:rPr>
          <w:rStyle w:val="35"/>
          <w:rFonts w:hint="eastAsia" w:ascii="华文仿宋" w:hAnsi="华文仿宋" w:cs="华文仿宋"/>
          <w:color w:val="auto"/>
          <w:sz w:val="28"/>
          <w:szCs w:val="28"/>
          <w:highlight w:val="none"/>
        </w:rPr>
        <w:t>中国政府采购网</w:t>
      </w:r>
      <w:r>
        <w:rPr>
          <w:rStyle w:val="35"/>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t>
      </w:r>
      <w:r>
        <w:rPr>
          <w:rFonts w:ascii="仿宋" w:hAnsi="仿宋" w:eastAsia="仿宋" w:cs="仿宋"/>
          <w:color w:val="auto"/>
          <w:highlight w:val="none"/>
        </w:rPr>
        <w:t>www.ccgp.gov.cn</w:t>
      </w:r>
      <w:r>
        <w:rPr>
          <w:rFonts w:hint="eastAsia" w:ascii="华文仿宋" w:hAnsi="华文仿宋" w:cs="华文仿宋"/>
          <w:color w:val="auto"/>
          <w:highlight w:val="none"/>
        </w:rPr>
        <w:t>）】网站对投标文件中的《</w:t>
      </w:r>
      <w:r>
        <w:rPr>
          <w:rFonts w:hint="eastAsia" w:ascii="华文仿宋" w:hAnsi="华文仿宋" w:cs="华文仿宋"/>
          <w:color w:val="auto"/>
          <w:highlight w:val="none"/>
          <w:lang w:eastAsia="zh-CN"/>
        </w:rPr>
        <w:t>投标人</w:t>
      </w:r>
      <w:r>
        <w:rPr>
          <w:rFonts w:hint="eastAsia" w:ascii="华文仿宋" w:hAnsi="华文仿宋" w:cs="华文仿宋"/>
          <w:color w:val="auto"/>
          <w:highlight w:val="none"/>
        </w:rPr>
        <w:t>信用记录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w:t>
      </w:r>
      <w:r>
        <w:rPr>
          <w:rFonts w:hint="eastAsia" w:ascii="仿宋" w:hAnsi="仿宋" w:eastAsia="仿宋" w:cs="仿宋"/>
          <w:color w:val="auto"/>
          <w:highlight w:val="none"/>
        </w:rPr>
        <w:t>〔</w:t>
      </w:r>
      <w:r>
        <w:rPr>
          <w:rFonts w:ascii="仿宋" w:hAnsi="仿宋" w:eastAsia="仿宋" w:cs="仿宋"/>
          <w:color w:val="auto"/>
          <w:highlight w:val="none"/>
        </w:rPr>
        <w:t>2016</w:t>
      </w:r>
      <w:r>
        <w:rPr>
          <w:rFonts w:hint="eastAsia" w:ascii="仿宋" w:hAnsi="仿宋" w:eastAsia="仿宋" w:cs="仿宋"/>
          <w:color w:val="auto"/>
          <w:highlight w:val="none"/>
        </w:rPr>
        <w:t>〕</w:t>
      </w:r>
      <w:r>
        <w:rPr>
          <w:rFonts w:ascii="仿宋" w:hAnsi="仿宋" w:eastAsia="仿宋" w:cs="仿宋"/>
          <w:color w:val="auto"/>
          <w:highlight w:val="none"/>
        </w:rPr>
        <w:t>125</w:t>
      </w:r>
      <w:r>
        <w:rPr>
          <w:rFonts w:hint="eastAsia" w:ascii="华文仿宋" w:hAnsi="华文仿宋" w:cs="华文仿宋"/>
          <w:color w:val="auto"/>
          <w:highlight w:val="none"/>
        </w:rPr>
        <w:t>号）的第二条第（三）款规定，其投标或成交资格将被取消。</w:t>
      </w:r>
    </w:p>
    <w:p w14:paraId="51E80FAB">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、投标人在参加政府采购活动前</w:t>
      </w:r>
      <w:r>
        <w:rPr>
          <w:rFonts w:ascii="仿宋" w:hAnsi="仿宋" w:eastAsia="仿宋" w:cs="仿宋"/>
          <w:color w:val="auto"/>
          <w:highlight w:val="none"/>
        </w:rPr>
        <w:t>3</w:t>
      </w:r>
      <w:r>
        <w:rPr>
          <w:rFonts w:hint="eastAsia" w:ascii="华文仿宋" w:hAnsi="华文仿宋" w:cs="华文仿宋"/>
          <w:color w:val="auto"/>
          <w:highlight w:val="none"/>
        </w:rPr>
        <w:t>年内因违法经营被禁止在一定期限内参加政府采购活动，期限届满的，可以参加政府采购活动的，但投标人应提供相关证明材料。</w:t>
      </w:r>
    </w:p>
    <w:p w14:paraId="2A8E14CF">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投标人信用记录及企业基本信息查询的时间段为“招标公告发布之日（含当日）至提交投标文件截止之日（含当日）”。信用记录及企业基本信息查询的结果，可以纸质截图或将截图保存至电子介质的形式留存。投标人未如实填报《</w:t>
      </w:r>
      <w:r>
        <w:rPr>
          <w:rFonts w:hint="eastAsia" w:ascii="华文仿宋" w:hAnsi="华文仿宋" w:cs="华文仿宋"/>
          <w:color w:val="auto"/>
          <w:highlight w:val="none"/>
          <w:lang w:eastAsia="zh-CN"/>
        </w:rPr>
        <w:t>投标人</w:t>
      </w:r>
      <w:r>
        <w:rPr>
          <w:rFonts w:hint="eastAsia" w:ascii="华文仿宋" w:hAnsi="华文仿宋" w:cs="华文仿宋"/>
          <w:color w:val="auto"/>
          <w:highlight w:val="none"/>
        </w:rPr>
        <w:t>信用书面声明函》的，视为“投标人提供虚假材料谋取中标、成交的”行为。</w:t>
      </w:r>
    </w:p>
    <w:p w14:paraId="6498663A">
      <w:pPr>
        <w:spacing w:line="500" w:lineRule="exact"/>
        <w:ind w:firstLine="566" w:firstLineChars="200"/>
        <w:rPr>
          <w:rFonts w:ascii="华文仿宋" w:cs="Times New Roman"/>
          <w:b/>
          <w:bCs/>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450AAD67">
      <w:pPr>
        <w:pStyle w:val="3"/>
        <w:spacing w:line="500" w:lineRule="exact"/>
        <w:ind w:firstLine="566" w:firstLineChars="200"/>
        <w:rPr>
          <w:rFonts w:ascii="华文仿宋" w:cs="Times New Roman"/>
          <w:color w:val="auto"/>
          <w:sz w:val="28"/>
          <w:szCs w:val="28"/>
          <w:highlight w:val="none"/>
        </w:rPr>
      </w:pPr>
      <w:bookmarkStart w:id="110" w:name="_Toc24208"/>
      <w:bookmarkStart w:id="111" w:name="_Toc21151"/>
      <w:bookmarkStart w:id="112" w:name="_Toc27355"/>
      <w:bookmarkStart w:id="113" w:name="_Toc22297"/>
      <w:bookmarkStart w:id="114" w:name="_Toc5640"/>
      <w:bookmarkStart w:id="115" w:name="_Toc30176"/>
      <w:bookmarkStart w:id="116" w:name="_Toc17203"/>
      <w:bookmarkStart w:id="117" w:name="_Toc8532"/>
      <w:r>
        <w:rPr>
          <w:rFonts w:hint="eastAsia" w:ascii="华文仿宋" w:hAnsi="华文仿宋" w:cs="华文仿宋"/>
          <w:color w:val="auto"/>
          <w:sz w:val="28"/>
          <w:szCs w:val="28"/>
          <w:highlight w:val="none"/>
        </w:rPr>
        <w:t>（五）落实的政府采购政策</w:t>
      </w:r>
      <w:bookmarkEnd w:id="110"/>
      <w:bookmarkEnd w:id="111"/>
      <w:bookmarkEnd w:id="112"/>
      <w:bookmarkEnd w:id="113"/>
      <w:bookmarkEnd w:id="114"/>
      <w:bookmarkEnd w:id="115"/>
      <w:bookmarkEnd w:id="116"/>
      <w:bookmarkEnd w:id="117"/>
    </w:p>
    <w:p w14:paraId="441C5E82">
      <w:pPr>
        <w:spacing w:line="500" w:lineRule="exact"/>
        <w:ind w:firstLine="566" w:firstLineChars="200"/>
        <w:rPr>
          <w:rFonts w:ascii="华文仿宋" w:hAnsi="华文仿宋" w:cs="华文仿宋"/>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、根据《政府采购促进中小企业发展管理办法》（财库</w:t>
      </w:r>
      <w:r>
        <w:rPr>
          <w:rFonts w:hint="eastAsia" w:ascii="仿宋" w:hAnsi="仿宋" w:eastAsia="仿宋" w:cs="仿宋"/>
          <w:color w:val="auto"/>
          <w:highlight w:val="none"/>
        </w:rPr>
        <w:t>〔</w:t>
      </w:r>
      <w:r>
        <w:rPr>
          <w:rFonts w:ascii="仿宋" w:hAnsi="仿宋" w:eastAsia="仿宋" w:cs="仿宋"/>
          <w:color w:val="auto"/>
          <w:highlight w:val="none"/>
        </w:rPr>
        <w:t>20</w:t>
      </w:r>
      <w:r>
        <w:rPr>
          <w:rFonts w:hint="eastAsia" w:ascii="仿宋" w:hAnsi="仿宋" w:eastAsia="仿宋" w:cs="仿宋"/>
          <w:color w:val="auto"/>
          <w:highlight w:val="none"/>
        </w:rPr>
        <w:t>20〕46</w:t>
      </w:r>
      <w:r>
        <w:rPr>
          <w:rFonts w:hint="eastAsia" w:ascii="华文仿宋" w:hAnsi="华文仿宋" w:cs="华文仿宋"/>
          <w:color w:val="auto"/>
          <w:highlight w:val="none"/>
        </w:rPr>
        <w:t>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w:t>
      </w:r>
      <w:r>
        <w:rPr>
          <w:rFonts w:ascii="仿宋" w:hAnsi="仿宋" w:eastAsia="仿宋" w:cs="仿宋"/>
          <w:color w:val="auto"/>
          <w:highlight w:val="none"/>
        </w:rPr>
        <w:t>6%-10%</w:t>
      </w:r>
      <w:r>
        <w:rPr>
          <w:rFonts w:hint="eastAsia" w:ascii="华文仿宋" w:hAnsi="华文仿宋" w:cs="华文仿宋"/>
          <w:color w:val="auto"/>
          <w:highlight w:val="none"/>
        </w:rPr>
        <w:t>的价格扣除，工程项目给予3</w:t>
      </w:r>
      <w:r>
        <w:rPr>
          <w:rFonts w:ascii="仿宋" w:hAnsi="仿宋" w:eastAsia="仿宋" w:cs="仿宋"/>
          <w:color w:val="auto"/>
          <w:highlight w:val="none"/>
        </w:rPr>
        <w:t>%-</w:t>
      </w:r>
      <w:r>
        <w:rPr>
          <w:rFonts w:hint="eastAsia" w:ascii="仿宋" w:hAnsi="仿宋" w:eastAsia="仿宋" w:cs="仿宋"/>
          <w:color w:val="auto"/>
          <w:highlight w:val="none"/>
        </w:rPr>
        <w:t>5</w:t>
      </w:r>
      <w:r>
        <w:rPr>
          <w:rFonts w:ascii="仿宋" w:hAnsi="仿宋" w:eastAsia="仿宋" w:cs="仿宋"/>
          <w:color w:val="auto"/>
          <w:highlight w:val="none"/>
        </w:rPr>
        <w:t>%</w:t>
      </w:r>
      <w:r>
        <w:rPr>
          <w:rFonts w:hint="eastAsia" w:ascii="华文仿宋" w:hAnsi="华文仿宋" w:cs="华文仿宋"/>
          <w:color w:val="auto"/>
          <w:highlight w:val="none"/>
        </w:rPr>
        <w:t>的价格扣除，用扣除后的价格参与评审。</w:t>
      </w:r>
    </w:p>
    <w:p w14:paraId="3189A4E6">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在货物采购项目中，</w:t>
      </w:r>
      <w:r>
        <w:rPr>
          <w:rFonts w:hint="eastAsia" w:ascii="华文仿宋" w:hAnsi="华文仿宋" w:cs="华文仿宋"/>
          <w:color w:val="auto"/>
          <w:highlight w:val="none"/>
          <w:lang w:eastAsia="zh-CN"/>
        </w:rPr>
        <w:t>投标人</w:t>
      </w:r>
      <w:r>
        <w:rPr>
          <w:rFonts w:hint="eastAsia" w:ascii="华文仿宋" w:hAnsi="华文仿宋" w:cs="华文仿宋"/>
          <w:color w:val="auto"/>
          <w:highlight w:val="none"/>
        </w:rPr>
        <w:t>提供的货物既有中小企业制造货物，也有大型企业制造货物的，不享受政府采购价格扣除优惠政策。</w:t>
      </w:r>
    </w:p>
    <w:p w14:paraId="721E58A3">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14:paraId="48194630">
      <w:pPr>
        <w:spacing w:line="500" w:lineRule="exact"/>
        <w:ind w:firstLine="566" w:firstLineChars="200"/>
        <w:rPr>
          <w:color w:val="auto"/>
          <w:highlight w:val="none"/>
        </w:rPr>
      </w:pPr>
      <w:r>
        <w:rPr>
          <w:rFonts w:hint="eastAsia" w:ascii="华文仿宋" w:hAnsi="华文仿宋" w:cs="华文仿宋"/>
          <w:color w:val="auto"/>
          <w:highlight w:val="none"/>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62380FF7">
      <w:pPr>
        <w:spacing w:line="500" w:lineRule="exact"/>
        <w:ind w:firstLine="566" w:firstLineChars="200"/>
        <w:rPr>
          <w:rFonts w:ascii="华文仿宋" w:hAnsi="华文仿宋" w:cs="华文仿宋"/>
          <w:color w:val="auto"/>
          <w:highlight w:val="none"/>
        </w:rPr>
      </w:pPr>
      <w:r>
        <w:rPr>
          <w:rFonts w:hint="eastAsia" w:ascii="华文仿宋" w:hAnsi="华文仿宋" w:cs="华文仿宋"/>
          <w:b/>
          <w:bCs/>
          <w:color w:val="auto"/>
          <w:highlight w:val="none"/>
        </w:rPr>
        <w:t>参加政府采购活动的中小企业应提供《中小企业声明函》原件。未提供上述声明函原件的，则投标文件无效。</w:t>
      </w:r>
    </w:p>
    <w:p w14:paraId="14A8C091">
      <w:pPr>
        <w:pStyle w:val="6"/>
        <w:ind w:firstLine="486" w:firstLineChars="200"/>
        <w:rPr>
          <w:rFonts w:ascii="华文仿宋" w:hAnsi="华文仿宋" w:cs="华文仿宋"/>
          <w:color w:val="auto"/>
          <w:sz w:val="24"/>
          <w:szCs w:val="24"/>
          <w:highlight w:val="none"/>
        </w:rPr>
      </w:pPr>
      <w:r>
        <w:rPr>
          <w:rFonts w:hint="eastAsia" w:ascii="华文仿宋" w:hAnsi="华文仿宋" w:cs="华文仿宋"/>
          <w:color w:val="auto"/>
          <w:sz w:val="24"/>
          <w:szCs w:val="24"/>
          <w:highlight w:val="none"/>
        </w:rPr>
        <w:t>备注：中小企业划分标准参照《中小企业划型标准规定》（工信部联企业〔2011〕300号）执行。</w:t>
      </w:r>
    </w:p>
    <w:p w14:paraId="05ECDA27">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w:t>
      </w:r>
      <w:r>
        <w:rPr>
          <w:rFonts w:hint="eastAsia" w:ascii="华文仿宋" w:hAnsi="华文仿宋" w:cs="华文仿宋"/>
          <w:color w:val="auto"/>
          <w:highlight w:val="none"/>
          <w:lang w:val="zh-CN"/>
        </w:rPr>
        <w:t>监狱企业应符合《财政部</w:t>
      </w:r>
      <w:r>
        <w:rPr>
          <w:rFonts w:hint="eastAsia" w:ascii="华文仿宋" w:hAnsi="华文仿宋" w:cs="华文仿宋"/>
          <w:color w:val="auto"/>
          <w:highlight w:val="none"/>
        </w:rPr>
        <w:t>司法部关于政府采购支持监狱企业发展有关问题的通知》（财库〔</w:t>
      </w:r>
      <w:r>
        <w:rPr>
          <w:rFonts w:hint="eastAsia" w:ascii="仿宋" w:hAnsi="仿宋" w:eastAsia="仿宋" w:cs="仿宋"/>
          <w:color w:val="auto"/>
          <w:highlight w:val="none"/>
        </w:rPr>
        <w:t>2014</w:t>
      </w:r>
      <w:r>
        <w:rPr>
          <w:rFonts w:hint="eastAsia" w:ascii="华文仿宋" w:hAnsi="华文仿宋" w:cs="华文仿宋"/>
          <w:color w:val="auto"/>
          <w:highlight w:val="none"/>
        </w:rPr>
        <w:t>〕</w:t>
      </w:r>
      <w:r>
        <w:rPr>
          <w:rFonts w:hint="eastAsia" w:ascii="仿宋" w:hAnsi="仿宋" w:eastAsia="仿宋" w:cs="仿宋"/>
          <w:color w:val="auto"/>
          <w:highlight w:val="none"/>
        </w:rPr>
        <w:t>68</w:t>
      </w:r>
      <w:r>
        <w:rPr>
          <w:rFonts w:hint="eastAsia" w:ascii="华文仿宋" w:hAnsi="华文仿宋" w:cs="华文仿宋"/>
          <w:color w:val="auto"/>
          <w:highlight w:val="none"/>
        </w:rPr>
        <w:t>号）文件规定</w:t>
      </w:r>
      <w:r>
        <w:rPr>
          <w:rFonts w:hint="eastAsia" w:ascii="华文仿宋" w:hAnsi="华文仿宋" w:cs="华文仿宋"/>
          <w:color w:val="auto"/>
          <w:highlight w:val="none"/>
          <w:lang w:val="zh-CN"/>
        </w:rPr>
        <w:t>，并提供由省级以上监狱管理局、戒毒管理局</w:t>
      </w:r>
      <w:r>
        <w:rPr>
          <w:rFonts w:ascii="华文仿宋" w:hAnsi="华文仿宋" w:cs="华文仿宋"/>
          <w:color w:val="auto"/>
          <w:highlight w:val="none"/>
          <w:lang w:val="zh-CN"/>
        </w:rPr>
        <w:t>(</w:t>
      </w:r>
      <w:r>
        <w:rPr>
          <w:rFonts w:hint="eastAsia" w:ascii="华文仿宋" w:hAnsi="华文仿宋" w:cs="华文仿宋"/>
          <w:color w:val="auto"/>
          <w:highlight w:val="none"/>
          <w:lang w:val="zh-CN"/>
        </w:rPr>
        <w:t>含新疆生产建设兵团</w:t>
      </w:r>
      <w:r>
        <w:rPr>
          <w:rFonts w:ascii="华文仿宋" w:hAnsi="华文仿宋" w:cs="华文仿宋"/>
          <w:color w:val="auto"/>
          <w:highlight w:val="none"/>
          <w:lang w:val="zh-CN"/>
        </w:rPr>
        <w:t>)</w:t>
      </w:r>
      <w:r>
        <w:rPr>
          <w:rFonts w:hint="eastAsia" w:ascii="华文仿宋" w:hAnsi="华文仿宋" w:cs="华文仿宋"/>
          <w:color w:val="auto"/>
          <w:highlight w:val="none"/>
          <w:lang w:val="zh-CN"/>
        </w:rPr>
        <w:t>出具的属于</w:t>
      </w:r>
      <w:r>
        <w:rPr>
          <w:rFonts w:hint="eastAsia" w:ascii="华文仿宋" w:hAnsi="华文仿宋" w:cs="华文仿宋"/>
          <w:b/>
          <w:bCs/>
          <w:color w:val="auto"/>
          <w:highlight w:val="none"/>
          <w:lang w:val="zh-CN"/>
        </w:rPr>
        <w:t>监狱企业的证明文件</w:t>
      </w:r>
      <w:r>
        <w:rPr>
          <w:rFonts w:hint="eastAsia" w:ascii="华文仿宋" w:hAnsi="华文仿宋" w:cs="华文仿宋"/>
          <w:color w:val="auto"/>
          <w:highlight w:val="none"/>
          <w:lang w:val="zh-CN"/>
        </w:rPr>
        <w:t>复印件，监狱和戒毒企业</w:t>
      </w:r>
      <w:r>
        <w:rPr>
          <w:rFonts w:hint="eastAsia" w:ascii="华文仿宋" w:hAnsi="华文仿宋" w:cs="华文仿宋"/>
          <w:color w:val="auto"/>
          <w:highlight w:val="none"/>
        </w:rPr>
        <w:t>视同小型、微型企业。</w:t>
      </w:r>
    </w:p>
    <w:p w14:paraId="5AEF1FD9">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、根据财政部、民政部、中国残疾人联合会下发的《关于促进残疾人就业政府采购政策的通知》（财库</w:t>
      </w:r>
      <w:r>
        <w:rPr>
          <w:rFonts w:hint="eastAsia" w:ascii="仿宋" w:hAnsi="仿宋" w:eastAsia="仿宋" w:cs="仿宋"/>
          <w:color w:val="auto"/>
          <w:highlight w:val="none"/>
        </w:rPr>
        <w:t>〔</w:t>
      </w:r>
      <w:r>
        <w:rPr>
          <w:rFonts w:ascii="仿宋" w:hAnsi="仿宋" w:eastAsia="仿宋" w:cs="仿宋"/>
          <w:color w:val="auto"/>
          <w:highlight w:val="none"/>
        </w:rPr>
        <w:t>2017</w:t>
      </w:r>
      <w:r>
        <w:rPr>
          <w:rFonts w:hint="eastAsia" w:ascii="仿宋" w:hAnsi="仿宋" w:eastAsia="仿宋" w:cs="仿宋"/>
          <w:color w:val="auto"/>
          <w:highlight w:val="none"/>
        </w:rPr>
        <w:t>〕</w:t>
      </w:r>
      <w:r>
        <w:rPr>
          <w:rFonts w:ascii="仿宋" w:hAnsi="仿宋" w:eastAsia="仿宋" w:cs="仿宋"/>
          <w:color w:val="auto"/>
          <w:highlight w:val="none"/>
        </w:rPr>
        <w:t>141</w:t>
      </w:r>
      <w:r>
        <w:rPr>
          <w:rFonts w:hint="eastAsia" w:ascii="华文仿宋" w:hAnsi="华文仿宋" w:cs="华文仿宋"/>
          <w:color w:val="auto"/>
          <w:highlight w:val="none"/>
        </w:rPr>
        <w:t>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7FEE2EC">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参加政府采购活动的残疾人单位应提供《残疾人福利性单位声明函》原件。未提供上述声明函原件，则投标文件无效。</w:t>
      </w:r>
    </w:p>
    <w:p w14:paraId="42EB51C6">
      <w:pPr>
        <w:spacing w:line="500" w:lineRule="exact"/>
        <w:ind w:firstLine="566" w:firstLineChars="200"/>
        <w:rPr>
          <w:rFonts w:ascii="华文仿宋" w:hAnsi="华文仿宋" w:cs="华文仿宋"/>
          <w:color w:val="auto"/>
          <w:highlight w:val="none"/>
        </w:rPr>
      </w:pPr>
      <w:r>
        <w:rPr>
          <w:rFonts w:ascii="华文仿宋" w:hAnsi="华文仿宋" w:cs="华文仿宋"/>
          <w:color w:val="auto"/>
          <w:kern w:val="0"/>
          <w:highlight w:val="none"/>
        </w:rPr>
        <w:t>4</w:t>
      </w:r>
      <w:r>
        <w:rPr>
          <w:rFonts w:hint="eastAsia" w:ascii="华文仿宋" w:hAnsi="华文仿宋" w:cs="华文仿宋"/>
          <w:color w:val="auto"/>
          <w:kern w:val="0"/>
          <w:highlight w:val="none"/>
        </w:rPr>
        <w:t>、</w:t>
      </w:r>
      <w:r>
        <w:rPr>
          <w:rFonts w:hint="eastAsia" w:ascii="华文仿宋" w:hAnsi="华文仿宋" w:cs="华文仿宋"/>
          <w:color w:val="auto"/>
          <w:highlight w:val="none"/>
        </w:rPr>
        <w:t>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BDBC6E6">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kern w:val="0"/>
          <w:highlight w:val="none"/>
        </w:rPr>
        <w:t>5、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6186535B">
      <w:pPr>
        <w:pStyle w:val="6"/>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6、节能产品政府采购品目清单详见财政部、发展改革委《关于印发节能产品政府采购品目清单的通知》（财库〔2019〕19号）。</w:t>
      </w:r>
    </w:p>
    <w:p w14:paraId="51822E7C">
      <w:pPr>
        <w:pStyle w:val="6"/>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7、环境标志产品政府采购品目清单详见财政部、生态环境部《关于印发环境标志产品政府采购品目清单的通知》（财库〔2019〕18号）。</w:t>
      </w:r>
    </w:p>
    <w:p w14:paraId="62530451">
      <w:pPr>
        <w:pStyle w:val="6"/>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8、国家确定的节能产品、环境标志产品认证机构详见市场监管总局《关于发布参与实施政府采购节能产品、环境标志产品认证机构名录的公告》（2019年第16号）。</w:t>
      </w:r>
    </w:p>
    <w:p w14:paraId="4033973B">
      <w:pPr>
        <w:pStyle w:val="6"/>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9、根据《财政部 农业农村部 国家乡村振兴局关于运用政府采购政策支持乡村产业振兴的通知》（财库</w:t>
      </w:r>
      <w:r>
        <w:rPr>
          <w:rFonts w:hint="eastAsia" w:ascii="仿宋" w:hAnsi="仿宋" w:eastAsia="仿宋" w:cs="仿宋"/>
          <w:color w:val="auto"/>
          <w:kern w:val="0"/>
          <w:highlight w:val="none"/>
        </w:rPr>
        <w:t>〔2021〕19</w:t>
      </w:r>
      <w:r>
        <w:rPr>
          <w:rFonts w:hint="eastAsia" w:ascii="华文仿宋" w:hAnsi="华文仿宋" w:cs="华文仿宋"/>
          <w:color w:val="auto"/>
          <w:kern w:val="0"/>
          <w:highlight w:val="none"/>
        </w:rPr>
        <w:t>号），自</w:t>
      </w:r>
      <w:r>
        <w:rPr>
          <w:rFonts w:hint="eastAsia" w:ascii="仿宋" w:hAnsi="仿宋" w:eastAsia="仿宋" w:cs="仿宋"/>
          <w:color w:val="auto"/>
          <w:kern w:val="0"/>
          <w:highlight w:val="none"/>
        </w:rPr>
        <w:t>2021</w:t>
      </w:r>
      <w:r>
        <w:rPr>
          <w:rFonts w:hint="eastAsia" w:ascii="华文仿宋" w:hAnsi="华文仿宋" w:cs="华文仿宋"/>
          <w:color w:val="auto"/>
          <w:kern w:val="0"/>
          <w:highlight w:val="none"/>
        </w:rPr>
        <w:t>年起，各级预算单位应当按照不低于10%的比例预留年度食堂食材采购份额，通过脱贫地区农副产品网络销售平台采购脱贫地区农副产品。</w:t>
      </w:r>
    </w:p>
    <w:p w14:paraId="65138E0E">
      <w:pPr>
        <w:pStyle w:val="6"/>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10、根据《财政部 农业农村部 国家乡村振兴局 中华全国供销合作总社关于印发&lt;关于深入开展政府采购脱贫地区农副产品工作推进乡村产业振兴的实施意见&gt;的通知》（财库</w:t>
      </w:r>
      <w:r>
        <w:rPr>
          <w:rFonts w:hint="eastAsia" w:ascii="仿宋" w:hAnsi="仿宋" w:eastAsia="仿宋" w:cs="仿宋"/>
          <w:color w:val="auto"/>
          <w:kern w:val="0"/>
          <w:highlight w:val="none"/>
        </w:rPr>
        <w:t>〔2021〕20</w:t>
      </w:r>
      <w:r>
        <w:rPr>
          <w:rFonts w:hint="eastAsia" w:ascii="华文仿宋" w:hAnsi="华文仿宋" w:cs="华文仿宋"/>
          <w:color w:val="auto"/>
          <w:kern w:val="0"/>
          <w:highlight w:val="none"/>
        </w:rPr>
        <w:t>号），各级预算单位要按照不低于</w:t>
      </w:r>
      <w:r>
        <w:rPr>
          <w:rFonts w:hint="eastAsia" w:ascii="仿宋" w:hAnsi="仿宋" w:eastAsia="仿宋" w:cs="仿宋"/>
          <w:color w:val="auto"/>
          <w:kern w:val="0"/>
          <w:highlight w:val="none"/>
        </w:rPr>
        <w:t>10%</w:t>
      </w:r>
      <w:r>
        <w:rPr>
          <w:rFonts w:hint="eastAsia" w:ascii="华文仿宋" w:hAnsi="华文仿宋" w:cs="华文仿宋"/>
          <w:color w:val="auto"/>
          <w:kern w:val="0"/>
          <w:highlight w:val="none"/>
        </w:rPr>
        <w:t>的预留比例在“</w:t>
      </w:r>
      <w:r>
        <w:rPr>
          <w:rFonts w:hint="eastAsia" w:ascii="仿宋" w:hAnsi="仿宋" w:eastAsia="仿宋" w:cs="仿宋"/>
          <w:color w:val="auto"/>
          <w:kern w:val="0"/>
          <w:highlight w:val="none"/>
        </w:rPr>
        <w:t>832</w:t>
      </w:r>
      <w:r>
        <w:rPr>
          <w:rFonts w:hint="eastAsia" w:ascii="华文仿宋" w:hAnsi="华文仿宋" w:cs="华文仿宋"/>
          <w:color w:val="auto"/>
          <w:kern w:val="0"/>
          <w:highlight w:val="none"/>
        </w:rPr>
        <w:t>平台”填报预留份额。鼓励各级预算单位工会组织通过“</w:t>
      </w:r>
      <w:r>
        <w:rPr>
          <w:rFonts w:hint="eastAsia" w:ascii="仿宋" w:hAnsi="仿宋" w:eastAsia="仿宋" w:cs="仿宋"/>
          <w:color w:val="auto"/>
          <w:kern w:val="0"/>
          <w:highlight w:val="none"/>
        </w:rPr>
        <w:t>832</w:t>
      </w:r>
      <w:r>
        <w:rPr>
          <w:rFonts w:hint="eastAsia" w:ascii="华文仿宋" w:hAnsi="华文仿宋" w:cs="华文仿宋"/>
          <w:color w:val="auto"/>
          <w:kern w:val="0"/>
          <w:highlight w:val="none"/>
        </w:rPr>
        <w:t>平台”采购工会福利、慰问品等，有关采购金额计入本单位年度采购总额。</w:t>
      </w:r>
    </w:p>
    <w:p w14:paraId="0BF74A73">
      <w:pPr>
        <w:pStyle w:val="6"/>
        <w:spacing w:line="500" w:lineRule="exact"/>
        <w:ind w:firstLine="566" w:firstLineChars="200"/>
        <w:rPr>
          <w:rFonts w:ascii="华文仿宋" w:hAnsi="华文仿宋" w:cs="华文仿宋"/>
          <w:color w:val="auto"/>
          <w:kern w:val="0"/>
          <w:highlight w:val="none"/>
        </w:rPr>
      </w:pPr>
      <w:r>
        <w:rPr>
          <w:rFonts w:hint="eastAsia" w:ascii="华文仿宋" w:hAnsi="华文仿宋" w:cs="华文仿宋"/>
          <w:color w:val="auto"/>
          <w:kern w:val="0"/>
          <w:highlight w:val="none"/>
        </w:rPr>
        <w:t>11、根据《陕西省财政厅关于加快推进我省中小企业政府采购信用融资工作的通知》（陕财办采</w:t>
      </w:r>
      <w:r>
        <w:rPr>
          <w:rFonts w:hint="eastAsia" w:ascii="仿宋" w:hAnsi="仿宋" w:eastAsia="仿宋" w:cs="仿宋"/>
          <w:color w:val="auto"/>
          <w:kern w:val="0"/>
          <w:highlight w:val="none"/>
        </w:rPr>
        <w:t>〔2020〕15</w:t>
      </w:r>
      <w:r>
        <w:rPr>
          <w:rFonts w:hint="eastAsia" w:ascii="华文仿宋" w:hAnsi="华文仿宋" w:cs="华文仿宋"/>
          <w:color w:val="auto"/>
          <w:kern w:val="0"/>
          <w:highlight w:val="none"/>
        </w:rPr>
        <w:t>号）规定“有融资需求的</w:t>
      </w:r>
      <w:r>
        <w:rPr>
          <w:rFonts w:hint="eastAsia" w:ascii="华文仿宋" w:hAnsi="华文仿宋" w:cs="华文仿宋"/>
          <w:color w:val="auto"/>
          <w:kern w:val="0"/>
          <w:highlight w:val="none"/>
          <w:lang w:eastAsia="zh-CN"/>
        </w:rPr>
        <w:t>投标人</w:t>
      </w:r>
      <w:r>
        <w:rPr>
          <w:rFonts w:hint="eastAsia" w:ascii="华文仿宋" w:hAnsi="华文仿宋" w:cs="华文仿宋"/>
          <w:color w:val="auto"/>
          <w:kern w:val="0"/>
          <w:highlight w:val="none"/>
        </w:rPr>
        <w:t>可根据自身情况，在陕西省政府采购信用融资平台（含各市分平台）自主选择金融机构及其融资产品，凭政府采购中标（成交）通知书或政府采购合同向金融机构提出融资申请。”</w:t>
      </w:r>
    </w:p>
    <w:p w14:paraId="6C8CBAD6">
      <w:pPr>
        <w:spacing w:line="500" w:lineRule="exact"/>
        <w:ind w:firstLine="566" w:firstLineChars="200"/>
        <w:jc w:val="left"/>
        <w:rPr>
          <w:rFonts w:ascii="华文仿宋" w:hAnsi="华文仿宋" w:cs="华文仿宋"/>
          <w:color w:val="auto"/>
          <w:kern w:val="0"/>
          <w:highlight w:val="none"/>
        </w:rPr>
      </w:pPr>
      <w:bookmarkStart w:id="118" w:name="_Toc23236"/>
      <w:bookmarkStart w:id="119" w:name="_Toc22218"/>
      <w:bookmarkStart w:id="120" w:name="_Toc10798"/>
      <w:bookmarkStart w:id="121" w:name="_Toc1927"/>
      <w:bookmarkStart w:id="122" w:name="_Toc6102"/>
      <w:bookmarkStart w:id="123" w:name="_Toc29136"/>
      <w:r>
        <w:rPr>
          <w:rFonts w:hint="eastAsia" w:ascii="华文仿宋" w:hAnsi="华文仿宋" w:cs="华文仿宋"/>
          <w:color w:val="auto"/>
          <w:kern w:val="0"/>
          <w:highlight w:val="none"/>
        </w:rPr>
        <w:t xml:space="preserve">12、根据陕西省财政厅关于印发《陕西省中小企业政府采购信用融资 </w:t>
      </w:r>
    </w:p>
    <w:p w14:paraId="59E63D93">
      <w:pPr>
        <w:wordWrap w:val="0"/>
        <w:spacing w:line="500" w:lineRule="exact"/>
        <w:jc w:val="left"/>
        <w:rPr>
          <w:rFonts w:ascii="华文仿宋" w:hAnsi="华文仿宋" w:cs="华文仿宋"/>
          <w:color w:val="auto"/>
          <w:kern w:val="0"/>
          <w:highlight w:val="none"/>
        </w:rPr>
      </w:pPr>
      <w:r>
        <w:rPr>
          <w:rFonts w:hint="eastAsia" w:ascii="华文仿宋" w:hAnsi="华文仿宋" w:cs="华文仿宋"/>
          <w:color w:val="auto"/>
          <w:kern w:val="0"/>
          <w:highlight w:val="none"/>
        </w:rPr>
        <w:t>办法》（陕财办采</w:t>
      </w:r>
      <w:r>
        <w:rPr>
          <w:rFonts w:hint="eastAsia" w:ascii="仿宋" w:hAnsi="仿宋" w:eastAsia="仿宋" w:cs="仿宋"/>
          <w:color w:val="auto"/>
          <w:kern w:val="0"/>
          <w:highlight w:val="none"/>
        </w:rPr>
        <w:t>〔2018〕23</w:t>
      </w:r>
      <w:r>
        <w:rPr>
          <w:rFonts w:hint="eastAsia" w:ascii="华文仿宋" w:hAnsi="华文仿宋" w:cs="华文仿宋"/>
          <w:color w:val="auto"/>
          <w:kern w:val="0"/>
          <w:highlight w:val="none"/>
        </w:rPr>
        <w:t>号）规定“</w:t>
      </w:r>
      <w:r>
        <w:rPr>
          <w:rFonts w:hint="eastAsia" w:ascii="仿宋" w:hAnsi="仿宋" w:eastAsia="仿宋" w:cs="仿宋"/>
          <w:color w:val="auto"/>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华文仿宋" w:hAnsi="华文仿宋" w:cs="华文仿宋"/>
          <w:color w:val="auto"/>
          <w:kern w:val="0"/>
          <w:highlight w:val="none"/>
        </w:rPr>
        <w:t>（</w:t>
      </w:r>
      <w:r>
        <w:rPr>
          <w:color w:val="auto"/>
          <w:highlight w:val="none"/>
        </w:rPr>
        <w:fldChar w:fldCharType="begin"/>
      </w:r>
      <w:r>
        <w:rPr>
          <w:color w:val="auto"/>
          <w:highlight w:val="none"/>
        </w:rPr>
        <w:instrText xml:space="preserve"> HYPERLINK "http://www.ccgp-shaanxi.gov.cn/zcdservice/zcd/shanxi/" </w:instrText>
      </w:r>
      <w:r>
        <w:rPr>
          <w:color w:val="auto"/>
          <w:highlight w:val="none"/>
        </w:rPr>
        <w:fldChar w:fldCharType="separate"/>
      </w:r>
      <w:r>
        <w:rPr>
          <w:rFonts w:hint="eastAsia" w:ascii="华文仿宋" w:hAnsi="华文仿宋" w:cs="华文仿宋"/>
          <w:color w:val="auto"/>
          <w:kern w:val="0"/>
          <w:highlight w:val="none"/>
        </w:rPr>
        <w:t>陕西省政府采购信用融资平台</w:t>
      </w:r>
      <w:r>
        <w:rPr>
          <w:rFonts w:hint="eastAsia" w:ascii="华文仿宋" w:hAnsi="华文仿宋" w:cs="华文仿宋"/>
          <w:color w:val="auto"/>
          <w:kern w:val="0"/>
          <w:highlight w:val="none"/>
        </w:rPr>
        <w:fldChar w:fldCharType="end"/>
      </w:r>
      <w:r>
        <w:rPr>
          <w:rFonts w:hint="eastAsia" w:ascii="华文仿宋" w:hAnsi="华文仿宋" w:cs="华文仿宋"/>
          <w:color w:val="auto"/>
          <w:kern w:val="0"/>
          <w:highlight w:val="none"/>
        </w:rPr>
        <w:t>：</w:t>
      </w:r>
      <w:r>
        <w:rPr>
          <w:color w:val="auto"/>
          <w:highlight w:val="none"/>
        </w:rPr>
        <w:fldChar w:fldCharType="begin"/>
      </w:r>
      <w:r>
        <w:rPr>
          <w:color w:val="auto"/>
          <w:highlight w:val="none"/>
        </w:rPr>
        <w:instrText xml:space="preserve"> HYPERLINK "http://www.ccgp-shaanxi.gov.cn/zcdservice/zcd/shanxi/）。" </w:instrText>
      </w:r>
      <w:r>
        <w:rPr>
          <w:color w:val="auto"/>
          <w:highlight w:val="none"/>
        </w:rPr>
        <w:fldChar w:fldCharType="separate"/>
      </w:r>
      <w:r>
        <w:rPr>
          <w:rFonts w:hint="eastAsia" w:ascii="华文仿宋" w:hAnsi="华文仿宋" w:cs="华文仿宋"/>
          <w:color w:val="auto"/>
          <w:kern w:val="0"/>
          <w:highlight w:val="none"/>
        </w:rPr>
        <w:t>http://www.ccgp-shaanxi.gov.cn/zcdservice/zcd/shanxi/）。</w:t>
      </w:r>
      <w:r>
        <w:rPr>
          <w:rFonts w:hint="eastAsia" w:ascii="华文仿宋" w:hAnsi="华文仿宋" w:cs="华文仿宋"/>
          <w:color w:val="auto"/>
          <w:kern w:val="0"/>
          <w:highlight w:val="none"/>
        </w:rPr>
        <w:fldChar w:fldCharType="end"/>
      </w:r>
    </w:p>
    <w:p w14:paraId="7703760C">
      <w:pPr>
        <w:pStyle w:val="8"/>
        <w:spacing w:afterLines="0" w:line="500" w:lineRule="exact"/>
        <w:ind w:firstLine="566" w:firstLineChars="200"/>
        <w:rPr>
          <w:rFonts w:ascii="Calibri Light" w:hAnsi="Calibri Light" w:cs="Calibri Light"/>
          <w:b/>
          <w:bCs/>
          <w:color w:val="auto"/>
          <w:sz w:val="28"/>
          <w:szCs w:val="28"/>
          <w:highlight w:val="none"/>
        </w:rPr>
      </w:pPr>
      <w:r>
        <w:rPr>
          <w:rFonts w:hint="eastAsia" w:ascii="Calibri Light" w:hAnsi="Calibri Light" w:cs="Calibri Light"/>
          <w:b/>
          <w:bCs/>
          <w:color w:val="auto"/>
          <w:sz w:val="28"/>
          <w:szCs w:val="28"/>
          <w:highlight w:val="none"/>
        </w:rPr>
        <w:t>本项目为专门面向中小企业采购的采购项目，因此，不再执行价格评审优惠扶持政策。</w:t>
      </w:r>
    </w:p>
    <w:p w14:paraId="70DC6C1B">
      <w:pPr>
        <w:pStyle w:val="3"/>
        <w:spacing w:line="500" w:lineRule="exact"/>
        <w:ind w:firstLine="566" w:firstLineChars="200"/>
        <w:rPr>
          <w:rFonts w:ascii="华文仿宋" w:cs="Times New Roman"/>
          <w:color w:val="auto"/>
          <w:sz w:val="28"/>
          <w:szCs w:val="28"/>
          <w:highlight w:val="none"/>
        </w:rPr>
      </w:pPr>
      <w:bookmarkStart w:id="124" w:name="_Toc27600"/>
      <w:bookmarkStart w:id="125" w:name="_Toc8499"/>
      <w:r>
        <w:rPr>
          <w:rFonts w:hint="eastAsia" w:ascii="华文仿宋" w:hAnsi="华文仿宋" w:cs="华文仿宋"/>
          <w:color w:val="auto"/>
          <w:sz w:val="28"/>
          <w:szCs w:val="28"/>
          <w:highlight w:val="none"/>
        </w:rPr>
        <w:t>（六）关于产品和服务</w:t>
      </w:r>
      <w:bookmarkEnd w:id="118"/>
      <w:bookmarkEnd w:id="119"/>
      <w:bookmarkEnd w:id="120"/>
      <w:bookmarkEnd w:id="121"/>
      <w:bookmarkEnd w:id="122"/>
      <w:bookmarkEnd w:id="123"/>
      <w:bookmarkEnd w:id="124"/>
      <w:bookmarkEnd w:id="125"/>
    </w:p>
    <w:p w14:paraId="5F36A134">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、所有产品必须具有在中国境内法定许可的生产及销售资格，且为全新原厂制造，其核心关键部分为近</w:t>
      </w:r>
      <w:r>
        <w:rPr>
          <w:rFonts w:ascii="仿宋" w:hAnsi="仿宋" w:eastAsia="仿宋" w:cs="仿宋"/>
          <w:color w:val="auto"/>
          <w:highlight w:val="none"/>
        </w:rPr>
        <w:t>10</w:t>
      </w:r>
      <w:r>
        <w:rPr>
          <w:rFonts w:hint="eastAsia" w:ascii="华文仿宋" w:hAnsi="华文仿宋" w:cs="华文仿宋"/>
          <w:color w:val="auto"/>
          <w:highlight w:val="none"/>
        </w:rPr>
        <w:t>个月内所生产的非淘汰类产品；属于《中华人民共和国实施强制性产品认证的产品目录》的产品，就不能提供超出此目录范畴外的替代品，此外，还须同时具备国家认监委颁布《中国强制认证》（</w:t>
      </w:r>
      <w:r>
        <w:rPr>
          <w:rFonts w:hint="eastAsia" w:ascii="仿宋" w:hAnsi="仿宋" w:eastAsia="仿宋" w:cs="仿宋"/>
          <w:color w:val="auto"/>
          <w:kern w:val="0"/>
          <w:highlight w:val="none"/>
        </w:rPr>
        <w:t>CCC</w:t>
      </w:r>
      <w:r>
        <w:rPr>
          <w:rFonts w:hint="eastAsia" w:ascii="华文仿宋" w:hAnsi="华文仿宋" w:cs="华文仿宋"/>
          <w:color w:val="auto"/>
          <w:highlight w:val="none"/>
        </w:rPr>
        <w:t>认证）。</w:t>
      </w:r>
    </w:p>
    <w:p w14:paraId="6F03C49F">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采购的产品属于政府采购节能产品、环境标志产品品目清单范围的，投标人需提供国家确定的认证机构出具的、处于有效期之内的节能产品、环境标志产品认证证书，对获得证书的产品实施政府优先采购或强制采购。</w:t>
      </w:r>
    </w:p>
    <w:p w14:paraId="3FB83923">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14:paraId="6DC6B4B2">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4、根据《政府采购进口产品管理办法》（财库</w:t>
      </w:r>
      <w:r>
        <w:rPr>
          <w:rFonts w:hint="eastAsia" w:ascii="仿宋" w:hAnsi="仿宋" w:eastAsia="仿宋" w:cs="仿宋"/>
          <w:color w:val="auto"/>
          <w:highlight w:val="none"/>
        </w:rPr>
        <w:t>〔</w:t>
      </w:r>
      <w:r>
        <w:rPr>
          <w:rFonts w:ascii="仿宋" w:hAnsi="仿宋" w:eastAsia="仿宋" w:cs="仿宋"/>
          <w:color w:val="auto"/>
          <w:highlight w:val="none"/>
        </w:rPr>
        <w:t>2007</w:t>
      </w:r>
      <w:r>
        <w:rPr>
          <w:rFonts w:hint="eastAsia" w:ascii="仿宋" w:hAnsi="仿宋" w:eastAsia="仿宋" w:cs="仿宋"/>
          <w:color w:val="auto"/>
          <w:highlight w:val="none"/>
        </w:rPr>
        <w:t>〕</w:t>
      </w:r>
      <w:r>
        <w:rPr>
          <w:rFonts w:ascii="仿宋" w:hAnsi="仿宋" w:eastAsia="仿宋" w:cs="仿宋"/>
          <w:color w:val="auto"/>
          <w:highlight w:val="none"/>
        </w:rPr>
        <w:t>119</w:t>
      </w:r>
      <w:r>
        <w:rPr>
          <w:rFonts w:hint="eastAsia" w:ascii="华文仿宋" w:hAnsi="华文仿宋" w:cs="华文仿宋"/>
          <w:color w:val="auto"/>
          <w:highlight w:val="none"/>
        </w:rPr>
        <w:t>号）与《关于政府采购进口产品管理有关问题的通知》（财办库</w:t>
      </w:r>
      <w:r>
        <w:rPr>
          <w:rFonts w:ascii="仿宋" w:hAnsi="仿宋" w:eastAsia="仿宋" w:cs="仿宋"/>
          <w:color w:val="auto"/>
          <w:highlight w:val="none"/>
        </w:rPr>
        <w:t>[2008]248</w:t>
      </w:r>
      <w:r>
        <w:rPr>
          <w:rFonts w:hint="eastAsia" w:ascii="华文仿宋" w:hAnsi="华文仿宋" w:cs="华文仿宋"/>
          <w:color w:val="auto"/>
          <w:highlight w:val="none"/>
        </w:rPr>
        <w:t>号）的有关规定，未经核准同意，投标人投标时必须提供本国产品，投标人以进口产品参与投标的，将作无效投标处理。</w:t>
      </w:r>
    </w:p>
    <w:p w14:paraId="4256F2F6">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5、如招标文件中已说明，经政府采购管理部门审核同意，允许部分或全部产品采购进口产品，投标人既可提供本国产品，也可以提供进口产品。在提供的进口产品中，优先采购向我国企业转让技术、与我国企业签订消化吸收再创新方案的投标人的进口产品。进口产品必须同时具备原产地证明、中国商检证明及合法进货渠道全套单证。</w:t>
      </w:r>
    </w:p>
    <w:p w14:paraId="142A7FBB">
      <w:pPr>
        <w:pStyle w:val="8"/>
        <w:keepNext w:val="0"/>
        <w:keepLines w:val="0"/>
        <w:pageBreakBefore w:val="0"/>
        <w:widowControl/>
        <w:kinsoku/>
        <w:wordWrap/>
        <w:overflowPunct/>
        <w:topLinePunct w:val="0"/>
        <w:autoSpaceDE/>
        <w:autoSpaceDN/>
        <w:bidi w:val="0"/>
        <w:adjustRightInd/>
        <w:snapToGrid/>
        <w:spacing w:afterLines="0" w:line="500" w:lineRule="exact"/>
        <w:ind w:firstLine="566" w:firstLineChars="200"/>
        <w:textAlignment w:val="auto"/>
        <w:rPr>
          <w:rFonts w:hint="eastAsia" w:ascii="华文仿宋" w:hAnsi="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val="en-US" w:eastAsia="zh-CN"/>
        </w:rPr>
        <w:t>6、如采购的产品属</w:t>
      </w:r>
      <w:r>
        <w:rPr>
          <w:rFonts w:hint="eastAsia" w:ascii="华文仿宋" w:hAnsi="华文仿宋" w:cs="华文仿宋"/>
          <w:color w:val="auto"/>
          <w:sz w:val="28"/>
          <w:szCs w:val="28"/>
          <w:highlight w:val="none"/>
          <w:lang w:val="en-US" w:eastAsia="zh-CN"/>
        </w:rPr>
        <w:t>于</w:t>
      </w:r>
      <w:r>
        <w:rPr>
          <w:rFonts w:hint="eastAsia" w:ascii="华文仿宋" w:hAnsi="华文仿宋" w:eastAsia="华文仿宋" w:cs="华文仿宋"/>
          <w:color w:val="auto"/>
          <w:sz w:val="28"/>
          <w:szCs w:val="28"/>
          <w:highlight w:val="none"/>
          <w:lang w:val="en-US" w:eastAsia="zh-CN"/>
        </w:rPr>
        <w:t>列入《网络关键设备和网络安全专用产品目录》（如目录有更新，以最新的为准）的网络安全专用产品的，</w:t>
      </w:r>
      <w:r>
        <w:rPr>
          <w:rFonts w:hint="eastAsia" w:ascii="华文仿宋" w:hAnsi="华文仿宋" w:cs="华文仿宋"/>
          <w:color w:val="auto"/>
          <w:sz w:val="28"/>
          <w:szCs w:val="28"/>
          <w:highlight w:val="none"/>
          <w:lang w:val="en-US" w:eastAsia="zh-CN"/>
        </w:rPr>
        <w:t>投标人</w:t>
      </w:r>
      <w:r>
        <w:rPr>
          <w:rFonts w:hint="eastAsia" w:ascii="华文仿宋" w:hAnsi="华文仿宋" w:eastAsia="华文仿宋" w:cs="华文仿宋"/>
          <w:color w:val="auto"/>
          <w:sz w:val="28"/>
          <w:szCs w:val="28"/>
          <w:highlight w:val="none"/>
          <w:lang w:val="en-US" w:eastAsia="zh-CN"/>
        </w:rPr>
        <w:t>应当提供经安全检测或安全认证的产品或已经获得《计算机信息系统安全专用产品销售许可证》且尚在有效期</w:t>
      </w:r>
      <w:r>
        <w:rPr>
          <w:rFonts w:hint="eastAsia" w:ascii="华文仿宋" w:hAnsi="华文仿宋" w:cs="华文仿宋"/>
          <w:color w:val="auto"/>
          <w:sz w:val="28"/>
          <w:szCs w:val="28"/>
          <w:highlight w:val="none"/>
          <w:lang w:val="en-US" w:eastAsia="zh-CN"/>
        </w:rPr>
        <w:t>内</w:t>
      </w:r>
      <w:r>
        <w:rPr>
          <w:rFonts w:hint="eastAsia" w:ascii="华文仿宋" w:hAnsi="华文仿宋" w:eastAsia="华文仿宋" w:cs="华文仿宋"/>
          <w:color w:val="auto"/>
          <w:sz w:val="28"/>
          <w:szCs w:val="28"/>
          <w:highlight w:val="none"/>
          <w:lang w:val="en-US" w:eastAsia="zh-CN"/>
        </w:rPr>
        <w:t>的产品</w:t>
      </w:r>
      <w:bookmarkStart w:id="126" w:name="_Toc8680"/>
      <w:bookmarkStart w:id="127" w:name="_Toc7045"/>
      <w:bookmarkStart w:id="128" w:name="_Toc4616"/>
      <w:bookmarkStart w:id="129" w:name="_Toc27587"/>
      <w:bookmarkStart w:id="130" w:name="_Toc14421"/>
      <w:bookmarkStart w:id="131" w:name="_Toc8496"/>
      <w:r>
        <w:rPr>
          <w:rFonts w:hint="eastAsia" w:ascii="华文仿宋" w:hAnsi="华文仿宋" w:cs="华文仿宋"/>
          <w:color w:val="auto"/>
          <w:sz w:val="28"/>
          <w:szCs w:val="28"/>
          <w:highlight w:val="none"/>
          <w:lang w:eastAsia="zh-CN"/>
        </w:rPr>
        <w:t>。</w:t>
      </w:r>
    </w:p>
    <w:p w14:paraId="42602DA0">
      <w:pPr>
        <w:pStyle w:val="8"/>
        <w:keepNext w:val="0"/>
        <w:keepLines w:val="0"/>
        <w:pageBreakBefore w:val="0"/>
        <w:widowControl/>
        <w:kinsoku/>
        <w:wordWrap/>
        <w:overflowPunct/>
        <w:topLinePunct w:val="0"/>
        <w:autoSpaceDE/>
        <w:autoSpaceDN/>
        <w:bidi w:val="0"/>
        <w:adjustRightInd/>
        <w:snapToGrid/>
        <w:spacing w:afterLines="0" w:line="500" w:lineRule="exact"/>
        <w:ind w:firstLine="566" w:firstLineChars="200"/>
        <w:textAlignment w:val="auto"/>
        <w:rPr>
          <w:rFonts w:ascii="华文仿宋" w:cs="Times New Roman"/>
          <w:b/>
          <w:bCs/>
          <w:color w:val="auto"/>
          <w:sz w:val="28"/>
          <w:szCs w:val="28"/>
          <w:highlight w:val="none"/>
        </w:rPr>
      </w:pPr>
      <w:r>
        <w:rPr>
          <w:rFonts w:hint="eastAsia" w:ascii="华文仿宋" w:hAnsi="华文仿宋" w:cs="华文仿宋"/>
          <w:b/>
          <w:bCs/>
          <w:color w:val="auto"/>
          <w:sz w:val="28"/>
          <w:szCs w:val="28"/>
          <w:highlight w:val="none"/>
        </w:rPr>
        <w:t>（七）关于同一品牌产品的处理</w:t>
      </w:r>
      <w:bookmarkEnd w:id="126"/>
      <w:bookmarkEnd w:id="127"/>
      <w:bookmarkEnd w:id="128"/>
      <w:bookmarkEnd w:id="129"/>
      <w:bookmarkEnd w:id="130"/>
      <w:bookmarkEnd w:id="131"/>
    </w:p>
    <w:p w14:paraId="72C7EBFF">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1、单一产品采购项目中，提供相同品牌的产品的不同投标人参加同一合同项下投标的，按以下处理：</w:t>
      </w:r>
    </w:p>
    <w:p w14:paraId="610ADC9C">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1）采用最低评标价法的采购项目，提供相同品牌产品的不同投标人参加同一合同项下投标的，以其中通过资格审查、符合性审查且投标报价最低的参加评标；报价相同的，由评标委员会按照技术方案、售后服务等内容确定一个参加评标的投标人，其他投标无效。</w:t>
      </w:r>
    </w:p>
    <w:p w14:paraId="6CA9B48E">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2）使用综合评分法的采购项目，提供相同品牌产品且通过资格审查、符合性审查的不同投标人参加同一合同项下投标的，按一家投标人计算，评审后得分最高的同品牌投标人获得中标投标人推荐资格；评审得分相同的，由评标委员会按照投标报价最低的方式确定一个获得中标投标人推荐资格，其他同品牌投标人不作为中标候选人。</w:t>
      </w:r>
    </w:p>
    <w:p w14:paraId="1DAD61E0">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2、非单一产品采购项目，采购人将根据采购项目技术构成、产品价格比重等因素确定核心产品（可能不止一种），并在招标文件中载明。提供相同品牌的核心产品的不同投标人参加同一合同项下投标的，按以下处理：</w:t>
      </w:r>
    </w:p>
    <w:p w14:paraId="4116756D">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1）采用最低评标价法的采购项目，提供相同品牌核心产品的不同投标人参加同一合同项下投标的，以其中通过资格审查、符合性审查且投标报价最低的参加评标；报价相同的，由评标委员会按照技术方案、售后服务等内容确定一个参加评标的投标人，其他投标无效。</w:t>
      </w:r>
    </w:p>
    <w:p w14:paraId="7ED686A4">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2）使用综合评分法的采购项目，提供相同品牌核心产品且通过资格审查、符合性审查的不同投标人参加同一合同项下投标的，按一家投标人计算，评审后得分最高的同品牌投标人获得中标投标人推荐资格；评审得分相同的，由评标委员会按照投标报价最低的方式确定一个获得中标人推荐资格，其他同品牌投标人不作为中标候选人。</w:t>
      </w:r>
    </w:p>
    <w:p w14:paraId="163D7F7A">
      <w:pPr>
        <w:spacing w:line="500" w:lineRule="exact"/>
        <w:ind w:firstLine="566" w:firstLineChars="200"/>
        <w:rPr>
          <w:rFonts w:ascii="华文仿宋" w:hAnsi="华文仿宋" w:cs="华文仿宋"/>
          <w:bCs/>
          <w:color w:val="auto"/>
          <w:highlight w:val="none"/>
        </w:rPr>
      </w:pPr>
      <w:r>
        <w:rPr>
          <w:rFonts w:hint="eastAsia" w:ascii="华文仿宋" w:hAnsi="华文仿宋" w:cs="华文仿宋"/>
          <w:bCs/>
          <w:color w:val="auto"/>
          <w:highlight w:val="none"/>
        </w:rPr>
        <w:t>（3）核心产品为两个以上时，多家投标人提供的核心产品有部分采用或全部采用相同品牌的，按一家投标人计算。</w:t>
      </w:r>
    </w:p>
    <w:p w14:paraId="76916741">
      <w:pPr>
        <w:pStyle w:val="3"/>
        <w:spacing w:line="500" w:lineRule="exact"/>
        <w:ind w:firstLine="566" w:firstLineChars="200"/>
        <w:rPr>
          <w:rFonts w:ascii="华文仿宋" w:cs="Times New Roman"/>
          <w:color w:val="auto"/>
          <w:sz w:val="28"/>
          <w:szCs w:val="28"/>
          <w:highlight w:val="none"/>
        </w:rPr>
      </w:pPr>
      <w:bookmarkStart w:id="132" w:name="_Toc8711"/>
      <w:bookmarkStart w:id="133" w:name="_Toc16906"/>
      <w:bookmarkStart w:id="134" w:name="_Toc19353"/>
      <w:bookmarkStart w:id="135" w:name="_Toc14044"/>
      <w:bookmarkStart w:id="136" w:name="_Toc29423"/>
      <w:bookmarkStart w:id="137" w:name="_Toc13431"/>
      <w:bookmarkStart w:id="138" w:name="_Toc24108"/>
      <w:bookmarkStart w:id="139" w:name="_Toc13357"/>
      <w:r>
        <w:rPr>
          <w:rFonts w:hint="eastAsia" w:ascii="华文仿宋" w:hAnsi="华文仿宋" w:cs="华文仿宋"/>
          <w:color w:val="auto"/>
          <w:sz w:val="28"/>
          <w:szCs w:val="28"/>
          <w:highlight w:val="none"/>
        </w:rPr>
        <w:t>（八）知识产权与保密事项</w:t>
      </w:r>
      <w:bookmarkEnd w:id="132"/>
      <w:bookmarkEnd w:id="133"/>
      <w:bookmarkEnd w:id="134"/>
      <w:bookmarkEnd w:id="135"/>
      <w:bookmarkEnd w:id="136"/>
      <w:bookmarkEnd w:id="137"/>
      <w:bookmarkEnd w:id="138"/>
      <w:bookmarkEnd w:id="139"/>
    </w:p>
    <w:p w14:paraId="25A012EE">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、所有涉及知识产权的产品及设计，投标人必须确保采购人拥有其合法的、不受限制的无偿使用权，并免受任何侵权诉讼或索偿，否则，由此产生的一切经济损失和法律责任由投标人承担。</w:t>
      </w:r>
    </w:p>
    <w:p w14:paraId="0E524B8D">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由采购人向投标人提供的用户需求书、图纸、样品、模型、模件和所有资料，投标人获得后，应对其保密。除非采购人同意，投标人不得向第三方透露或将其用于本次投标以外的任何用途。开标后，若采购人有要求，投标人须归还采购人认为需保密的文件和资料，并销毁所有相应的备份文件及资料。</w:t>
      </w:r>
    </w:p>
    <w:p w14:paraId="2B5938A6">
      <w:pPr>
        <w:pStyle w:val="3"/>
        <w:spacing w:line="500" w:lineRule="exact"/>
        <w:ind w:firstLine="566" w:firstLineChars="200"/>
        <w:rPr>
          <w:rFonts w:ascii="华文仿宋" w:cs="Times New Roman"/>
          <w:color w:val="auto"/>
          <w:sz w:val="28"/>
          <w:szCs w:val="28"/>
          <w:highlight w:val="none"/>
        </w:rPr>
      </w:pPr>
      <w:bookmarkStart w:id="140" w:name="_Toc7162"/>
      <w:bookmarkStart w:id="141" w:name="_Toc27853"/>
      <w:bookmarkStart w:id="142" w:name="_Toc19717"/>
      <w:bookmarkStart w:id="143" w:name="_Toc6640"/>
      <w:bookmarkStart w:id="144" w:name="_Toc9761"/>
      <w:bookmarkStart w:id="145" w:name="_Toc18494"/>
      <w:bookmarkStart w:id="146" w:name="_Toc8678"/>
      <w:bookmarkStart w:id="147" w:name="_Toc20526"/>
      <w:r>
        <w:rPr>
          <w:rFonts w:hint="eastAsia" w:ascii="华文仿宋" w:hAnsi="华文仿宋" w:cs="华文仿宋"/>
          <w:color w:val="auto"/>
          <w:sz w:val="28"/>
          <w:szCs w:val="28"/>
          <w:highlight w:val="none"/>
        </w:rPr>
        <w:t>（九）投标人的投标费用自理</w:t>
      </w:r>
      <w:bookmarkEnd w:id="140"/>
      <w:bookmarkEnd w:id="141"/>
      <w:bookmarkEnd w:id="142"/>
      <w:bookmarkEnd w:id="143"/>
      <w:bookmarkEnd w:id="144"/>
      <w:bookmarkEnd w:id="145"/>
      <w:bookmarkEnd w:id="146"/>
      <w:bookmarkEnd w:id="147"/>
    </w:p>
    <w:p w14:paraId="4CE39769">
      <w:pPr>
        <w:pStyle w:val="3"/>
        <w:spacing w:line="500" w:lineRule="exact"/>
        <w:ind w:firstLine="566" w:firstLineChars="200"/>
        <w:rPr>
          <w:rFonts w:ascii="华文仿宋" w:cs="Times New Roman"/>
          <w:color w:val="auto"/>
          <w:sz w:val="28"/>
          <w:szCs w:val="28"/>
          <w:highlight w:val="none"/>
        </w:rPr>
      </w:pPr>
      <w:bookmarkStart w:id="148" w:name="_Toc13167"/>
      <w:r>
        <w:rPr>
          <w:rFonts w:hint="eastAsia" w:ascii="华文仿宋" w:hAnsi="华文仿宋" w:cs="华文仿宋"/>
          <w:color w:val="auto"/>
          <w:sz w:val="28"/>
          <w:szCs w:val="28"/>
          <w:highlight w:val="none"/>
        </w:rPr>
        <w:t>三、招标文件</w:t>
      </w:r>
      <w:bookmarkEnd w:id="148"/>
    </w:p>
    <w:p w14:paraId="70D4C26F">
      <w:pPr>
        <w:pStyle w:val="3"/>
        <w:spacing w:line="500" w:lineRule="exact"/>
        <w:ind w:firstLine="566" w:firstLineChars="200"/>
        <w:rPr>
          <w:rFonts w:ascii="华文仿宋" w:cs="Times New Roman"/>
          <w:color w:val="auto"/>
          <w:sz w:val="28"/>
          <w:szCs w:val="28"/>
          <w:highlight w:val="none"/>
        </w:rPr>
      </w:pPr>
      <w:bookmarkStart w:id="149" w:name="_Toc9716"/>
      <w:bookmarkStart w:id="150" w:name="_Toc9775"/>
      <w:bookmarkStart w:id="151" w:name="_Toc6250"/>
      <w:bookmarkStart w:id="152" w:name="_Toc2499"/>
      <w:bookmarkStart w:id="153" w:name="_Toc31772"/>
      <w:bookmarkStart w:id="154" w:name="_Toc24360"/>
      <w:bookmarkStart w:id="155" w:name="_Toc32391"/>
      <w:bookmarkStart w:id="156" w:name="_Toc21427"/>
      <w:r>
        <w:rPr>
          <w:rFonts w:hint="eastAsia" w:ascii="华文仿宋" w:hAnsi="华文仿宋" w:cs="华文仿宋"/>
          <w:color w:val="auto"/>
          <w:sz w:val="28"/>
          <w:szCs w:val="28"/>
          <w:highlight w:val="none"/>
        </w:rPr>
        <w:t>（一）招标文件包括下列内容</w:t>
      </w:r>
      <w:bookmarkEnd w:id="149"/>
      <w:bookmarkEnd w:id="150"/>
      <w:bookmarkEnd w:id="151"/>
      <w:bookmarkEnd w:id="152"/>
      <w:bookmarkEnd w:id="153"/>
      <w:bookmarkEnd w:id="154"/>
      <w:bookmarkEnd w:id="155"/>
      <w:bookmarkEnd w:id="156"/>
    </w:p>
    <w:p w14:paraId="4A31C1E3">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第一章　投标邀请函</w:t>
      </w:r>
    </w:p>
    <w:p w14:paraId="159D9A0D">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第二章　投标人须知</w:t>
      </w:r>
    </w:p>
    <w:p w14:paraId="231CC690">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第三章　评审办法及标准</w:t>
      </w:r>
    </w:p>
    <w:p w14:paraId="0BD20B4A">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第四章　招标内容及采购要求</w:t>
      </w:r>
    </w:p>
    <w:p w14:paraId="18AA5169">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第五章　合同基本条款</w:t>
      </w:r>
    </w:p>
    <w:p w14:paraId="2CB7C4D5">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第六章　投标文件构成及格式</w:t>
      </w:r>
    </w:p>
    <w:p w14:paraId="59CA7C90">
      <w:pPr>
        <w:pStyle w:val="3"/>
        <w:spacing w:line="500" w:lineRule="exact"/>
        <w:ind w:firstLine="566" w:firstLineChars="200"/>
        <w:rPr>
          <w:rFonts w:ascii="华文仿宋" w:cs="Times New Roman"/>
          <w:color w:val="auto"/>
          <w:sz w:val="28"/>
          <w:szCs w:val="28"/>
          <w:highlight w:val="none"/>
        </w:rPr>
      </w:pPr>
      <w:bookmarkStart w:id="157" w:name="_Toc19765"/>
      <w:bookmarkStart w:id="158" w:name="_Toc20821"/>
      <w:bookmarkStart w:id="159" w:name="_Toc15437"/>
      <w:bookmarkStart w:id="160" w:name="_Toc16023"/>
      <w:bookmarkStart w:id="161" w:name="_Toc5020"/>
      <w:bookmarkStart w:id="162" w:name="_Toc29649"/>
      <w:bookmarkStart w:id="163" w:name="_Toc17501"/>
      <w:bookmarkStart w:id="164" w:name="_Toc12109"/>
      <w:r>
        <w:rPr>
          <w:rFonts w:hint="eastAsia" w:ascii="华文仿宋" w:hAnsi="华文仿宋" w:cs="华文仿宋"/>
          <w:color w:val="auto"/>
          <w:sz w:val="28"/>
          <w:szCs w:val="28"/>
          <w:highlight w:val="none"/>
        </w:rPr>
        <w:t>（二）招标文件的检查及阅读</w:t>
      </w:r>
      <w:bookmarkEnd w:id="157"/>
      <w:bookmarkEnd w:id="158"/>
      <w:bookmarkEnd w:id="159"/>
      <w:bookmarkEnd w:id="160"/>
      <w:bookmarkEnd w:id="161"/>
      <w:bookmarkEnd w:id="162"/>
      <w:bookmarkEnd w:id="163"/>
      <w:bookmarkEnd w:id="164"/>
    </w:p>
    <w:p w14:paraId="4026EACD">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投标人下载招标文件后应仔细阅读检查招标文件中的所有内容，按照招标文件中所列事项、条款、规范要求及格式，在投标文件中对招标文件做出全面的响应，并按招标文件的要求提交全部资料。</w:t>
      </w:r>
    </w:p>
    <w:p w14:paraId="333908DF">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项目废标后重新组织招标的，陕西省省级单位政府采购中心将重新编制、发布新版招标文件，投标人应按新版招标文件重新编制投标文件。原招标文件及投标文件失效。</w:t>
      </w:r>
    </w:p>
    <w:p w14:paraId="78C9FF92">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投标文件封面、投标函以及法定代表人授权委托书三处的项目名称、项目编号、标段（如有）应当与最新发布的招标文件保持一致，否则将被视为无效投标文件。</w:t>
      </w:r>
    </w:p>
    <w:p w14:paraId="60512BDE">
      <w:pPr>
        <w:pStyle w:val="3"/>
        <w:spacing w:line="500" w:lineRule="exact"/>
        <w:ind w:firstLine="566" w:firstLineChars="200"/>
        <w:rPr>
          <w:rFonts w:ascii="华文仿宋" w:cs="Times New Roman"/>
          <w:color w:val="auto"/>
          <w:sz w:val="28"/>
          <w:szCs w:val="28"/>
          <w:highlight w:val="none"/>
        </w:rPr>
      </w:pPr>
      <w:bookmarkStart w:id="165" w:name="_Toc1771"/>
      <w:bookmarkStart w:id="166" w:name="_Toc30912"/>
      <w:bookmarkStart w:id="167" w:name="_Toc2096"/>
      <w:bookmarkStart w:id="168" w:name="_Toc163"/>
      <w:bookmarkStart w:id="169" w:name="_Toc24326"/>
      <w:bookmarkStart w:id="170" w:name="_Toc12956"/>
      <w:bookmarkStart w:id="171" w:name="_Toc8999"/>
      <w:bookmarkStart w:id="172" w:name="_Toc27261"/>
      <w:r>
        <w:rPr>
          <w:rFonts w:hint="eastAsia" w:ascii="华文仿宋" w:hAnsi="华文仿宋" w:cs="华文仿宋"/>
          <w:color w:val="auto"/>
          <w:sz w:val="28"/>
          <w:szCs w:val="28"/>
          <w:highlight w:val="none"/>
        </w:rPr>
        <w:t>（三）招标文件的修改、澄清</w:t>
      </w:r>
      <w:bookmarkEnd w:id="165"/>
      <w:bookmarkEnd w:id="166"/>
      <w:bookmarkEnd w:id="167"/>
      <w:bookmarkEnd w:id="168"/>
      <w:bookmarkEnd w:id="169"/>
      <w:bookmarkEnd w:id="170"/>
      <w:bookmarkEnd w:id="171"/>
      <w:bookmarkEnd w:id="172"/>
    </w:p>
    <w:p w14:paraId="5DDEB35E">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在提交投标文件截止之日前，陕西省省级单位政府采购中心可对已发出的招标文件进行必要的澄清或者修改，澄清或者修改的内容作为招标文件的组成部分。澄清或者修改的内容可能影响投标文件编制的，陕西省省级单位政府采购中心将在投标截止时间</w:t>
      </w:r>
      <w:r>
        <w:rPr>
          <w:rFonts w:ascii="仿宋" w:hAnsi="仿宋" w:eastAsia="仿宋" w:cs="仿宋"/>
          <w:color w:val="auto"/>
          <w:highlight w:val="none"/>
        </w:rPr>
        <w:t>15</w:t>
      </w:r>
      <w:r>
        <w:rPr>
          <w:rFonts w:hint="eastAsia" w:ascii="华文仿宋" w:hAnsi="华文仿宋" w:cs="华文仿宋"/>
          <w:color w:val="auto"/>
          <w:highlight w:val="none"/>
        </w:rPr>
        <w:t>日前，在财政部门指定的政府采购信息发布媒体上</w:t>
      </w:r>
      <w:r>
        <w:rPr>
          <w:rFonts w:hint="eastAsia" w:ascii="华文仿宋" w:hAnsi="华文仿宋" w:cs="华文仿宋"/>
          <w:b/>
          <w:bCs/>
          <w:color w:val="auto"/>
          <w:highlight w:val="none"/>
        </w:rPr>
        <w:t>发布更正公告</w:t>
      </w:r>
      <w:r>
        <w:rPr>
          <w:rFonts w:hint="eastAsia" w:ascii="华文仿宋" w:hAnsi="华文仿宋" w:cs="华文仿宋"/>
          <w:color w:val="auto"/>
          <w:highlight w:val="none"/>
        </w:rPr>
        <w:t>；不足</w:t>
      </w:r>
      <w:r>
        <w:rPr>
          <w:rFonts w:ascii="仿宋" w:hAnsi="仿宋" w:eastAsia="仿宋" w:cs="仿宋"/>
          <w:color w:val="auto"/>
          <w:highlight w:val="none"/>
        </w:rPr>
        <w:t>15</w:t>
      </w:r>
      <w:r>
        <w:rPr>
          <w:rFonts w:hint="eastAsia" w:ascii="华文仿宋" w:hAnsi="华文仿宋" w:cs="华文仿宋"/>
          <w:color w:val="auto"/>
          <w:highlight w:val="none"/>
        </w:rPr>
        <w:t>日，陕西省省级单位政府采购中心将顺延提交投标文件的截止时间。</w:t>
      </w:r>
    </w:p>
    <w:p w14:paraId="3B03FEC9">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、投标人对招标文件提出质疑的，应在招标文件获取之日起</w:t>
      </w:r>
      <w:r>
        <w:rPr>
          <w:rFonts w:ascii="仿宋" w:hAnsi="仿宋" w:eastAsia="仿宋" w:cs="仿宋"/>
          <w:color w:val="auto"/>
          <w:highlight w:val="none"/>
        </w:rPr>
        <w:t>7</w:t>
      </w:r>
      <w:r>
        <w:rPr>
          <w:rFonts w:hint="eastAsia" w:ascii="华文仿宋" w:hAnsi="华文仿宋" w:cs="华文仿宋"/>
          <w:color w:val="auto"/>
          <w:highlight w:val="none"/>
        </w:rPr>
        <w:t>个工作日内以书面形式提出，采购人以书面形式予以答复；在此之后提出的针对招标文件的质疑为无效质疑。答复的内容可能影响投标文件编制的，陕西省省级单位政府采购中心将在财政部门指定的政府采购信息发布媒体上</w:t>
      </w:r>
      <w:r>
        <w:rPr>
          <w:rFonts w:hint="eastAsia" w:ascii="华文仿宋" w:hAnsi="华文仿宋" w:cs="华文仿宋"/>
          <w:b/>
          <w:bCs/>
          <w:color w:val="auto"/>
          <w:highlight w:val="none"/>
        </w:rPr>
        <w:t>发布更正公告</w:t>
      </w:r>
      <w:r>
        <w:rPr>
          <w:rFonts w:hint="eastAsia" w:ascii="华文仿宋" w:hAnsi="华文仿宋" w:cs="华文仿宋"/>
          <w:color w:val="auto"/>
          <w:highlight w:val="none"/>
        </w:rPr>
        <w:t>。</w:t>
      </w:r>
    </w:p>
    <w:p w14:paraId="21923385">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、各投标人在提交投标文件截止时间之前，应随时关注下列地址发布的更正公告，也可登录全国公共资源交易平台（陕西省）政府采购交易系统查看左上角的信息提醒，陕西省省级单位政府采购中心</w:t>
      </w:r>
      <w:r>
        <w:rPr>
          <w:rFonts w:hint="eastAsia" w:ascii="华文仿宋" w:hAnsi="华文仿宋" w:cs="华文仿宋"/>
          <w:b/>
          <w:bCs/>
          <w:color w:val="auto"/>
          <w:highlight w:val="none"/>
        </w:rPr>
        <w:t>不再单独通知，因投标人未及时关注所造成的一切后果由投标人自行承担：</w:t>
      </w:r>
    </w:p>
    <w:p w14:paraId="4578557B">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35"/>
          <w:rFonts w:hint="eastAsia" w:ascii="华文仿宋" w:hAnsi="华文仿宋" w:cs="华文仿宋"/>
          <w:color w:val="auto"/>
          <w:sz w:val="28"/>
          <w:szCs w:val="28"/>
          <w:highlight w:val="none"/>
        </w:rPr>
        <w:t>陕西省政府采购网</w:t>
      </w:r>
      <w:r>
        <w:rPr>
          <w:rStyle w:val="35"/>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（www.ccgp-shaanxi.gov.cn）】中的〖首页·〉省级公告·〉更正公告〗；</w:t>
      </w:r>
    </w:p>
    <w:p w14:paraId="496D8D47">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w:t>
      </w:r>
      <w:r>
        <w:rPr>
          <w:rFonts w:hint="eastAsia" w:ascii="华文仿宋" w:hAnsi="华文仿宋" w:cs="华文仿宋"/>
          <w:color w:val="auto"/>
          <w:kern w:val="0"/>
          <w:highlight w:val="none"/>
        </w:rPr>
        <w:t>全国公共资源交易平台（陕西省）（</w:t>
      </w:r>
      <w:r>
        <w:rPr>
          <w:rFonts w:hint="eastAsia" w:ascii="华文仿宋" w:hAnsi="华文仿宋" w:cs="华文仿宋"/>
          <w:color w:val="auto"/>
          <w:highlight w:val="none"/>
        </w:rPr>
        <w:t>http://www.sxggzyjy.cn/</w:t>
      </w:r>
      <w:r>
        <w:rPr>
          <w:rFonts w:hint="eastAsia" w:ascii="华文仿宋" w:hAnsi="华文仿宋" w:cs="华文仿宋"/>
          <w:color w:val="auto"/>
          <w:kern w:val="0"/>
          <w:highlight w:val="none"/>
        </w:rPr>
        <w:t>）</w:t>
      </w:r>
      <w:r>
        <w:rPr>
          <w:rFonts w:hint="eastAsia" w:ascii="华文仿宋" w:hAnsi="华文仿宋" w:cs="华文仿宋"/>
          <w:color w:val="auto"/>
          <w:highlight w:val="none"/>
        </w:rPr>
        <w:t>】中的〖首页·〉交易大厅·〉政府采购〗。</w:t>
      </w:r>
    </w:p>
    <w:p w14:paraId="61591465">
      <w:pPr>
        <w:pStyle w:val="3"/>
        <w:spacing w:line="500" w:lineRule="exact"/>
        <w:ind w:firstLine="566" w:firstLineChars="200"/>
        <w:rPr>
          <w:rFonts w:ascii="华文仿宋" w:cs="Times New Roman"/>
          <w:color w:val="auto"/>
          <w:sz w:val="28"/>
          <w:szCs w:val="28"/>
          <w:highlight w:val="none"/>
        </w:rPr>
      </w:pPr>
      <w:bookmarkStart w:id="173" w:name="_Toc24054"/>
      <w:bookmarkStart w:id="174" w:name="_Toc27253"/>
      <w:bookmarkStart w:id="175" w:name="_Toc9031"/>
      <w:bookmarkStart w:id="176" w:name="_Toc11980"/>
      <w:bookmarkStart w:id="177" w:name="_Toc9989"/>
      <w:bookmarkStart w:id="178" w:name="_Toc3288"/>
      <w:bookmarkStart w:id="179" w:name="_Toc27422"/>
      <w:bookmarkStart w:id="180" w:name="_Toc5846"/>
      <w:r>
        <w:rPr>
          <w:rFonts w:hint="eastAsia" w:ascii="华文仿宋" w:hAnsi="华文仿宋" w:cs="华文仿宋"/>
          <w:color w:val="auto"/>
          <w:sz w:val="28"/>
          <w:szCs w:val="28"/>
          <w:highlight w:val="none"/>
        </w:rPr>
        <w:t>（四）招标文件的解释权归陕西省省级单位政府采购中心</w:t>
      </w:r>
      <w:bookmarkEnd w:id="173"/>
      <w:bookmarkEnd w:id="174"/>
      <w:bookmarkEnd w:id="175"/>
      <w:bookmarkEnd w:id="176"/>
      <w:bookmarkEnd w:id="177"/>
      <w:bookmarkEnd w:id="178"/>
      <w:bookmarkEnd w:id="179"/>
      <w:bookmarkEnd w:id="180"/>
    </w:p>
    <w:p w14:paraId="2A2E5A7E">
      <w:pPr>
        <w:pStyle w:val="3"/>
        <w:spacing w:line="500" w:lineRule="exact"/>
        <w:ind w:firstLine="566" w:firstLineChars="200"/>
        <w:rPr>
          <w:rFonts w:ascii="华文仿宋" w:cs="Times New Roman"/>
          <w:color w:val="auto"/>
          <w:sz w:val="28"/>
          <w:szCs w:val="28"/>
          <w:highlight w:val="none"/>
        </w:rPr>
      </w:pPr>
      <w:bookmarkStart w:id="181" w:name="_Toc17025"/>
      <w:r>
        <w:rPr>
          <w:rFonts w:hint="eastAsia" w:ascii="华文仿宋" w:hAnsi="华文仿宋" w:cs="华文仿宋"/>
          <w:color w:val="auto"/>
          <w:sz w:val="28"/>
          <w:szCs w:val="28"/>
          <w:highlight w:val="none"/>
        </w:rPr>
        <w:t>四、投标报价</w:t>
      </w:r>
      <w:bookmarkEnd w:id="181"/>
    </w:p>
    <w:p w14:paraId="4E42113E">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0F3AF01C">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（一）投标人应严格按照《投标文件构成及格式》中《开标一览表》中的相关要求填写。</w:t>
      </w:r>
    </w:p>
    <w:p w14:paraId="2673C562">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（二）投标报价货币：</w:t>
      </w:r>
      <w:r>
        <w:rPr>
          <w:rFonts w:hint="eastAsia" w:ascii="华文仿宋" w:hAnsi="华文仿宋" w:cs="华文仿宋"/>
          <w:b/>
          <w:bCs/>
          <w:color w:val="auto"/>
          <w:highlight w:val="none"/>
        </w:rPr>
        <w:t>人民币</w:t>
      </w:r>
      <w:r>
        <w:rPr>
          <w:rFonts w:hint="eastAsia" w:ascii="华文仿宋" w:hAnsi="华文仿宋" w:cs="华文仿宋"/>
          <w:color w:val="auto"/>
          <w:highlight w:val="none"/>
        </w:rPr>
        <w:t>；单位：</w:t>
      </w:r>
      <w:r>
        <w:rPr>
          <w:rFonts w:hint="eastAsia" w:ascii="华文仿宋" w:hAnsi="华文仿宋" w:cs="华文仿宋"/>
          <w:b/>
          <w:bCs/>
          <w:color w:val="auto"/>
          <w:highlight w:val="none"/>
        </w:rPr>
        <w:t>元</w:t>
      </w:r>
      <w:r>
        <w:rPr>
          <w:rFonts w:hint="eastAsia" w:ascii="华文仿宋" w:hAnsi="华文仿宋" w:cs="华文仿宋"/>
          <w:color w:val="auto"/>
          <w:highlight w:val="none"/>
        </w:rPr>
        <w:t>(报价最多保留到小数点后两位)</w:t>
      </w:r>
      <w:r>
        <w:rPr>
          <w:rFonts w:hint="eastAsia" w:ascii="华文仿宋" w:hAnsi="华文仿宋" w:cs="华文仿宋"/>
          <w:b/>
          <w:bCs/>
          <w:color w:val="auto"/>
          <w:highlight w:val="none"/>
        </w:rPr>
        <w:t>。</w:t>
      </w:r>
    </w:p>
    <w:p w14:paraId="25367700">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（三）《开标一览表》中的投标报价只能提交唯一报价，并且在合同履行过程中是固定不变的，任何有选择的报价将不予接受，按无效投标处理。</w:t>
      </w:r>
    </w:p>
    <w:p w14:paraId="2F79389C">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（四）投标文件报价出现前后不一致的，除招标文件另有规定外，按照下列规定修正：</w:t>
      </w:r>
    </w:p>
    <w:p w14:paraId="7EEDF31E">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、投标文件中开标一览表内容与投标文件中相应内容不一致的，以开标一览表为准；</w:t>
      </w:r>
    </w:p>
    <w:p w14:paraId="4C1EDF47">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、大写金额和小写金额不一致的，以大写金额为准；</w:t>
      </w:r>
    </w:p>
    <w:p w14:paraId="7CB827CA">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、单价金额小数点或者百分比有明显错位的，以开标一览表的总价为准，并修改单价；</w:t>
      </w:r>
    </w:p>
    <w:p w14:paraId="4F6F8AB5">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、总价金额与按单价汇总金额不一致的，以单价金额计算结果为准；</w:t>
      </w:r>
    </w:p>
    <w:p w14:paraId="66F2FCEA">
      <w:pPr>
        <w:spacing w:line="500" w:lineRule="exact"/>
        <w:ind w:firstLine="566" w:firstLineChars="200"/>
        <w:rPr>
          <w:rFonts w:ascii="华文仿宋" w:cs="Times New Roman"/>
          <w:b/>
          <w:bCs/>
          <w:color w:val="auto"/>
          <w:highlight w:val="none"/>
        </w:rPr>
      </w:pPr>
      <w:r>
        <w:rPr>
          <w:rFonts w:hint="eastAsia" w:ascii="华文仿宋" w:hAnsi="华文仿宋" w:cs="华文仿宋"/>
          <w:color w:val="auto"/>
          <w:highlight w:val="none"/>
        </w:rPr>
        <w:t>同时出现两种以上不一致的，按照前款规定的顺序修正。</w:t>
      </w:r>
      <w:r>
        <w:rPr>
          <w:rFonts w:hint="eastAsia" w:ascii="华文仿宋" w:hAnsi="华文仿宋" w:cs="华文仿宋"/>
          <w:b/>
          <w:bCs/>
          <w:color w:val="auto"/>
          <w:highlight w:val="none"/>
        </w:rPr>
        <w:t>修正后的报价经投标人确认后产生约束力，投标人不确认的，其投标无效。</w:t>
      </w:r>
    </w:p>
    <w:p w14:paraId="0A96DB62">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（五）因投标人对招标文件理解不透、误解、疏漏或对市场行情了解不清造成的后果和风险，均由投标人自己负责。</w:t>
      </w:r>
    </w:p>
    <w:p w14:paraId="5FED580E">
      <w:pPr>
        <w:pStyle w:val="3"/>
        <w:spacing w:line="500" w:lineRule="exact"/>
        <w:ind w:firstLine="566" w:firstLineChars="200"/>
        <w:rPr>
          <w:rFonts w:ascii="华文仿宋" w:cs="Times New Roman"/>
          <w:color w:val="auto"/>
          <w:sz w:val="28"/>
          <w:szCs w:val="28"/>
          <w:highlight w:val="none"/>
        </w:rPr>
      </w:pPr>
      <w:bookmarkStart w:id="182" w:name="_Toc18552"/>
      <w:r>
        <w:rPr>
          <w:rFonts w:hint="eastAsia" w:ascii="华文仿宋" w:hAnsi="华文仿宋" w:cs="华文仿宋"/>
          <w:color w:val="auto"/>
          <w:sz w:val="28"/>
          <w:szCs w:val="28"/>
          <w:highlight w:val="none"/>
        </w:rPr>
        <w:t>五、投标文件</w:t>
      </w:r>
      <w:bookmarkEnd w:id="182"/>
    </w:p>
    <w:p w14:paraId="57D78D6F">
      <w:pPr>
        <w:pStyle w:val="3"/>
        <w:spacing w:line="500" w:lineRule="exact"/>
        <w:ind w:firstLine="566" w:firstLineChars="200"/>
        <w:rPr>
          <w:rFonts w:ascii="华文仿宋" w:cs="Times New Roman"/>
          <w:color w:val="auto"/>
          <w:sz w:val="28"/>
          <w:szCs w:val="28"/>
          <w:highlight w:val="none"/>
        </w:rPr>
      </w:pPr>
      <w:bookmarkStart w:id="183" w:name="_Toc10942"/>
      <w:bookmarkStart w:id="184" w:name="_Toc4717"/>
      <w:bookmarkStart w:id="185" w:name="_Toc8984"/>
      <w:bookmarkStart w:id="186" w:name="_Toc1832"/>
      <w:bookmarkStart w:id="187" w:name="_Toc10242"/>
      <w:bookmarkStart w:id="188" w:name="_Toc2658"/>
      <w:bookmarkStart w:id="189" w:name="_Toc25351"/>
      <w:bookmarkStart w:id="190" w:name="_Toc30764"/>
      <w:r>
        <w:rPr>
          <w:rFonts w:hint="eastAsia" w:ascii="华文仿宋" w:hAnsi="华文仿宋" w:cs="华文仿宋"/>
          <w:color w:val="auto"/>
          <w:sz w:val="28"/>
          <w:szCs w:val="28"/>
          <w:highlight w:val="none"/>
        </w:rPr>
        <w:t>（一）投标文件形式</w:t>
      </w:r>
      <w:bookmarkEnd w:id="183"/>
      <w:bookmarkEnd w:id="184"/>
      <w:bookmarkEnd w:id="185"/>
      <w:bookmarkEnd w:id="186"/>
      <w:bookmarkEnd w:id="187"/>
      <w:bookmarkEnd w:id="188"/>
      <w:bookmarkEnd w:id="189"/>
      <w:bookmarkEnd w:id="190"/>
    </w:p>
    <w:p w14:paraId="08928F1B">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本项目采用电子投标文件的形式。</w:t>
      </w:r>
    </w:p>
    <w:p w14:paraId="552823DD">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编制电子投标文件时，应使用最新发布的电子招标文件及专用制作工具进行编制。并使用数字认证证书（</w:t>
      </w:r>
      <w:r>
        <w:rPr>
          <w:rFonts w:hint="eastAsia" w:ascii="仿宋" w:hAnsi="仿宋" w:eastAsia="仿宋" w:cs="仿宋"/>
          <w:color w:val="auto"/>
          <w:highlight w:val="none"/>
        </w:rPr>
        <w:t>CA</w:t>
      </w:r>
      <w:r>
        <w:rPr>
          <w:rFonts w:hint="eastAsia" w:ascii="华文仿宋" w:hAnsi="华文仿宋" w:cs="华文仿宋"/>
          <w:color w:val="auto"/>
          <w:highlight w:val="none"/>
        </w:rPr>
        <w:t>锁）对电子投标文件进行签署、加密、递交及解密等相关操作。</w:t>
      </w:r>
    </w:p>
    <w:p w14:paraId="25B3707A">
      <w:pPr>
        <w:spacing w:line="500" w:lineRule="exact"/>
        <w:ind w:firstLine="566" w:firstLineChars="200"/>
        <w:rPr>
          <w:rFonts w:ascii="华文仿宋" w:cs="Times New Roman"/>
          <w:color w:val="auto"/>
          <w:highlight w:val="none"/>
        </w:rPr>
      </w:pPr>
      <w:bookmarkStart w:id="191" w:name="_Toc8183"/>
      <w:bookmarkStart w:id="192" w:name="_Toc12406"/>
      <w:bookmarkStart w:id="193" w:name="_Toc14227"/>
      <w:r>
        <w:rPr>
          <w:rFonts w:ascii="华文仿宋" w:hAnsi="华文仿宋" w:cs="华文仿宋"/>
          <w:color w:val="auto"/>
          <w:highlight w:val="none"/>
        </w:rPr>
        <w:t>1</w:t>
      </w:r>
      <w:r>
        <w:rPr>
          <w:rFonts w:hint="eastAsia" w:ascii="华文仿宋" w:hAnsi="华文仿宋" w:cs="华文仿宋"/>
          <w:color w:val="auto"/>
          <w:highlight w:val="none"/>
        </w:rPr>
        <w:t>、电子招标文件下载。投标人登录全国公共资源交易平台（陕西省）网站〖首页·〉电子交易平台·〉企业端〗后，在〖招标公告</w:t>
      </w:r>
      <w:r>
        <w:rPr>
          <w:rFonts w:ascii="华文仿宋" w:hAnsi="华文仿宋" w:cs="华文仿宋"/>
          <w:color w:val="auto"/>
          <w:highlight w:val="none"/>
        </w:rPr>
        <w:t>/</w:t>
      </w:r>
      <w:r>
        <w:rPr>
          <w:rFonts w:hint="eastAsia" w:ascii="华文仿宋" w:hAnsi="华文仿宋" w:cs="华文仿宋"/>
          <w:color w:val="auto"/>
          <w:highlight w:val="none"/>
        </w:rPr>
        <w:t>出让公告〗模块中选择项目点击“我要投标”，参与投标活动。然后即可在〖我的项目〗中点击“项目流程</w:t>
      </w:r>
      <w:r>
        <w:rPr>
          <w:rFonts w:ascii="华文仿宋" w:hAnsi="华文仿宋" w:cs="华文仿宋"/>
          <w:color w:val="auto"/>
          <w:highlight w:val="none"/>
        </w:rPr>
        <w:t>&gt;</w:t>
      </w:r>
      <w:r>
        <w:rPr>
          <w:rFonts w:hint="eastAsia" w:ascii="华文仿宋" w:hAnsi="华文仿宋" w:cs="华文仿宋"/>
          <w:color w:val="auto"/>
          <w:highlight w:val="none"/>
        </w:rPr>
        <w:t>交易文件下载”下载电子招标文件（</w:t>
      </w:r>
      <w:r>
        <w:rPr>
          <w:rFonts w:ascii="华文仿宋" w:hAnsi="华文仿宋" w:cs="华文仿宋"/>
          <w:color w:val="auto"/>
          <w:highlight w:val="none"/>
        </w:rPr>
        <w:t>*</w:t>
      </w:r>
      <w:r>
        <w:rPr>
          <w:rFonts w:hint="eastAsia" w:ascii="仿宋" w:hAnsi="仿宋" w:eastAsia="仿宋" w:cs="仿宋"/>
          <w:color w:val="auto"/>
          <w:highlight w:val="none"/>
        </w:rPr>
        <w:t>.SXSZF</w:t>
      </w:r>
      <w:r>
        <w:rPr>
          <w:rFonts w:hint="eastAsia" w:ascii="华文仿宋" w:hAnsi="华文仿宋" w:cs="华文仿宋"/>
          <w:color w:val="auto"/>
          <w:highlight w:val="none"/>
        </w:rPr>
        <w:t>）。</w:t>
      </w:r>
    </w:p>
    <w:p w14:paraId="360FD93B">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注意：该项目如有变更文件，则应点击“项目流程</w:t>
      </w:r>
      <w:r>
        <w:rPr>
          <w:rFonts w:ascii="华文仿宋" w:hAnsi="华文仿宋" w:cs="华文仿宋"/>
          <w:color w:val="auto"/>
          <w:highlight w:val="none"/>
        </w:rPr>
        <w:t>&gt;</w:t>
      </w:r>
      <w:r>
        <w:rPr>
          <w:rFonts w:hint="eastAsia" w:ascii="华文仿宋" w:hAnsi="华文仿宋" w:cs="华文仿宋"/>
          <w:color w:val="auto"/>
          <w:highlight w:val="none"/>
        </w:rPr>
        <w:t>答疑文件下载”下载更新后的电子招标文件（</w:t>
      </w:r>
      <w:r>
        <w:rPr>
          <w:rFonts w:ascii="华文仿宋" w:hAnsi="华文仿宋" w:cs="华文仿宋"/>
          <w:color w:val="auto"/>
          <w:highlight w:val="none"/>
        </w:rPr>
        <w:t>*</w:t>
      </w:r>
      <w:r>
        <w:rPr>
          <w:rFonts w:hint="eastAsia" w:ascii="仿宋" w:hAnsi="仿宋" w:eastAsia="仿宋" w:cs="仿宋"/>
          <w:color w:val="auto"/>
          <w:highlight w:val="none"/>
        </w:rPr>
        <w:t>.SXSCF</w:t>
      </w:r>
      <w:r>
        <w:rPr>
          <w:rFonts w:hint="eastAsia" w:ascii="华文仿宋" w:hAnsi="华文仿宋" w:cs="华文仿宋"/>
          <w:color w:val="auto"/>
          <w:highlight w:val="none"/>
        </w:rPr>
        <w:t>），</w:t>
      </w:r>
      <w:r>
        <w:rPr>
          <w:rFonts w:hint="eastAsia" w:ascii="华文仿宋" w:hAnsi="华文仿宋" w:cs="华文仿宋"/>
          <w:b/>
          <w:bCs/>
          <w:color w:val="auto"/>
          <w:highlight w:val="none"/>
        </w:rPr>
        <w:t>使用旧版电子招标文件制作的电子投标文件，系统将拒绝接收。</w:t>
      </w:r>
    </w:p>
    <w:p w14:paraId="1E7804C9">
      <w:pPr>
        <w:numPr>
          <w:ilvl w:val="0"/>
          <w:numId w:val="2"/>
        </w:num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电子招标文件需要使用专用软件打开、浏览。投标人可在全国公共资源交易平台（陕西省）网站〖首页·〉服务指南·〉下载专区〗免费下载“陕西省公共资源交易平台政府采购电子标书制作工具”，并升级至最新版本，使用该客户端可以打开电子招标文件。软件操作手册详见全国公共资源交易平台（陕西省）网站〖首页·〉服务指南·〉下载专区〗中的《陕西省公共资源交易（政府采购类）投标文件制作软件操作手册》。</w:t>
      </w:r>
    </w:p>
    <w:p w14:paraId="1E3995E5">
      <w:pPr>
        <w:numPr>
          <w:ilvl w:val="0"/>
          <w:numId w:val="2"/>
        </w:num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制作电子投标文件。电子投标文件同样需要使用上述软件进行编制。在编制过程中，如有技术性问题，请先翻阅操作手册，或致电软件开发商。</w:t>
      </w:r>
      <w:r>
        <w:rPr>
          <w:rFonts w:hint="eastAsia" w:ascii="华文仿宋" w:hAnsi="华文仿宋" w:cs="华文仿宋"/>
          <w:b/>
          <w:bCs/>
          <w:color w:val="auto"/>
          <w:highlight w:val="none"/>
        </w:rPr>
        <w:t>技术支持热线：</w:t>
      </w:r>
      <w:r>
        <w:rPr>
          <w:rFonts w:hint="eastAsia" w:ascii="仿宋" w:hAnsi="仿宋" w:eastAsia="仿宋" w:cs="仿宋"/>
          <w:b/>
          <w:bCs/>
          <w:color w:val="auto"/>
          <w:highlight w:val="none"/>
        </w:rPr>
        <w:t>4009980000。</w:t>
      </w:r>
    </w:p>
    <w:p w14:paraId="5C1FE0F6">
      <w:pPr>
        <w:pStyle w:val="3"/>
        <w:spacing w:line="500" w:lineRule="exact"/>
        <w:ind w:firstLine="566" w:firstLineChars="200"/>
        <w:rPr>
          <w:rFonts w:ascii="华文仿宋" w:cs="Times New Roman"/>
          <w:color w:val="auto"/>
          <w:sz w:val="28"/>
          <w:szCs w:val="28"/>
          <w:highlight w:val="none"/>
        </w:rPr>
      </w:pPr>
      <w:bookmarkStart w:id="194" w:name="_Toc11615"/>
      <w:bookmarkStart w:id="195" w:name="_Toc8359"/>
      <w:bookmarkStart w:id="196" w:name="_Toc27046"/>
      <w:bookmarkStart w:id="197" w:name="_Toc29206"/>
      <w:bookmarkStart w:id="198" w:name="_Toc29192"/>
      <w:r>
        <w:rPr>
          <w:rFonts w:hint="eastAsia" w:ascii="华文仿宋" w:hAnsi="华文仿宋" w:cs="华文仿宋"/>
          <w:color w:val="auto"/>
          <w:sz w:val="28"/>
          <w:szCs w:val="28"/>
          <w:highlight w:val="none"/>
        </w:rPr>
        <w:t>（二）投标文件语言及有效期</w:t>
      </w:r>
      <w:bookmarkEnd w:id="191"/>
      <w:bookmarkEnd w:id="192"/>
      <w:bookmarkEnd w:id="193"/>
      <w:bookmarkEnd w:id="194"/>
      <w:bookmarkEnd w:id="195"/>
      <w:bookmarkEnd w:id="196"/>
      <w:bookmarkEnd w:id="197"/>
      <w:bookmarkEnd w:id="198"/>
    </w:p>
    <w:p w14:paraId="48C3723B">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1、投标活动的所有文件、资料、函电文均使用</w:t>
      </w:r>
      <w:r>
        <w:rPr>
          <w:rFonts w:hint="eastAsia" w:ascii="华文仿宋" w:hAnsi="华文仿宋" w:cs="华文仿宋"/>
          <w:b/>
          <w:bCs/>
          <w:color w:val="auto"/>
          <w:highlight w:val="none"/>
        </w:rPr>
        <w:t>简体中文</w:t>
      </w:r>
      <w:r>
        <w:rPr>
          <w:rFonts w:hint="eastAsia" w:ascii="华文仿宋" w:hAnsi="华文仿宋" w:cs="华文仿宋"/>
          <w:color w:val="auto"/>
          <w:highlight w:val="none"/>
        </w:rPr>
        <w:t>，确需提交其他语言形成的资料，必须翻译成简体中文，如有差异，以简体中文为准。</w:t>
      </w:r>
    </w:p>
    <w:p w14:paraId="304754BB">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2、投标文件有效期为</w:t>
      </w:r>
      <w:r>
        <w:rPr>
          <w:rFonts w:hint="eastAsia" w:ascii="华文仿宋" w:hAnsi="华文仿宋" w:cs="华文仿宋"/>
          <w:b/>
          <w:bCs/>
          <w:color w:val="auto"/>
          <w:highlight w:val="none"/>
        </w:rPr>
        <w:t>自开标之日起</w:t>
      </w:r>
      <w:r>
        <w:rPr>
          <w:rFonts w:ascii="仿宋" w:hAnsi="仿宋" w:eastAsia="仿宋" w:cs="仿宋"/>
          <w:b/>
          <w:bCs/>
          <w:color w:val="auto"/>
          <w:highlight w:val="none"/>
          <w:lang w:val="zh-CN"/>
        </w:rPr>
        <w:t>90</w:t>
      </w:r>
      <w:r>
        <w:rPr>
          <w:rFonts w:hint="eastAsia" w:ascii="华文仿宋" w:hAnsi="华文仿宋" w:cs="华文仿宋"/>
          <w:b/>
          <w:bCs/>
          <w:color w:val="auto"/>
          <w:highlight w:val="none"/>
        </w:rPr>
        <w:t>个日历日</w:t>
      </w:r>
      <w:r>
        <w:rPr>
          <w:rFonts w:hint="eastAsia" w:ascii="华文仿宋" w:hAnsi="华文仿宋" w:cs="华文仿宋"/>
          <w:color w:val="auto"/>
          <w:highlight w:val="none"/>
        </w:rPr>
        <w:t>。如中标，延长至合同执行完毕时止。</w:t>
      </w:r>
    </w:p>
    <w:p w14:paraId="04125A96">
      <w:pPr>
        <w:pStyle w:val="3"/>
        <w:spacing w:line="500" w:lineRule="exact"/>
        <w:ind w:firstLine="566" w:firstLineChars="200"/>
        <w:rPr>
          <w:rFonts w:ascii="华文仿宋" w:cs="Times New Roman"/>
          <w:color w:val="auto"/>
          <w:sz w:val="28"/>
          <w:szCs w:val="28"/>
          <w:highlight w:val="none"/>
        </w:rPr>
      </w:pPr>
      <w:bookmarkStart w:id="199" w:name="_Toc20317"/>
      <w:bookmarkStart w:id="200" w:name="_Toc896"/>
      <w:bookmarkStart w:id="201" w:name="_Toc2152"/>
      <w:bookmarkStart w:id="202" w:name="_Toc409"/>
      <w:bookmarkStart w:id="203" w:name="_Toc10345"/>
      <w:bookmarkStart w:id="204" w:name="_Toc8949"/>
      <w:bookmarkStart w:id="205" w:name="_Toc30493"/>
      <w:bookmarkStart w:id="206" w:name="_Toc4668"/>
      <w:r>
        <w:rPr>
          <w:rFonts w:hint="eastAsia" w:ascii="华文仿宋" w:hAnsi="华文仿宋" w:cs="华文仿宋"/>
          <w:color w:val="auto"/>
          <w:sz w:val="28"/>
          <w:szCs w:val="28"/>
          <w:highlight w:val="none"/>
        </w:rPr>
        <w:t>（三）投标文件的提交</w:t>
      </w:r>
      <w:bookmarkEnd w:id="199"/>
      <w:bookmarkEnd w:id="200"/>
      <w:bookmarkEnd w:id="201"/>
      <w:bookmarkEnd w:id="202"/>
      <w:bookmarkEnd w:id="203"/>
      <w:bookmarkEnd w:id="204"/>
      <w:bookmarkEnd w:id="205"/>
      <w:bookmarkEnd w:id="206"/>
    </w:p>
    <w:p w14:paraId="04D46EF1">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电子投标文件可于提交投标文件截止时间前任意时段登录全国公共资源交易平台（陕西省）网站“电子交易平台</w:t>
      </w:r>
      <w:r>
        <w:rPr>
          <w:rFonts w:ascii="华文仿宋" w:hAnsi="华文仿宋" w:cs="华文仿宋"/>
          <w:color w:val="auto"/>
          <w:highlight w:val="none"/>
        </w:rPr>
        <w:t>&gt;</w:t>
      </w:r>
      <w:r>
        <w:rPr>
          <w:rFonts w:hint="eastAsia" w:ascii="华文仿宋" w:hAnsi="华文仿宋" w:cs="华文仿宋"/>
          <w:color w:val="auto"/>
          <w:highlight w:val="none"/>
        </w:rPr>
        <w:t>企业端”进行提交，逾期系统将拒绝接收。提交时，投标人应登录全国公共资源交易中心平台（陕西省），选择“首页</w:t>
      </w:r>
      <w:r>
        <w:rPr>
          <w:rFonts w:ascii="华文仿宋" w:hAnsi="华文仿宋" w:cs="华文仿宋"/>
          <w:color w:val="auto"/>
          <w:highlight w:val="none"/>
        </w:rPr>
        <w:t>&gt;</w:t>
      </w:r>
      <w:r>
        <w:rPr>
          <w:rFonts w:hint="eastAsia" w:ascii="华文仿宋" w:hAnsi="华文仿宋" w:cs="华文仿宋"/>
          <w:color w:val="auto"/>
          <w:highlight w:val="none"/>
        </w:rPr>
        <w:t>电子交易平台</w:t>
      </w:r>
      <w:r>
        <w:rPr>
          <w:rFonts w:ascii="华文仿宋" w:hAnsi="华文仿宋" w:cs="华文仿宋"/>
          <w:color w:val="auto"/>
          <w:highlight w:val="none"/>
        </w:rPr>
        <w:t>&gt;</w:t>
      </w:r>
      <w:r>
        <w:rPr>
          <w:rFonts w:hint="eastAsia" w:ascii="华文仿宋" w:hAnsi="华文仿宋" w:cs="华文仿宋"/>
          <w:color w:val="auto"/>
          <w:highlight w:val="none"/>
        </w:rPr>
        <w:t>企业端</w:t>
      </w:r>
      <w:r>
        <w:rPr>
          <w:rFonts w:ascii="华文仿宋" w:hAnsi="华文仿宋" w:cs="华文仿宋"/>
          <w:color w:val="auto"/>
          <w:highlight w:val="none"/>
        </w:rPr>
        <w:t>&gt;</w:t>
      </w:r>
      <w:r>
        <w:rPr>
          <w:rFonts w:hint="eastAsia" w:ascii="华文仿宋" w:hAnsi="华文仿宋" w:cs="华文仿宋"/>
          <w:color w:val="auto"/>
          <w:highlight w:val="none"/>
        </w:rPr>
        <w:t>我的项目”，点击“项目流程”，在打开的“项目管理”对话框中选择“上传投标文件”，上传加密的电子投标文件（</w:t>
      </w:r>
      <w:r>
        <w:rPr>
          <w:rFonts w:ascii="华文仿宋" w:hAnsi="华文仿宋" w:cs="华文仿宋"/>
          <w:color w:val="auto"/>
          <w:highlight w:val="none"/>
        </w:rPr>
        <w:t>*.SXSTF</w:t>
      </w:r>
      <w:r>
        <w:rPr>
          <w:rFonts w:hint="eastAsia" w:ascii="华文仿宋" w:hAnsi="华文仿宋" w:cs="华文仿宋"/>
          <w:color w:val="auto"/>
          <w:highlight w:val="none"/>
        </w:rPr>
        <w:t>）。上传成功后，电子化平台将予以记录。</w:t>
      </w:r>
    </w:p>
    <w:p w14:paraId="34E5FA76">
      <w:pPr>
        <w:pStyle w:val="3"/>
        <w:spacing w:line="500" w:lineRule="exact"/>
        <w:ind w:firstLine="566" w:firstLineChars="200"/>
        <w:rPr>
          <w:rFonts w:ascii="华文仿宋" w:cs="Times New Roman"/>
          <w:color w:val="auto"/>
          <w:sz w:val="28"/>
          <w:szCs w:val="28"/>
          <w:highlight w:val="none"/>
        </w:rPr>
      </w:pPr>
      <w:bookmarkStart w:id="207" w:name="_Toc1454"/>
      <w:bookmarkStart w:id="208" w:name="_Toc17615"/>
      <w:bookmarkStart w:id="209" w:name="_Toc7616"/>
      <w:bookmarkStart w:id="210" w:name="_Toc31979"/>
      <w:bookmarkStart w:id="211" w:name="_Toc11861"/>
      <w:bookmarkStart w:id="212" w:name="_Toc3846"/>
      <w:bookmarkStart w:id="213" w:name="_Toc7750"/>
      <w:bookmarkStart w:id="214" w:name="_Toc31980"/>
      <w:r>
        <w:rPr>
          <w:rFonts w:hint="eastAsia" w:ascii="华文仿宋" w:hAnsi="华文仿宋" w:cs="华文仿宋"/>
          <w:color w:val="auto"/>
          <w:sz w:val="28"/>
          <w:szCs w:val="28"/>
          <w:highlight w:val="none"/>
        </w:rPr>
        <w:t>（四）投标文件的补充、修改和撤回</w:t>
      </w:r>
      <w:bookmarkEnd w:id="207"/>
      <w:bookmarkEnd w:id="208"/>
      <w:bookmarkEnd w:id="209"/>
      <w:bookmarkEnd w:id="210"/>
      <w:bookmarkEnd w:id="211"/>
      <w:bookmarkEnd w:id="212"/>
      <w:bookmarkEnd w:id="213"/>
      <w:bookmarkEnd w:id="214"/>
    </w:p>
    <w:p w14:paraId="15BF3957">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、投标人在递交投标文件后，且在提交投标文件截止时间前，可以对所提交的投标文件进行补充、修改或撤回。</w:t>
      </w:r>
    </w:p>
    <w:p w14:paraId="36A07988">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、对电子投标文件进行补充、修改的，应先从电子交易平台上撤回旧版，再重新提交新版。</w:t>
      </w:r>
    </w:p>
    <w:p w14:paraId="47AED87C">
      <w:pPr>
        <w:spacing w:line="500" w:lineRule="exact"/>
        <w:ind w:firstLine="566" w:firstLineChars="200"/>
        <w:rPr>
          <w:rFonts w:ascii="华文仿宋"/>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、投标文件提交截止时间后，投标人不得对其投标文件做任何修改。</w:t>
      </w:r>
    </w:p>
    <w:p w14:paraId="09F62C20">
      <w:pPr>
        <w:pStyle w:val="3"/>
        <w:spacing w:line="500" w:lineRule="exact"/>
        <w:ind w:firstLine="566" w:firstLineChars="200"/>
        <w:rPr>
          <w:rFonts w:ascii="华文仿宋" w:cs="Times New Roman"/>
          <w:color w:val="auto"/>
          <w:sz w:val="28"/>
          <w:szCs w:val="28"/>
          <w:highlight w:val="none"/>
        </w:rPr>
      </w:pPr>
      <w:bookmarkStart w:id="215" w:name="_Toc12782"/>
      <w:bookmarkStart w:id="216" w:name="_Toc4399"/>
      <w:bookmarkStart w:id="217" w:name="_Toc15674"/>
      <w:bookmarkStart w:id="218" w:name="_Toc26578"/>
      <w:bookmarkStart w:id="219" w:name="_Toc11539"/>
      <w:bookmarkStart w:id="220" w:name="_Toc8523"/>
      <w:bookmarkStart w:id="221" w:name="_Toc20024"/>
      <w:bookmarkStart w:id="222" w:name="_Toc649"/>
      <w:r>
        <w:rPr>
          <w:rFonts w:hint="eastAsia" w:ascii="华文仿宋" w:hAnsi="华文仿宋" w:cs="华文仿宋"/>
          <w:color w:val="auto"/>
          <w:sz w:val="28"/>
          <w:szCs w:val="28"/>
          <w:highlight w:val="none"/>
        </w:rPr>
        <w:t>（五）投标人提交投标文件时，出现下列情况之一的，其投标文件将被拒绝接收：</w:t>
      </w:r>
      <w:bookmarkEnd w:id="215"/>
      <w:bookmarkEnd w:id="216"/>
      <w:bookmarkEnd w:id="217"/>
      <w:bookmarkEnd w:id="218"/>
      <w:bookmarkEnd w:id="219"/>
      <w:bookmarkEnd w:id="220"/>
      <w:bookmarkEnd w:id="221"/>
      <w:bookmarkEnd w:id="222"/>
    </w:p>
    <w:p w14:paraId="1A682517">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、逾期提交电子投标文件；</w:t>
      </w:r>
    </w:p>
    <w:p w14:paraId="49CC612A">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、提交的电子投标文件与本项目不相符的。</w:t>
      </w:r>
    </w:p>
    <w:p w14:paraId="739582C3">
      <w:pPr>
        <w:pStyle w:val="3"/>
        <w:spacing w:line="500" w:lineRule="exact"/>
        <w:ind w:firstLine="566" w:firstLineChars="200"/>
        <w:rPr>
          <w:rFonts w:ascii="华文仿宋" w:cs="Times New Roman"/>
          <w:color w:val="auto"/>
          <w:sz w:val="28"/>
          <w:szCs w:val="28"/>
          <w:highlight w:val="none"/>
        </w:rPr>
      </w:pPr>
      <w:bookmarkStart w:id="223" w:name="_Toc22913"/>
      <w:r>
        <w:rPr>
          <w:rFonts w:hint="eastAsia" w:ascii="华文仿宋" w:hAnsi="华文仿宋" w:cs="华文仿宋"/>
          <w:color w:val="auto"/>
          <w:sz w:val="28"/>
          <w:szCs w:val="28"/>
          <w:highlight w:val="none"/>
        </w:rPr>
        <w:t>六、组织开标</w:t>
      </w:r>
      <w:bookmarkEnd w:id="223"/>
    </w:p>
    <w:p w14:paraId="645A7C3A">
      <w:pPr>
        <w:spacing w:line="500" w:lineRule="exact"/>
        <w:ind w:firstLine="566" w:firstLineChars="200"/>
        <w:rPr>
          <w:rFonts w:cs="Times New Roman"/>
          <w:color w:val="auto"/>
          <w:highlight w:val="none"/>
        </w:rPr>
      </w:pPr>
      <w:r>
        <w:rPr>
          <w:rFonts w:hint="eastAsia" w:cs="华文仿宋"/>
          <w:color w:val="auto"/>
          <w:highlight w:val="none"/>
        </w:rPr>
        <w:t>（一）陕西省省级单位政府采购中心组织开标、评审工作，整个过程受政府采购监管机构的监督、管理。</w:t>
      </w:r>
    </w:p>
    <w:p w14:paraId="42BA4D21">
      <w:pPr>
        <w:wordWrap w:val="0"/>
        <w:spacing w:line="500" w:lineRule="exact"/>
        <w:ind w:firstLine="566" w:firstLineChars="200"/>
        <w:rPr>
          <w:b/>
          <w:bCs/>
          <w:color w:val="auto"/>
          <w:highlight w:val="none"/>
        </w:rPr>
      </w:pPr>
      <w:r>
        <w:rPr>
          <w:rFonts w:hint="eastAsia" w:ascii="华文仿宋" w:hAnsi="华文仿宋" w:cs="华文仿宋"/>
          <w:color w:val="auto"/>
          <w:highlight w:val="none"/>
        </w:rPr>
        <w:t>（二）</w:t>
      </w:r>
      <w:r>
        <w:rPr>
          <w:rFonts w:hint="eastAsia" w:ascii="华文仿宋" w:hAnsi="华文仿宋" w:cs="华文仿宋"/>
          <w:b/>
          <w:bCs/>
          <w:color w:val="auto"/>
          <w:highlight w:val="none"/>
        </w:rPr>
        <w:t>本项目采用不见面开标方式。投标人需在开启前最少一个小时登录全国公共资源交易平台（陕西省）首页选择“不见面开标-陕西省本级”自行调试，并按照工作人员要求进行投标文件解密，远程观看开启直播。及时加入网络开标大厅公布的腾讯</w:t>
      </w:r>
      <w:r>
        <w:rPr>
          <w:rFonts w:hint="eastAsia" w:ascii="仿宋" w:hAnsi="仿宋" w:eastAsia="仿宋" w:cs="仿宋"/>
          <w:b/>
          <w:bCs/>
          <w:color w:val="auto"/>
          <w:highlight w:val="none"/>
        </w:rPr>
        <w:t>QQ</w:t>
      </w:r>
      <w:r>
        <w:rPr>
          <w:rFonts w:hint="eastAsia" w:ascii="华文仿宋" w:hAnsi="华文仿宋" w:cs="华文仿宋"/>
          <w:b/>
          <w:bCs/>
          <w:color w:val="auto"/>
          <w:highlight w:val="none"/>
        </w:rPr>
        <w:t>号，以便澄清等情况处理。如遇困难，请拨打系统平台技术支持电话：</w:t>
      </w:r>
      <w:r>
        <w:rPr>
          <w:rFonts w:hint="eastAsia" w:ascii="仿宋" w:hAnsi="仿宋" w:eastAsia="仿宋" w:cs="仿宋"/>
          <w:b/>
          <w:bCs/>
          <w:color w:val="auto"/>
          <w:highlight w:val="none"/>
        </w:rPr>
        <w:t>4009980000</w:t>
      </w:r>
      <w:r>
        <w:rPr>
          <w:rFonts w:hint="eastAsia" w:ascii="华文仿宋" w:hAnsi="华文仿宋" w:cs="华文仿宋"/>
          <w:b/>
          <w:bCs/>
          <w:color w:val="auto"/>
          <w:highlight w:val="none"/>
        </w:rPr>
        <w:t>。</w:t>
      </w:r>
    </w:p>
    <w:p w14:paraId="5B8DFD29">
      <w:pPr>
        <w:wordWrap w:val="0"/>
        <w:spacing w:line="500" w:lineRule="exact"/>
        <w:ind w:firstLine="566" w:firstLineChars="200"/>
        <w:rPr>
          <w:rFonts w:cs="华文仿宋"/>
          <w:color w:val="auto"/>
          <w:highlight w:val="none"/>
        </w:rPr>
      </w:pPr>
      <w:r>
        <w:rPr>
          <w:rFonts w:hint="eastAsia" w:cs="华文仿宋"/>
          <w:color w:val="auto"/>
          <w:highlight w:val="none"/>
        </w:rPr>
        <w:t>参加投标的投标人不足</w:t>
      </w:r>
      <w:r>
        <w:rPr>
          <w:rFonts w:hint="eastAsia" w:ascii="仿宋" w:hAnsi="仿宋" w:eastAsia="仿宋" w:cs="仿宋"/>
          <w:color w:val="auto"/>
          <w:highlight w:val="none"/>
        </w:rPr>
        <w:t>3</w:t>
      </w:r>
      <w:r>
        <w:rPr>
          <w:rFonts w:hint="eastAsia" w:cs="华文仿宋"/>
          <w:color w:val="auto"/>
          <w:highlight w:val="none"/>
        </w:rPr>
        <w:t>家的，不得开标。</w:t>
      </w:r>
    </w:p>
    <w:p w14:paraId="5243FF3A">
      <w:pPr>
        <w:spacing w:line="500" w:lineRule="exact"/>
        <w:ind w:firstLine="566" w:firstLineChars="200"/>
        <w:rPr>
          <w:color w:val="auto"/>
          <w:highlight w:val="none"/>
        </w:rPr>
      </w:pPr>
      <w:r>
        <w:rPr>
          <w:rFonts w:hint="eastAsia"/>
          <w:color w:val="auto"/>
          <w:highlight w:val="none"/>
        </w:rPr>
        <w:t>（三）开标时，陕西省省级单位政府采购中心现场工作人员将根据项目投标人数约定解密时长，投标人应在规定时间内，使用电子投标文件加密时所用的数字认证证书（</w:t>
      </w:r>
      <w:r>
        <w:rPr>
          <w:rFonts w:hint="eastAsia" w:ascii="仿宋" w:hAnsi="仿宋" w:eastAsia="仿宋" w:cs="仿宋"/>
          <w:color w:val="auto"/>
          <w:highlight w:val="none"/>
        </w:rPr>
        <w:t>CA</w:t>
      </w:r>
      <w:r>
        <w:rPr>
          <w:rFonts w:hint="eastAsia"/>
          <w:color w:val="auto"/>
          <w:highlight w:val="none"/>
        </w:rPr>
        <w:t>锁）自行解密电子投标文件。未在规定时间内解密的，视为投标无效。</w:t>
      </w:r>
    </w:p>
    <w:p w14:paraId="2C58DA1B">
      <w:pPr>
        <w:spacing w:line="500" w:lineRule="exact"/>
        <w:ind w:firstLine="566" w:firstLineChars="200"/>
        <w:rPr>
          <w:rFonts w:ascii="华文仿宋" w:hAnsi="华文仿宋" w:cs="华文仿宋"/>
          <w:color w:val="auto"/>
          <w:highlight w:val="none"/>
        </w:rPr>
      </w:pPr>
      <w:r>
        <w:rPr>
          <w:rFonts w:hint="eastAsia" w:cs="华文仿宋"/>
          <w:color w:val="auto"/>
          <w:highlight w:val="none"/>
        </w:rPr>
        <w:t>（四）</w:t>
      </w:r>
      <w:r>
        <w:rPr>
          <w:rFonts w:hint="eastAsia" w:ascii="华文仿宋" w:hAnsi="华文仿宋" w:cs="华文仿宋"/>
          <w:color w:val="auto"/>
          <w:highlight w:val="none"/>
        </w:rPr>
        <w:t>投标人对开标过程有疑义，以及认为采购人、陕西省省级单位政府采购中心相关工作人员有需要回避情形的，应在网络开标大厅提出询问或回避申请，采购人、陕西省省级单位政府采购中心应当及时处理。</w:t>
      </w:r>
    </w:p>
    <w:p w14:paraId="632E57F7">
      <w:pPr>
        <w:spacing w:line="500" w:lineRule="exact"/>
        <w:ind w:firstLine="566" w:firstLineChars="200"/>
        <w:rPr>
          <w:rFonts w:ascii="华文仿宋" w:cs="Times New Roman"/>
          <w:color w:val="auto"/>
          <w:highlight w:val="none"/>
        </w:rPr>
      </w:pPr>
      <w:r>
        <w:rPr>
          <w:rFonts w:hint="eastAsia" w:cs="华文仿宋"/>
          <w:color w:val="auto"/>
          <w:highlight w:val="none"/>
        </w:rPr>
        <w:t>（五）投标人未参加开标的，视同认可开标结果。</w:t>
      </w:r>
    </w:p>
    <w:p w14:paraId="42D8D565">
      <w:pPr>
        <w:spacing w:line="500" w:lineRule="exact"/>
        <w:ind w:firstLine="566" w:firstLineChars="200"/>
        <w:rPr>
          <w:rFonts w:ascii="华文仿宋" w:cs="Times New Roman"/>
          <w:color w:val="auto"/>
          <w:highlight w:val="none"/>
        </w:rPr>
      </w:pPr>
      <w:r>
        <w:rPr>
          <w:rFonts w:hint="eastAsia" w:ascii="华文仿宋" w:hAnsi="华文仿宋" w:cs="华文仿宋"/>
          <w:b/>
          <w:bCs/>
          <w:color w:val="auto"/>
          <w:highlight w:val="none"/>
        </w:rPr>
        <w:t>（六）在开标环节出现下列情况之一的，其投标文件视为无效文件：</w:t>
      </w:r>
    </w:p>
    <w:p w14:paraId="27D72A3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1、投标人拒绝对电子投标文件进行解密的；</w:t>
      </w:r>
    </w:p>
    <w:p w14:paraId="5E49E5CA">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2、因投标人自身原因（如解密时使用的CA锁与制作电子投标文件使用的CA锁不一致、或沿用旧版招标文件编制投标文件等情形），导致在规定时间内无法解密投标文件的；</w:t>
      </w:r>
    </w:p>
    <w:p w14:paraId="2A938AC9">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3、上传的电子投标文件无法打开的；</w:t>
      </w:r>
    </w:p>
    <w:p w14:paraId="5992CBD5">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4、政府采购法律法规规定的其他无效情形。</w:t>
      </w:r>
    </w:p>
    <w:p w14:paraId="2FAA4F5A">
      <w:pPr>
        <w:spacing w:line="500" w:lineRule="exact"/>
        <w:ind w:firstLine="566" w:firstLineChars="200"/>
        <w:rPr>
          <w:rFonts w:ascii="仿宋" w:hAnsi="仿宋" w:eastAsia="仿宋" w:cs="Times New Roman"/>
          <w:b/>
          <w:bCs/>
          <w:color w:val="auto"/>
          <w:highlight w:val="none"/>
        </w:rPr>
      </w:pPr>
      <w:r>
        <w:rPr>
          <w:rFonts w:hint="eastAsia" w:ascii="仿宋" w:hAnsi="仿宋" w:eastAsia="仿宋" w:cs="仿宋"/>
          <w:b/>
          <w:bCs/>
          <w:color w:val="auto"/>
          <w:highlight w:val="none"/>
        </w:rPr>
        <w:t>（七）特殊情形下的应急处置</w:t>
      </w:r>
    </w:p>
    <w:p w14:paraId="174C9573">
      <w:pPr>
        <w:spacing w:line="500" w:lineRule="exact"/>
        <w:ind w:firstLine="566" w:firstLineChars="200"/>
        <w:rPr>
          <w:rFonts w:ascii="仿宋" w:hAnsi="仿宋" w:eastAsia="仿宋" w:cs="Times New Roman"/>
          <w:color w:val="auto"/>
          <w:highlight w:val="none"/>
        </w:rPr>
      </w:pPr>
      <w:r>
        <w:rPr>
          <w:rFonts w:hint="eastAsia" w:ascii="仿宋" w:hAnsi="仿宋" w:eastAsia="仿宋" w:cs="仿宋"/>
          <w:color w:val="auto"/>
          <w:highlight w:val="none"/>
        </w:rPr>
        <w:t>在开标、评审过程中，如因停电、断网、电子化系统故障等特殊原因导致电子化开、评审无法正常进行时，将视电子投标文件解密情况特殊处理。</w:t>
      </w:r>
    </w:p>
    <w:p w14:paraId="674C8D34">
      <w:pPr>
        <w:spacing w:line="500" w:lineRule="exact"/>
        <w:ind w:firstLine="566" w:firstLineChars="200"/>
        <w:rPr>
          <w:rFonts w:ascii="华文仿宋" w:hAnsi="宋体"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、开标时投标文件未解密的，将另行确定时间继续完成开标程序；</w:t>
      </w:r>
    </w:p>
    <w:p w14:paraId="0E842335">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、开标后投标文件已解密但评审结论未形成的，将发布废标公告，重新组织采购活动；</w:t>
      </w:r>
    </w:p>
    <w:p w14:paraId="7D6286D6">
      <w:pPr>
        <w:spacing w:line="500" w:lineRule="exact"/>
        <w:ind w:firstLine="283" w:firstLineChars="100"/>
        <w:rPr>
          <w:rFonts w:ascii="华文仿宋" w:hAnsi="宋体" w:cs="Times New Roman"/>
          <w:color w:val="auto"/>
          <w:highlight w:val="none"/>
        </w:rPr>
      </w:pPr>
      <w:r>
        <w:rPr>
          <w:rFonts w:ascii="华文仿宋" w:hAnsi="华文仿宋" w:cs="华文仿宋"/>
          <w:color w:val="auto"/>
          <w:highlight w:val="none"/>
        </w:rPr>
        <w:t xml:space="preserve">  3</w:t>
      </w:r>
      <w:r>
        <w:rPr>
          <w:rFonts w:hint="eastAsia" w:ascii="华文仿宋" w:hAnsi="华文仿宋" w:cs="华文仿宋"/>
          <w:color w:val="auto"/>
          <w:highlight w:val="none"/>
        </w:rPr>
        <w:t>、开标后投标文件已解密且评审结论已形成的，待特殊情况排除后，继续完成评审活动。</w:t>
      </w:r>
    </w:p>
    <w:p w14:paraId="51207ACD">
      <w:pPr>
        <w:pStyle w:val="3"/>
        <w:spacing w:line="500" w:lineRule="exact"/>
        <w:ind w:firstLine="566" w:firstLineChars="200"/>
        <w:rPr>
          <w:rFonts w:ascii="华文仿宋" w:cs="Times New Roman"/>
          <w:color w:val="auto"/>
          <w:sz w:val="28"/>
          <w:szCs w:val="28"/>
          <w:highlight w:val="none"/>
        </w:rPr>
      </w:pPr>
      <w:bookmarkStart w:id="224" w:name="_Toc20401"/>
      <w:r>
        <w:rPr>
          <w:rFonts w:hint="eastAsia" w:ascii="华文仿宋" w:hAnsi="华文仿宋" w:cs="华文仿宋"/>
          <w:color w:val="auto"/>
          <w:sz w:val="28"/>
          <w:szCs w:val="28"/>
          <w:highlight w:val="none"/>
        </w:rPr>
        <w:t>七、资格审查</w:t>
      </w:r>
      <w:bookmarkEnd w:id="224"/>
    </w:p>
    <w:p w14:paraId="0D760714">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（一）开标结束后，由采购人委派的资格审查小组按照《政府采购货物和服务招标投标管理办法》（财政部第</w:t>
      </w:r>
      <w:r>
        <w:rPr>
          <w:rFonts w:ascii="仿宋" w:hAnsi="仿宋" w:eastAsia="仿宋" w:cs="仿宋"/>
          <w:color w:val="auto"/>
          <w:highlight w:val="none"/>
        </w:rPr>
        <w:t>87</w:t>
      </w:r>
      <w:r>
        <w:rPr>
          <w:rFonts w:hint="eastAsia" w:ascii="华文仿宋" w:hAnsi="华文仿宋" w:cs="华文仿宋"/>
          <w:color w:val="auto"/>
          <w:highlight w:val="none"/>
        </w:rPr>
        <w:t>号令）有关规定，对电子投标文件中的投标人资格证明文件进行审查。</w:t>
      </w:r>
    </w:p>
    <w:p w14:paraId="6B92B8D8">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（二）出现下列情形的，投标文件将被视为无效：</w:t>
      </w:r>
    </w:p>
    <w:p w14:paraId="05AF1B8C">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）不具备招标文件中规定的资格要求的；</w:t>
      </w:r>
    </w:p>
    <w:p w14:paraId="0CD91BF5">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）未按招标文件要求提供资格证明文件，或未按招标文件要求加盖公章的；</w:t>
      </w:r>
    </w:p>
    <w:p w14:paraId="12DDAF6A">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资格审查小组认为投标人的资格证明文件存在疑点，要求投标人通过公共资源电子交易平台（以下简称“平台”）或电子邮件（在平台无法支持的情况下）等形式提供更清晰有效的证明文件，投标人不能在规定时限内提供符合招标文件要求的证明文件的。</w:t>
      </w:r>
    </w:p>
    <w:p w14:paraId="0170D7F2">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（三）资格审查结束后，资格审查小组成员应当对审查结果进行签字确认，并告知无效投标人资格审查未通过的原因。</w:t>
      </w:r>
    </w:p>
    <w:p w14:paraId="5F4CC104">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（四）合格投标人不足</w:t>
      </w:r>
      <w:r>
        <w:rPr>
          <w:rFonts w:ascii="仿宋" w:hAnsi="仿宋" w:eastAsia="仿宋" w:cs="仿宋"/>
          <w:color w:val="auto"/>
          <w:highlight w:val="none"/>
        </w:rPr>
        <w:t>3</w:t>
      </w:r>
      <w:r>
        <w:rPr>
          <w:rFonts w:hint="eastAsia" w:ascii="华文仿宋" w:hAnsi="华文仿宋" w:cs="华文仿宋"/>
          <w:color w:val="auto"/>
          <w:highlight w:val="none"/>
        </w:rPr>
        <w:t>家的，不得评标，应予以废标。</w:t>
      </w:r>
    </w:p>
    <w:p w14:paraId="6D4C5A28">
      <w:pPr>
        <w:pStyle w:val="3"/>
        <w:spacing w:line="500" w:lineRule="exact"/>
        <w:ind w:firstLine="566" w:firstLineChars="200"/>
        <w:rPr>
          <w:rFonts w:ascii="华文仿宋" w:cs="Times New Roman"/>
          <w:color w:val="auto"/>
          <w:sz w:val="28"/>
          <w:szCs w:val="28"/>
          <w:highlight w:val="none"/>
        </w:rPr>
      </w:pPr>
      <w:bookmarkStart w:id="225" w:name="_Toc9308"/>
      <w:r>
        <w:rPr>
          <w:rFonts w:hint="eastAsia" w:ascii="华文仿宋" w:hAnsi="华文仿宋" w:cs="华文仿宋"/>
          <w:color w:val="auto"/>
          <w:sz w:val="28"/>
          <w:szCs w:val="28"/>
          <w:highlight w:val="none"/>
        </w:rPr>
        <w:t>八、组织评标</w:t>
      </w:r>
      <w:bookmarkEnd w:id="225"/>
    </w:p>
    <w:p w14:paraId="0B183113">
      <w:pPr>
        <w:pStyle w:val="3"/>
        <w:spacing w:line="500" w:lineRule="exact"/>
        <w:ind w:firstLine="566" w:firstLineChars="200"/>
        <w:rPr>
          <w:rFonts w:ascii="华文仿宋" w:cs="Times New Roman"/>
          <w:color w:val="auto"/>
          <w:sz w:val="28"/>
          <w:szCs w:val="28"/>
          <w:highlight w:val="none"/>
        </w:rPr>
      </w:pPr>
      <w:bookmarkStart w:id="226" w:name="_Toc1943"/>
      <w:bookmarkStart w:id="227" w:name="_Toc25926"/>
      <w:bookmarkStart w:id="228" w:name="_Toc7530"/>
      <w:bookmarkStart w:id="229" w:name="_Toc13209"/>
      <w:bookmarkStart w:id="230" w:name="_Toc27489"/>
      <w:bookmarkStart w:id="231" w:name="_Toc22084"/>
      <w:bookmarkStart w:id="232" w:name="_Toc26133"/>
      <w:bookmarkStart w:id="233" w:name="_Toc32509"/>
      <w:r>
        <w:rPr>
          <w:rFonts w:hint="eastAsia" w:ascii="华文仿宋" w:hAnsi="华文仿宋" w:cs="华文仿宋"/>
          <w:color w:val="auto"/>
          <w:sz w:val="28"/>
          <w:szCs w:val="28"/>
          <w:highlight w:val="none"/>
        </w:rPr>
        <w:t>（一）采购代理机构负责组织评标工作，并履行下列职责：</w:t>
      </w:r>
      <w:bookmarkEnd w:id="226"/>
      <w:bookmarkEnd w:id="227"/>
      <w:bookmarkEnd w:id="228"/>
      <w:bookmarkEnd w:id="229"/>
      <w:bookmarkEnd w:id="230"/>
      <w:bookmarkEnd w:id="231"/>
      <w:bookmarkEnd w:id="232"/>
      <w:bookmarkEnd w:id="233"/>
    </w:p>
    <w:p w14:paraId="28234DAC">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1</w:t>
      </w:r>
      <w:r>
        <w:rPr>
          <w:rFonts w:hint="eastAsia" w:ascii="华文仿宋" w:hAnsi="华文仿宋" w:cs="华文仿宋"/>
          <w:color w:val="auto"/>
          <w:sz w:val="28"/>
          <w:szCs w:val="28"/>
          <w:highlight w:val="none"/>
          <w:shd w:val="clear" w:color="auto" w:fill="FFFFFF"/>
        </w:rPr>
        <w:t>、核对评审专家身份和采购人代表授权函，对评审专家在政府采购活动中的职责履行情况予以记录，并及时将有关违法违规行为向财政部门报告</w:t>
      </w:r>
      <w:r>
        <w:rPr>
          <w:rFonts w:ascii="华文仿宋" w:hAnsi="华文仿宋" w:cs="华文仿宋"/>
          <w:color w:val="auto"/>
          <w:sz w:val="28"/>
          <w:szCs w:val="28"/>
          <w:highlight w:val="none"/>
          <w:shd w:val="clear" w:color="auto" w:fill="FFFFFF"/>
        </w:rPr>
        <w:t>;</w:t>
      </w:r>
    </w:p>
    <w:p w14:paraId="655D7AD1">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2</w:t>
      </w:r>
      <w:r>
        <w:rPr>
          <w:rFonts w:hint="eastAsia" w:ascii="华文仿宋" w:hAnsi="华文仿宋" w:cs="华文仿宋"/>
          <w:color w:val="auto"/>
          <w:sz w:val="28"/>
          <w:szCs w:val="28"/>
          <w:highlight w:val="none"/>
          <w:shd w:val="clear" w:color="auto" w:fill="FFFFFF"/>
        </w:rPr>
        <w:t>、宣布评标纪律</w:t>
      </w:r>
      <w:r>
        <w:rPr>
          <w:rFonts w:ascii="华文仿宋" w:hAnsi="华文仿宋" w:cs="华文仿宋"/>
          <w:color w:val="auto"/>
          <w:sz w:val="28"/>
          <w:szCs w:val="28"/>
          <w:highlight w:val="none"/>
          <w:shd w:val="clear" w:color="auto" w:fill="FFFFFF"/>
        </w:rPr>
        <w:t>;</w:t>
      </w:r>
    </w:p>
    <w:p w14:paraId="6A33DF47">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3</w:t>
      </w:r>
      <w:r>
        <w:rPr>
          <w:rFonts w:hint="eastAsia" w:ascii="华文仿宋" w:hAnsi="华文仿宋" w:cs="华文仿宋"/>
          <w:color w:val="auto"/>
          <w:sz w:val="28"/>
          <w:szCs w:val="28"/>
          <w:highlight w:val="none"/>
          <w:shd w:val="clear" w:color="auto" w:fill="FFFFFF"/>
        </w:rPr>
        <w:t>、公布投标人名单，告知评审专家应当回避的情形</w:t>
      </w:r>
      <w:r>
        <w:rPr>
          <w:rFonts w:ascii="华文仿宋" w:hAnsi="华文仿宋" w:cs="华文仿宋"/>
          <w:color w:val="auto"/>
          <w:sz w:val="28"/>
          <w:szCs w:val="28"/>
          <w:highlight w:val="none"/>
          <w:shd w:val="clear" w:color="auto" w:fill="FFFFFF"/>
        </w:rPr>
        <w:t>;</w:t>
      </w:r>
    </w:p>
    <w:p w14:paraId="7E44F71C">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4</w:t>
      </w:r>
      <w:r>
        <w:rPr>
          <w:rFonts w:hint="eastAsia" w:ascii="华文仿宋" w:hAnsi="华文仿宋" w:cs="华文仿宋"/>
          <w:color w:val="auto"/>
          <w:sz w:val="28"/>
          <w:szCs w:val="28"/>
          <w:highlight w:val="none"/>
          <w:shd w:val="clear" w:color="auto" w:fill="FFFFFF"/>
        </w:rPr>
        <w:t>、组织评标委员会推选评标组长，采购人代表不得担任组长</w:t>
      </w:r>
      <w:r>
        <w:rPr>
          <w:rFonts w:ascii="华文仿宋" w:hAnsi="华文仿宋" w:cs="华文仿宋"/>
          <w:color w:val="auto"/>
          <w:sz w:val="28"/>
          <w:szCs w:val="28"/>
          <w:highlight w:val="none"/>
          <w:shd w:val="clear" w:color="auto" w:fill="FFFFFF"/>
        </w:rPr>
        <w:t>;</w:t>
      </w:r>
    </w:p>
    <w:p w14:paraId="691B03BF">
      <w:pPr>
        <w:spacing w:line="500" w:lineRule="exact"/>
        <w:ind w:firstLine="566" w:firstLineChars="200"/>
        <w:jc w:val="left"/>
        <w:rPr>
          <w:rFonts w:ascii="仿宋" w:hAnsi="仿宋" w:eastAsia="仿宋" w:cs="仿宋"/>
          <w:color w:val="auto"/>
          <w:highlight w:val="none"/>
        </w:rPr>
      </w:pPr>
      <w:r>
        <w:rPr>
          <w:rFonts w:ascii="仿宋" w:hAnsi="仿宋" w:eastAsia="仿宋" w:cs="仿宋"/>
          <w:color w:val="auto"/>
          <w:highlight w:val="none"/>
        </w:rPr>
        <w:t>5</w:t>
      </w:r>
      <w:r>
        <w:rPr>
          <w:rFonts w:hint="eastAsia" w:ascii="仿宋" w:hAnsi="仿宋" w:eastAsia="仿宋" w:cs="仿宋"/>
          <w:color w:val="auto"/>
          <w:highlight w:val="none"/>
        </w:rPr>
        <w:t>、在评审期间采取必要的通讯管理措施，保证评审活动不受外界干扰</w:t>
      </w:r>
      <w:r>
        <w:rPr>
          <w:rFonts w:ascii="仿宋" w:hAnsi="仿宋" w:eastAsia="仿宋" w:cs="仿宋"/>
          <w:color w:val="auto"/>
          <w:highlight w:val="none"/>
        </w:rPr>
        <w:t>;</w:t>
      </w:r>
    </w:p>
    <w:p w14:paraId="2613F8F9">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6</w:t>
      </w:r>
      <w:r>
        <w:rPr>
          <w:rFonts w:hint="eastAsia" w:ascii="华文仿宋" w:hAnsi="华文仿宋" w:cs="华文仿宋"/>
          <w:color w:val="auto"/>
          <w:sz w:val="28"/>
          <w:szCs w:val="28"/>
          <w:highlight w:val="none"/>
          <w:shd w:val="clear" w:color="auto" w:fill="FFFFFF"/>
        </w:rPr>
        <w:t>、根据评标委员会的要求介绍政府采购相关政策法规、招标文件</w:t>
      </w:r>
      <w:r>
        <w:rPr>
          <w:rFonts w:ascii="华文仿宋" w:hAnsi="华文仿宋" w:cs="华文仿宋"/>
          <w:color w:val="auto"/>
          <w:sz w:val="28"/>
          <w:szCs w:val="28"/>
          <w:highlight w:val="none"/>
          <w:shd w:val="clear" w:color="auto" w:fill="FFFFFF"/>
        </w:rPr>
        <w:t>;</w:t>
      </w:r>
    </w:p>
    <w:p w14:paraId="6FB6DA42">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7</w:t>
      </w:r>
      <w:r>
        <w:rPr>
          <w:rFonts w:hint="eastAsia" w:ascii="华文仿宋" w:hAnsi="华文仿宋" w:cs="华文仿宋"/>
          <w:color w:val="auto"/>
          <w:sz w:val="28"/>
          <w:szCs w:val="28"/>
          <w:highlight w:val="none"/>
          <w:shd w:val="clear" w:color="auto" w:fill="FFFFFF"/>
        </w:rPr>
        <w:t>、维护评标秩序，监督评标委员会依照招标文件规定的评标程序、方法和标准进行独立评审，及时制止和纠正采购人代表、评审专家的倾向性言论或者违法违规行为</w:t>
      </w:r>
      <w:r>
        <w:rPr>
          <w:rFonts w:ascii="华文仿宋" w:hAnsi="华文仿宋" w:cs="华文仿宋"/>
          <w:color w:val="auto"/>
          <w:sz w:val="28"/>
          <w:szCs w:val="28"/>
          <w:highlight w:val="none"/>
          <w:shd w:val="clear" w:color="auto" w:fill="FFFFFF"/>
        </w:rPr>
        <w:t>;</w:t>
      </w:r>
    </w:p>
    <w:p w14:paraId="61E6A15F">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8</w:t>
      </w:r>
      <w:r>
        <w:rPr>
          <w:rFonts w:hint="eastAsia" w:ascii="华文仿宋" w:hAnsi="华文仿宋" w:cs="华文仿宋"/>
          <w:color w:val="auto"/>
          <w:sz w:val="28"/>
          <w:szCs w:val="28"/>
          <w:highlight w:val="none"/>
          <w:shd w:val="clear" w:color="auto" w:fill="FFFFFF"/>
        </w:rPr>
        <w:t>、核对评标结果</w:t>
      </w:r>
      <w:r>
        <w:rPr>
          <w:rFonts w:ascii="华文仿宋" w:hAnsi="华文仿宋" w:cs="华文仿宋"/>
          <w:color w:val="auto"/>
          <w:sz w:val="28"/>
          <w:szCs w:val="28"/>
          <w:highlight w:val="none"/>
          <w:shd w:val="clear" w:color="auto" w:fill="FFFFFF"/>
        </w:rPr>
        <w:t>;</w:t>
      </w:r>
    </w:p>
    <w:p w14:paraId="7A98A3A8">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9</w:t>
      </w:r>
      <w:r>
        <w:rPr>
          <w:rFonts w:hint="eastAsia" w:ascii="华文仿宋" w:hAnsi="华文仿宋" w:cs="华文仿宋"/>
          <w:color w:val="auto"/>
          <w:sz w:val="28"/>
          <w:szCs w:val="28"/>
          <w:highlight w:val="none"/>
          <w:shd w:val="clear" w:color="auto" w:fill="FFFFFF"/>
        </w:rPr>
        <w:t>、评审工作完成后，按照规定向评审专家支付劳务报酬和异地评审差旅费，不得向评审专家以外的其他人员支付评审劳务报酬</w:t>
      </w:r>
      <w:r>
        <w:rPr>
          <w:rFonts w:ascii="华文仿宋" w:hAnsi="华文仿宋" w:cs="华文仿宋"/>
          <w:color w:val="auto"/>
          <w:sz w:val="28"/>
          <w:szCs w:val="28"/>
          <w:highlight w:val="none"/>
          <w:shd w:val="clear" w:color="auto" w:fill="FFFFFF"/>
        </w:rPr>
        <w:t>;</w:t>
      </w:r>
    </w:p>
    <w:p w14:paraId="7E06D668">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10</w:t>
      </w:r>
      <w:r>
        <w:rPr>
          <w:rFonts w:hint="eastAsia" w:ascii="华文仿宋" w:hAnsi="华文仿宋" w:cs="华文仿宋"/>
          <w:color w:val="auto"/>
          <w:sz w:val="28"/>
          <w:szCs w:val="28"/>
          <w:highlight w:val="none"/>
          <w:shd w:val="clear" w:color="auto" w:fill="FFFFFF"/>
        </w:rPr>
        <w:t>、处理与评标有关的其他事项。</w:t>
      </w:r>
    </w:p>
    <w:p w14:paraId="470802E8">
      <w:pPr>
        <w:pStyle w:val="21"/>
        <w:spacing w:beforeAutospacing="0" w:afterAutospacing="0" w:line="500" w:lineRule="exact"/>
        <w:ind w:firstLine="566" w:firstLineChars="200"/>
        <w:rPr>
          <w:rFonts w:ascii="华文仿宋" w:cs="Times New Roman"/>
          <w:color w:val="auto"/>
          <w:sz w:val="28"/>
          <w:szCs w:val="28"/>
          <w:highlight w:val="none"/>
        </w:rPr>
      </w:pPr>
      <w:r>
        <w:rPr>
          <w:rFonts w:hint="eastAsia" w:ascii="华文仿宋" w:hAnsi="华文仿宋" w:cs="华文仿宋"/>
          <w:color w:val="auto"/>
          <w:sz w:val="28"/>
          <w:szCs w:val="28"/>
          <w:highlight w:val="none"/>
          <w:shd w:val="clear" w:color="auto" w:fill="FFFFFF"/>
        </w:rPr>
        <w:t>采购人可以在评标前说明项目背景和采购需求，说明内容不得含有歧视性、倾向性意见，不得超出招标文件所述范围。说明应当提交书面材料，并随招标文件一并存档。</w:t>
      </w:r>
    </w:p>
    <w:p w14:paraId="23131075">
      <w:pPr>
        <w:pStyle w:val="3"/>
        <w:spacing w:line="500" w:lineRule="exact"/>
        <w:ind w:firstLine="566" w:firstLineChars="200"/>
        <w:rPr>
          <w:rFonts w:ascii="华文仿宋" w:cs="Times New Roman"/>
          <w:color w:val="auto"/>
          <w:sz w:val="28"/>
          <w:szCs w:val="28"/>
          <w:highlight w:val="none"/>
        </w:rPr>
      </w:pPr>
      <w:bookmarkStart w:id="234" w:name="_Toc1094"/>
      <w:bookmarkStart w:id="235" w:name="_Toc23175"/>
      <w:bookmarkStart w:id="236" w:name="_Toc12271"/>
      <w:bookmarkStart w:id="237" w:name="_Toc11858"/>
      <w:bookmarkStart w:id="238" w:name="_Toc10870"/>
      <w:bookmarkStart w:id="239" w:name="_Toc20867"/>
      <w:bookmarkStart w:id="240" w:name="_Toc4045"/>
      <w:bookmarkStart w:id="241" w:name="_Toc32375"/>
      <w:r>
        <w:rPr>
          <w:rFonts w:hint="eastAsia" w:ascii="华文仿宋" w:hAnsi="华文仿宋" w:cs="华文仿宋"/>
          <w:color w:val="auto"/>
          <w:sz w:val="28"/>
          <w:szCs w:val="28"/>
          <w:highlight w:val="none"/>
        </w:rPr>
        <w:t>（二）评标委员会负责具体评标事务，并独立履行下列职责：</w:t>
      </w:r>
      <w:bookmarkEnd w:id="234"/>
      <w:bookmarkEnd w:id="235"/>
      <w:bookmarkEnd w:id="236"/>
      <w:bookmarkEnd w:id="237"/>
      <w:bookmarkEnd w:id="238"/>
      <w:bookmarkEnd w:id="239"/>
      <w:bookmarkEnd w:id="240"/>
      <w:bookmarkEnd w:id="241"/>
    </w:p>
    <w:p w14:paraId="61D5F071">
      <w:pPr>
        <w:pStyle w:val="21"/>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1</w:t>
      </w:r>
      <w:r>
        <w:rPr>
          <w:rFonts w:hint="eastAsia" w:ascii="华文仿宋" w:hAnsi="华文仿宋" w:cs="华文仿宋"/>
          <w:color w:val="auto"/>
          <w:sz w:val="28"/>
          <w:szCs w:val="28"/>
          <w:highlight w:val="none"/>
          <w:shd w:val="clear" w:color="auto" w:fill="FFFFFF"/>
        </w:rPr>
        <w:t>、严格遵守评审工作纪律，按照客观、公正、审慎的原则，根据招标文件规定的评审程序、评审方法和评审标准进行独立评审；</w:t>
      </w:r>
    </w:p>
    <w:p w14:paraId="5C2A31FD">
      <w:pPr>
        <w:pStyle w:val="21"/>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2</w:t>
      </w:r>
      <w:r>
        <w:rPr>
          <w:rFonts w:hint="eastAsia" w:ascii="华文仿宋" w:hAnsi="华文仿宋" w:cs="华文仿宋"/>
          <w:color w:val="auto"/>
          <w:sz w:val="28"/>
          <w:szCs w:val="28"/>
          <w:highlight w:val="none"/>
          <w:shd w:val="clear" w:color="auto" w:fill="FFFFFF"/>
        </w:rPr>
        <w:t>、招标文件内容违反国家有关强制性规定或者招标文件存在歧义、重大缺陷导致评审工作无法进行时，应当停止评审并向采购人或者采购代理机构书面说明情况；</w:t>
      </w:r>
    </w:p>
    <w:p w14:paraId="2BAF84BB">
      <w:pPr>
        <w:pStyle w:val="21"/>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3</w:t>
      </w:r>
      <w:r>
        <w:rPr>
          <w:rFonts w:hint="eastAsia" w:ascii="华文仿宋" w:hAnsi="华文仿宋" w:cs="华文仿宋"/>
          <w:color w:val="auto"/>
          <w:sz w:val="28"/>
          <w:szCs w:val="28"/>
          <w:highlight w:val="none"/>
          <w:shd w:val="clear" w:color="auto" w:fill="FFFFFF"/>
        </w:rPr>
        <w:t>、审查、评价投标文件是否符合招标文件的商务、技术等实质性要求；</w:t>
      </w:r>
    </w:p>
    <w:p w14:paraId="14F0A703">
      <w:pPr>
        <w:pStyle w:val="21"/>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4</w:t>
      </w:r>
      <w:r>
        <w:rPr>
          <w:rFonts w:hint="eastAsia" w:ascii="华文仿宋" w:hAnsi="华文仿宋" w:cs="华文仿宋"/>
          <w:color w:val="auto"/>
          <w:sz w:val="28"/>
          <w:szCs w:val="28"/>
          <w:highlight w:val="none"/>
          <w:shd w:val="clear" w:color="auto" w:fill="FFFFFF"/>
        </w:rPr>
        <w:t>、要求投标人对投标文件有关事项作出澄清或者说明；</w:t>
      </w:r>
    </w:p>
    <w:p w14:paraId="1D765FC2">
      <w:pPr>
        <w:pStyle w:val="21"/>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5</w:t>
      </w:r>
      <w:r>
        <w:rPr>
          <w:rFonts w:hint="eastAsia" w:ascii="华文仿宋" w:hAnsi="华文仿宋" w:cs="华文仿宋"/>
          <w:color w:val="auto"/>
          <w:sz w:val="28"/>
          <w:szCs w:val="28"/>
          <w:highlight w:val="none"/>
          <w:shd w:val="clear" w:color="auto" w:fill="FFFFFF"/>
        </w:rPr>
        <w:t>、对投标文件进行比较和评价；</w:t>
      </w:r>
    </w:p>
    <w:p w14:paraId="33FA4B52">
      <w:pPr>
        <w:pStyle w:val="21"/>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6</w:t>
      </w:r>
      <w:r>
        <w:rPr>
          <w:rFonts w:hint="eastAsia" w:ascii="华文仿宋" w:hAnsi="华文仿宋" w:cs="华文仿宋"/>
          <w:color w:val="auto"/>
          <w:sz w:val="28"/>
          <w:szCs w:val="28"/>
          <w:highlight w:val="none"/>
          <w:shd w:val="clear" w:color="auto" w:fill="FFFFFF"/>
        </w:rPr>
        <w:t>、确定中标候选人名单，以及根据采购人委托直接确定中标投标人；</w:t>
      </w:r>
    </w:p>
    <w:p w14:paraId="5ADD359D">
      <w:pPr>
        <w:pStyle w:val="21"/>
        <w:spacing w:beforeAutospacing="0" w:afterAutospacing="0" w:line="500" w:lineRule="exact"/>
        <w:ind w:firstLine="566" w:firstLineChars="200"/>
        <w:rPr>
          <w:rFonts w:ascii="华文仿宋" w:cs="Times New Roman"/>
          <w:color w:val="auto"/>
          <w:sz w:val="28"/>
          <w:szCs w:val="28"/>
          <w:highlight w:val="none"/>
          <w:shd w:val="clear" w:color="auto" w:fill="FFFFFF"/>
        </w:rPr>
      </w:pPr>
      <w:r>
        <w:rPr>
          <w:rFonts w:ascii="华文仿宋" w:hAnsi="华文仿宋" w:cs="华文仿宋"/>
          <w:color w:val="auto"/>
          <w:sz w:val="28"/>
          <w:szCs w:val="28"/>
          <w:highlight w:val="none"/>
          <w:shd w:val="clear" w:color="auto" w:fill="FFFFFF"/>
        </w:rPr>
        <w:t>7</w:t>
      </w:r>
      <w:r>
        <w:rPr>
          <w:rFonts w:hint="eastAsia" w:ascii="华文仿宋" w:hAnsi="华文仿宋" w:cs="华文仿宋"/>
          <w:color w:val="auto"/>
          <w:sz w:val="28"/>
          <w:szCs w:val="28"/>
          <w:highlight w:val="none"/>
          <w:shd w:val="clear" w:color="auto" w:fill="FFFFFF"/>
        </w:rPr>
        <w:t>、配合答复投标人的询问、质疑和投诉等事项</w:t>
      </w:r>
      <w:r>
        <w:rPr>
          <w:rFonts w:ascii="华文仿宋" w:cs="华文仿宋"/>
          <w:color w:val="auto"/>
          <w:sz w:val="28"/>
          <w:szCs w:val="28"/>
          <w:highlight w:val="none"/>
          <w:shd w:val="clear" w:color="auto" w:fill="FFFFFF"/>
        </w:rPr>
        <w:t>,</w:t>
      </w:r>
      <w:r>
        <w:rPr>
          <w:rFonts w:hint="eastAsia" w:ascii="华文仿宋" w:hAnsi="华文仿宋" w:cs="华文仿宋"/>
          <w:color w:val="auto"/>
          <w:sz w:val="28"/>
          <w:szCs w:val="28"/>
          <w:highlight w:val="none"/>
          <w:shd w:val="clear" w:color="auto" w:fill="FFFFFF"/>
        </w:rPr>
        <w:t>不得泄露评审文件、评审情况和在评审过程中获悉的商业秘密；</w:t>
      </w:r>
    </w:p>
    <w:p w14:paraId="21AE170D">
      <w:pPr>
        <w:pStyle w:val="21"/>
        <w:spacing w:beforeAutospacing="0" w:afterAutospacing="0" w:line="500" w:lineRule="exact"/>
        <w:ind w:firstLine="566" w:firstLineChars="200"/>
        <w:rPr>
          <w:rFonts w:ascii="华文仿宋" w:cs="Times New Roman"/>
          <w:color w:val="auto"/>
          <w:sz w:val="28"/>
          <w:szCs w:val="28"/>
          <w:highlight w:val="none"/>
        </w:rPr>
      </w:pPr>
      <w:r>
        <w:rPr>
          <w:rFonts w:ascii="华文仿宋" w:hAnsi="华文仿宋" w:cs="华文仿宋"/>
          <w:color w:val="auto"/>
          <w:sz w:val="28"/>
          <w:szCs w:val="28"/>
          <w:highlight w:val="none"/>
          <w:shd w:val="clear" w:color="auto" w:fill="FFFFFF"/>
        </w:rPr>
        <w:t>8</w:t>
      </w:r>
      <w:r>
        <w:rPr>
          <w:rFonts w:hint="eastAsia" w:ascii="华文仿宋" w:hAnsi="华文仿宋" w:cs="华文仿宋"/>
          <w:color w:val="auto"/>
          <w:sz w:val="28"/>
          <w:szCs w:val="28"/>
          <w:highlight w:val="none"/>
          <w:shd w:val="clear" w:color="auto" w:fill="FFFFFF"/>
        </w:rPr>
        <w:t>、向采购人、</w:t>
      </w:r>
      <w:r>
        <w:rPr>
          <w:rFonts w:hint="eastAsia" w:ascii="华文仿宋" w:hAnsi="华文仿宋" w:cs="华文仿宋"/>
          <w:color w:val="auto"/>
          <w:sz w:val="28"/>
          <w:szCs w:val="28"/>
          <w:highlight w:val="none"/>
          <w:shd w:val="clear" w:color="auto" w:fill="FFFFFF"/>
          <w:lang w:val="zh-CN"/>
        </w:rPr>
        <w:t>陕西省省级单位政府采购中心</w:t>
      </w:r>
      <w:r>
        <w:rPr>
          <w:rFonts w:hint="eastAsia" w:ascii="华文仿宋" w:hAnsi="华文仿宋" w:cs="华文仿宋"/>
          <w:color w:val="auto"/>
          <w:sz w:val="28"/>
          <w:szCs w:val="28"/>
          <w:highlight w:val="none"/>
          <w:shd w:val="clear" w:color="auto" w:fill="FFFFFF"/>
        </w:rPr>
        <w:t>或者有关部门报告评标中发现的违法行为。</w:t>
      </w:r>
    </w:p>
    <w:p w14:paraId="75C6DD8B">
      <w:pPr>
        <w:pStyle w:val="3"/>
        <w:spacing w:line="500" w:lineRule="exact"/>
        <w:ind w:firstLine="566" w:firstLineChars="200"/>
        <w:rPr>
          <w:rFonts w:ascii="华文仿宋" w:cs="Times New Roman"/>
          <w:color w:val="auto"/>
          <w:sz w:val="28"/>
          <w:szCs w:val="28"/>
          <w:highlight w:val="none"/>
        </w:rPr>
      </w:pPr>
      <w:bookmarkStart w:id="242" w:name="_Toc19744"/>
      <w:bookmarkStart w:id="243" w:name="_Toc31946"/>
      <w:bookmarkStart w:id="244" w:name="_Toc31640"/>
      <w:bookmarkStart w:id="245" w:name="_Toc6704"/>
      <w:bookmarkStart w:id="246" w:name="_Toc5809"/>
      <w:bookmarkStart w:id="247" w:name="_Toc25447"/>
      <w:bookmarkStart w:id="248" w:name="_Toc31084"/>
      <w:bookmarkStart w:id="249" w:name="_Toc29558"/>
      <w:r>
        <w:rPr>
          <w:rFonts w:hint="eastAsia" w:ascii="华文仿宋" w:hAnsi="华文仿宋" w:cs="华文仿宋"/>
          <w:color w:val="auto"/>
          <w:sz w:val="28"/>
          <w:szCs w:val="28"/>
          <w:highlight w:val="none"/>
        </w:rPr>
        <w:t>（三）组建评标委员会</w:t>
      </w:r>
      <w:bookmarkEnd w:id="242"/>
      <w:bookmarkEnd w:id="243"/>
      <w:bookmarkEnd w:id="244"/>
      <w:bookmarkEnd w:id="245"/>
      <w:bookmarkEnd w:id="246"/>
      <w:bookmarkEnd w:id="247"/>
      <w:bookmarkEnd w:id="248"/>
      <w:bookmarkEnd w:id="249"/>
    </w:p>
    <w:p w14:paraId="12E0C854">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、为了确保评标工作的公平、公正，依据政府采购法和政府采购相关法规、规章，成立评标委员会。评标委员会由采购人代表和有关技术、经济等方面的专家组成，成员人数为</w:t>
      </w:r>
      <w:r>
        <w:rPr>
          <w:rFonts w:ascii="仿宋" w:hAnsi="仿宋" w:eastAsia="仿宋" w:cs="仿宋"/>
          <w:color w:val="auto"/>
          <w:highlight w:val="none"/>
        </w:rPr>
        <w:t>5</w:t>
      </w:r>
      <w:r>
        <w:rPr>
          <w:rFonts w:hint="eastAsia" w:ascii="华文仿宋" w:hAnsi="华文仿宋" w:cs="华文仿宋"/>
          <w:color w:val="auto"/>
          <w:highlight w:val="none"/>
        </w:rPr>
        <w:t>人以上单数。其中，评审专家不少于成员总数的三分之二。</w:t>
      </w:r>
    </w:p>
    <w:p w14:paraId="43427467">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采购项目符合下列情形之一的，评标委员会成员人数应当为</w:t>
      </w:r>
      <w:r>
        <w:rPr>
          <w:rFonts w:ascii="仿宋" w:hAnsi="仿宋" w:eastAsia="仿宋" w:cs="仿宋"/>
          <w:color w:val="auto"/>
          <w:highlight w:val="none"/>
        </w:rPr>
        <w:t>7</w:t>
      </w:r>
      <w:r>
        <w:rPr>
          <w:rFonts w:hint="eastAsia" w:ascii="华文仿宋" w:hAnsi="华文仿宋" w:cs="华文仿宋"/>
          <w:color w:val="auto"/>
          <w:highlight w:val="none"/>
        </w:rPr>
        <w:t>人以上单数：</w:t>
      </w:r>
    </w:p>
    <w:p w14:paraId="16B81B1B">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）采购预算金额在</w:t>
      </w:r>
      <w:r>
        <w:rPr>
          <w:rFonts w:ascii="仿宋" w:hAnsi="仿宋" w:eastAsia="仿宋" w:cs="仿宋"/>
          <w:color w:val="auto"/>
          <w:highlight w:val="none"/>
        </w:rPr>
        <w:t>1000</w:t>
      </w:r>
      <w:r>
        <w:rPr>
          <w:rFonts w:hint="eastAsia" w:ascii="华文仿宋" w:hAnsi="华文仿宋" w:cs="华文仿宋"/>
          <w:color w:val="auto"/>
          <w:highlight w:val="none"/>
        </w:rPr>
        <w:t>万元以上；</w:t>
      </w:r>
    </w:p>
    <w:p w14:paraId="7B4834A1">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）技术复杂；</w:t>
      </w:r>
    </w:p>
    <w:p w14:paraId="48ADE9A7">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）社会影响较大。</w:t>
      </w:r>
    </w:p>
    <w:p w14:paraId="22239102">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cs="Times New Roman"/>
          <w:color w:val="auto"/>
          <w:highlight w:val="none"/>
        </w:rPr>
      </w:pPr>
      <w:r>
        <w:rPr>
          <w:rFonts w:hint="eastAsia" w:ascii="华文仿宋" w:hAnsi="华文仿宋" w:cs="华文仿宋"/>
          <w:color w:val="auto"/>
          <w:highlight w:val="none"/>
        </w:rPr>
        <w:t>评审专家对本单位的采购项目只能作为采购人代表参与评标。</w:t>
      </w:r>
      <w:r>
        <w:rPr>
          <w:rFonts w:hint="eastAsia" w:ascii="华文仿宋" w:hAnsi="华文仿宋" w:cs="华文仿宋"/>
          <w:color w:val="auto"/>
          <w:highlight w:val="none"/>
          <w:lang w:val="zh-CN"/>
        </w:rPr>
        <w:t>陕西省省级单位政府采购中心</w:t>
      </w:r>
      <w:r>
        <w:rPr>
          <w:rFonts w:hint="eastAsia" w:ascii="华文仿宋" w:hAnsi="华文仿宋" w:cs="华文仿宋"/>
          <w:color w:val="auto"/>
          <w:highlight w:val="none"/>
        </w:rPr>
        <w:t>工作人员不得参加由本机构代理的政府采购项目的评标。</w:t>
      </w:r>
    </w:p>
    <w:p w14:paraId="4EC6F41E">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cs="Times New Roman"/>
          <w:color w:val="auto"/>
          <w:highlight w:val="none"/>
        </w:rPr>
      </w:pPr>
      <w:r>
        <w:rPr>
          <w:rFonts w:hint="eastAsia" w:ascii="华文仿宋" w:hAnsi="华文仿宋" w:cs="华文仿宋"/>
          <w:color w:val="auto"/>
          <w:highlight w:val="none"/>
        </w:rPr>
        <w:t>评标委员会成员名单在评标结果公告前应当保密。</w:t>
      </w:r>
    </w:p>
    <w:p w14:paraId="2734B3C8">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4B72956B">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评标中因评标委员会成员缺席、回避或者健康等特殊原因导致评标委员会组成不符合规定的，陕西省省级单位政府采购中心应当依法补足后继续评标。被更换的评标委员会成员所作出的评标意见无效。无法及时补足评标委员会成员的，陕西省省级单位政府采购中心应当停止评标活动，封存所有投标文件和开标、评标资料，依法重新组建评标委员会进行评标。原评标委员会所作出的评标意见无效。</w:t>
      </w:r>
    </w:p>
    <w:p w14:paraId="75CEC142">
      <w:pPr>
        <w:keepNext w:val="0"/>
        <w:keepLines w:val="0"/>
        <w:pageBreakBefore w:val="0"/>
        <w:widowControl/>
        <w:kinsoku/>
        <w:wordWrap/>
        <w:overflowPunct/>
        <w:topLinePunct w:val="0"/>
        <w:autoSpaceDE/>
        <w:autoSpaceDN/>
        <w:bidi w:val="0"/>
        <w:adjustRightInd/>
        <w:snapToGrid/>
        <w:spacing w:line="500" w:lineRule="exact"/>
        <w:ind w:firstLine="566" w:firstLineChars="200"/>
        <w:textAlignment w:val="auto"/>
        <w:rPr>
          <w:rFonts w:ascii="华文仿宋" w:cs="Times New Roman"/>
          <w:color w:val="auto"/>
          <w:highlight w:val="none"/>
        </w:rPr>
      </w:pPr>
      <w:r>
        <w:rPr>
          <w:rFonts w:hint="eastAsia" w:ascii="华文仿宋" w:hAnsi="华文仿宋" w:cs="华文仿宋"/>
          <w:color w:val="auto"/>
          <w:highlight w:val="none"/>
        </w:rPr>
        <w:t>陕西省省级单位政府采购中心应当将变更、重新组建评标委员会的情况予以记录，并随招标文件一并存档。</w:t>
      </w:r>
    </w:p>
    <w:p w14:paraId="1AEB9452">
      <w:pPr>
        <w:pStyle w:val="3"/>
        <w:spacing w:line="500" w:lineRule="exact"/>
        <w:ind w:firstLine="566" w:firstLineChars="200"/>
        <w:rPr>
          <w:rFonts w:ascii="华文仿宋" w:cs="Times New Roman"/>
          <w:color w:val="auto"/>
          <w:sz w:val="28"/>
          <w:szCs w:val="28"/>
          <w:highlight w:val="none"/>
        </w:rPr>
      </w:pPr>
      <w:bookmarkStart w:id="250" w:name="_Toc30089"/>
      <w:bookmarkStart w:id="251" w:name="_Toc11222"/>
      <w:bookmarkStart w:id="252" w:name="_Toc8571"/>
      <w:bookmarkStart w:id="253" w:name="_Toc5922"/>
      <w:bookmarkStart w:id="254" w:name="_Toc23311"/>
      <w:bookmarkStart w:id="255" w:name="_Toc31863"/>
      <w:bookmarkStart w:id="256" w:name="_Toc18278"/>
      <w:bookmarkStart w:id="257" w:name="_Toc7342"/>
      <w:r>
        <w:rPr>
          <w:rFonts w:hint="eastAsia" w:ascii="华文仿宋" w:hAnsi="华文仿宋" w:cs="华文仿宋"/>
          <w:color w:val="auto"/>
          <w:sz w:val="28"/>
          <w:szCs w:val="28"/>
          <w:highlight w:val="none"/>
        </w:rPr>
        <w:t>（四）评标方法：本次评审采用综合评分法</w:t>
      </w:r>
      <w:bookmarkEnd w:id="250"/>
      <w:bookmarkEnd w:id="251"/>
      <w:bookmarkEnd w:id="252"/>
      <w:bookmarkEnd w:id="253"/>
      <w:bookmarkEnd w:id="254"/>
      <w:bookmarkEnd w:id="255"/>
      <w:bookmarkEnd w:id="256"/>
      <w:bookmarkEnd w:id="257"/>
    </w:p>
    <w:p w14:paraId="64753868">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评标方法分为最低评标价法和综合评分法。</w:t>
      </w:r>
    </w:p>
    <w:p w14:paraId="7931C31A">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、最低评标价法，是指投标文件满足招标文件全部实质性要求，且投标报价最低的投标人为中标候选人的评标方法。</w:t>
      </w:r>
    </w:p>
    <w:p w14:paraId="31317881">
      <w:pPr>
        <w:ind w:firstLine="566" w:firstLineChars="200"/>
        <w:jc w:val="left"/>
        <w:rPr>
          <w:rFonts w:cs="Times New Roman"/>
          <w:b/>
          <w:bCs/>
          <w:color w:val="auto"/>
          <w:highlight w:val="none"/>
        </w:rPr>
      </w:pPr>
      <w:r>
        <w:rPr>
          <w:rFonts w:hint="eastAsia" w:cs="华文仿宋"/>
          <w:color w:val="auto"/>
          <w:highlight w:val="none"/>
        </w:rPr>
        <w:t>技术、服务等标准统一的货物服务项目，应当采用最低评标价法。</w:t>
      </w:r>
    </w:p>
    <w:p w14:paraId="12B894E7">
      <w:pPr>
        <w:keepNext/>
        <w:widowControl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采用最低评标价法评标时，除了算术修正和落实政府采购政策需进行的价格扣除外，不能对投标人的投标价格进行任何调整。</w:t>
      </w:r>
    </w:p>
    <w:p w14:paraId="24AE98FB">
      <w:pPr>
        <w:keepNext/>
        <w:widowControl w:val="0"/>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、综合评分法，是指投标文件满足招标文件全部实质性要求，且按照评审因素的量化指标评审得分最高的投标人为中标候选人的评标方法。</w:t>
      </w:r>
    </w:p>
    <w:p w14:paraId="2DBCE0D0">
      <w:pPr>
        <w:pStyle w:val="3"/>
        <w:keepLines w:val="0"/>
        <w:widowControl w:val="0"/>
        <w:spacing w:line="500" w:lineRule="exact"/>
        <w:ind w:firstLine="566" w:firstLineChars="200"/>
        <w:rPr>
          <w:rFonts w:ascii="华文仿宋" w:cs="Times New Roman"/>
          <w:color w:val="auto"/>
          <w:sz w:val="28"/>
          <w:szCs w:val="28"/>
          <w:highlight w:val="none"/>
        </w:rPr>
      </w:pPr>
      <w:bookmarkStart w:id="258" w:name="_Toc32053"/>
      <w:bookmarkStart w:id="259" w:name="_Toc27750"/>
      <w:bookmarkStart w:id="260" w:name="_Toc10676"/>
      <w:bookmarkStart w:id="261" w:name="_Toc27452"/>
      <w:bookmarkStart w:id="262" w:name="_Toc5122"/>
      <w:bookmarkStart w:id="263" w:name="_Toc553"/>
      <w:bookmarkStart w:id="264" w:name="_Toc7039"/>
      <w:bookmarkStart w:id="265" w:name="_Toc18168"/>
      <w:r>
        <w:rPr>
          <w:rFonts w:hint="eastAsia" w:ascii="华文仿宋" w:hAnsi="华文仿宋" w:cs="华文仿宋"/>
          <w:color w:val="auto"/>
          <w:sz w:val="28"/>
          <w:szCs w:val="28"/>
          <w:highlight w:val="none"/>
        </w:rPr>
        <w:t>（五）评标程序</w:t>
      </w:r>
      <w:bookmarkEnd w:id="258"/>
      <w:bookmarkEnd w:id="259"/>
      <w:bookmarkEnd w:id="260"/>
      <w:bookmarkEnd w:id="261"/>
      <w:bookmarkEnd w:id="262"/>
      <w:bookmarkEnd w:id="263"/>
      <w:bookmarkEnd w:id="264"/>
      <w:bookmarkEnd w:id="265"/>
    </w:p>
    <w:p w14:paraId="5C7F7349">
      <w:pPr>
        <w:keepNext/>
        <w:widowControl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分步评审，每一步评审不符合招标文件要求者，不得进入下一步评审，全部评审合格的投标人，进入最后的打分，最后按得分由高到低排序，推荐中标候选人。</w:t>
      </w:r>
    </w:p>
    <w:p w14:paraId="5A8CEBF2">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1</w:t>
      </w:r>
      <w:r>
        <w:rPr>
          <w:rFonts w:hint="eastAsia" w:ascii="华文仿宋" w:hAnsi="华文仿宋" w:cs="华文仿宋"/>
          <w:b/>
          <w:bCs/>
          <w:color w:val="auto"/>
          <w:highlight w:val="none"/>
        </w:rPr>
        <w:t>、投标文件的符合性审查</w:t>
      </w:r>
    </w:p>
    <w:p w14:paraId="6711FD34">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评标委员会依据招标文件的规定，对投标文件的有效性、完整性和对招标文件的响应程度进行审查，以确定是否对招标文件的全部实质性要求作出响应。</w:t>
      </w:r>
    </w:p>
    <w:p w14:paraId="363BF945">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委员会要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7615EA00">
      <w:pPr>
        <w:spacing w:line="500" w:lineRule="exact"/>
        <w:ind w:firstLine="566" w:firstLineChars="200"/>
        <w:rPr>
          <w:rFonts w:ascii="华文仿宋" w:hAnsi="华文仿宋" w:cs="华文仿宋"/>
          <w:b/>
          <w:bCs/>
          <w:color w:val="auto"/>
          <w:highlight w:val="none"/>
        </w:rPr>
      </w:pPr>
      <w:r>
        <w:rPr>
          <w:rFonts w:hint="eastAsia" w:ascii="华文仿宋" w:hAnsi="华文仿宋" w:cs="华文仿宋"/>
          <w:b/>
          <w:bCs/>
          <w:color w:val="auto"/>
          <w:highlight w:val="none"/>
        </w:rPr>
        <w:t>2、投标文件的澄清</w:t>
      </w:r>
    </w:p>
    <w:p w14:paraId="77528257">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）评标委员会在对投标文件的有效性、完整性和响应程度进行审查时，可以要求投标人对投标文件中含义不明确、同类问题表述不一致或者有明显文字和计算错误的内容等做出必要的澄清、说明或者补正。</w:t>
      </w:r>
    </w:p>
    <w:p w14:paraId="48E712C4">
      <w:pPr>
        <w:spacing w:line="500" w:lineRule="exact"/>
        <w:ind w:firstLine="566" w:firstLineChars="200"/>
        <w:rPr>
          <w:rFonts w:hint="eastAsia" w:ascii="华文仿宋" w:hAnsi="华文仿宋" w:cs="华文仿宋"/>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）依照《中华人民共和国民法典》的过失责任原则，澄清、说明或补正前评标委员会将按最不利于投标人的原则对投标文件做出评判。</w:t>
      </w:r>
    </w:p>
    <w:p w14:paraId="2C13E85C">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评标委员会要求投标人澄清、说明或者补正投标文件应通过书面形式做出。投标人应当在规定的澄清时限内按评标委员会要求的方式，通过书面形式提交，投标人的澄清、说明或者补正应当由法定代表人或其授权代表签字或者加盖公章。</w:t>
      </w:r>
    </w:p>
    <w:p w14:paraId="7FEA4DA8">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4</w:t>
      </w:r>
      <w:r>
        <w:rPr>
          <w:rFonts w:hint="eastAsia" w:ascii="华文仿宋" w:hAnsi="华文仿宋" w:cs="华文仿宋"/>
          <w:color w:val="auto"/>
          <w:highlight w:val="none"/>
        </w:rPr>
        <w:t>）投标人的澄清、说明或者补正不得超出投标文件的范围或者改变投标文件的实质性内容。澄清、说明或者补正的内容将作为</w:t>
      </w:r>
      <w:r>
        <w:rPr>
          <w:rFonts w:hint="eastAsia" w:ascii="华文仿宋" w:hAnsi="华文仿宋" w:cs="华文仿宋"/>
          <w:color w:val="auto"/>
          <w:kern w:val="0"/>
          <w:highlight w:val="none"/>
        </w:rPr>
        <w:t>合同</w:t>
      </w:r>
      <w:r>
        <w:rPr>
          <w:rFonts w:hint="eastAsia" w:ascii="华文仿宋" w:hAnsi="华文仿宋" w:cs="华文仿宋"/>
          <w:color w:val="auto"/>
          <w:highlight w:val="none"/>
        </w:rPr>
        <w:t>履行的重要依据。</w:t>
      </w:r>
    </w:p>
    <w:p w14:paraId="374C08EF">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3</w:t>
      </w:r>
      <w:r>
        <w:rPr>
          <w:rFonts w:hint="eastAsia" w:ascii="华文仿宋" w:hAnsi="华文仿宋" w:cs="华文仿宋"/>
          <w:b/>
          <w:bCs/>
          <w:color w:val="auto"/>
          <w:highlight w:val="none"/>
        </w:rPr>
        <w:t>、综合比较与评价</w:t>
      </w:r>
    </w:p>
    <w:p w14:paraId="737C7DA7">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采用最低评标价法的，评标委员会对通过符合性审查的投标文件的投标报价由低到高顺序排列。</w:t>
      </w:r>
    </w:p>
    <w:p w14:paraId="01D9009B">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采用综合评分法的，评标委员会按“评审要素及分值一览表”中规定的评标标准，对通过符合性审查的投标文件进行商务和技术评估，综合比较与评价。</w:t>
      </w:r>
    </w:p>
    <w:p w14:paraId="069156EC">
      <w:pPr>
        <w:spacing w:line="500" w:lineRule="exact"/>
        <w:ind w:firstLine="566" w:firstLineChars="200"/>
        <w:rPr>
          <w:rFonts w:ascii="华文仿宋" w:cs="Times New Roman"/>
          <w:b/>
          <w:bCs/>
          <w:color w:val="auto"/>
          <w:highlight w:val="none"/>
        </w:rPr>
      </w:pPr>
      <w:r>
        <w:rPr>
          <w:rFonts w:hint="eastAsia" w:ascii="华文仿宋" w:hAnsi="华文仿宋" w:cs="华文仿宋"/>
          <w:b/>
          <w:bCs/>
          <w:color w:val="auto"/>
          <w:highlight w:val="none"/>
        </w:rPr>
        <w:t>出现下列情形的，投标人投标无效：</w:t>
      </w:r>
    </w:p>
    <w:p w14:paraId="6A98F18D">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）投标文件报价出现本章“四、投标报价”所列需要修正情形，但投标人对修正后的报价不予确认的；</w:t>
      </w:r>
    </w:p>
    <w:p w14:paraId="71E8A591">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评标委员会认为投标人的报价明显低于其他通过符合性审查投标人的报价，有可能影响产品质量或者不能诚信履约的，要求投标人通过电子交易平台或电子邮件等书面形式做出说明（必要时提交相关证明材料），投标人不能证明其报价合理性的。</w:t>
      </w:r>
    </w:p>
    <w:p w14:paraId="0585C57B">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4</w:t>
      </w:r>
      <w:r>
        <w:rPr>
          <w:rFonts w:hint="eastAsia" w:ascii="华文仿宋" w:hAnsi="华文仿宋" w:cs="华文仿宋"/>
          <w:b/>
          <w:bCs/>
          <w:color w:val="auto"/>
          <w:highlight w:val="none"/>
        </w:rPr>
        <w:t>、推荐中标候选人</w:t>
      </w:r>
    </w:p>
    <w:p w14:paraId="42B18CEC">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采用最低评标价法的，评标结果按投标报价由低到高顺序排列。投标报价相同的，投标文件满足招标文件全部实质性要求且投标报价最低的投标人为排名第一的中标候选人。</w:t>
      </w:r>
    </w:p>
    <w:p w14:paraId="5C13518E">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65B2573">
      <w:pPr>
        <w:spacing w:line="500" w:lineRule="exact"/>
        <w:ind w:firstLine="566" w:firstLineChars="200"/>
        <w:rPr>
          <w:rFonts w:ascii="华文仿宋" w:cs="Times New Roman"/>
          <w:b/>
          <w:bCs/>
          <w:color w:val="auto"/>
          <w:highlight w:val="none"/>
        </w:rPr>
      </w:pPr>
      <w:r>
        <w:rPr>
          <w:rFonts w:ascii="华文仿宋" w:hAnsi="华文仿宋" w:cs="华文仿宋"/>
          <w:b/>
          <w:bCs/>
          <w:color w:val="auto"/>
          <w:highlight w:val="none"/>
        </w:rPr>
        <w:t>5</w:t>
      </w:r>
      <w:r>
        <w:rPr>
          <w:rFonts w:hint="eastAsia" w:ascii="华文仿宋" w:hAnsi="华文仿宋" w:cs="华文仿宋"/>
          <w:b/>
          <w:bCs/>
          <w:color w:val="auto"/>
          <w:highlight w:val="none"/>
        </w:rPr>
        <w:t>、编写评标报告</w:t>
      </w:r>
    </w:p>
    <w:p w14:paraId="46237A96">
      <w:pPr>
        <w:autoSpaceDE w:val="0"/>
        <w:autoSpaceDN w:val="0"/>
        <w:adjustRightInd w:val="0"/>
        <w:spacing w:line="52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评标委员会根据评标情况编制评标报告，评标委员会成员对需要共同认定的事项存在争议的，应当按照少数服从多数的原则做出结论。持不同意见的评标委员会成员应当在评标报告上签署不同意见及理由，否则视为同意评标报告。对拒绝说明理由的，须报政府采购监管部门处理，并将其评审情况如实计入考核表。</w:t>
      </w:r>
    </w:p>
    <w:p w14:paraId="68FF770A">
      <w:pPr>
        <w:pStyle w:val="6"/>
        <w:spacing w:line="520" w:lineRule="exact"/>
        <w:ind w:firstLine="566" w:firstLineChars="200"/>
        <w:rPr>
          <w:color w:val="auto"/>
          <w:highlight w:val="none"/>
        </w:rPr>
      </w:pPr>
      <w:r>
        <w:rPr>
          <w:rFonts w:hint="eastAsia"/>
          <w:color w:val="auto"/>
          <w:highlight w:val="none"/>
        </w:rPr>
        <w:t>采购人书面授权评标委员会直接确定中标投标人的，评标委员会应在评标报告中明确中标投标人及中标金额。</w:t>
      </w:r>
    </w:p>
    <w:p w14:paraId="16F0F11E">
      <w:pPr>
        <w:autoSpaceDE w:val="0"/>
        <w:autoSpaceDN w:val="0"/>
        <w:adjustRightInd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评标结果汇总完成后，除下列情形外，任何人不得修改评标结果：</w:t>
      </w:r>
    </w:p>
    <w:p w14:paraId="768CD3AC">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1</w:t>
      </w:r>
      <w:r>
        <w:rPr>
          <w:rFonts w:hint="eastAsia" w:ascii="华文仿宋" w:hAnsi="华文仿宋" w:cs="华文仿宋"/>
          <w:color w:val="auto"/>
          <w:highlight w:val="none"/>
        </w:rPr>
        <w:t>）分值汇总计算错误的；</w:t>
      </w:r>
    </w:p>
    <w:p w14:paraId="3DADAB26">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2</w:t>
      </w:r>
      <w:r>
        <w:rPr>
          <w:rFonts w:hint="eastAsia" w:ascii="华文仿宋" w:hAnsi="华文仿宋" w:cs="华文仿宋"/>
          <w:color w:val="auto"/>
          <w:highlight w:val="none"/>
        </w:rPr>
        <w:t>）分项评分超出评分标准范围的；</w:t>
      </w:r>
    </w:p>
    <w:p w14:paraId="72349B84">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3</w:t>
      </w:r>
      <w:r>
        <w:rPr>
          <w:rFonts w:hint="eastAsia" w:ascii="华文仿宋" w:hAnsi="华文仿宋" w:cs="华文仿宋"/>
          <w:color w:val="auto"/>
          <w:highlight w:val="none"/>
        </w:rPr>
        <w:t>）评标委员会成员对客观评审因素评分不一致的；</w:t>
      </w:r>
    </w:p>
    <w:p w14:paraId="0E283B13">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w:t>
      </w:r>
      <w:r>
        <w:rPr>
          <w:rFonts w:ascii="华文仿宋" w:hAnsi="华文仿宋" w:cs="华文仿宋"/>
          <w:color w:val="auto"/>
          <w:highlight w:val="none"/>
        </w:rPr>
        <w:t>4</w:t>
      </w:r>
      <w:r>
        <w:rPr>
          <w:rFonts w:hint="eastAsia" w:ascii="华文仿宋" w:hAnsi="华文仿宋" w:cs="华文仿宋"/>
          <w:color w:val="auto"/>
          <w:highlight w:val="none"/>
        </w:rPr>
        <w:t>）经评标委员会认定评分畸高、畸低的。</w:t>
      </w:r>
    </w:p>
    <w:p w14:paraId="43390C9F">
      <w:pPr>
        <w:autoSpaceDE w:val="0"/>
        <w:autoSpaceDN w:val="0"/>
        <w:adjustRightInd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BA1D3AC">
      <w:pPr>
        <w:pStyle w:val="3"/>
        <w:spacing w:line="500" w:lineRule="exact"/>
        <w:ind w:firstLine="566" w:firstLineChars="200"/>
        <w:rPr>
          <w:rFonts w:ascii="华文仿宋" w:cs="Times New Roman"/>
          <w:color w:val="auto"/>
          <w:sz w:val="28"/>
          <w:szCs w:val="28"/>
          <w:highlight w:val="none"/>
        </w:rPr>
      </w:pPr>
      <w:bookmarkStart w:id="266" w:name="_Toc3203"/>
      <w:bookmarkStart w:id="267" w:name="_Toc9196"/>
      <w:bookmarkStart w:id="268" w:name="_Toc17636"/>
      <w:bookmarkStart w:id="269" w:name="_Toc3221"/>
      <w:bookmarkStart w:id="270" w:name="_Toc9225"/>
      <w:bookmarkStart w:id="271" w:name="_Toc32129"/>
      <w:bookmarkStart w:id="272" w:name="_Toc2851"/>
      <w:bookmarkStart w:id="273" w:name="_Toc6235"/>
      <w:r>
        <w:rPr>
          <w:rFonts w:hint="eastAsia" w:ascii="华文仿宋" w:hAnsi="华文仿宋" w:cs="华文仿宋"/>
          <w:color w:val="auto"/>
          <w:sz w:val="28"/>
          <w:szCs w:val="28"/>
          <w:highlight w:val="none"/>
        </w:rPr>
        <w:t>（六）有下列情形之一的，视为投标人串通投标，其投标无效：</w:t>
      </w:r>
      <w:bookmarkEnd w:id="266"/>
      <w:bookmarkEnd w:id="267"/>
      <w:bookmarkEnd w:id="268"/>
      <w:bookmarkEnd w:id="269"/>
      <w:bookmarkEnd w:id="270"/>
      <w:bookmarkEnd w:id="271"/>
      <w:bookmarkEnd w:id="272"/>
      <w:bookmarkEnd w:id="273"/>
    </w:p>
    <w:p w14:paraId="40BBAA16">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、不同投标人的投标文件由同一单位或者个人编制；</w:t>
      </w:r>
    </w:p>
    <w:p w14:paraId="1BB372CD">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、不同投标人的投标文件由同一台电脑编制；</w:t>
      </w:r>
    </w:p>
    <w:p w14:paraId="2FD6318A">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、不同投标人委托同一单位或者个人办理投标事宜；</w:t>
      </w:r>
    </w:p>
    <w:p w14:paraId="78597F7C">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4</w:t>
      </w:r>
      <w:r>
        <w:rPr>
          <w:rFonts w:hint="eastAsia" w:ascii="华文仿宋" w:hAnsi="华文仿宋" w:cs="华文仿宋"/>
          <w:color w:val="auto"/>
          <w:highlight w:val="none"/>
        </w:rPr>
        <w:t>、不同投标人的投标文件载明的项目管理成员或者联系人员为同一人；</w:t>
      </w:r>
    </w:p>
    <w:p w14:paraId="6EC76B57">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5</w:t>
      </w:r>
      <w:r>
        <w:rPr>
          <w:rFonts w:hint="eastAsia" w:ascii="华文仿宋" w:hAnsi="华文仿宋" w:cs="华文仿宋"/>
          <w:color w:val="auto"/>
          <w:highlight w:val="none"/>
        </w:rPr>
        <w:t>、不同投标人的投标文件异常一致或者投标报价呈规律性差异；</w:t>
      </w:r>
    </w:p>
    <w:p w14:paraId="1AE92016">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6</w:t>
      </w:r>
      <w:r>
        <w:rPr>
          <w:rFonts w:hint="eastAsia" w:ascii="华文仿宋" w:hAnsi="华文仿宋" w:cs="华文仿宋"/>
          <w:color w:val="auto"/>
          <w:highlight w:val="none"/>
        </w:rPr>
        <w:t>、不同投标人的投标文件相互混装；</w:t>
      </w:r>
    </w:p>
    <w:p w14:paraId="5060EA03">
      <w:pPr>
        <w:spacing w:line="500" w:lineRule="exact"/>
        <w:ind w:firstLine="566" w:firstLineChars="200"/>
        <w:rPr>
          <w:rFonts w:ascii="华文仿宋" w:cs="Times New Roman"/>
          <w:color w:val="auto"/>
          <w:highlight w:val="none"/>
        </w:rPr>
      </w:pPr>
      <w:r>
        <w:rPr>
          <w:rFonts w:ascii="华文仿宋" w:hAnsi="华文仿宋" w:cs="华文仿宋"/>
          <w:color w:val="auto"/>
          <w:highlight w:val="none"/>
        </w:rPr>
        <w:t>7</w:t>
      </w:r>
      <w:r>
        <w:rPr>
          <w:rFonts w:hint="eastAsia" w:ascii="华文仿宋" w:hAnsi="华文仿宋" w:cs="华文仿宋"/>
          <w:color w:val="auto"/>
          <w:highlight w:val="none"/>
        </w:rPr>
        <w:t>、政府采购法律法规及招标文件规定的其他情形。</w:t>
      </w:r>
    </w:p>
    <w:p w14:paraId="74F2776C">
      <w:pPr>
        <w:pStyle w:val="3"/>
        <w:spacing w:line="500" w:lineRule="exact"/>
        <w:ind w:firstLine="566" w:firstLineChars="200"/>
        <w:rPr>
          <w:rFonts w:ascii="华文仿宋" w:cs="Times New Roman"/>
          <w:color w:val="auto"/>
          <w:sz w:val="28"/>
          <w:szCs w:val="28"/>
          <w:highlight w:val="none"/>
        </w:rPr>
      </w:pPr>
      <w:bookmarkStart w:id="274" w:name="_Toc15958"/>
      <w:r>
        <w:rPr>
          <w:rFonts w:hint="eastAsia" w:ascii="华文仿宋" w:hAnsi="华文仿宋" w:cs="华文仿宋"/>
          <w:color w:val="auto"/>
          <w:sz w:val="28"/>
          <w:szCs w:val="28"/>
          <w:highlight w:val="none"/>
        </w:rPr>
        <w:t>九、中标</w:t>
      </w:r>
      <w:bookmarkEnd w:id="274"/>
    </w:p>
    <w:p w14:paraId="1B787A25">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（一）陕西省省级单位政府采购中心在评标工作结束后</w:t>
      </w:r>
      <w:r>
        <w:rPr>
          <w:rFonts w:ascii="仿宋" w:hAnsi="仿宋" w:eastAsia="仿宋" w:cs="仿宋"/>
          <w:color w:val="auto"/>
          <w:highlight w:val="none"/>
        </w:rPr>
        <w:t>2</w:t>
      </w:r>
      <w:r>
        <w:rPr>
          <w:rFonts w:hint="eastAsia" w:ascii="华文仿宋" w:hAnsi="华文仿宋" w:cs="华文仿宋"/>
          <w:color w:val="auto"/>
          <w:highlight w:val="none"/>
        </w:rPr>
        <w:t>个工作日内将评标报告送采购人。</w:t>
      </w:r>
    </w:p>
    <w:p w14:paraId="1D2B0030">
      <w:pPr>
        <w:spacing w:line="500" w:lineRule="exact"/>
        <w:ind w:firstLine="566" w:firstLineChars="200"/>
        <w:rPr>
          <w:rFonts w:ascii="仿宋" w:hAnsi="仿宋" w:eastAsia="仿宋" w:cs="仿宋"/>
          <w:color w:val="auto"/>
          <w:highlight w:val="none"/>
        </w:rPr>
      </w:pPr>
      <w:r>
        <w:rPr>
          <w:rFonts w:hint="eastAsia" w:ascii="华文仿宋" w:hAnsi="华文仿宋" w:cs="华文仿宋"/>
          <w:color w:val="auto"/>
          <w:highlight w:val="none"/>
        </w:rPr>
        <w:t>（二）</w:t>
      </w:r>
      <w:r>
        <w:rPr>
          <w:rFonts w:hint="eastAsia" w:ascii="仿宋" w:hAnsi="仿宋" w:eastAsia="仿宋" w:cs="仿宋"/>
          <w:b/>
          <w:bCs/>
          <w:color w:val="auto"/>
          <w:highlight w:val="none"/>
        </w:rPr>
        <w:t>本项目采用第</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u w:val="single"/>
          <w:lang w:val="en-US" w:eastAsia="zh-CN"/>
        </w:rPr>
        <w:t>1</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种方式确定中标人</w:t>
      </w:r>
      <w:r>
        <w:rPr>
          <w:rFonts w:hint="eastAsia" w:ascii="仿宋" w:hAnsi="仿宋" w:eastAsia="仿宋" w:cs="仿宋"/>
          <w:color w:val="auto"/>
          <w:highlight w:val="none"/>
        </w:rPr>
        <w:t>。</w:t>
      </w:r>
    </w:p>
    <w:p w14:paraId="3428C6AB">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采购人在收到评标报告之日起5个工作日内，在评标报告确定的中标候选人名单中按顺序确定中标人。采购人在收到评标报告5个工作日内未按评标报告推荐的中标候选人顺序确定中标人，又不能说明合法理由的，视同按评标报告推荐的顺序确定排名第一的中标候选人为中标人。</w:t>
      </w:r>
    </w:p>
    <w:p w14:paraId="71669B57">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2、采购人可以书面授权评标委员会直接确定中标人。</w:t>
      </w:r>
    </w:p>
    <w:p w14:paraId="1F31E8ED">
      <w:pPr>
        <w:shd w:val="clear" w:color="auto" w:fill="auto"/>
        <w:spacing w:line="500" w:lineRule="exact"/>
        <w:ind w:firstLine="566"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采购人在评审前提供《委托评审小组定标授权书》，评标委员会将根据采购人授权直接确定中标人。</w:t>
      </w:r>
    </w:p>
    <w:p w14:paraId="5E2F6398">
      <w:pPr>
        <w:shd w:val="clear" w:color="auto" w:fill="auto"/>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（三）陕西省省级单位政府采购中心将在中标人确定之日起</w:t>
      </w:r>
      <w:r>
        <w:rPr>
          <w:rFonts w:ascii="仿宋" w:hAnsi="仿宋" w:eastAsia="仿宋" w:cs="仿宋"/>
          <w:color w:val="auto"/>
          <w:highlight w:val="none"/>
        </w:rPr>
        <w:t>2</w:t>
      </w:r>
      <w:r>
        <w:rPr>
          <w:rFonts w:hint="eastAsia" w:ascii="华文仿宋" w:hAnsi="华文仿宋" w:cs="华文仿宋"/>
          <w:color w:val="auto"/>
          <w:highlight w:val="none"/>
        </w:rPr>
        <w:t>个工作日内，在【</w:t>
      </w:r>
      <w:r>
        <w:rPr>
          <w:color w:val="auto"/>
          <w:highlight w:val="none"/>
        </w:rPr>
        <w:fldChar w:fldCharType="begin"/>
      </w:r>
      <w:r>
        <w:rPr>
          <w:color w:val="auto"/>
          <w:highlight w:val="none"/>
        </w:rPr>
        <w:instrText xml:space="preserve"> HYPERLINK "http://www.ccgp-shaanxi.gov.cn" </w:instrText>
      </w:r>
      <w:r>
        <w:rPr>
          <w:color w:val="auto"/>
          <w:highlight w:val="none"/>
        </w:rPr>
        <w:fldChar w:fldCharType="separate"/>
      </w:r>
      <w:r>
        <w:rPr>
          <w:rStyle w:val="35"/>
          <w:rFonts w:hint="eastAsia" w:ascii="华文仿宋" w:hAnsi="华文仿宋" w:cs="华文仿宋"/>
          <w:color w:val="auto"/>
          <w:sz w:val="28"/>
          <w:szCs w:val="28"/>
          <w:highlight w:val="none"/>
        </w:rPr>
        <w:t>陕西省政府采购网</w:t>
      </w:r>
      <w:r>
        <w:rPr>
          <w:rStyle w:val="35"/>
          <w:rFonts w:hint="eastAsia" w:ascii="华文仿宋" w:hAnsi="华文仿宋" w:cs="华文仿宋"/>
          <w:color w:val="auto"/>
          <w:sz w:val="28"/>
          <w:szCs w:val="28"/>
          <w:highlight w:val="none"/>
        </w:rPr>
        <w:fldChar w:fldCharType="end"/>
      </w:r>
      <w:r>
        <w:rPr>
          <w:rFonts w:hint="eastAsia" w:ascii="华文仿宋" w:hAnsi="华文仿宋" w:cs="华文仿宋"/>
          <w:color w:val="auto"/>
          <w:highlight w:val="none"/>
        </w:rPr>
        <w:t>（</w:t>
      </w:r>
      <w:r>
        <w:rPr>
          <w:rFonts w:ascii="仿宋" w:hAnsi="仿宋" w:eastAsia="仿宋" w:cs="仿宋"/>
          <w:color w:val="auto"/>
          <w:highlight w:val="none"/>
        </w:rPr>
        <w:t>www.ccgp-shaanxi.gov.cn</w:t>
      </w:r>
      <w:r>
        <w:rPr>
          <w:rFonts w:hint="eastAsia" w:ascii="华文仿宋" w:hAnsi="华文仿宋" w:cs="华文仿宋"/>
          <w:color w:val="auto"/>
          <w:highlight w:val="none"/>
        </w:rPr>
        <w:t>）</w:t>
      </w:r>
      <w:r>
        <w:rPr>
          <w:rStyle w:val="35"/>
          <w:rFonts w:hint="eastAsia" w:ascii="华文仿宋" w:hAnsi="华文仿宋" w:cs="华文仿宋"/>
          <w:color w:val="auto"/>
          <w:sz w:val="28"/>
          <w:szCs w:val="28"/>
          <w:highlight w:val="none"/>
        </w:rPr>
        <w:t>】、</w:t>
      </w:r>
      <w:r>
        <w:rPr>
          <w:rFonts w:hint="eastAsia" w:ascii="华文仿宋" w:hAnsi="华文仿宋" w:cs="华文仿宋"/>
          <w:color w:val="auto"/>
          <w:highlight w:val="none"/>
        </w:rPr>
        <w:t>【全国公共资源交易平台（陕西省）（</w:t>
      </w:r>
      <w:r>
        <w:rPr>
          <w:rFonts w:ascii="仿宋" w:hAnsi="仿宋" w:eastAsia="仿宋" w:cs="仿宋"/>
          <w:color w:val="auto"/>
          <w:highlight w:val="none"/>
        </w:rPr>
        <w:t>http://www.sxggzyjy.cn</w:t>
      </w:r>
      <w:r>
        <w:rPr>
          <w:rFonts w:ascii="华文仿宋" w:hAnsi="华文仿宋" w:cs="华文仿宋"/>
          <w:color w:val="auto"/>
          <w:highlight w:val="none"/>
        </w:rPr>
        <w:t>/</w:t>
      </w:r>
      <w:r>
        <w:rPr>
          <w:rFonts w:hint="eastAsia" w:ascii="华文仿宋" w:hAnsi="华文仿宋" w:cs="华文仿宋"/>
          <w:color w:val="auto"/>
          <w:highlight w:val="none"/>
        </w:rPr>
        <w:t>）</w:t>
      </w:r>
      <w:r>
        <w:rPr>
          <w:rStyle w:val="35"/>
          <w:rFonts w:hint="eastAsia" w:ascii="华文仿宋" w:hAnsi="华文仿宋" w:cs="华文仿宋"/>
          <w:color w:val="auto"/>
          <w:sz w:val="28"/>
          <w:szCs w:val="28"/>
          <w:highlight w:val="none"/>
        </w:rPr>
        <w:t>】</w:t>
      </w:r>
      <w:r>
        <w:rPr>
          <w:rFonts w:hint="eastAsia" w:ascii="华文仿宋" w:hAnsi="华文仿宋" w:cs="华文仿宋"/>
          <w:color w:val="auto"/>
          <w:highlight w:val="none"/>
        </w:rPr>
        <w:t>上公告中标结果。</w:t>
      </w:r>
    </w:p>
    <w:p w14:paraId="69722E4E">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73575DDE">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中标公告期限为</w:t>
      </w:r>
      <w:r>
        <w:rPr>
          <w:rFonts w:ascii="仿宋" w:hAnsi="仿宋" w:eastAsia="仿宋" w:cs="仿宋"/>
          <w:color w:val="auto"/>
          <w:highlight w:val="none"/>
        </w:rPr>
        <w:t>1</w:t>
      </w:r>
      <w:r>
        <w:rPr>
          <w:rFonts w:hint="eastAsia" w:ascii="华文仿宋" w:hAnsi="华文仿宋" w:cs="华文仿宋"/>
          <w:color w:val="auto"/>
          <w:highlight w:val="none"/>
        </w:rPr>
        <w:t>个工作日。</w:t>
      </w:r>
    </w:p>
    <w:p w14:paraId="2CBD9BBE">
      <w:pPr>
        <w:wordWrap w:val="0"/>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在公告中标结果的同时，陕西省省级单位政府采购中心向中标人发出中标通知书；采用综合评分法评审的，陕西省省级单位政府采购中心将通过全国公共资源交易平台（陕西省）告知未中标人本人的评审最终得分与排序。</w:t>
      </w:r>
    </w:p>
    <w:p w14:paraId="53A443C3">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（五）中标通知书发出后，采购人不得违法改变中标结果，中标人无正当理由不得放弃中标。</w:t>
      </w:r>
    </w:p>
    <w:p w14:paraId="40BAD5C5">
      <w:pPr>
        <w:pStyle w:val="3"/>
        <w:spacing w:line="500" w:lineRule="exact"/>
        <w:ind w:firstLine="566" w:firstLineChars="200"/>
        <w:rPr>
          <w:rFonts w:ascii="华文仿宋" w:cs="Times New Roman"/>
          <w:color w:val="auto"/>
          <w:sz w:val="28"/>
          <w:szCs w:val="28"/>
          <w:highlight w:val="none"/>
        </w:rPr>
      </w:pPr>
      <w:bookmarkStart w:id="275" w:name="_Toc1921"/>
      <w:r>
        <w:rPr>
          <w:rFonts w:hint="eastAsia" w:ascii="华文仿宋" w:hAnsi="华文仿宋" w:cs="华文仿宋"/>
          <w:color w:val="auto"/>
          <w:sz w:val="28"/>
          <w:szCs w:val="28"/>
          <w:highlight w:val="none"/>
        </w:rPr>
        <w:t>十、签订政府采购合同</w:t>
      </w:r>
      <w:bookmarkEnd w:id="275"/>
    </w:p>
    <w:p w14:paraId="4FE7EF8F">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highlight w:val="none"/>
        </w:rPr>
        <w:t>（一）自中标通知书发出之日起</w:t>
      </w:r>
      <w:r>
        <w:rPr>
          <w:rFonts w:hint="eastAsia" w:ascii="仿宋" w:hAnsi="仿宋" w:eastAsia="仿宋" w:cs="仿宋"/>
          <w:color w:val="auto"/>
          <w:highlight w:val="none"/>
        </w:rPr>
        <w:t>25</w:t>
      </w:r>
      <w:r>
        <w:rPr>
          <w:rFonts w:hint="eastAsia" w:ascii="华文仿宋" w:hAnsi="华文仿宋" w:cs="华文仿宋"/>
          <w:color w:val="auto"/>
          <w:highlight w:val="none"/>
        </w:rPr>
        <w:t>日内，</w:t>
      </w:r>
      <w:r>
        <w:rPr>
          <w:rFonts w:hint="eastAsia" w:ascii="华文仿宋" w:hAnsi="华文仿宋" w:cs="华文仿宋"/>
          <w:color w:val="auto"/>
          <w:kern w:val="0"/>
          <w:highlight w:val="none"/>
        </w:rPr>
        <w:t>采购人与中标人应按招标文件和中标人投标文件的规定，签订书面合同。所签订的政府采购合同不得对招标文件和中标人的投标文件内容作实质性修改。</w:t>
      </w:r>
    </w:p>
    <w:p w14:paraId="5A6CEABD">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采购人不得向中标人提出任何不合理的要求作为签订合同的条件。</w:t>
      </w:r>
    </w:p>
    <w:p w14:paraId="3C604A17">
      <w:pPr>
        <w:spacing w:line="50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（二）</w:t>
      </w:r>
      <w:r>
        <w:rPr>
          <w:rFonts w:hint="eastAsia" w:ascii="华文仿宋" w:hAnsi="华文仿宋" w:cs="华文仿宋"/>
          <w:color w:val="auto"/>
          <w:kern w:val="0"/>
          <w:highlight w:val="none"/>
        </w:rPr>
        <w:t>中标人拒绝与采购人签订合同的，采购人可以按照评标报告推荐的中标候选人名单排序，确定下一候选人为中标人，也可以重新开展政府采购活动。</w:t>
      </w:r>
    </w:p>
    <w:p w14:paraId="58DA5E8C">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highlight w:val="none"/>
        </w:rPr>
        <w:t>（三）招标文件、中标人的投标文件、《中标通知书》及其澄清、说明文件、承诺等，均为签订采购合同的依据，作为采购合同的组成部分。</w:t>
      </w:r>
    </w:p>
    <w:p w14:paraId="35559968">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（四）政府采购合同应当包括采购人与中标人的名称和住所、标的、数量、质量、价款或者报酬、履行期限及地点和方式、验收要求、违约责任、解决争议的方法等内容。</w:t>
      </w:r>
    </w:p>
    <w:p w14:paraId="47DA3F31">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（五）采购人与中标人应当根据合同的约定依法履行合同义务。政府采购合同的履行、违约责任和解决争议的方法等适用《中华人民共和国民法典》。</w:t>
      </w:r>
    </w:p>
    <w:p w14:paraId="7C8EE775">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（六）采购人应及时对采购项目进行验收。采购人可以邀请参加本项目的其他投标人或者第三方机构参与验收。参与验收的投标人或者第三方机构的意见作为验收书的参考资料一并存档。</w:t>
      </w:r>
    </w:p>
    <w:p w14:paraId="609922A2">
      <w:pPr>
        <w:spacing w:line="500" w:lineRule="exact"/>
        <w:ind w:firstLine="566" w:firstLineChars="200"/>
        <w:rPr>
          <w:rFonts w:ascii="华文仿宋" w:cs="Times New Roman"/>
          <w:color w:val="auto"/>
          <w:kern w:val="0"/>
          <w:highlight w:val="none"/>
        </w:rPr>
      </w:pPr>
      <w:r>
        <w:rPr>
          <w:rFonts w:hint="eastAsia" w:ascii="华文仿宋" w:hAnsi="华文仿宋" w:cs="华文仿宋"/>
          <w:color w:val="auto"/>
          <w:kern w:val="0"/>
          <w:highlight w:val="none"/>
        </w:rPr>
        <w:t>（七）采购人应当加强对中标人的履约管理，并按照采购合同约定，及时向中标人支付采购资金。对于中标人违反采购合同约定的行为，采购人应当及时处理，依法追究其违约责任。</w:t>
      </w:r>
    </w:p>
    <w:p w14:paraId="31305962">
      <w:pPr>
        <w:pStyle w:val="3"/>
        <w:spacing w:line="480" w:lineRule="exact"/>
        <w:ind w:firstLine="566" w:firstLineChars="200"/>
        <w:rPr>
          <w:rFonts w:ascii="华文仿宋" w:cs="Times New Roman"/>
          <w:color w:val="auto"/>
          <w:sz w:val="28"/>
          <w:szCs w:val="28"/>
          <w:highlight w:val="none"/>
        </w:rPr>
      </w:pPr>
      <w:bookmarkStart w:id="276" w:name="_Toc15906"/>
      <w:r>
        <w:rPr>
          <w:rFonts w:hint="eastAsia" w:ascii="华文仿宋" w:hAnsi="华文仿宋" w:cs="华文仿宋"/>
          <w:color w:val="auto"/>
          <w:sz w:val="28"/>
          <w:szCs w:val="28"/>
          <w:highlight w:val="none"/>
        </w:rPr>
        <w:t>十一、其他</w:t>
      </w:r>
      <w:bookmarkEnd w:id="276"/>
    </w:p>
    <w:p w14:paraId="2F7904DF">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一）评标委员会发现招标文件存在歧义、重大缺陷导致评标工作无法进行，或者招标文件内容违反国家有关强制性规定的，应当停止评标工作，与采购人或者陕西省省级单位政府采购中心沟通并作书面记录。采购人或者陕西省省级单位政府采购中心确认后，应当修改招标文件，重新组织采购活动。</w:t>
      </w:r>
    </w:p>
    <w:p w14:paraId="6806FFA1">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（二）根据《政府采购法》第三十六条规定，在招标采购中，出现下列情形之一的，本项目按废标处理：</w:t>
      </w:r>
    </w:p>
    <w:p w14:paraId="6295332B">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、出现影响采购公正的违法、违规行为的；</w:t>
      </w:r>
    </w:p>
    <w:p w14:paraId="76F83CB5">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、投标人的报价均超过了采购预算，采购人不能支付的；</w:t>
      </w:r>
    </w:p>
    <w:p w14:paraId="38B8D2CF">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3</w:t>
      </w:r>
      <w:r>
        <w:rPr>
          <w:rFonts w:hint="eastAsia" w:ascii="华文仿宋" w:hAnsi="华文仿宋" w:cs="华文仿宋"/>
          <w:color w:val="auto"/>
          <w:highlight w:val="none"/>
        </w:rPr>
        <w:t>、因重大变故，采购任务取消的。</w:t>
      </w:r>
    </w:p>
    <w:p w14:paraId="4250E01A">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废标后，由陕西省省级单位政府采购中心发布废标公告。除采购任务取消外，本项目将重新组织招标。</w:t>
      </w:r>
    </w:p>
    <w:p w14:paraId="3A2A22AE">
      <w:pPr>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（三）在递交投标文件阶段、资格审查阶段、符合性审查阶段以及评标委员会评标阶段，当出现有效投标人不足</w:t>
      </w:r>
      <w:r>
        <w:rPr>
          <w:rFonts w:ascii="仿宋" w:hAnsi="仿宋" w:eastAsia="仿宋" w:cs="仿宋"/>
          <w:color w:val="auto"/>
          <w:highlight w:val="none"/>
        </w:rPr>
        <w:t>3</w:t>
      </w:r>
      <w:r>
        <w:rPr>
          <w:rFonts w:hint="eastAsia" w:ascii="华文仿宋" w:hAnsi="华文仿宋" w:cs="华文仿宋"/>
          <w:color w:val="auto"/>
          <w:highlight w:val="none"/>
        </w:rPr>
        <w:t>家时，除采购任务取消外，按照以下方式处理：</w:t>
      </w:r>
    </w:p>
    <w:p w14:paraId="7F2BA43D">
      <w:pPr>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1</w:t>
      </w:r>
      <w:r>
        <w:rPr>
          <w:rFonts w:hint="eastAsia" w:ascii="华文仿宋" w:hAnsi="华文仿宋" w:cs="华文仿宋"/>
          <w:color w:val="auto"/>
          <w:highlight w:val="none"/>
        </w:rPr>
        <w:t>、招标文件存在不合理条款或者招标程序不符合规定的，采购人、采购代理机构改正后依法重新招标；</w:t>
      </w:r>
    </w:p>
    <w:p w14:paraId="00B6BC27">
      <w:pPr>
        <w:keepNext/>
        <w:widowControl w:val="0"/>
        <w:spacing w:line="480" w:lineRule="exact"/>
        <w:ind w:firstLine="566" w:firstLineChars="200"/>
        <w:rPr>
          <w:rFonts w:ascii="华文仿宋" w:cs="Times New Roman"/>
          <w:color w:val="auto"/>
          <w:highlight w:val="none"/>
        </w:rPr>
      </w:pPr>
      <w:r>
        <w:rPr>
          <w:rFonts w:ascii="华文仿宋" w:hAnsi="华文仿宋" w:cs="华文仿宋"/>
          <w:color w:val="auto"/>
          <w:highlight w:val="none"/>
        </w:rPr>
        <w:t>2</w:t>
      </w:r>
      <w:r>
        <w:rPr>
          <w:rFonts w:hint="eastAsia" w:ascii="华文仿宋" w:hAnsi="华文仿宋" w:cs="华文仿宋"/>
          <w:color w:val="auto"/>
          <w:highlight w:val="none"/>
        </w:rPr>
        <w:t>、招标文件没有不合理条款、招标程序符合规定，需要采用其他采购方式采购的，采购人应当依法报财政部门批准。</w:t>
      </w:r>
    </w:p>
    <w:p w14:paraId="1B8108EA">
      <w:pPr>
        <w:keepNext/>
        <w:widowControl w:val="0"/>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（四）采购代理机构应当采取必要措施，保证评标在严格保密的情况下进行。除采购人代表、评标现场组织人员外，采购人的其他工作人员以及与评标工作无关的人员不得进入评标现场。</w:t>
      </w:r>
    </w:p>
    <w:p w14:paraId="7978F07A">
      <w:pPr>
        <w:keepNext/>
        <w:widowControl w:val="0"/>
        <w:spacing w:line="480" w:lineRule="exact"/>
        <w:ind w:firstLine="566" w:firstLineChars="200"/>
        <w:rPr>
          <w:rFonts w:ascii="华文仿宋" w:cs="Times New Roman"/>
          <w:color w:val="auto"/>
          <w:highlight w:val="none"/>
        </w:rPr>
      </w:pPr>
      <w:r>
        <w:rPr>
          <w:rFonts w:hint="eastAsia" w:ascii="华文仿宋" w:hAnsi="华文仿宋" w:cs="华文仿宋"/>
          <w:color w:val="auto"/>
          <w:highlight w:val="none"/>
        </w:rPr>
        <w:t>有关人员对评标情况以及在评标过程中获悉的国家秘密、商业秘密负有保密责任。</w:t>
      </w:r>
    </w:p>
    <w:p w14:paraId="4C9FA6F3">
      <w:pPr>
        <w:keepNext/>
        <w:widowControl w:val="0"/>
        <w:numPr>
          <w:ilvl w:val="0"/>
          <w:numId w:val="0"/>
        </w:num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（五）招标文件未明确的其他事项，按《政府采购法》及其相关法律法规执行。</w:t>
      </w:r>
    </w:p>
    <w:p w14:paraId="5F883698">
      <w:pPr>
        <w:keepNext/>
        <w:widowControl w:val="0"/>
        <w:numPr>
          <w:ilvl w:val="0"/>
          <w:numId w:val="0"/>
        </w:numPr>
        <w:spacing w:line="500" w:lineRule="exact"/>
        <w:ind w:firstLine="566" w:firstLineChars="200"/>
        <w:rPr>
          <w:rFonts w:ascii="华文仿宋" w:cs="Times New Roman"/>
          <w:color w:val="auto"/>
          <w:highlight w:val="none"/>
        </w:rPr>
      </w:pPr>
      <w:r>
        <w:rPr>
          <w:rFonts w:hint="eastAsia" w:ascii="华文仿宋" w:hAnsi="华文仿宋" w:cs="华文仿宋"/>
          <w:color w:val="auto"/>
          <w:kern w:val="0"/>
          <w:highlight w:val="none"/>
        </w:rPr>
        <w:t>（六）陕西省省级单位政府采购中心应当建立真实完整的招标采购档案，妥善保存每项采购活动的采购文件。</w:t>
      </w:r>
    </w:p>
    <w:p w14:paraId="00F0B4BC">
      <w:pPr>
        <w:pStyle w:val="3"/>
        <w:keepLines w:val="0"/>
        <w:widowControl w:val="0"/>
        <w:spacing w:line="480" w:lineRule="exact"/>
        <w:ind w:firstLine="566" w:firstLineChars="200"/>
        <w:rPr>
          <w:rFonts w:cs="Times New Roman"/>
          <w:color w:val="auto"/>
          <w:highlight w:val="none"/>
        </w:rPr>
      </w:pPr>
      <w:bookmarkStart w:id="277" w:name="_Toc22922"/>
      <w:r>
        <w:rPr>
          <w:rFonts w:hint="eastAsia" w:ascii="华文仿宋" w:hAnsi="华文仿宋" w:cs="华文仿宋"/>
          <w:color w:val="auto"/>
          <w:sz w:val="28"/>
          <w:szCs w:val="28"/>
          <w:highlight w:val="none"/>
        </w:rPr>
        <w:t>十二、采购代理服务费：免费</w:t>
      </w:r>
      <w:bookmarkEnd w:id="277"/>
    </w:p>
    <w:p w14:paraId="3D95078A">
      <w:pPr>
        <w:pStyle w:val="2"/>
        <w:spacing w:line="500" w:lineRule="exact"/>
        <w:rPr>
          <w:rFonts w:cs="Times New Roman"/>
          <w:color w:val="auto"/>
          <w:highlight w:val="none"/>
        </w:rPr>
      </w:pPr>
      <w:bookmarkStart w:id="278" w:name="_Toc29944"/>
      <w:bookmarkStart w:id="279" w:name="_Toc14795"/>
      <w:r>
        <w:rPr>
          <w:rFonts w:hint="eastAsia" w:ascii="黑体" w:hAnsi="黑体" w:eastAsia="黑体" w:cs="黑体"/>
          <w:b w:val="0"/>
          <w:bCs w:val="0"/>
          <w:color w:val="auto"/>
          <w:sz w:val="32"/>
          <w:szCs w:val="32"/>
          <w:highlight w:val="none"/>
        </w:rPr>
        <w:br w:type="page"/>
      </w:r>
      <w:bookmarkStart w:id="280" w:name="_Toc10337"/>
      <w:r>
        <w:rPr>
          <w:rFonts w:hint="eastAsia" w:ascii="黑体" w:hAnsi="黑体" w:eastAsia="黑体" w:cs="黑体"/>
          <w:b w:val="0"/>
          <w:bCs w:val="0"/>
          <w:color w:val="auto"/>
          <w:sz w:val="32"/>
          <w:szCs w:val="32"/>
          <w:highlight w:val="none"/>
        </w:rPr>
        <w:t>第三章  评审办法及标准</w:t>
      </w:r>
      <w:bookmarkEnd w:id="278"/>
      <w:bookmarkEnd w:id="279"/>
      <w:bookmarkEnd w:id="280"/>
    </w:p>
    <w:p w14:paraId="2BC44303">
      <w:pPr>
        <w:pStyle w:val="3"/>
        <w:spacing w:line="500" w:lineRule="exact"/>
        <w:ind w:firstLine="0" w:firstLineChars="0"/>
        <w:rPr>
          <w:rFonts w:ascii="华文仿宋" w:cs="Times New Roman"/>
          <w:color w:val="auto"/>
          <w:sz w:val="28"/>
          <w:szCs w:val="28"/>
          <w:highlight w:val="none"/>
        </w:rPr>
      </w:pPr>
      <w:bookmarkStart w:id="281" w:name="_Toc16719"/>
      <w:bookmarkStart w:id="282" w:name="_Toc12713"/>
      <w:bookmarkStart w:id="283" w:name="_Toc27498"/>
      <w:bookmarkStart w:id="284" w:name="_Toc25603"/>
      <w:bookmarkStart w:id="285" w:name="_Toc31867"/>
      <w:bookmarkStart w:id="286" w:name="_Toc31710"/>
      <w:bookmarkStart w:id="287" w:name="_Toc11125"/>
      <w:bookmarkStart w:id="288" w:name="_Toc10885"/>
      <w:bookmarkStart w:id="289" w:name="_Toc28614"/>
      <w:r>
        <w:rPr>
          <w:rFonts w:hint="eastAsia" w:ascii="华文仿宋" w:hAnsi="华文仿宋" w:cs="华文仿宋"/>
          <w:color w:val="auto"/>
          <w:sz w:val="28"/>
          <w:szCs w:val="28"/>
          <w:highlight w:val="none"/>
        </w:rPr>
        <w:t>一、资格审查</w:t>
      </w:r>
      <w:bookmarkEnd w:id="281"/>
      <w:bookmarkEnd w:id="282"/>
      <w:bookmarkEnd w:id="283"/>
      <w:bookmarkEnd w:id="284"/>
      <w:bookmarkEnd w:id="285"/>
      <w:bookmarkEnd w:id="286"/>
      <w:bookmarkEnd w:id="287"/>
      <w:bookmarkEnd w:id="288"/>
      <w:bookmarkEnd w:id="289"/>
    </w:p>
    <w:p w14:paraId="55AD6EAD">
      <w:pPr>
        <w:spacing w:line="500" w:lineRule="exact"/>
        <w:jc w:val="center"/>
        <w:rPr>
          <w:rFonts w:ascii="华文仿宋" w:hAnsi="华文仿宋" w:cs="华文仿宋"/>
          <w:b/>
          <w:bCs/>
          <w:color w:val="auto"/>
          <w:highlight w:val="none"/>
        </w:rPr>
      </w:pPr>
      <w:r>
        <w:rPr>
          <w:rFonts w:hint="eastAsia" w:ascii="华文仿宋" w:hAnsi="华文仿宋" w:cs="华文仿宋"/>
          <w:b/>
          <w:bCs/>
          <w:color w:val="auto"/>
          <w:highlight w:val="none"/>
        </w:rPr>
        <w:t>资格审查表</w:t>
      </w:r>
    </w:p>
    <w:tbl>
      <w:tblPr>
        <w:tblStyle w:val="25"/>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806"/>
        <w:gridCol w:w="994"/>
      </w:tblGrid>
      <w:tr w14:paraId="786A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jc w:val="center"/>
        </w:trPr>
        <w:tc>
          <w:tcPr>
            <w:tcW w:w="732" w:type="dxa"/>
            <w:noWrap w:val="0"/>
            <w:vAlign w:val="center"/>
          </w:tcPr>
          <w:p w14:paraId="4095898E">
            <w:pPr>
              <w:spacing w:line="300" w:lineRule="exact"/>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序号</w:t>
            </w:r>
          </w:p>
        </w:tc>
        <w:tc>
          <w:tcPr>
            <w:tcW w:w="1866" w:type="dxa"/>
            <w:noWrap w:val="0"/>
            <w:vAlign w:val="center"/>
          </w:tcPr>
          <w:p w14:paraId="2F5C78E5">
            <w:pPr>
              <w:spacing w:line="300" w:lineRule="exact"/>
              <w:jc w:val="center"/>
              <w:rPr>
                <w:rFonts w:ascii="仿宋" w:hAnsi="仿宋" w:eastAsia="仿宋" w:cs="Times New Roman"/>
                <w:b/>
                <w:bCs/>
                <w:color w:val="auto"/>
                <w:kern w:val="28"/>
                <w:sz w:val="24"/>
                <w:szCs w:val="24"/>
                <w:highlight w:val="none"/>
              </w:rPr>
            </w:pPr>
            <w:r>
              <w:rPr>
                <w:rFonts w:hint="eastAsia" w:ascii="仿宋" w:hAnsi="仿宋" w:eastAsia="仿宋" w:cs="仿宋"/>
                <w:b/>
                <w:bCs/>
                <w:color w:val="auto"/>
                <w:kern w:val="28"/>
                <w:sz w:val="24"/>
                <w:szCs w:val="24"/>
                <w:highlight w:val="none"/>
              </w:rPr>
              <w:t>资格审查项</w:t>
            </w:r>
          </w:p>
        </w:tc>
        <w:tc>
          <w:tcPr>
            <w:tcW w:w="4583" w:type="dxa"/>
            <w:noWrap w:val="0"/>
            <w:vAlign w:val="center"/>
          </w:tcPr>
          <w:p w14:paraId="359C7DCE">
            <w:pPr>
              <w:spacing w:line="300" w:lineRule="exact"/>
              <w:jc w:val="center"/>
              <w:rPr>
                <w:rFonts w:ascii="仿宋" w:hAnsi="仿宋" w:eastAsia="仿宋" w:cs="Times New Roman"/>
                <w:b/>
                <w:bCs/>
                <w:color w:val="auto"/>
                <w:kern w:val="28"/>
                <w:sz w:val="24"/>
                <w:szCs w:val="24"/>
                <w:highlight w:val="none"/>
              </w:rPr>
            </w:pPr>
            <w:r>
              <w:rPr>
                <w:rFonts w:hint="eastAsia" w:ascii="仿宋" w:hAnsi="仿宋" w:eastAsia="仿宋" w:cs="仿宋"/>
                <w:b/>
                <w:bCs/>
                <w:color w:val="auto"/>
                <w:kern w:val="28"/>
                <w:sz w:val="24"/>
                <w:szCs w:val="24"/>
                <w:highlight w:val="none"/>
              </w:rPr>
              <w:t>通过条件</w:t>
            </w:r>
          </w:p>
        </w:tc>
        <w:tc>
          <w:tcPr>
            <w:tcW w:w="806" w:type="dxa"/>
            <w:noWrap w:val="0"/>
            <w:vAlign w:val="center"/>
          </w:tcPr>
          <w:p w14:paraId="2B033B1C">
            <w:pPr>
              <w:spacing w:line="300" w:lineRule="exact"/>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结论</w:t>
            </w:r>
          </w:p>
        </w:tc>
        <w:tc>
          <w:tcPr>
            <w:tcW w:w="994" w:type="dxa"/>
            <w:noWrap w:val="0"/>
            <w:vAlign w:val="center"/>
          </w:tcPr>
          <w:p w14:paraId="6EB69065">
            <w:pPr>
              <w:spacing w:line="300" w:lineRule="exact"/>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不通过原因</w:t>
            </w:r>
          </w:p>
        </w:tc>
      </w:tr>
      <w:tr w14:paraId="2279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53AF145A">
            <w:pPr>
              <w:spacing w:line="24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c>
          <w:tcPr>
            <w:tcW w:w="1866" w:type="dxa"/>
            <w:noWrap w:val="0"/>
            <w:vAlign w:val="center"/>
          </w:tcPr>
          <w:p w14:paraId="2918F3CC">
            <w:pPr>
              <w:spacing w:line="320" w:lineRule="exact"/>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营业执照等主体资格证明文件</w:t>
            </w:r>
          </w:p>
        </w:tc>
        <w:tc>
          <w:tcPr>
            <w:tcW w:w="4583" w:type="dxa"/>
            <w:noWrap w:val="0"/>
            <w:vAlign w:val="center"/>
          </w:tcPr>
          <w:p w14:paraId="19BEAA78">
            <w:pPr>
              <w:spacing w:line="360" w:lineRule="exact"/>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提供有效存续的企业营业执照（副本）</w:t>
            </w:r>
            <w:r>
              <w:rPr>
                <w:rFonts w:ascii="仿宋" w:hAnsi="仿宋" w:eastAsia="仿宋" w:cs="仿宋"/>
                <w:color w:val="auto"/>
                <w:kern w:val="28"/>
                <w:sz w:val="24"/>
                <w:szCs w:val="24"/>
                <w:highlight w:val="none"/>
              </w:rPr>
              <w:t>/</w:t>
            </w:r>
            <w:r>
              <w:rPr>
                <w:rFonts w:hint="eastAsia" w:ascii="仿宋" w:hAnsi="仿宋" w:eastAsia="仿宋" w:cs="仿宋"/>
                <w:color w:val="auto"/>
                <w:kern w:val="28"/>
                <w:sz w:val="24"/>
                <w:szCs w:val="24"/>
                <w:highlight w:val="none"/>
              </w:rPr>
              <w:t>事业单位法人证书</w:t>
            </w:r>
            <w:r>
              <w:rPr>
                <w:rFonts w:ascii="仿宋" w:hAnsi="仿宋" w:eastAsia="仿宋" w:cs="仿宋"/>
                <w:color w:val="auto"/>
                <w:kern w:val="28"/>
                <w:sz w:val="24"/>
                <w:szCs w:val="24"/>
                <w:highlight w:val="none"/>
              </w:rPr>
              <w:t>/</w:t>
            </w:r>
            <w:r>
              <w:rPr>
                <w:rFonts w:hint="eastAsia" w:ascii="仿宋" w:hAnsi="仿宋" w:eastAsia="仿宋" w:cs="仿宋"/>
                <w:color w:val="auto"/>
                <w:kern w:val="28"/>
                <w:sz w:val="24"/>
                <w:szCs w:val="24"/>
                <w:highlight w:val="none"/>
              </w:rPr>
              <w:t>专业服务机构执业许可证</w:t>
            </w:r>
            <w:r>
              <w:rPr>
                <w:rFonts w:ascii="仿宋" w:hAnsi="仿宋" w:eastAsia="仿宋" w:cs="仿宋"/>
                <w:color w:val="auto"/>
                <w:kern w:val="28"/>
                <w:sz w:val="24"/>
                <w:szCs w:val="24"/>
                <w:highlight w:val="none"/>
              </w:rPr>
              <w:t>/</w:t>
            </w:r>
            <w:r>
              <w:rPr>
                <w:rFonts w:hint="eastAsia" w:ascii="仿宋" w:hAnsi="仿宋" w:eastAsia="仿宋" w:cs="仿宋"/>
                <w:color w:val="auto"/>
                <w:kern w:val="28"/>
                <w:sz w:val="24"/>
                <w:szCs w:val="24"/>
                <w:highlight w:val="none"/>
              </w:rPr>
              <w:t>民办非企业单位登记证书。</w:t>
            </w:r>
          </w:p>
        </w:tc>
        <w:tc>
          <w:tcPr>
            <w:tcW w:w="806" w:type="dxa"/>
            <w:noWrap w:val="0"/>
            <w:vAlign w:val="center"/>
          </w:tcPr>
          <w:p w14:paraId="2FE633F6">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01652632">
            <w:pPr>
              <w:spacing w:before="40" w:after="40" w:line="240" w:lineRule="auto"/>
              <w:rPr>
                <w:rFonts w:ascii="仿宋" w:hAnsi="仿宋" w:eastAsia="仿宋" w:cs="Times New Roman"/>
                <w:b/>
                <w:bCs/>
                <w:color w:val="auto"/>
                <w:sz w:val="24"/>
                <w:szCs w:val="24"/>
                <w:highlight w:val="none"/>
              </w:rPr>
            </w:pPr>
          </w:p>
        </w:tc>
      </w:tr>
      <w:tr w14:paraId="3FA8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42A4408E">
            <w:pPr>
              <w:spacing w:line="24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w:t>
            </w:r>
          </w:p>
        </w:tc>
        <w:tc>
          <w:tcPr>
            <w:tcW w:w="1866" w:type="dxa"/>
            <w:noWrap w:val="0"/>
            <w:vAlign w:val="center"/>
          </w:tcPr>
          <w:p w14:paraId="1AD8F1C3">
            <w:pPr>
              <w:spacing w:line="320" w:lineRule="exact"/>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财务状况报告</w:t>
            </w:r>
          </w:p>
        </w:tc>
        <w:tc>
          <w:tcPr>
            <w:tcW w:w="4583" w:type="dxa"/>
            <w:noWrap w:val="0"/>
            <w:vAlign w:val="center"/>
          </w:tcPr>
          <w:p w14:paraId="7271CC63">
            <w:pPr>
              <w:spacing w:line="360" w:lineRule="exact"/>
              <w:rPr>
                <w:rFonts w:hint="eastAsia"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（以下三种资料提供任</w:t>
            </w:r>
            <w:r>
              <w:rPr>
                <w:rFonts w:hint="eastAsia" w:ascii="仿宋" w:hAnsi="仿宋" w:eastAsia="仿宋" w:cs="Times New Roman"/>
                <w:color w:val="auto"/>
                <w:kern w:val="28"/>
                <w:sz w:val="24"/>
                <w:szCs w:val="24"/>
                <w:highlight w:val="none"/>
                <w:lang w:val="en-US" w:eastAsia="zh-CN"/>
              </w:rPr>
              <w:t>意</w:t>
            </w:r>
            <w:r>
              <w:rPr>
                <w:rFonts w:hint="eastAsia" w:ascii="仿宋" w:hAnsi="仿宋" w:eastAsia="仿宋" w:cs="Times New Roman"/>
                <w:color w:val="auto"/>
                <w:kern w:val="28"/>
                <w:sz w:val="24"/>
                <w:szCs w:val="24"/>
                <w:highlight w:val="none"/>
              </w:rPr>
              <w:t>一种即可）：</w:t>
            </w:r>
          </w:p>
          <w:p w14:paraId="73F9E495">
            <w:pPr>
              <w:spacing w:line="360" w:lineRule="exact"/>
              <w:rPr>
                <w:rFonts w:hint="eastAsia"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（1）提供递交投标文件截止之日前两年内任意一个年度经审计的财务报告（包括“四表一注”，即资产负债表、利润表、现金流量表、所有者权益变动表及其附注，符合《</w:t>
            </w:r>
            <w:r>
              <w:rPr>
                <w:rFonts w:hint="eastAsia" w:ascii="仿宋" w:hAnsi="仿宋" w:eastAsia="仿宋" w:cs="Times New Roman"/>
                <w:color w:val="auto"/>
                <w:kern w:val="28"/>
                <w:sz w:val="24"/>
                <w:szCs w:val="24"/>
                <w:highlight w:val="none"/>
              </w:rPr>
              <w:fldChar w:fldCharType="begin"/>
            </w:r>
            <w:r>
              <w:rPr>
                <w:rFonts w:hint="eastAsia" w:ascii="仿宋" w:hAnsi="仿宋" w:eastAsia="仿宋" w:cs="Times New Roman"/>
                <w:color w:val="auto"/>
                <w:kern w:val="28"/>
                <w:sz w:val="24"/>
                <w:szCs w:val="24"/>
                <w:highlight w:val="none"/>
              </w:rPr>
              <w:instrText xml:space="preserve"> HYPERLINK "https://baike.baidu.com/item/%E4%B8%AD%E5%B0%8F%E4%BC%81%E4%B8%9A%E5%88%92%E5%9E%8B%E6%A0%87%E5%87%86%E8%A7%84%E5%AE%9A/0?fromModule=lemma_inlink" \t "https://baike.baidu.com/item/%E5%B0%8F%E4%BC%81%E4%B8%9A%E4%BC%9A%E8%AE%A1%E5%87%86%E5%88%99/_blank" </w:instrText>
            </w:r>
            <w:r>
              <w:rPr>
                <w:rFonts w:hint="eastAsia" w:ascii="仿宋" w:hAnsi="仿宋" w:eastAsia="仿宋" w:cs="Times New Roman"/>
                <w:color w:val="auto"/>
                <w:kern w:val="28"/>
                <w:sz w:val="24"/>
                <w:szCs w:val="24"/>
                <w:highlight w:val="none"/>
              </w:rPr>
              <w:fldChar w:fldCharType="separate"/>
            </w:r>
            <w:r>
              <w:rPr>
                <w:rFonts w:hint="eastAsia" w:ascii="仿宋" w:hAnsi="仿宋" w:eastAsia="仿宋" w:cs="Times New Roman"/>
                <w:color w:val="auto"/>
                <w:kern w:val="28"/>
                <w:sz w:val="24"/>
                <w:szCs w:val="24"/>
                <w:highlight w:val="none"/>
              </w:rPr>
              <w:t>中小企业划型标准规定</w:t>
            </w:r>
            <w:r>
              <w:rPr>
                <w:rFonts w:hint="eastAsia" w:ascii="仿宋" w:hAnsi="仿宋" w:eastAsia="仿宋" w:cs="Times New Roman"/>
                <w:color w:val="auto"/>
                <w:kern w:val="28"/>
                <w:sz w:val="24"/>
                <w:szCs w:val="24"/>
                <w:highlight w:val="none"/>
              </w:rPr>
              <w:fldChar w:fldCharType="end"/>
            </w:r>
            <w:r>
              <w:rPr>
                <w:rFonts w:hint="eastAsia" w:ascii="仿宋" w:hAnsi="仿宋" w:eastAsia="仿宋" w:cs="Times New Roman"/>
                <w:color w:val="auto"/>
                <w:kern w:val="28"/>
                <w:sz w:val="24"/>
                <w:szCs w:val="24"/>
                <w:highlight w:val="none"/>
              </w:rPr>
              <w:t>》的小型企业按照《小企业会计准则》执行。成立时间至提交投标文件截止时间不足一年的可提供成立后任意时段的资产负债表）；</w:t>
            </w:r>
          </w:p>
          <w:p w14:paraId="042F12D7">
            <w:pPr>
              <w:spacing w:line="360" w:lineRule="exact"/>
              <w:rPr>
                <w:rFonts w:hint="eastAsia"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（2）其开标前三个月内基本开户银行出具的资信证明；</w:t>
            </w:r>
          </w:p>
          <w:p w14:paraId="35F0C4DC">
            <w:pPr>
              <w:spacing w:line="360" w:lineRule="exact"/>
              <w:rPr>
                <w:rFonts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（3）信用担保机构出具的投标担保函。</w:t>
            </w:r>
          </w:p>
        </w:tc>
        <w:tc>
          <w:tcPr>
            <w:tcW w:w="806" w:type="dxa"/>
            <w:noWrap w:val="0"/>
            <w:vAlign w:val="center"/>
          </w:tcPr>
          <w:p w14:paraId="45DFDAED">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5E835B68">
            <w:pPr>
              <w:spacing w:before="40" w:after="40" w:line="240" w:lineRule="auto"/>
              <w:rPr>
                <w:rFonts w:ascii="仿宋" w:hAnsi="仿宋" w:eastAsia="仿宋" w:cs="Times New Roman"/>
                <w:b/>
                <w:bCs/>
                <w:color w:val="auto"/>
                <w:sz w:val="24"/>
                <w:szCs w:val="24"/>
                <w:highlight w:val="none"/>
              </w:rPr>
            </w:pPr>
          </w:p>
        </w:tc>
      </w:tr>
      <w:tr w14:paraId="6DF4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708A5E05">
            <w:pPr>
              <w:spacing w:line="24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3</w:t>
            </w:r>
          </w:p>
        </w:tc>
        <w:tc>
          <w:tcPr>
            <w:tcW w:w="1866" w:type="dxa"/>
            <w:noWrap w:val="0"/>
            <w:vAlign w:val="center"/>
          </w:tcPr>
          <w:p w14:paraId="6136FAAD">
            <w:pPr>
              <w:spacing w:line="320" w:lineRule="exact"/>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社保缴纳证明</w:t>
            </w:r>
          </w:p>
        </w:tc>
        <w:tc>
          <w:tcPr>
            <w:tcW w:w="4583" w:type="dxa"/>
            <w:noWrap w:val="0"/>
            <w:vAlign w:val="center"/>
          </w:tcPr>
          <w:p w14:paraId="079B1DC3">
            <w:pPr>
              <w:spacing w:line="360" w:lineRule="exact"/>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提供递交投标文件截止之日前一年内任意一个月的社会保障资金缴存单据或社保机构开具的社会保险参保缴费情况证明。依法不需要缴纳社会保障资金的投标人应提供相关文件证明。</w:t>
            </w:r>
          </w:p>
        </w:tc>
        <w:tc>
          <w:tcPr>
            <w:tcW w:w="806" w:type="dxa"/>
            <w:noWrap w:val="0"/>
            <w:vAlign w:val="center"/>
          </w:tcPr>
          <w:p w14:paraId="6E6E20C1">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7DF7A89D">
            <w:pPr>
              <w:spacing w:before="40" w:after="40" w:line="240" w:lineRule="auto"/>
              <w:rPr>
                <w:rFonts w:ascii="仿宋" w:hAnsi="仿宋" w:eastAsia="仿宋" w:cs="Times New Roman"/>
                <w:b/>
                <w:bCs/>
                <w:color w:val="auto"/>
                <w:sz w:val="24"/>
                <w:szCs w:val="24"/>
                <w:highlight w:val="none"/>
              </w:rPr>
            </w:pPr>
          </w:p>
        </w:tc>
      </w:tr>
      <w:tr w14:paraId="2877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562527EE">
            <w:pPr>
              <w:spacing w:line="24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4</w:t>
            </w:r>
          </w:p>
        </w:tc>
        <w:tc>
          <w:tcPr>
            <w:tcW w:w="1866" w:type="dxa"/>
            <w:noWrap w:val="0"/>
            <w:vAlign w:val="center"/>
          </w:tcPr>
          <w:p w14:paraId="5F457C29">
            <w:pPr>
              <w:spacing w:line="320" w:lineRule="exact"/>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税收缴纳证明</w:t>
            </w:r>
          </w:p>
        </w:tc>
        <w:tc>
          <w:tcPr>
            <w:tcW w:w="4583" w:type="dxa"/>
            <w:noWrap w:val="0"/>
            <w:vAlign w:val="center"/>
          </w:tcPr>
          <w:p w14:paraId="6D8B2E2E">
            <w:pPr>
              <w:spacing w:line="360" w:lineRule="exact"/>
              <w:rPr>
                <w:rFonts w:ascii="仿宋" w:hAnsi="仿宋" w:eastAsia="仿宋" w:cs="Times New Roman"/>
                <w:color w:val="auto"/>
                <w:kern w:val="28"/>
                <w:sz w:val="24"/>
                <w:szCs w:val="24"/>
                <w:highlight w:val="none"/>
              </w:rPr>
            </w:pPr>
            <w:r>
              <w:rPr>
                <w:rFonts w:hint="eastAsia" w:ascii="仿宋" w:hAnsi="仿宋" w:eastAsia="仿宋" w:cs="Times New Roman"/>
                <w:color w:val="auto"/>
                <w:kern w:val="28"/>
                <w:sz w:val="24"/>
                <w:szCs w:val="24"/>
                <w:highlight w:val="none"/>
              </w:rPr>
              <w:t>提供递交投标文件截止之日前一年内任意一个月的依法缴纳税收的完税证明，完税证明应有税务机关或代收机关的公章或业务专用章。依法免税或无须缴纳税收的投标人，应提供相应证明文件。</w:t>
            </w:r>
          </w:p>
        </w:tc>
        <w:tc>
          <w:tcPr>
            <w:tcW w:w="806" w:type="dxa"/>
            <w:noWrap w:val="0"/>
            <w:vAlign w:val="center"/>
          </w:tcPr>
          <w:p w14:paraId="3ECD3DE3">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5EEE6B69">
            <w:pPr>
              <w:spacing w:before="40" w:after="40" w:line="240" w:lineRule="auto"/>
              <w:rPr>
                <w:rFonts w:ascii="仿宋" w:hAnsi="仿宋" w:eastAsia="仿宋" w:cs="Times New Roman"/>
                <w:b/>
                <w:bCs/>
                <w:color w:val="auto"/>
                <w:sz w:val="24"/>
                <w:szCs w:val="24"/>
                <w:highlight w:val="none"/>
              </w:rPr>
            </w:pPr>
          </w:p>
        </w:tc>
      </w:tr>
      <w:tr w14:paraId="0AF9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40BF3352">
            <w:pPr>
              <w:spacing w:line="240" w:lineRule="auto"/>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5</w:t>
            </w:r>
          </w:p>
        </w:tc>
        <w:tc>
          <w:tcPr>
            <w:tcW w:w="1866" w:type="dxa"/>
            <w:noWrap w:val="0"/>
            <w:vAlign w:val="center"/>
          </w:tcPr>
          <w:p w14:paraId="6421E09B">
            <w:pPr>
              <w:spacing w:line="320" w:lineRule="exact"/>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信用记录</w:t>
            </w:r>
          </w:p>
        </w:tc>
        <w:tc>
          <w:tcPr>
            <w:tcW w:w="4583" w:type="dxa"/>
            <w:noWrap w:val="0"/>
            <w:vAlign w:val="center"/>
          </w:tcPr>
          <w:p w14:paraId="6412B0B4">
            <w:pPr>
              <w:spacing w:line="360" w:lineRule="exact"/>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提供《</w:t>
            </w:r>
            <w:r>
              <w:rPr>
                <w:rFonts w:hint="eastAsia" w:ascii="仿宋" w:hAnsi="仿宋" w:eastAsia="仿宋" w:cs="仿宋"/>
                <w:color w:val="auto"/>
                <w:kern w:val="28"/>
                <w:sz w:val="24"/>
                <w:szCs w:val="24"/>
                <w:highlight w:val="none"/>
                <w:lang w:eastAsia="zh-CN"/>
              </w:rPr>
              <w:t>投标人</w:t>
            </w:r>
            <w:r>
              <w:rPr>
                <w:rFonts w:hint="eastAsia" w:ascii="仿宋" w:hAnsi="仿宋" w:eastAsia="仿宋" w:cs="仿宋"/>
                <w:color w:val="auto"/>
                <w:kern w:val="28"/>
                <w:sz w:val="24"/>
                <w:szCs w:val="24"/>
                <w:highlight w:val="none"/>
              </w:rPr>
              <w:t>信用记录书面声明函》。经查，投标人未被列入“信用中国”网站记录的“失信被执行人”或“重大税收违法案件当事人”名单；不处于“中国政府采购网”记录的“政府采购严重违法失信行为记录名单”中的禁止参加政府采购活动期间。</w:t>
            </w:r>
          </w:p>
        </w:tc>
        <w:tc>
          <w:tcPr>
            <w:tcW w:w="806" w:type="dxa"/>
            <w:noWrap w:val="0"/>
            <w:vAlign w:val="center"/>
          </w:tcPr>
          <w:p w14:paraId="3C939481">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4C0EBE39">
            <w:pPr>
              <w:spacing w:before="40" w:after="40" w:line="240" w:lineRule="auto"/>
              <w:rPr>
                <w:rFonts w:ascii="仿宋" w:hAnsi="仿宋" w:eastAsia="仿宋" w:cs="Times New Roman"/>
                <w:b/>
                <w:bCs/>
                <w:color w:val="auto"/>
                <w:sz w:val="24"/>
                <w:szCs w:val="24"/>
                <w:highlight w:val="none"/>
              </w:rPr>
            </w:pPr>
          </w:p>
        </w:tc>
      </w:tr>
      <w:tr w14:paraId="4C3E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354A40EF">
            <w:pPr>
              <w:spacing w:line="240" w:lineRule="auto"/>
              <w:jc w:val="center"/>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6</w:t>
            </w:r>
          </w:p>
        </w:tc>
        <w:tc>
          <w:tcPr>
            <w:tcW w:w="1866" w:type="dxa"/>
            <w:noWrap w:val="0"/>
            <w:vAlign w:val="center"/>
          </w:tcPr>
          <w:p w14:paraId="38BDC73C">
            <w:pPr>
              <w:spacing w:line="320" w:lineRule="exact"/>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控股管理关系</w:t>
            </w:r>
          </w:p>
        </w:tc>
        <w:tc>
          <w:tcPr>
            <w:tcW w:w="4583" w:type="dxa"/>
            <w:noWrap w:val="0"/>
            <w:vAlign w:val="center"/>
          </w:tcPr>
          <w:p w14:paraId="29461C4F">
            <w:pPr>
              <w:spacing w:line="360" w:lineRule="exact"/>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 xml:space="preserve">提供直接控股和管理关系清单。若与其他 </w:t>
            </w:r>
          </w:p>
          <w:p w14:paraId="3162F523">
            <w:pPr>
              <w:spacing w:line="360" w:lineRule="exact"/>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投标人存在单位负责人为同一人或者存在直接控股、管理关系的，则投标无效。</w:t>
            </w:r>
          </w:p>
        </w:tc>
        <w:tc>
          <w:tcPr>
            <w:tcW w:w="806" w:type="dxa"/>
            <w:noWrap w:val="0"/>
            <w:vAlign w:val="center"/>
          </w:tcPr>
          <w:p w14:paraId="54D7CF5B">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082352CC">
            <w:pPr>
              <w:spacing w:before="40" w:after="40" w:line="240" w:lineRule="auto"/>
              <w:rPr>
                <w:rFonts w:ascii="仿宋" w:hAnsi="仿宋" w:eastAsia="仿宋" w:cs="Times New Roman"/>
                <w:b/>
                <w:bCs/>
                <w:color w:val="auto"/>
                <w:sz w:val="24"/>
                <w:szCs w:val="24"/>
                <w:highlight w:val="none"/>
              </w:rPr>
            </w:pPr>
          </w:p>
        </w:tc>
      </w:tr>
      <w:tr w14:paraId="68A8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21FCC69F">
            <w:pPr>
              <w:spacing w:line="240" w:lineRule="auto"/>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1866" w:type="dxa"/>
            <w:noWrap w:val="0"/>
            <w:vAlign w:val="center"/>
          </w:tcPr>
          <w:p w14:paraId="12A21D51">
            <w:pPr>
              <w:spacing w:line="320" w:lineRule="exact"/>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书面声明</w:t>
            </w:r>
          </w:p>
        </w:tc>
        <w:tc>
          <w:tcPr>
            <w:tcW w:w="4583" w:type="dxa"/>
            <w:noWrap w:val="0"/>
            <w:vAlign w:val="center"/>
          </w:tcPr>
          <w:p w14:paraId="553A9F02">
            <w:pPr>
              <w:spacing w:line="360" w:lineRule="exact"/>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提供书面声明，包括声明具有履行合同所必需的设备和专业技术能力；未为本项目提供整体设计、规范编制或者项目管理、监理、检测等服务。</w:t>
            </w:r>
          </w:p>
        </w:tc>
        <w:tc>
          <w:tcPr>
            <w:tcW w:w="806" w:type="dxa"/>
            <w:noWrap w:val="0"/>
            <w:vAlign w:val="center"/>
          </w:tcPr>
          <w:p w14:paraId="74104E35">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63C09FC1">
            <w:pPr>
              <w:spacing w:before="40" w:after="40" w:line="240" w:lineRule="auto"/>
              <w:rPr>
                <w:rFonts w:ascii="仿宋" w:hAnsi="仿宋" w:eastAsia="仿宋" w:cs="Times New Roman"/>
                <w:b/>
                <w:bCs/>
                <w:color w:val="auto"/>
                <w:sz w:val="24"/>
                <w:szCs w:val="24"/>
                <w:highlight w:val="none"/>
              </w:rPr>
            </w:pPr>
          </w:p>
        </w:tc>
      </w:tr>
      <w:tr w14:paraId="29C7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08D7909A">
            <w:pPr>
              <w:spacing w:line="24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866" w:type="dxa"/>
            <w:noWrap w:val="0"/>
            <w:vAlign w:val="center"/>
          </w:tcPr>
          <w:p w14:paraId="0B6F5FD7">
            <w:pPr>
              <w:spacing w:line="320" w:lineRule="exact"/>
              <w:jc w:val="center"/>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法定代表人授权委托书</w:t>
            </w:r>
          </w:p>
        </w:tc>
        <w:tc>
          <w:tcPr>
            <w:tcW w:w="4583" w:type="dxa"/>
            <w:noWrap w:val="0"/>
            <w:vAlign w:val="center"/>
          </w:tcPr>
          <w:p w14:paraId="7C1612FE">
            <w:pPr>
              <w:spacing w:line="360" w:lineRule="exact"/>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法定代表人参加投标的，须提供本人身份证复印件（附在资格证明文件中）；法定代表人授权他人参加投标的，须提供法定代表人授权委托书。招标文件中凡是需要法定代表人盖章之处，非法人单位的负责人均参照执行。</w:t>
            </w:r>
          </w:p>
          <w:p w14:paraId="45E5F3D5">
            <w:pPr>
              <w:spacing w:line="360" w:lineRule="exact"/>
              <w:rPr>
                <w:rFonts w:ascii="仿宋" w:hAnsi="仿宋" w:eastAsia="仿宋" w:cs="Times New Roman"/>
                <w:color w:val="auto"/>
                <w:kern w:val="28"/>
                <w:sz w:val="24"/>
                <w:szCs w:val="24"/>
                <w:highlight w:val="none"/>
              </w:rPr>
            </w:pPr>
            <w:r>
              <w:rPr>
                <w:rFonts w:hint="eastAsia" w:ascii="仿宋" w:hAnsi="仿宋" w:eastAsia="仿宋" w:cs="仿宋"/>
                <w:color w:val="auto"/>
                <w:kern w:val="28"/>
                <w:sz w:val="24"/>
                <w:szCs w:val="24"/>
                <w:highlight w:val="none"/>
              </w:rPr>
              <w:t>法人的分支机构参与投标时，除提供《法定代表人授权委托书》外，还须同时提供法人给分支机构出具的授权书。</w:t>
            </w:r>
          </w:p>
        </w:tc>
        <w:tc>
          <w:tcPr>
            <w:tcW w:w="806" w:type="dxa"/>
            <w:noWrap w:val="0"/>
            <w:vAlign w:val="center"/>
          </w:tcPr>
          <w:p w14:paraId="2C2D9628">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62EA12FF">
            <w:pPr>
              <w:spacing w:before="40" w:after="40" w:line="240" w:lineRule="auto"/>
              <w:rPr>
                <w:rFonts w:ascii="仿宋" w:hAnsi="仿宋" w:eastAsia="仿宋" w:cs="Times New Roman"/>
                <w:b/>
                <w:bCs/>
                <w:color w:val="auto"/>
                <w:sz w:val="24"/>
                <w:szCs w:val="24"/>
                <w:highlight w:val="none"/>
              </w:rPr>
            </w:pPr>
          </w:p>
        </w:tc>
      </w:tr>
      <w:tr w14:paraId="1462B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6D402688">
            <w:pPr>
              <w:spacing w:line="24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866" w:type="dxa"/>
            <w:noWrap w:val="0"/>
            <w:vAlign w:val="center"/>
          </w:tcPr>
          <w:p w14:paraId="54858BBD">
            <w:pPr>
              <w:spacing w:line="320" w:lineRule="exact"/>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落实政府采购政策需满足的资格要求</w:t>
            </w:r>
          </w:p>
        </w:tc>
        <w:tc>
          <w:tcPr>
            <w:tcW w:w="4583" w:type="dxa"/>
            <w:noWrap w:val="0"/>
            <w:vAlign w:val="center"/>
          </w:tcPr>
          <w:p w14:paraId="0837D5B3">
            <w:pPr>
              <w:spacing w:line="360" w:lineRule="exact"/>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本项目为专门面向中小企业项目，投标人应为中型企业、小型企业、微型企业或监狱企业或残疾人福利性单位。投标人为中小企业的，提供《中小企业声明函》，且中小企业的划分标准所属行业为</w:t>
            </w:r>
            <w:r>
              <w:rPr>
                <w:rFonts w:hint="eastAsia" w:ascii="仿宋" w:hAnsi="仿宋" w:eastAsia="仿宋" w:cs="仿宋"/>
                <w:color w:val="auto"/>
                <w:kern w:val="28"/>
                <w:sz w:val="24"/>
                <w:szCs w:val="24"/>
                <w:highlight w:val="none"/>
                <w:lang w:val="en-US" w:eastAsia="zh-CN"/>
              </w:rPr>
              <w:t>软件和信息技术服务业</w:t>
            </w:r>
            <w:r>
              <w:rPr>
                <w:rFonts w:hint="eastAsia" w:ascii="仿宋" w:hAnsi="仿宋" w:eastAsia="仿宋" w:cs="仿宋"/>
                <w:color w:val="auto"/>
                <w:kern w:val="28"/>
                <w:sz w:val="24"/>
                <w:szCs w:val="24"/>
                <w:highlight w:val="none"/>
              </w:rPr>
              <w:t>；投标人为监狱企业的，应提供监狱企业的证明文件；投标人为残疾人福利性单位的，应提供《残疾人福利性单位声明函》（监狱企业或残疾人福利性单位视同小型、微型企业）。</w:t>
            </w:r>
          </w:p>
        </w:tc>
        <w:tc>
          <w:tcPr>
            <w:tcW w:w="806" w:type="dxa"/>
            <w:noWrap w:val="0"/>
            <w:vAlign w:val="center"/>
          </w:tcPr>
          <w:p w14:paraId="05A900BE">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06A028D4">
            <w:pPr>
              <w:spacing w:before="40" w:after="40" w:line="240" w:lineRule="auto"/>
              <w:rPr>
                <w:rFonts w:ascii="仿宋" w:hAnsi="仿宋" w:eastAsia="仿宋" w:cs="Times New Roman"/>
                <w:b/>
                <w:bCs/>
                <w:color w:val="auto"/>
                <w:sz w:val="24"/>
                <w:szCs w:val="24"/>
                <w:highlight w:val="none"/>
              </w:rPr>
            </w:pPr>
          </w:p>
        </w:tc>
      </w:tr>
      <w:tr w14:paraId="4882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noWrap w:val="0"/>
            <w:vAlign w:val="center"/>
          </w:tcPr>
          <w:p w14:paraId="6F2630FC">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866" w:type="dxa"/>
            <w:noWrap w:val="0"/>
            <w:vAlign w:val="center"/>
          </w:tcPr>
          <w:p w14:paraId="767190EE">
            <w:pPr>
              <w:spacing w:line="320" w:lineRule="exact"/>
              <w:jc w:val="center"/>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本项目不接受联合体投标，不允许分包</w:t>
            </w:r>
          </w:p>
        </w:tc>
        <w:tc>
          <w:tcPr>
            <w:tcW w:w="4583" w:type="dxa"/>
            <w:noWrap w:val="0"/>
            <w:vAlign w:val="center"/>
          </w:tcPr>
          <w:p w14:paraId="2FA7E9F3">
            <w:pPr>
              <w:spacing w:line="360" w:lineRule="exact"/>
              <w:rPr>
                <w:rFonts w:ascii="仿宋" w:hAnsi="仿宋" w:eastAsia="仿宋" w:cs="仿宋"/>
                <w:color w:val="auto"/>
                <w:kern w:val="28"/>
                <w:sz w:val="24"/>
                <w:szCs w:val="24"/>
                <w:highlight w:val="none"/>
              </w:rPr>
            </w:pPr>
            <w:r>
              <w:rPr>
                <w:rFonts w:hint="eastAsia" w:ascii="仿宋" w:hAnsi="仿宋" w:eastAsia="仿宋" w:cs="仿宋"/>
                <w:color w:val="auto"/>
                <w:kern w:val="28"/>
                <w:sz w:val="24"/>
                <w:szCs w:val="24"/>
                <w:highlight w:val="none"/>
              </w:rPr>
              <w:t>投标人应提供《非联合体不分包投标声明》，视为独立投标，不分包。</w:t>
            </w:r>
          </w:p>
        </w:tc>
        <w:tc>
          <w:tcPr>
            <w:tcW w:w="806" w:type="dxa"/>
            <w:noWrap w:val="0"/>
            <w:vAlign w:val="center"/>
          </w:tcPr>
          <w:p w14:paraId="107CE028">
            <w:pPr>
              <w:spacing w:before="40" w:after="40" w:line="240" w:lineRule="auto"/>
              <w:rPr>
                <w:rFonts w:ascii="仿宋" w:hAnsi="仿宋" w:eastAsia="仿宋" w:cs="Times New Roman"/>
                <w:b/>
                <w:bCs/>
                <w:color w:val="auto"/>
                <w:sz w:val="24"/>
                <w:szCs w:val="24"/>
                <w:highlight w:val="none"/>
              </w:rPr>
            </w:pPr>
          </w:p>
        </w:tc>
        <w:tc>
          <w:tcPr>
            <w:tcW w:w="994" w:type="dxa"/>
            <w:noWrap w:val="0"/>
            <w:vAlign w:val="center"/>
          </w:tcPr>
          <w:p w14:paraId="0E929F61">
            <w:pPr>
              <w:spacing w:before="40" w:after="40" w:line="240" w:lineRule="auto"/>
              <w:rPr>
                <w:rFonts w:ascii="仿宋" w:hAnsi="仿宋" w:eastAsia="仿宋" w:cs="Times New Roman"/>
                <w:b/>
                <w:bCs/>
                <w:color w:val="auto"/>
                <w:sz w:val="24"/>
                <w:szCs w:val="24"/>
                <w:highlight w:val="none"/>
              </w:rPr>
            </w:pPr>
          </w:p>
        </w:tc>
      </w:tr>
      <w:tr w14:paraId="4E42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8981" w:type="dxa"/>
            <w:gridSpan w:val="5"/>
            <w:noWrap w:val="0"/>
            <w:vAlign w:val="center"/>
          </w:tcPr>
          <w:p w14:paraId="7C4D2BC7">
            <w:pPr>
              <w:spacing w:line="240" w:lineRule="auto"/>
              <w:rPr>
                <w:rFonts w:ascii="仿宋" w:hAnsi="仿宋" w:eastAsia="仿宋" w:cs="Times New Roman"/>
                <w:b/>
                <w:bCs/>
                <w:color w:val="auto"/>
                <w:sz w:val="24"/>
                <w:szCs w:val="24"/>
                <w:highlight w:val="none"/>
              </w:rPr>
            </w:pPr>
            <w:r>
              <w:rPr>
                <w:rFonts w:hint="eastAsia" w:ascii="仿宋" w:hAnsi="仿宋" w:eastAsia="仿宋" w:cs="仿宋"/>
                <w:b/>
                <w:bCs/>
                <w:color w:val="auto"/>
                <w:kern w:val="0"/>
                <w:sz w:val="24"/>
                <w:szCs w:val="24"/>
                <w:highlight w:val="none"/>
              </w:rPr>
              <w:t>资格审查小组成员：（签字或盖章）</w:t>
            </w:r>
          </w:p>
        </w:tc>
      </w:tr>
    </w:tbl>
    <w:p w14:paraId="417A9BC9">
      <w:pPr>
        <w:pStyle w:val="3"/>
        <w:spacing w:line="500" w:lineRule="exact"/>
        <w:ind w:firstLine="646" w:firstLineChars="200"/>
        <w:rPr>
          <w:rFonts w:hint="eastAsia" w:ascii="华文仿宋" w:hAnsi="华文仿宋" w:cs="华文仿宋"/>
          <w:color w:val="auto"/>
          <w:sz w:val="28"/>
          <w:szCs w:val="28"/>
          <w:highlight w:val="none"/>
        </w:rPr>
      </w:pPr>
      <w:bookmarkStart w:id="290" w:name="_Toc25181"/>
      <w:bookmarkStart w:id="291" w:name="_Toc28896"/>
      <w:bookmarkStart w:id="292" w:name="_Toc2712"/>
      <w:bookmarkStart w:id="293" w:name="_Toc2809"/>
      <w:bookmarkStart w:id="294" w:name="_Toc3753"/>
      <w:bookmarkStart w:id="295" w:name="_Toc1691"/>
      <w:bookmarkStart w:id="296" w:name="_Toc28947"/>
      <w:bookmarkStart w:id="297" w:name="_Toc22102"/>
      <w:bookmarkStart w:id="298" w:name="_Toc325"/>
      <w:bookmarkStart w:id="299" w:name="_Toc18391"/>
      <w:bookmarkStart w:id="300" w:name="_Toc18735"/>
      <w:bookmarkStart w:id="301" w:name="_Toc1559"/>
      <w:bookmarkStart w:id="302" w:name="_Toc16965"/>
      <w:bookmarkStart w:id="303" w:name="_Toc29773"/>
      <w:r>
        <w:rPr>
          <w:rFonts w:hint="eastAsia" w:ascii="华文仿宋" w:hAnsi="华文仿宋" w:cs="华文仿宋"/>
          <w:color w:val="auto"/>
          <w:highlight w:val="none"/>
        </w:rPr>
        <w:br w:type="page"/>
      </w:r>
      <w:bookmarkStart w:id="304" w:name="_Toc6093"/>
      <w:bookmarkStart w:id="305" w:name="_Toc13014"/>
      <w:r>
        <w:rPr>
          <w:rFonts w:hint="eastAsia" w:ascii="华文仿宋" w:hAnsi="华文仿宋" w:cs="华文仿宋"/>
          <w:color w:val="auto"/>
          <w:sz w:val="28"/>
          <w:szCs w:val="28"/>
          <w:highlight w:val="none"/>
        </w:rPr>
        <w:t>二、符合性审查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95E6EB1">
      <w:pPr>
        <w:jc w:val="center"/>
        <w:rPr>
          <w:rFonts w:hint="eastAsia" w:ascii="华文仿宋" w:hAnsi="华文仿宋" w:cs="华文仿宋"/>
          <w:b/>
          <w:bCs/>
          <w:color w:val="auto"/>
          <w:highlight w:val="none"/>
        </w:rPr>
      </w:pPr>
      <w:r>
        <w:rPr>
          <w:rFonts w:hint="eastAsia" w:ascii="华文仿宋" w:hAnsi="华文仿宋" w:cs="华文仿宋"/>
          <w:b/>
          <w:bCs/>
          <w:color w:val="auto"/>
          <w:highlight w:val="none"/>
        </w:rPr>
        <w:t>符合性审查表</w:t>
      </w:r>
    </w:p>
    <w:tbl>
      <w:tblPr>
        <w:tblStyle w:val="25"/>
        <w:tblpPr w:leftFromText="180" w:rightFromText="180" w:vertAnchor="text" w:horzAnchor="page" w:tblpX="1551" w:tblpY="70"/>
        <w:tblOverlap w:val="never"/>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460"/>
        <w:gridCol w:w="4200"/>
        <w:gridCol w:w="769"/>
        <w:gridCol w:w="1005"/>
      </w:tblGrid>
      <w:tr w14:paraId="2C2C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dxa"/>
            <w:noWrap w:val="0"/>
            <w:vAlign w:val="center"/>
          </w:tcPr>
          <w:p w14:paraId="532EDF0C">
            <w:pPr>
              <w:spacing w:line="380" w:lineRule="exact"/>
              <w:jc w:val="center"/>
              <w:rPr>
                <w:rFonts w:ascii="仿宋" w:hAnsi="仿宋" w:eastAsia="仿宋" w:cs="Times New Roman"/>
                <w:b/>
                <w:bCs/>
                <w:color w:val="auto"/>
                <w:kern w:val="0"/>
                <w:sz w:val="24"/>
                <w:szCs w:val="24"/>
                <w:highlight w:val="none"/>
              </w:rPr>
            </w:pPr>
            <w:r>
              <w:rPr>
                <w:rFonts w:hint="eastAsia" w:ascii="仿宋" w:hAnsi="仿宋" w:eastAsia="仿宋" w:cs="仿宋"/>
                <w:b/>
                <w:bCs/>
                <w:color w:val="auto"/>
                <w:kern w:val="0"/>
                <w:sz w:val="24"/>
                <w:szCs w:val="24"/>
                <w:highlight w:val="none"/>
              </w:rPr>
              <w:t>序号</w:t>
            </w:r>
          </w:p>
        </w:tc>
        <w:tc>
          <w:tcPr>
            <w:tcW w:w="2460" w:type="dxa"/>
            <w:noWrap w:val="0"/>
            <w:vAlign w:val="center"/>
          </w:tcPr>
          <w:p w14:paraId="4AEFF9F3">
            <w:pPr>
              <w:spacing w:line="380" w:lineRule="exact"/>
              <w:jc w:val="center"/>
              <w:rPr>
                <w:rFonts w:ascii="仿宋" w:hAnsi="仿宋" w:eastAsia="仿宋" w:cs="Times New Roman"/>
                <w:b/>
                <w:bCs/>
                <w:color w:val="auto"/>
                <w:kern w:val="0"/>
                <w:sz w:val="24"/>
                <w:szCs w:val="24"/>
                <w:highlight w:val="none"/>
              </w:rPr>
            </w:pPr>
            <w:r>
              <w:rPr>
                <w:rFonts w:hint="eastAsia" w:ascii="仿宋" w:hAnsi="仿宋" w:eastAsia="仿宋" w:cs="仿宋"/>
                <w:b/>
                <w:bCs/>
                <w:color w:val="auto"/>
                <w:kern w:val="0"/>
                <w:sz w:val="24"/>
                <w:szCs w:val="24"/>
                <w:highlight w:val="none"/>
              </w:rPr>
              <w:t>符合性审查项</w:t>
            </w:r>
          </w:p>
        </w:tc>
        <w:tc>
          <w:tcPr>
            <w:tcW w:w="4200" w:type="dxa"/>
            <w:noWrap w:val="0"/>
            <w:vAlign w:val="center"/>
          </w:tcPr>
          <w:p w14:paraId="0FDF1F7C">
            <w:pPr>
              <w:spacing w:line="380" w:lineRule="exact"/>
              <w:jc w:val="center"/>
              <w:rPr>
                <w:rFonts w:ascii="仿宋" w:hAnsi="仿宋" w:eastAsia="仿宋" w:cs="Times New Roman"/>
                <w:b/>
                <w:bCs/>
                <w:color w:val="auto"/>
                <w:kern w:val="0"/>
                <w:sz w:val="24"/>
                <w:szCs w:val="24"/>
                <w:highlight w:val="none"/>
              </w:rPr>
            </w:pPr>
            <w:r>
              <w:rPr>
                <w:rFonts w:hint="eastAsia" w:ascii="仿宋" w:hAnsi="仿宋" w:eastAsia="仿宋" w:cs="仿宋"/>
                <w:b/>
                <w:bCs/>
                <w:color w:val="auto"/>
                <w:kern w:val="0"/>
                <w:sz w:val="24"/>
                <w:szCs w:val="24"/>
                <w:highlight w:val="none"/>
              </w:rPr>
              <w:t>通过条件</w:t>
            </w:r>
          </w:p>
        </w:tc>
        <w:tc>
          <w:tcPr>
            <w:tcW w:w="769" w:type="dxa"/>
            <w:noWrap w:val="0"/>
            <w:vAlign w:val="center"/>
          </w:tcPr>
          <w:p w14:paraId="361193CC">
            <w:pPr>
              <w:spacing w:line="380" w:lineRule="exact"/>
              <w:jc w:val="center"/>
              <w:rPr>
                <w:rFonts w:ascii="仿宋" w:hAnsi="仿宋" w:eastAsia="仿宋" w:cs="Times New Roman"/>
                <w:b/>
                <w:bCs/>
                <w:color w:val="auto"/>
                <w:kern w:val="0"/>
                <w:sz w:val="24"/>
                <w:szCs w:val="24"/>
                <w:highlight w:val="none"/>
              </w:rPr>
            </w:pPr>
            <w:r>
              <w:rPr>
                <w:rFonts w:hint="eastAsia" w:ascii="仿宋" w:hAnsi="仿宋" w:eastAsia="仿宋" w:cs="仿宋"/>
                <w:b/>
                <w:bCs/>
                <w:color w:val="auto"/>
                <w:kern w:val="0"/>
                <w:sz w:val="24"/>
                <w:szCs w:val="24"/>
                <w:highlight w:val="none"/>
              </w:rPr>
              <w:t>结论</w:t>
            </w:r>
          </w:p>
        </w:tc>
        <w:tc>
          <w:tcPr>
            <w:tcW w:w="1005" w:type="dxa"/>
            <w:noWrap w:val="0"/>
            <w:vAlign w:val="center"/>
          </w:tcPr>
          <w:p w14:paraId="45EDB391">
            <w:pPr>
              <w:spacing w:line="380" w:lineRule="exact"/>
              <w:jc w:val="center"/>
              <w:rPr>
                <w:rFonts w:ascii="仿宋" w:hAnsi="仿宋" w:eastAsia="仿宋" w:cs="Times New Roman"/>
                <w:b/>
                <w:bCs/>
                <w:color w:val="auto"/>
                <w:kern w:val="0"/>
                <w:sz w:val="24"/>
                <w:szCs w:val="24"/>
                <w:highlight w:val="none"/>
              </w:rPr>
            </w:pPr>
            <w:r>
              <w:rPr>
                <w:rFonts w:hint="eastAsia" w:ascii="仿宋" w:hAnsi="仿宋" w:eastAsia="仿宋" w:cs="仿宋"/>
                <w:b/>
                <w:bCs/>
                <w:color w:val="auto"/>
                <w:kern w:val="0"/>
                <w:sz w:val="24"/>
                <w:szCs w:val="24"/>
                <w:highlight w:val="none"/>
              </w:rPr>
              <w:t>未通过原因</w:t>
            </w:r>
          </w:p>
        </w:tc>
      </w:tr>
      <w:tr w14:paraId="6562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531" w:type="dxa"/>
            <w:noWrap w:val="0"/>
            <w:vAlign w:val="center"/>
          </w:tcPr>
          <w:p w14:paraId="7AE91879">
            <w:pPr>
              <w:spacing w:line="380" w:lineRule="exact"/>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1</w:t>
            </w:r>
          </w:p>
        </w:tc>
        <w:tc>
          <w:tcPr>
            <w:tcW w:w="2460" w:type="dxa"/>
            <w:noWrap w:val="0"/>
            <w:vAlign w:val="center"/>
          </w:tcPr>
          <w:p w14:paraId="49821E14">
            <w:pPr>
              <w:spacing w:line="380" w:lineRule="exact"/>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投标文件语言及有效期</w:t>
            </w:r>
          </w:p>
        </w:tc>
        <w:tc>
          <w:tcPr>
            <w:tcW w:w="4200" w:type="dxa"/>
            <w:noWrap w:val="0"/>
            <w:vAlign w:val="center"/>
          </w:tcPr>
          <w:p w14:paraId="1ED0EAE6">
            <w:pPr>
              <w:spacing w:line="380" w:lineRule="exac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投标文件语言及有效期符合招标文件要求。</w:t>
            </w:r>
          </w:p>
        </w:tc>
        <w:tc>
          <w:tcPr>
            <w:tcW w:w="769" w:type="dxa"/>
            <w:noWrap w:val="0"/>
            <w:vAlign w:val="center"/>
          </w:tcPr>
          <w:p w14:paraId="69E81900">
            <w:pPr>
              <w:spacing w:line="380" w:lineRule="exact"/>
              <w:jc w:val="center"/>
              <w:rPr>
                <w:rFonts w:ascii="仿宋" w:hAnsi="仿宋" w:eastAsia="仿宋" w:cs="Times New Roman"/>
                <w:b/>
                <w:bCs/>
                <w:color w:val="auto"/>
                <w:kern w:val="0"/>
                <w:sz w:val="24"/>
                <w:szCs w:val="24"/>
                <w:highlight w:val="none"/>
              </w:rPr>
            </w:pPr>
          </w:p>
        </w:tc>
        <w:tc>
          <w:tcPr>
            <w:tcW w:w="1005" w:type="dxa"/>
            <w:noWrap w:val="0"/>
            <w:vAlign w:val="center"/>
          </w:tcPr>
          <w:p w14:paraId="36A6E065">
            <w:pPr>
              <w:spacing w:line="380" w:lineRule="exact"/>
              <w:jc w:val="center"/>
              <w:rPr>
                <w:rFonts w:ascii="仿宋" w:hAnsi="仿宋" w:eastAsia="仿宋" w:cs="Times New Roman"/>
                <w:b/>
                <w:bCs/>
                <w:color w:val="auto"/>
                <w:kern w:val="0"/>
                <w:sz w:val="24"/>
                <w:szCs w:val="24"/>
                <w:highlight w:val="none"/>
              </w:rPr>
            </w:pPr>
          </w:p>
        </w:tc>
      </w:tr>
      <w:tr w14:paraId="5D07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531" w:type="dxa"/>
            <w:noWrap w:val="0"/>
            <w:vAlign w:val="center"/>
          </w:tcPr>
          <w:p w14:paraId="554A1292">
            <w:pPr>
              <w:spacing w:line="380" w:lineRule="exact"/>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2</w:t>
            </w:r>
          </w:p>
        </w:tc>
        <w:tc>
          <w:tcPr>
            <w:tcW w:w="2460" w:type="dxa"/>
            <w:noWrap w:val="0"/>
            <w:vAlign w:val="center"/>
          </w:tcPr>
          <w:p w14:paraId="6D22911B">
            <w:pPr>
              <w:spacing w:line="380" w:lineRule="exact"/>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投标文件封面、投标函、法定代表人授权委托书三处的项目名称、项目编号、标段名称编号</w:t>
            </w:r>
          </w:p>
        </w:tc>
        <w:tc>
          <w:tcPr>
            <w:tcW w:w="4200" w:type="dxa"/>
            <w:noWrap w:val="0"/>
            <w:vAlign w:val="center"/>
          </w:tcPr>
          <w:p w14:paraId="318DDB1E">
            <w:pPr>
              <w:spacing w:line="380" w:lineRule="exac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三处均无遗漏，且与所投项目名称、项目编号、标段名称编号一致。</w:t>
            </w:r>
          </w:p>
        </w:tc>
        <w:tc>
          <w:tcPr>
            <w:tcW w:w="769" w:type="dxa"/>
            <w:noWrap w:val="0"/>
            <w:vAlign w:val="center"/>
          </w:tcPr>
          <w:p w14:paraId="3F90F892">
            <w:pPr>
              <w:spacing w:line="380" w:lineRule="exact"/>
              <w:jc w:val="center"/>
              <w:rPr>
                <w:rFonts w:ascii="仿宋" w:hAnsi="仿宋" w:eastAsia="仿宋" w:cs="Times New Roman"/>
                <w:b/>
                <w:bCs/>
                <w:color w:val="auto"/>
                <w:kern w:val="0"/>
                <w:sz w:val="24"/>
                <w:szCs w:val="24"/>
                <w:highlight w:val="none"/>
              </w:rPr>
            </w:pPr>
          </w:p>
        </w:tc>
        <w:tc>
          <w:tcPr>
            <w:tcW w:w="1005" w:type="dxa"/>
            <w:noWrap w:val="0"/>
            <w:vAlign w:val="center"/>
          </w:tcPr>
          <w:p w14:paraId="57BE2FA8">
            <w:pPr>
              <w:spacing w:line="380" w:lineRule="exact"/>
              <w:jc w:val="center"/>
              <w:rPr>
                <w:rFonts w:ascii="仿宋" w:hAnsi="仿宋" w:eastAsia="仿宋" w:cs="Times New Roman"/>
                <w:b/>
                <w:bCs/>
                <w:color w:val="auto"/>
                <w:kern w:val="0"/>
                <w:sz w:val="24"/>
                <w:szCs w:val="24"/>
                <w:highlight w:val="none"/>
              </w:rPr>
            </w:pPr>
          </w:p>
        </w:tc>
      </w:tr>
      <w:tr w14:paraId="2226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dxa"/>
            <w:noWrap w:val="0"/>
            <w:vAlign w:val="center"/>
          </w:tcPr>
          <w:p w14:paraId="10A7AFEB">
            <w:pPr>
              <w:spacing w:line="380" w:lineRule="exact"/>
              <w:jc w:val="center"/>
              <w:rPr>
                <w:rFonts w:ascii="仿宋" w:hAnsi="仿宋" w:eastAsia="仿宋" w:cs="仿宋"/>
                <w:color w:val="auto"/>
                <w:kern w:val="0"/>
                <w:sz w:val="24"/>
                <w:szCs w:val="24"/>
                <w:highlight w:val="none"/>
              </w:rPr>
            </w:pPr>
            <w:r>
              <w:rPr>
                <w:rFonts w:ascii="仿宋" w:hAnsi="仿宋" w:eastAsia="仿宋" w:cs="仿宋"/>
                <w:color w:val="auto"/>
                <w:kern w:val="0"/>
                <w:sz w:val="24"/>
                <w:szCs w:val="24"/>
                <w:highlight w:val="none"/>
              </w:rPr>
              <w:t>3</w:t>
            </w:r>
          </w:p>
        </w:tc>
        <w:tc>
          <w:tcPr>
            <w:tcW w:w="2460" w:type="dxa"/>
            <w:noWrap w:val="0"/>
            <w:vAlign w:val="center"/>
          </w:tcPr>
          <w:p w14:paraId="4814746B">
            <w:pPr>
              <w:spacing w:line="380" w:lineRule="exact"/>
              <w:jc w:val="left"/>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投标文件签署、盖章</w:t>
            </w:r>
          </w:p>
        </w:tc>
        <w:tc>
          <w:tcPr>
            <w:tcW w:w="4200" w:type="dxa"/>
            <w:noWrap w:val="0"/>
            <w:vAlign w:val="center"/>
          </w:tcPr>
          <w:p w14:paraId="00004C1D">
            <w:pPr>
              <w:spacing w:line="380" w:lineRule="exact"/>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均按招标文件要求签字、盖章（评分标准中要求提供的证明材料除外）。</w:t>
            </w:r>
          </w:p>
        </w:tc>
        <w:tc>
          <w:tcPr>
            <w:tcW w:w="769" w:type="dxa"/>
            <w:noWrap w:val="0"/>
            <w:vAlign w:val="center"/>
          </w:tcPr>
          <w:p w14:paraId="54E90304">
            <w:pPr>
              <w:spacing w:line="380" w:lineRule="exact"/>
              <w:jc w:val="center"/>
              <w:rPr>
                <w:rFonts w:ascii="仿宋" w:hAnsi="仿宋" w:eastAsia="仿宋" w:cs="Times New Roman"/>
                <w:b/>
                <w:bCs/>
                <w:color w:val="auto"/>
                <w:kern w:val="0"/>
                <w:sz w:val="24"/>
                <w:szCs w:val="24"/>
                <w:highlight w:val="none"/>
              </w:rPr>
            </w:pPr>
          </w:p>
        </w:tc>
        <w:tc>
          <w:tcPr>
            <w:tcW w:w="1005" w:type="dxa"/>
            <w:noWrap w:val="0"/>
            <w:vAlign w:val="center"/>
          </w:tcPr>
          <w:p w14:paraId="7A578836">
            <w:pPr>
              <w:spacing w:line="380" w:lineRule="exact"/>
              <w:jc w:val="center"/>
              <w:rPr>
                <w:rFonts w:ascii="仿宋" w:hAnsi="仿宋" w:eastAsia="仿宋" w:cs="Times New Roman"/>
                <w:b/>
                <w:bCs/>
                <w:color w:val="auto"/>
                <w:kern w:val="0"/>
                <w:sz w:val="24"/>
                <w:szCs w:val="24"/>
                <w:highlight w:val="none"/>
              </w:rPr>
            </w:pPr>
          </w:p>
        </w:tc>
      </w:tr>
      <w:tr w14:paraId="1CEF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dxa"/>
            <w:noWrap w:val="0"/>
            <w:vAlign w:val="center"/>
          </w:tcPr>
          <w:p w14:paraId="5D8F60E4">
            <w:pPr>
              <w:spacing w:line="38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p>
        </w:tc>
        <w:tc>
          <w:tcPr>
            <w:tcW w:w="2460" w:type="dxa"/>
            <w:noWrap w:val="0"/>
            <w:vAlign w:val="center"/>
          </w:tcPr>
          <w:p w14:paraId="128200CF">
            <w:pPr>
              <w:spacing w:line="380" w:lineRule="exact"/>
              <w:jc w:val="center"/>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开标一览表</w:t>
            </w:r>
          </w:p>
        </w:tc>
        <w:tc>
          <w:tcPr>
            <w:tcW w:w="4200" w:type="dxa"/>
            <w:noWrap w:val="0"/>
            <w:vAlign w:val="center"/>
          </w:tcPr>
          <w:p w14:paraId="4232F360">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（1）投标报价符合唯一性要求：</w:t>
            </w:r>
          </w:p>
          <w:p w14:paraId="0A3262F3">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（2）开标一览表填写符合要求；</w:t>
            </w:r>
          </w:p>
          <w:p w14:paraId="448922FA">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（3）计量单位、报价货币均符合招标文件要求；</w:t>
            </w:r>
          </w:p>
          <w:p w14:paraId="0E08C284">
            <w:pPr>
              <w:spacing w:line="380" w:lineRule="exact"/>
              <w:rPr>
                <w:rFonts w:ascii="仿宋" w:hAnsi="仿宋" w:eastAsia="仿宋" w:cs="Times New Roman"/>
                <w:b/>
                <w:bCs/>
                <w:color w:val="auto"/>
                <w:kern w:val="0"/>
                <w:sz w:val="24"/>
                <w:szCs w:val="24"/>
                <w:highlight w:val="none"/>
              </w:rPr>
            </w:pPr>
            <w:r>
              <w:rPr>
                <w:rFonts w:hint="eastAsia" w:ascii="仿宋" w:hAnsi="仿宋" w:eastAsia="仿宋" w:cs="仿宋"/>
                <w:color w:val="auto"/>
                <w:sz w:val="24"/>
                <w:szCs w:val="24"/>
                <w:highlight w:val="none"/>
              </w:rPr>
              <w:t>（4）未超出采购预算或招标文件规定的最高限价。</w:t>
            </w:r>
          </w:p>
        </w:tc>
        <w:tc>
          <w:tcPr>
            <w:tcW w:w="769" w:type="dxa"/>
            <w:noWrap w:val="0"/>
            <w:vAlign w:val="center"/>
          </w:tcPr>
          <w:p w14:paraId="689570D1">
            <w:pPr>
              <w:spacing w:line="380" w:lineRule="exact"/>
              <w:jc w:val="center"/>
              <w:rPr>
                <w:rFonts w:ascii="仿宋" w:hAnsi="仿宋" w:eastAsia="仿宋" w:cs="Times New Roman"/>
                <w:b/>
                <w:bCs/>
                <w:color w:val="auto"/>
                <w:kern w:val="0"/>
                <w:sz w:val="24"/>
                <w:szCs w:val="24"/>
                <w:highlight w:val="none"/>
              </w:rPr>
            </w:pPr>
          </w:p>
        </w:tc>
        <w:tc>
          <w:tcPr>
            <w:tcW w:w="1005" w:type="dxa"/>
            <w:noWrap w:val="0"/>
            <w:vAlign w:val="center"/>
          </w:tcPr>
          <w:p w14:paraId="58BB6566">
            <w:pPr>
              <w:spacing w:line="380" w:lineRule="exact"/>
              <w:jc w:val="center"/>
              <w:rPr>
                <w:rFonts w:ascii="仿宋" w:hAnsi="仿宋" w:eastAsia="仿宋" w:cs="Times New Roman"/>
                <w:b/>
                <w:bCs/>
                <w:color w:val="auto"/>
                <w:kern w:val="0"/>
                <w:sz w:val="24"/>
                <w:szCs w:val="24"/>
                <w:highlight w:val="none"/>
              </w:rPr>
            </w:pPr>
          </w:p>
        </w:tc>
      </w:tr>
      <w:tr w14:paraId="2DA4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31" w:type="dxa"/>
            <w:noWrap w:val="0"/>
            <w:vAlign w:val="center"/>
          </w:tcPr>
          <w:p w14:paraId="7CDBD596">
            <w:pPr>
              <w:spacing w:line="38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c>
          <w:tcPr>
            <w:tcW w:w="2460" w:type="dxa"/>
            <w:noWrap w:val="0"/>
            <w:vAlign w:val="center"/>
          </w:tcPr>
          <w:p w14:paraId="3846FE30">
            <w:pPr>
              <w:spacing w:line="38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承诺书</w:t>
            </w:r>
          </w:p>
        </w:tc>
        <w:tc>
          <w:tcPr>
            <w:tcW w:w="4200" w:type="dxa"/>
            <w:noWrap w:val="0"/>
            <w:vAlign w:val="center"/>
          </w:tcPr>
          <w:p w14:paraId="2D9F88F8">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完全理解并接受《质量安全责任承诺书》、《拒绝政府采购领域商业贿赂承诺书》。</w:t>
            </w:r>
          </w:p>
        </w:tc>
        <w:tc>
          <w:tcPr>
            <w:tcW w:w="769" w:type="dxa"/>
            <w:noWrap w:val="0"/>
            <w:vAlign w:val="center"/>
          </w:tcPr>
          <w:p w14:paraId="1B2D3415">
            <w:pPr>
              <w:spacing w:line="380" w:lineRule="exact"/>
              <w:jc w:val="center"/>
              <w:rPr>
                <w:rFonts w:ascii="仿宋" w:hAnsi="仿宋" w:eastAsia="仿宋" w:cs="Times New Roman"/>
                <w:b/>
                <w:bCs/>
                <w:color w:val="auto"/>
                <w:kern w:val="0"/>
                <w:sz w:val="24"/>
                <w:szCs w:val="24"/>
                <w:highlight w:val="none"/>
              </w:rPr>
            </w:pPr>
          </w:p>
        </w:tc>
        <w:tc>
          <w:tcPr>
            <w:tcW w:w="1005" w:type="dxa"/>
            <w:noWrap w:val="0"/>
            <w:vAlign w:val="center"/>
          </w:tcPr>
          <w:p w14:paraId="3A6CA9B8">
            <w:pPr>
              <w:spacing w:line="380" w:lineRule="exact"/>
              <w:jc w:val="center"/>
              <w:rPr>
                <w:rFonts w:ascii="仿宋" w:hAnsi="仿宋" w:eastAsia="仿宋" w:cs="Times New Roman"/>
                <w:b/>
                <w:bCs/>
                <w:color w:val="auto"/>
                <w:kern w:val="0"/>
                <w:sz w:val="24"/>
                <w:szCs w:val="24"/>
                <w:highlight w:val="none"/>
              </w:rPr>
            </w:pPr>
          </w:p>
        </w:tc>
      </w:tr>
      <w:tr w14:paraId="3BE9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531" w:type="dxa"/>
            <w:noWrap w:val="0"/>
            <w:vAlign w:val="center"/>
          </w:tcPr>
          <w:p w14:paraId="793F13D8">
            <w:pPr>
              <w:spacing w:line="38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w:t>
            </w:r>
          </w:p>
        </w:tc>
        <w:tc>
          <w:tcPr>
            <w:tcW w:w="2460" w:type="dxa"/>
            <w:noWrap w:val="0"/>
            <w:vAlign w:val="center"/>
          </w:tcPr>
          <w:p w14:paraId="2A4A31C1">
            <w:pPr>
              <w:spacing w:line="380" w:lineRule="exact"/>
              <w:jc w:val="center"/>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技术服务要求</w:t>
            </w:r>
          </w:p>
        </w:tc>
        <w:tc>
          <w:tcPr>
            <w:tcW w:w="4200" w:type="dxa"/>
            <w:noWrap w:val="0"/>
            <w:vAlign w:val="center"/>
          </w:tcPr>
          <w:p w14:paraId="0BEC2B8C">
            <w:pPr>
              <w:spacing w:line="380" w:lineRule="exact"/>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完全理解并接受对合格投标人、合格的货物、工程或服务要求，根据投标人投标文件《实质性条款响应》，结合招标文件第四章“</w:t>
            </w:r>
            <w:r>
              <w:rPr>
                <w:rFonts w:hint="eastAsia" w:ascii="华文仿宋" w:hAnsi="华文仿宋" w:cs="华文仿宋"/>
                <w:color w:val="auto"/>
                <w:sz w:val="24"/>
                <w:szCs w:val="24"/>
                <w:highlight w:val="none"/>
              </w:rPr>
              <w:t>★</w:t>
            </w:r>
            <w:r>
              <w:rPr>
                <w:rFonts w:hint="eastAsia" w:ascii="仿宋" w:hAnsi="仿宋" w:eastAsia="仿宋" w:cs="仿宋"/>
                <w:color w:val="auto"/>
                <w:sz w:val="24"/>
                <w:szCs w:val="24"/>
                <w:highlight w:val="none"/>
              </w:rPr>
              <w:t>”标识的实质性要求没有负偏离。</w:t>
            </w:r>
          </w:p>
        </w:tc>
        <w:tc>
          <w:tcPr>
            <w:tcW w:w="769" w:type="dxa"/>
            <w:noWrap w:val="0"/>
            <w:vAlign w:val="center"/>
          </w:tcPr>
          <w:p w14:paraId="36873D63">
            <w:pPr>
              <w:spacing w:line="380" w:lineRule="exact"/>
              <w:jc w:val="center"/>
              <w:rPr>
                <w:rFonts w:ascii="仿宋" w:hAnsi="仿宋" w:eastAsia="仿宋" w:cs="Times New Roman"/>
                <w:b/>
                <w:bCs/>
                <w:color w:val="auto"/>
                <w:kern w:val="0"/>
                <w:sz w:val="24"/>
                <w:szCs w:val="24"/>
                <w:highlight w:val="none"/>
              </w:rPr>
            </w:pPr>
          </w:p>
        </w:tc>
        <w:tc>
          <w:tcPr>
            <w:tcW w:w="1005" w:type="dxa"/>
            <w:noWrap w:val="0"/>
            <w:vAlign w:val="center"/>
          </w:tcPr>
          <w:p w14:paraId="2A4A3334">
            <w:pPr>
              <w:spacing w:line="380" w:lineRule="exact"/>
              <w:jc w:val="center"/>
              <w:rPr>
                <w:rFonts w:ascii="仿宋" w:hAnsi="仿宋" w:eastAsia="仿宋" w:cs="Times New Roman"/>
                <w:b/>
                <w:bCs/>
                <w:color w:val="auto"/>
                <w:kern w:val="0"/>
                <w:sz w:val="24"/>
                <w:szCs w:val="24"/>
                <w:highlight w:val="none"/>
              </w:rPr>
            </w:pPr>
          </w:p>
        </w:tc>
      </w:tr>
      <w:tr w14:paraId="11DB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1" w:type="dxa"/>
            <w:noWrap w:val="0"/>
            <w:vAlign w:val="center"/>
          </w:tcPr>
          <w:p w14:paraId="4E9C24A0">
            <w:pPr>
              <w:spacing w:line="38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w:t>
            </w:r>
          </w:p>
        </w:tc>
        <w:tc>
          <w:tcPr>
            <w:tcW w:w="2460" w:type="dxa"/>
            <w:noWrap w:val="0"/>
            <w:vAlign w:val="center"/>
          </w:tcPr>
          <w:p w14:paraId="1931D8AB">
            <w:pPr>
              <w:spacing w:line="380" w:lineRule="exact"/>
              <w:jc w:val="center"/>
              <w:rPr>
                <w:rFonts w:ascii="仿宋" w:hAnsi="仿宋" w:eastAsia="仿宋" w:cs="Times New Roman"/>
                <w:color w:val="auto"/>
                <w:kern w:val="0"/>
                <w:sz w:val="24"/>
                <w:szCs w:val="24"/>
                <w:highlight w:val="none"/>
              </w:rPr>
            </w:pPr>
            <w:r>
              <w:rPr>
                <w:rFonts w:hint="eastAsia" w:ascii="仿宋" w:hAnsi="仿宋" w:eastAsia="仿宋" w:cs="仿宋"/>
                <w:color w:val="auto"/>
                <w:kern w:val="0"/>
                <w:sz w:val="24"/>
                <w:szCs w:val="24"/>
                <w:highlight w:val="none"/>
              </w:rPr>
              <w:t>合同条款响应</w:t>
            </w:r>
          </w:p>
        </w:tc>
        <w:tc>
          <w:tcPr>
            <w:tcW w:w="4200" w:type="dxa"/>
            <w:noWrap w:val="0"/>
            <w:vAlign w:val="center"/>
          </w:tcPr>
          <w:p w14:paraId="2A5E02AB">
            <w:pPr>
              <w:spacing w:line="380" w:lineRule="exact"/>
              <w:rPr>
                <w:rFonts w:ascii="仿宋" w:hAnsi="仿宋" w:eastAsia="仿宋" w:cs="Times New Roman"/>
                <w:color w:val="auto"/>
                <w:sz w:val="24"/>
                <w:szCs w:val="24"/>
                <w:highlight w:val="none"/>
              </w:rPr>
            </w:pPr>
            <w:r>
              <w:rPr>
                <w:rFonts w:hint="eastAsia" w:ascii="仿宋" w:hAnsi="仿宋" w:eastAsia="仿宋" w:cs="仿宋"/>
                <w:color w:val="auto"/>
                <w:sz w:val="24"/>
                <w:szCs w:val="24"/>
                <w:highlight w:val="none"/>
              </w:rPr>
              <w:t>有完全理解并接受招标文件合同基本条款要求的描述。</w:t>
            </w:r>
          </w:p>
        </w:tc>
        <w:tc>
          <w:tcPr>
            <w:tcW w:w="769" w:type="dxa"/>
            <w:noWrap w:val="0"/>
            <w:vAlign w:val="center"/>
          </w:tcPr>
          <w:p w14:paraId="66CE84FE">
            <w:pPr>
              <w:spacing w:line="380" w:lineRule="exact"/>
              <w:jc w:val="center"/>
              <w:rPr>
                <w:rFonts w:ascii="仿宋" w:hAnsi="仿宋" w:eastAsia="仿宋" w:cs="Times New Roman"/>
                <w:b/>
                <w:bCs/>
                <w:color w:val="auto"/>
                <w:kern w:val="0"/>
                <w:sz w:val="24"/>
                <w:szCs w:val="24"/>
                <w:highlight w:val="none"/>
              </w:rPr>
            </w:pPr>
          </w:p>
        </w:tc>
        <w:tc>
          <w:tcPr>
            <w:tcW w:w="1005" w:type="dxa"/>
            <w:noWrap w:val="0"/>
            <w:vAlign w:val="center"/>
          </w:tcPr>
          <w:p w14:paraId="26CA31ED">
            <w:pPr>
              <w:spacing w:line="380" w:lineRule="exact"/>
              <w:jc w:val="center"/>
              <w:rPr>
                <w:rFonts w:ascii="仿宋" w:hAnsi="仿宋" w:eastAsia="仿宋" w:cs="Times New Roman"/>
                <w:b/>
                <w:bCs/>
                <w:color w:val="auto"/>
                <w:kern w:val="0"/>
                <w:sz w:val="24"/>
                <w:szCs w:val="24"/>
                <w:highlight w:val="none"/>
              </w:rPr>
            </w:pPr>
          </w:p>
        </w:tc>
      </w:tr>
      <w:tr w14:paraId="076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531" w:type="dxa"/>
            <w:noWrap w:val="0"/>
            <w:vAlign w:val="center"/>
          </w:tcPr>
          <w:p w14:paraId="12169150">
            <w:pPr>
              <w:spacing w:line="38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w:t>
            </w:r>
          </w:p>
        </w:tc>
        <w:tc>
          <w:tcPr>
            <w:tcW w:w="2460" w:type="dxa"/>
            <w:noWrap w:val="0"/>
            <w:vAlign w:val="center"/>
          </w:tcPr>
          <w:p w14:paraId="34F9CBDC">
            <w:pPr>
              <w:spacing w:line="380" w:lineRule="exact"/>
              <w:jc w:val="center"/>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无其他招标文件或法规明确规定响应无效的事项</w:t>
            </w:r>
          </w:p>
        </w:tc>
        <w:tc>
          <w:tcPr>
            <w:tcW w:w="4200" w:type="dxa"/>
            <w:noWrap w:val="0"/>
            <w:vAlign w:val="center"/>
          </w:tcPr>
          <w:p w14:paraId="5814AEAC">
            <w:pPr>
              <w:spacing w:line="380" w:lineRule="exact"/>
              <w:rPr>
                <w:rFonts w:ascii="仿宋" w:hAnsi="仿宋" w:eastAsia="仿宋" w:cs="Times New Roman"/>
                <w:color w:val="auto"/>
                <w:kern w:val="0"/>
                <w:sz w:val="24"/>
                <w:szCs w:val="24"/>
                <w:highlight w:val="none"/>
              </w:rPr>
            </w:pPr>
            <w:r>
              <w:rPr>
                <w:rFonts w:hint="eastAsia" w:ascii="仿宋" w:hAnsi="仿宋" w:eastAsia="仿宋" w:cs="仿宋"/>
                <w:color w:val="auto"/>
                <w:sz w:val="24"/>
                <w:szCs w:val="24"/>
                <w:highlight w:val="none"/>
              </w:rPr>
              <w:t>没有不符合招标文件规定的被视为无效响应的其他条款。</w:t>
            </w:r>
          </w:p>
        </w:tc>
        <w:tc>
          <w:tcPr>
            <w:tcW w:w="769" w:type="dxa"/>
            <w:noWrap w:val="0"/>
            <w:vAlign w:val="center"/>
          </w:tcPr>
          <w:p w14:paraId="2181A1D6">
            <w:pPr>
              <w:spacing w:line="380" w:lineRule="exact"/>
              <w:jc w:val="center"/>
              <w:rPr>
                <w:rFonts w:ascii="仿宋" w:hAnsi="仿宋" w:eastAsia="仿宋" w:cs="Times New Roman"/>
                <w:b/>
                <w:bCs/>
                <w:color w:val="auto"/>
                <w:kern w:val="0"/>
                <w:sz w:val="24"/>
                <w:szCs w:val="24"/>
                <w:highlight w:val="none"/>
              </w:rPr>
            </w:pPr>
          </w:p>
        </w:tc>
        <w:tc>
          <w:tcPr>
            <w:tcW w:w="1005" w:type="dxa"/>
            <w:noWrap w:val="0"/>
            <w:vAlign w:val="center"/>
          </w:tcPr>
          <w:p w14:paraId="3C44ED9A">
            <w:pPr>
              <w:spacing w:line="380" w:lineRule="exact"/>
              <w:jc w:val="center"/>
              <w:rPr>
                <w:rFonts w:ascii="仿宋" w:hAnsi="仿宋" w:eastAsia="仿宋" w:cs="Times New Roman"/>
                <w:b/>
                <w:bCs/>
                <w:color w:val="auto"/>
                <w:kern w:val="0"/>
                <w:sz w:val="24"/>
                <w:szCs w:val="24"/>
                <w:highlight w:val="none"/>
              </w:rPr>
            </w:pPr>
          </w:p>
        </w:tc>
      </w:tr>
      <w:tr w14:paraId="6A22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965" w:type="dxa"/>
            <w:gridSpan w:val="5"/>
            <w:noWrap w:val="0"/>
            <w:vAlign w:val="center"/>
          </w:tcPr>
          <w:p w14:paraId="43D37CA3">
            <w:pPr>
              <w:spacing w:line="380" w:lineRule="exact"/>
              <w:rPr>
                <w:rFonts w:ascii="仿宋" w:hAnsi="仿宋" w:eastAsia="仿宋" w:cs="Times New Roman"/>
                <w:b/>
                <w:bCs/>
                <w:color w:val="auto"/>
                <w:kern w:val="0"/>
                <w:sz w:val="24"/>
                <w:szCs w:val="24"/>
                <w:highlight w:val="none"/>
              </w:rPr>
            </w:pPr>
            <w:r>
              <w:rPr>
                <w:rFonts w:hint="eastAsia" w:ascii="仿宋" w:hAnsi="仿宋" w:eastAsia="仿宋" w:cs="仿宋"/>
                <w:b/>
                <w:bCs/>
                <w:color w:val="auto"/>
                <w:kern w:val="0"/>
                <w:sz w:val="24"/>
                <w:szCs w:val="24"/>
                <w:highlight w:val="none"/>
              </w:rPr>
              <w:t>评标委员会成员：（签字或盖章）</w:t>
            </w:r>
          </w:p>
        </w:tc>
      </w:tr>
    </w:tbl>
    <w:p w14:paraId="306F4710">
      <w:pPr>
        <w:rPr>
          <w:rFonts w:hint="eastAsia" w:ascii="华文仿宋" w:hAnsi="华文仿宋" w:cs="华文仿宋"/>
          <w:b/>
          <w:bCs/>
          <w:color w:val="auto"/>
          <w:highlight w:val="none"/>
        </w:rPr>
      </w:pPr>
    </w:p>
    <w:p w14:paraId="6660A411">
      <w:pPr>
        <w:pStyle w:val="3"/>
        <w:spacing w:line="500" w:lineRule="exact"/>
        <w:ind w:firstLine="646" w:firstLineChars="200"/>
        <w:rPr>
          <w:rFonts w:ascii="华文仿宋" w:hAnsi="华文仿宋" w:cs="华文仿宋"/>
          <w:color w:val="auto"/>
          <w:highlight w:val="none"/>
        </w:rPr>
      </w:pPr>
      <w:bookmarkStart w:id="306" w:name="_Toc31415"/>
      <w:bookmarkStart w:id="307" w:name="_Toc2503"/>
      <w:bookmarkStart w:id="308" w:name="_Toc11613"/>
      <w:bookmarkStart w:id="309" w:name="_Toc24626"/>
      <w:bookmarkStart w:id="310" w:name="_Toc4245"/>
      <w:bookmarkStart w:id="311" w:name="_Toc13418"/>
      <w:bookmarkStart w:id="312" w:name="_Toc22846"/>
      <w:bookmarkStart w:id="313" w:name="_Toc2387"/>
      <w:bookmarkStart w:id="314" w:name="_Toc2771"/>
      <w:bookmarkStart w:id="315" w:name="_Toc32092"/>
      <w:bookmarkStart w:id="316" w:name="_Toc20615"/>
      <w:bookmarkStart w:id="317" w:name="_Toc7523"/>
      <w:bookmarkStart w:id="318" w:name="_Toc18874"/>
      <w:bookmarkStart w:id="319" w:name="_Toc12596"/>
      <w:bookmarkStart w:id="320" w:name="_Toc31150"/>
      <w:r>
        <w:rPr>
          <w:rFonts w:hint="eastAsia" w:ascii="华文仿宋" w:hAnsi="华文仿宋" w:cs="华文仿宋"/>
          <w:color w:val="auto"/>
          <w:highlight w:val="none"/>
        </w:rPr>
        <w:br w:type="page"/>
      </w:r>
      <w:bookmarkStart w:id="321" w:name="_Toc23486"/>
      <w:bookmarkStart w:id="322" w:name="_Toc15740"/>
      <w:r>
        <w:rPr>
          <w:rFonts w:hint="eastAsia" w:ascii="华文仿宋" w:hAnsi="华文仿宋" w:cs="华文仿宋"/>
          <w:color w:val="auto"/>
          <w:sz w:val="28"/>
          <w:szCs w:val="28"/>
          <w:highlight w:val="none"/>
        </w:rPr>
        <w:t>三、综合比较与评价</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3815B73A">
      <w:pPr>
        <w:spacing w:before="40" w:after="40" w:line="500" w:lineRule="exact"/>
        <w:jc w:val="center"/>
        <w:rPr>
          <w:rFonts w:ascii="华文仿宋" w:hAnsi="华文仿宋" w:cs="华文仿宋"/>
          <w:b/>
          <w:bCs/>
          <w:color w:val="auto"/>
          <w:highlight w:val="none"/>
        </w:rPr>
      </w:pPr>
      <w:r>
        <w:rPr>
          <w:rFonts w:hint="eastAsia" w:ascii="华文仿宋" w:hAnsi="华文仿宋" w:cs="华文仿宋"/>
          <w:b/>
          <w:bCs/>
          <w:color w:val="auto"/>
          <w:highlight w:val="none"/>
        </w:rPr>
        <w:t>评审要素及分值一览表</w:t>
      </w:r>
    </w:p>
    <w:tbl>
      <w:tblPr>
        <w:tblStyle w:val="25"/>
        <w:tblpPr w:leftFromText="180" w:rightFromText="180" w:vertAnchor="text" w:horzAnchor="page" w:tblpX="1587" w:tblpY="181"/>
        <w:tblOverlap w:val="never"/>
        <w:tblW w:w="8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82"/>
        <w:gridCol w:w="7446"/>
      </w:tblGrid>
      <w:tr w14:paraId="1287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40" w:type="dxa"/>
            <w:noWrap w:val="0"/>
            <w:vAlign w:val="center"/>
          </w:tcPr>
          <w:p w14:paraId="2AD6327E">
            <w:pPr>
              <w:spacing w:afterLines="0" w:line="360" w:lineRule="exact"/>
              <w:jc w:val="center"/>
              <w:rPr>
                <w:rFonts w:ascii="仿宋" w:hAnsi="仿宋" w:eastAsia="仿宋" w:cs="仿宋"/>
                <w:b/>
                <w:bCs/>
                <w:color w:val="auto"/>
                <w:sz w:val="24"/>
                <w:szCs w:val="24"/>
                <w:highlight w:val="none"/>
              </w:rPr>
            </w:pPr>
            <w:bookmarkStart w:id="323" w:name="_Toc495014920"/>
            <w:bookmarkStart w:id="324" w:name="_Toc495012821"/>
            <w:bookmarkStart w:id="325" w:name="_Toc495014611"/>
            <w:bookmarkStart w:id="326" w:name="_Toc495014585"/>
            <w:bookmarkStart w:id="327" w:name="_Toc424636365"/>
            <w:bookmarkStart w:id="328" w:name="_Toc495012771"/>
            <w:bookmarkStart w:id="329" w:name="_Toc27328"/>
            <w:bookmarkStart w:id="330" w:name="_Toc495014649"/>
            <w:bookmarkStart w:id="331" w:name="_Toc21068"/>
            <w:bookmarkStart w:id="332" w:name="_Toc495014954"/>
            <w:bookmarkStart w:id="333" w:name="_Toc32235"/>
            <w:bookmarkStart w:id="334" w:name="_Toc445306493"/>
            <w:r>
              <w:rPr>
                <w:rFonts w:hint="eastAsia" w:ascii="仿宋" w:hAnsi="仿宋" w:eastAsia="仿宋" w:cs="仿宋"/>
                <w:b/>
                <w:bCs/>
                <w:color w:val="auto"/>
                <w:sz w:val="24"/>
                <w:szCs w:val="24"/>
                <w:highlight w:val="none"/>
              </w:rPr>
              <w:t>名称</w:t>
            </w:r>
          </w:p>
        </w:tc>
        <w:tc>
          <w:tcPr>
            <w:tcW w:w="782" w:type="dxa"/>
            <w:noWrap w:val="0"/>
            <w:vAlign w:val="center"/>
          </w:tcPr>
          <w:p w14:paraId="306C1224">
            <w:pPr>
              <w:spacing w:afterLines="0" w:line="360" w:lineRule="exact"/>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最高</w:t>
            </w:r>
          </w:p>
          <w:p w14:paraId="77AB4BB9">
            <w:pPr>
              <w:spacing w:afterLines="0" w:line="360" w:lineRule="exact"/>
              <w:jc w:val="center"/>
              <w:rPr>
                <w:rFonts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c>
          <w:tcPr>
            <w:tcW w:w="7446" w:type="dxa"/>
            <w:noWrap w:val="0"/>
            <w:vAlign w:val="center"/>
          </w:tcPr>
          <w:p w14:paraId="25B316D2">
            <w:pPr>
              <w:spacing w:afterLines="0" w:line="4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r>
      <w:tr w14:paraId="772C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740" w:type="dxa"/>
            <w:noWrap w:val="0"/>
            <w:vAlign w:val="center"/>
          </w:tcPr>
          <w:p w14:paraId="1385847D">
            <w:pPr>
              <w:autoSpaceDE/>
              <w:autoSpaceDN/>
              <w:adjustRightInd/>
              <w:spacing w:afterLines="0" w:line="360" w:lineRule="exact"/>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投标报价</w:t>
            </w:r>
          </w:p>
        </w:tc>
        <w:tc>
          <w:tcPr>
            <w:tcW w:w="782" w:type="dxa"/>
            <w:noWrap w:val="0"/>
            <w:vAlign w:val="center"/>
          </w:tcPr>
          <w:p w14:paraId="21124D41">
            <w:pPr>
              <w:autoSpaceDE/>
              <w:autoSpaceDN/>
              <w:adjustRightInd/>
              <w:spacing w:afterLines="0" w:line="36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30分</w:t>
            </w:r>
          </w:p>
        </w:tc>
        <w:tc>
          <w:tcPr>
            <w:tcW w:w="7446" w:type="dxa"/>
            <w:noWrap w:val="0"/>
            <w:vAlign w:val="center"/>
          </w:tcPr>
          <w:p w14:paraId="2D930A3F">
            <w:pPr>
              <w:spacing w:afterLines="0" w:line="400" w:lineRule="exac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有效投标人的最低报价为评标基准价得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分，其他各投标人的报价得分按下列公式计算：（评标基准价/投标报价）×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％×100。</w:t>
            </w:r>
          </w:p>
        </w:tc>
      </w:tr>
      <w:tr w14:paraId="0D0A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1" w:hRule="atLeast"/>
        </w:trPr>
        <w:tc>
          <w:tcPr>
            <w:tcW w:w="740" w:type="dxa"/>
            <w:noWrap w:val="0"/>
            <w:vAlign w:val="center"/>
          </w:tcPr>
          <w:p w14:paraId="567135FC">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项目理解与分析</w:t>
            </w:r>
          </w:p>
        </w:tc>
        <w:tc>
          <w:tcPr>
            <w:tcW w:w="782" w:type="dxa"/>
            <w:noWrap w:val="0"/>
            <w:vAlign w:val="center"/>
          </w:tcPr>
          <w:p w14:paraId="2FDE6589">
            <w:pPr>
              <w:keepNext w:val="0"/>
              <w:keepLines w:val="0"/>
              <w:pageBreakBefore w:val="0"/>
              <w:widowControl/>
              <w:kinsoku/>
              <w:wordWrap/>
              <w:overflowPunct/>
              <w:topLinePunct w:val="0"/>
              <w:autoSpaceDE/>
              <w:autoSpaceDN/>
              <w:bidi w:val="0"/>
              <w:adjustRightInd w:val="0"/>
              <w:snapToGrid w:val="0"/>
              <w:spacing w:line="38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6分</w:t>
            </w:r>
          </w:p>
        </w:tc>
        <w:tc>
          <w:tcPr>
            <w:tcW w:w="7446" w:type="dxa"/>
            <w:noWrap w:val="0"/>
            <w:vAlign w:val="center"/>
          </w:tcPr>
          <w:p w14:paraId="6A19A7D7">
            <w:pPr>
              <w:keepNext w:val="0"/>
              <w:keepLines w:val="0"/>
              <w:pageBreakBefore w:val="0"/>
              <w:widowControl/>
              <w:tabs>
                <w:tab w:val="left" w:pos="547"/>
              </w:tabs>
              <w:kinsoku/>
              <w:wordWrap/>
              <w:overflowPunct/>
              <w:topLinePunct w:val="0"/>
              <w:autoSpaceDE/>
              <w:autoSpaceDN/>
              <w:bidi w:val="0"/>
              <w:adjustRightInd w:val="0"/>
              <w:snapToGrid/>
              <w:spacing w:afterLines="0" w:line="400" w:lineRule="exact"/>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一、评审内容</w:t>
            </w:r>
          </w:p>
          <w:p w14:paraId="0D7B9252">
            <w:pPr>
              <w:keepNext w:val="0"/>
              <w:keepLines w:val="0"/>
              <w:pageBreakBefore w:val="0"/>
              <w:widowControl/>
              <w:kinsoku/>
              <w:wordWrap/>
              <w:overflowPunct/>
              <w:topLinePunct w:val="0"/>
              <w:bidi w:val="0"/>
              <w:adjustRightInd w:val="0"/>
              <w:snapToGrid/>
              <w:spacing w:afterLines="0" w:line="40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提出针对于本项目的</w:t>
            </w:r>
            <w:r>
              <w:rPr>
                <w:rFonts w:hint="eastAsia" w:ascii="仿宋" w:hAnsi="仿宋" w:eastAsia="仿宋" w:cs="仿宋"/>
                <w:color w:val="auto"/>
                <w:sz w:val="24"/>
                <w:szCs w:val="24"/>
                <w:highlight w:val="none"/>
                <w:lang w:val="en-US" w:eastAsia="zh-CN"/>
              </w:rPr>
              <w:t>项目理解与分析</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shd w:val="clear" w:color="auto" w:fill="auto"/>
              </w:rPr>
              <w:t>内容包括</w:t>
            </w:r>
            <w:r>
              <w:rPr>
                <w:rFonts w:hint="eastAsia" w:ascii="仿宋" w:hAnsi="仿宋" w:eastAsia="仿宋" w:cs="仿宋"/>
                <w:bCs/>
                <w:color w:val="auto"/>
                <w:sz w:val="24"/>
                <w:szCs w:val="24"/>
                <w:highlight w:val="none"/>
                <w:shd w:val="clear" w:color="auto" w:fill="auto"/>
                <w:lang w:eastAsia="zh-CN"/>
              </w:rPr>
              <w:t>：</w:t>
            </w:r>
            <w:r>
              <w:rPr>
                <w:rFonts w:hint="eastAsia" w:ascii="仿宋" w:hAnsi="仿宋" w:eastAsia="仿宋" w:cs="仿宋"/>
                <w:bCs/>
                <w:color w:val="auto"/>
                <w:sz w:val="24"/>
                <w:szCs w:val="24"/>
                <w:highlight w:val="none"/>
              </w:rPr>
              <w:t>①服务目标及计划安排②服务重难点分析及解决措施。</w:t>
            </w:r>
          </w:p>
          <w:p w14:paraId="3039CC66">
            <w:pPr>
              <w:keepNext w:val="0"/>
              <w:keepLines w:val="0"/>
              <w:pageBreakBefore w:val="0"/>
              <w:widowControl/>
              <w:tabs>
                <w:tab w:val="left" w:pos="547"/>
              </w:tabs>
              <w:kinsoku/>
              <w:wordWrap/>
              <w:overflowPunct/>
              <w:topLinePunct w:val="0"/>
              <w:autoSpaceDE/>
              <w:autoSpaceDN/>
              <w:bidi w:val="0"/>
              <w:adjustRightInd w:val="0"/>
              <w:snapToGrid/>
              <w:spacing w:afterLines="0" w:line="400" w:lineRule="exact"/>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二、评审标准</w:t>
            </w:r>
          </w:p>
          <w:p w14:paraId="6BFD7A55">
            <w:pPr>
              <w:keepNext w:val="0"/>
              <w:keepLines w:val="0"/>
              <w:pageBreakBefore w:val="0"/>
              <w:widowControl/>
              <w:tabs>
                <w:tab w:val="left" w:pos="547"/>
              </w:tabs>
              <w:kinsoku/>
              <w:wordWrap/>
              <w:overflowPunct/>
              <w:topLinePunct w:val="0"/>
              <w:autoSpaceDE/>
              <w:autoSpaceDN/>
              <w:bidi w:val="0"/>
              <w:adjustRightInd w:val="0"/>
              <w:snapToGrid/>
              <w:spacing w:afterLines="0" w:line="400" w:lineRule="exac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1、完整性：方案须全面，对评审内容中的各项要求有详细描述及说明；</w:t>
            </w:r>
          </w:p>
          <w:p w14:paraId="136EDA70">
            <w:pPr>
              <w:keepNext w:val="0"/>
              <w:keepLines w:val="0"/>
              <w:pageBreakBefore w:val="0"/>
              <w:widowControl/>
              <w:tabs>
                <w:tab w:val="left" w:pos="547"/>
              </w:tabs>
              <w:kinsoku/>
              <w:wordWrap/>
              <w:overflowPunct/>
              <w:topLinePunct w:val="0"/>
              <w:autoSpaceDE/>
              <w:autoSpaceDN/>
              <w:bidi w:val="0"/>
              <w:adjustRightInd w:val="0"/>
              <w:snapToGrid/>
              <w:spacing w:afterLines="0" w:line="400" w:lineRule="exact"/>
              <w:textAlignment w:val="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可实施性：切合本项目实际情况，实施步骤清晰、合理；</w:t>
            </w:r>
          </w:p>
          <w:p w14:paraId="12326220">
            <w:pPr>
              <w:keepNext w:val="0"/>
              <w:keepLines w:val="0"/>
              <w:pageBreakBefore w:val="0"/>
              <w:widowControl/>
              <w:tabs>
                <w:tab w:val="left" w:pos="547"/>
              </w:tabs>
              <w:kinsoku/>
              <w:wordWrap/>
              <w:overflowPunct/>
              <w:topLinePunct w:val="0"/>
              <w:autoSpaceDE/>
              <w:autoSpaceDN/>
              <w:bidi w:val="0"/>
              <w:adjustRightInd w:val="0"/>
              <w:snapToGrid/>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68BA7BF3">
            <w:pPr>
              <w:keepNext w:val="0"/>
              <w:keepLines w:val="0"/>
              <w:pageBreakBefore w:val="0"/>
              <w:widowControl/>
              <w:tabs>
                <w:tab w:val="left" w:pos="547"/>
              </w:tabs>
              <w:kinsoku/>
              <w:wordWrap/>
              <w:overflowPunct/>
              <w:topLinePunct w:val="0"/>
              <w:autoSpaceDE/>
              <w:autoSpaceDN/>
              <w:bidi w:val="0"/>
              <w:adjustRightInd w:val="0"/>
              <w:snapToGrid/>
              <w:spacing w:afterLines="0" w:line="400" w:lineRule="exact"/>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三、赋分标准（满分</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分）</w:t>
            </w:r>
          </w:p>
          <w:p w14:paraId="733C6EB7">
            <w:pPr>
              <w:keepNext w:val="0"/>
              <w:keepLines w:val="0"/>
              <w:pageBreakBefore w:val="0"/>
              <w:widowControl/>
              <w:tabs>
                <w:tab w:val="left" w:pos="547"/>
              </w:tabs>
              <w:kinsoku/>
              <w:wordWrap/>
              <w:overflowPunct/>
              <w:topLinePunct w:val="0"/>
              <w:autoSpaceDE/>
              <w:autoSpaceDN/>
              <w:bidi w:val="0"/>
              <w:adjustRightInd w:val="0"/>
              <w:snapToGrid/>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①服务目标及计划安排：每完全满足一个评审标准得1分，满分3分；</w:t>
            </w:r>
          </w:p>
          <w:p w14:paraId="73F86733">
            <w:pPr>
              <w:keepNext w:val="0"/>
              <w:keepLines w:val="0"/>
              <w:pageBreakBefore w:val="0"/>
              <w:widowControl/>
              <w:tabs>
                <w:tab w:val="left" w:pos="547"/>
              </w:tabs>
              <w:kinsoku/>
              <w:wordWrap/>
              <w:overflowPunct/>
              <w:topLinePunct w:val="0"/>
              <w:autoSpaceDE/>
              <w:autoSpaceDN/>
              <w:bidi w:val="0"/>
              <w:adjustRightInd w:val="0"/>
              <w:snapToGrid/>
              <w:spacing w:afterLines="0" w:line="400" w:lineRule="exact"/>
              <w:textAlignment w:val="auto"/>
              <w:rPr>
                <w:rFonts w:ascii="仿宋" w:hAnsi="仿宋" w:eastAsia="仿宋" w:cs="仿宋"/>
                <w:color w:val="auto"/>
                <w:highlight w:val="none"/>
              </w:rPr>
            </w:pPr>
            <w:r>
              <w:rPr>
                <w:rFonts w:hint="eastAsia" w:ascii="仿宋" w:hAnsi="仿宋" w:eastAsia="仿宋" w:cs="仿宋"/>
                <w:color w:val="auto"/>
                <w:sz w:val="24"/>
                <w:szCs w:val="24"/>
                <w:highlight w:val="none"/>
              </w:rPr>
              <w:t>②服务重难点分析及解决措施:每完全满足一个评审标准得1分，满分3分。</w:t>
            </w:r>
          </w:p>
        </w:tc>
      </w:tr>
      <w:tr w14:paraId="6397F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noWrap w:val="0"/>
            <w:vAlign w:val="center"/>
          </w:tcPr>
          <w:p w14:paraId="00F42659">
            <w:pPr>
              <w:shd w:val="clear" w:color="auto" w:fill="auto"/>
              <w:autoSpaceDE/>
              <w:autoSpaceDN/>
              <w:adjustRightInd w:val="0"/>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总体服务</w:t>
            </w:r>
            <w:r>
              <w:rPr>
                <w:rFonts w:hint="eastAsia" w:ascii="仿宋" w:hAnsi="仿宋" w:eastAsia="仿宋" w:cs="仿宋"/>
                <w:color w:val="auto"/>
                <w:sz w:val="24"/>
                <w:szCs w:val="24"/>
                <w:highlight w:val="none"/>
              </w:rPr>
              <w:t>方案</w:t>
            </w:r>
          </w:p>
        </w:tc>
        <w:tc>
          <w:tcPr>
            <w:tcW w:w="782" w:type="dxa"/>
            <w:noWrap w:val="0"/>
            <w:vAlign w:val="center"/>
          </w:tcPr>
          <w:p w14:paraId="2D27A739">
            <w:pPr>
              <w:shd w:val="clear" w:color="auto" w:fill="auto"/>
              <w:autoSpaceDE/>
              <w:autoSpaceDN/>
              <w:adjustRightInd w:val="0"/>
              <w:spacing w:line="38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12分</w:t>
            </w:r>
          </w:p>
        </w:tc>
        <w:tc>
          <w:tcPr>
            <w:tcW w:w="7446" w:type="dxa"/>
            <w:noWrap w:val="0"/>
            <w:vAlign w:val="center"/>
          </w:tcPr>
          <w:p w14:paraId="0366442C">
            <w:pPr>
              <w:shd w:val="clear" w:color="auto" w:fill="auto"/>
              <w:adjustRightInd w:val="0"/>
              <w:spacing w:afterLines="0" w:line="400" w:lineRule="exact"/>
              <w:jc w:val="both"/>
              <w:rPr>
                <w:rFonts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一、评审内容 </w:t>
            </w:r>
          </w:p>
          <w:p w14:paraId="250925EF">
            <w:pPr>
              <w:adjustRightInd w:val="0"/>
              <w:spacing w:afterLines="0" w:line="40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rPr>
              <w:t>针对本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提供</w:t>
            </w:r>
            <w:r>
              <w:rPr>
                <w:rFonts w:hint="eastAsia" w:ascii="仿宋" w:hAnsi="仿宋" w:eastAsia="仿宋" w:cs="仿宋"/>
                <w:color w:val="auto"/>
                <w:sz w:val="24"/>
                <w:szCs w:val="24"/>
                <w:highlight w:val="none"/>
                <w:lang w:val="en-US" w:eastAsia="zh-CN"/>
              </w:rPr>
              <w:t>总体服务</w:t>
            </w:r>
            <w:r>
              <w:rPr>
                <w:rFonts w:hint="eastAsia" w:ascii="仿宋" w:hAnsi="仿宋" w:eastAsia="仿宋" w:cs="仿宋"/>
                <w:color w:val="auto"/>
                <w:sz w:val="24"/>
                <w:szCs w:val="24"/>
                <w:highlight w:val="none"/>
              </w:rPr>
              <w:t>方案，方案内容包括：</w:t>
            </w:r>
            <w:r>
              <w:rPr>
                <w:rFonts w:hint="eastAsia" w:ascii="仿宋" w:hAnsi="仿宋" w:eastAsia="仿宋" w:cs="仿宋"/>
                <w:bCs/>
                <w:color w:val="auto"/>
                <w:sz w:val="24"/>
                <w:szCs w:val="24"/>
                <w:highlight w:val="none"/>
              </w:rPr>
              <w:t>①</w:t>
            </w:r>
            <w:r>
              <w:rPr>
                <w:rFonts w:hint="eastAsia" w:ascii="仿宋" w:hAnsi="仿宋" w:eastAsia="仿宋" w:cs="仿宋"/>
                <w:color w:val="auto"/>
                <w:kern w:val="0"/>
                <w:sz w:val="24"/>
                <w:szCs w:val="24"/>
                <w:highlight w:val="none"/>
              </w:rPr>
              <w:t>实施计划</w:t>
            </w:r>
            <w:r>
              <w:rPr>
                <w:rFonts w:hint="eastAsia" w:ascii="仿宋" w:hAnsi="仿宋" w:eastAsia="仿宋" w:cs="仿宋"/>
                <w:color w:val="auto"/>
                <w:kern w:val="0"/>
                <w:sz w:val="24"/>
                <w:szCs w:val="24"/>
                <w:highlight w:val="none"/>
                <w:lang w:eastAsia="zh-CN"/>
              </w:rPr>
              <w:t>：交付成果、验收计划</w:t>
            </w:r>
            <w:r>
              <w:rPr>
                <w:rFonts w:hint="eastAsia" w:ascii="仿宋" w:hAnsi="仿宋" w:eastAsia="仿宋" w:cs="仿宋"/>
                <w:color w:val="auto"/>
                <w:kern w:val="0"/>
                <w:sz w:val="24"/>
                <w:szCs w:val="24"/>
                <w:highlight w:val="none"/>
              </w:rPr>
              <w:t>②技术支撑与架构</w:t>
            </w:r>
            <w:r>
              <w:rPr>
                <w:rFonts w:hint="eastAsia" w:ascii="仿宋" w:hAnsi="仿宋" w:eastAsia="仿宋" w:cs="仿宋"/>
                <w:color w:val="auto"/>
                <w:kern w:val="0"/>
                <w:sz w:val="24"/>
                <w:szCs w:val="24"/>
                <w:highlight w:val="none"/>
                <w:lang w:val="en-US" w:eastAsia="zh-CN"/>
              </w:rPr>
              <w:t>设计</w:t>
            </w:r>
            <w:r>
              <w:rPr>
                <w:rFonts w:hint="eastAsia" w:ascii="仿宋" w:hAnsi="仿宋" w:eastAsia="仿宋" w:cs="仿宋"/>
                <w:color w:val="auto"/>
                <w:kern w:val="0"/>
                <w:sz w:val="24"/>
                <w:szCs w:val="24"/>
                <w:highlight w:val="none"/>
              </w:rPr>
              <w:t>③</w:t>
            </w:r>
            <w:r>
              <w:rPr>
                <w:rFonts w:hint="eastAsia" w:ascii="仿宋" w:hAnsi="仿宋" w:eastAsia="仿宋" w:cs="仿宋"/>
                <w:color w:val="auto"/>
                <w:kern w:val="0"/>
                <w:sz w:val="24"/>
                <w:szCs w:val="24"/>
                <w:highlight w:val="none"/>
                <w:lang w:val="en-US" w:eastAsia="zh-CN"/>
              </w:rPr>
              <w:t>运维管理方案④质量与安全保障</w:t>
            </w:r>
            <w:r>
              <w:rPr>
                <w:rFonts w:hint="default" w:ascii="仿宋" w:hAnsi="仿宋" w:eastAsia="仿宋" w:cs="仿宋"/>
                <w:color w:val="auto"/>
                <w:kern w:val="0"/>
                <w:sz w:val="24"/>
                <w:szCs w:val="24"/>
                <w:highlight w:val="none"/>
              </w:rPr>
              <w:t>方案</w:t>
            </w:r>
            <w:r>
              <w:rPr>
                <w:rFonts w:hint="eastAsia" w:ascii="仿宋" w:hAnsi="仿宋" w:eastAsia="仿宋" w:cs="仿宋"/>
                <w:color w:val="auto"/>
                <w:kern w:val="0"/>
                <w:sz w:val="24"/>
                <w:szCs w:val="24"/>
                <w:highlight w:val="none"/>
              </w:rPr>
              <w:t>。</w:t>
            </w:r>
          </w:p>
          <w:p w14:paraId="3388E354">
            <w:pPr>
              <w:shd w:val="clear" w:color="auto" w:fill="auto"/>
              <w:adjustRightInd w:val="0"/>
              <w:spacing w:afterLines="0" w:line="400" w:lineRule="exact"/>
              <w:jc w:val="both"/>
              <w:rPr>
                <w:rFonts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 xml:space="preserve">二、评审标准 </w:t>
            </w:r>
          </w:p>
          <w:p w14:paraId="5CE435A9">
            <w:pPr>
              <w:shd w:val="clear" w:color="auto" w:fill="auto"/>
              <w:adjustRightInd w:val="0"/>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1、完整性：方案必须全面，对评审内容中的各项要求有详细描述；</w:t>
            </w:r>
          </w:p>
          <w:p w14:paraId="7F01BB58">
            <w:pPr>
              <w:shd w:val="clear" w:color="auto" w:fill="auto"/>
              <w:adjustRightInd w:val="0"/>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2、可实施性：切合本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实际情况，提出步骤清晰、合理的方案；</w:t>
            </w:r>
          </w:p>
          <w:p w14:paraId="6CD59A30">
            <w:pPr>
              <w:shd w:val="clear" w:color="auto" w:fill="auto"/>
              <w:adjustRightInd w:val="0"/>
              <w:spacing w:afterLines="0" w:line="40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3、针对性：方案能够紧扣项目实际情况，内容科学合理。</w:t>
            </w:r>
          </w:p>
          <w:p w14:paraId="06B84FC0">
            <w:pPr>
              <w:shd w:val="clear" w:color="auto" w:fill="auto"/>
              <w:adjustRightInd w:val="0"/>
              <w:spacing w:afterLines="0" w:line="400" w:lineRule="exact"/>
              <w:jc w:val="both"/>
              <w:rPr>
                <w:rFonts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三、赋分标准（满分</w:t>
            </w:r>
            <w:r>
              <w:rPr>
                <w:rFonts w:hint="eastAsia" w:ascii="仿宋" w:hAnsi="仿宋" w:eastAsia="仿宋" w:cs="仿宋"/>
                <w:b/>
                <w:bCs/>
                <w:color w:val="auto"/>
                <w:kern w:val="0"/>
                <w:sz w:val="24"/>
                <w:szCs w:val="24"/>
                <w:highlight w:val="none"/>
                <w:lang w:val="en-US" w:eastAsia="zh-CN" w:bidi="ar"/>
              </w:rPr>
              <w:t>12</w:t>
            </w:r>
            <w:r>
              <w:rPr>
                <w:rFonts w:hint="eastAsia" w:ascii="仿宋" w:hAnsi="仿宋" w:eastAsia="仿宋" w:cs="仿宋"/>
                <w:b/>
                <w:bCs/>
                <w:color w:val="auto"/>
                <w:kern w:val="0"/>
                <w:sz w:val="24"/>
                <w:szCs w:val="24"/>
                <w:highlight w:val="none"/>
                <w:lang w:bidi="ar"/>
              </w:rPr>
              <w:t>分）</w:t>
            </w:r>
          </w:p>
          <w:p w14:paraId="04527C32">
            <w:pPr>
              <w:shd w:val="clear" w:color="auto" w:fill="auto"/>
              <w:adjustRightInd w:val="0"/>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①实施计划：每完全满足一个评审标准得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05E67151">
            <w:pPr>
              <w:shd w:val="clear" w:color="auto" w:fill="auto"/>
              <w:adjustRightInd w:val="0"/>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color w:val="auto"/>
                <w:kern w:val="0"/>
                <w:sz w:val="24"/>
                <w:szCs w:val="24"/>
                <w:highlight w:val="none"/>
              </w:rPr>
              <w:t>技术支撑与架构</w:t>
            </w:r>
            <w:r>
              <w:rPr>
                <w:rFonts w:hint="eastAsia" w:ascii="仿宋" w:hAnsi="仿宋" w:eastAsia="仿宋" w:cs="仿宋"/>
                <w:color w:val="auto"/>
                <w:kern w:val="0"/>
                <w:sz w:val="24"/>
                <w:szCs w:val="24"/>
                <w:highlight w:val="none"/>
                <w:lang w:val="en-US" w:eastAsia="zh-CN"/>
              </w:rPr>
              <w:t>设计</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19E22FE6">
            <w:pPr>
              <w:shd w:val="clear" w:color="auto" w:fill="auto"/>
              <w:tabs>
                <w:tab w:val="left" w:pos="547"/>
              </w:tabs>
              <w:autoSpaceDE/>
              <w:autoSpaceDN/>
              <w:adjustRightInd w:val="0"/>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③</w:t>
            </w:r>
            <w:r>
              <w:rPr>
                <w:rFonts w:hint="eastAsia" w:ascii="仿宋" w:hAnsi="仿宋" w:eastAsia="仿宋" w:cs="仿宋"/>
                <w:color w:val="auto"/>
                <w:kern w:val="0"/>
                <w:sz w:val="24"/>
                <w:szCs w:val="24"/>
                <w:highlight w:val="none"/>
                <w:lang w:val="en-US" w:eastAsia="zh-CN"/>
              </w:rPr>
              <w:t>运维管理方案</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58C03BAD">
            <w:pPr>
              <w:shd w:val="clear" w:color="auto" w:fill="auto"/>
              <w:tabs>
                <w:tab w:val="left" w:pos="547"/>
              </w:tabs>
              <w:autoSpaceDE/>
              <w:autoSpaceDN/>
              <w:adjustRightInd w:val="0"/>
              <w:spacing w:afterLines="0"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④</w:t>
            </w:r>
            <w:r>
              <w:rPr>
                <w:rFonts w:hint="eastAsia" w:ascii="仿宋" w:hAnsi="仿宋" w:eastAsia="仿宋" w:cs="仿宋"/>
                <w:color w:val="auto"/>
                <w:kern w:val="0"/>
                <w:sz w:val="24"/>
                <w:szCs w:val="24"/>
                <w:highlight w:val="none"/>
                <w:lang w:val="en-US" w:eastAsia="zh-CN"/>
              </w:rPr>
              <w:t>质量与安全保障</w:t>
            </w:r>
            <w:r>
              <w:rPr>
                <w:rFonts w:hint="default" w:ascii="仿宋" w:hAnsi="仿宋" w:eastAsia="仿宋" w:cs="仿宋"/>
                <w:color w:val="auto"/>
                <w:kern w:val="0"/>
                <w:sz w:val="24"/>
                <w:szCs w:val="24"/>
                <w:highlight w:val="none"/>
              </w:rPr>
              <w:t>方案</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14:paraId="0DEF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740" w:type="dxa"/>
            <w:noWrap w:val="0"/>
            <w:vAlign w:val="center"/>
          </w:tcPr>
          <w:p w14:paraId="68AF0083">
            <w:pPr>
              <w:keepNext w:val="0"/>
              <w:keepLines w:val="0"/>
              <w:pageBreakBefore w:val="0"/>
              <w:widowControl/>
              <w:kinsoku/>
              <w:wordWrap/>
              <w:overflowPunct/>
              <w:topLinePunct w:val="0"/>
              <w:bidi w:val="0"/>
              <w:spacing w:afterLines="0"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服务指标响应</w:t>
            </w:r>
          </w:p>
        </w:tc>
        <w:tc>
          <w:tcPr>
            <w:tcW w:w="782" w:type="dxa"/>
            <w:noWrap w:val="0"/>
            <w:vAlign w:val="center"/>
          </w:tcPr>
          <w:p w14:paraId="3362EDCF">
            <w:pPr>
              <w:keepNext w:val="0"/>
              <w:keepLines w:val="0"/>
              <w:pageBreakBefore w:val="0"/>
              <w:widowControl/>
              <w:kinsoku/>
              <w:wordWrap/>
              <w:overflowPunct/>
              <w:topLinePunct w:val="0"/>
              <w:bidi w:val="0"/>
              <w:spacing w:afterLines="0" w:line="400" w:lineRule="exact"/>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10分</w:t>
            </w:r>
          </w:p>
        </w:tc>
        <w:tc>
          <w:tcPr>
            <w:tcW w:w="7446" w:type="dxa"/>
            <w:noWrap w:val="0"/>
            <w:vAlign w:val="center"/>
          </w:tcPr>
          <w:p w14:paraId="2BC21CE9">
            <w:pPr>
              <w:keepNext w:val="0"/>
              <w:keepLines w:val="0"/>
              <w:pageBreakBefore w:val="0"/>
              <w:widowControl/>
              <w:shd w:val="clear" w:color="auto" w:fill="auto"/>
              <w:kinsoku/>
              <w:wordWrap/>
              <w:overflowPunct/>
              <w:topLinePunct w:val="0"/>
              <w:bidi w:val="0"/>
              <w:spacing w:afterLines="0"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val="en-US" w:eastAsia="zh-CN"/>
              </w:rPr>
              <w:t>根</w:t>
            </w:r>
            <w:r>
              <w:rPr>
                <w:rFonts w:hint="eastAsia" w:ascii="仿宋" w:hAnsi="仿宋" w:eastAsia="仿宋" w:cs="仿宋"/>
                <w:sz w:val="24"/>
                <w:szCs w:val="24"/>
                <w:highlight w:val="none"/>
              </w:rPr>
              <w:t>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服务采购清单</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中共5</w:t>
            </w:r>
            <w:r>
              <w:rPr>
                <w:rFonts w:hint="eastAsia" w:ascii="仿宋" w:hAnsi="仿宋" w:eastAsia="仿宋" w:cs="仿宋"/>
                <w:sz w:val="24"/>
                <w:szCs w:val="24"/>
                <w:highlight w:val="none"/>
              </w:rPr>
              <w:t>项服务</w:t>
            </w:r>
            <w:r>
              <w:rPr>
                <w:rFonts w:hint="eastAsia" w:ascii="仿宋" w:hAnsi="仿宋" w:eastAsia="仿宋" w:cs="仿宋"/>
                <w:sz w:val="24"/>
                <w:szCs w:val="24"/>
                <w:highlight w:val="none"/>
                <w:lang w:val="en-US" w:eastAsia="zh-CN"/>
              </w:rPr>
              <w:t>内容（超融合软件扩容、原有虚拟化平台软件升级、</w:t>
            </w:r>
            <w:r>
              <w:rPr>
                <w:rFonts w:hint="eastAsia" w:ascii="仿宋" w:hAnsi="仿宋" w:eastAsia="仿宋" w:cs="仿宋"/>
                <w:sz w:val="24"/>
                <w:szCs w:val="24"/>
                <w:highlight w:val="none"/>
              </w:rPr>
              <w:t>虚拟化安全防护软件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系统集成及辅材、利旧设备服务）</w:t>
            </w:r>
            <w:r>
              <w:rPr>
                <w:rFonts w:hint="eastAsia" w:ascii="仿宋" w:hAnsi="仿宋" w:eastAsia="仿宋" w:cs="仿宋"/>
                <w:sz w:val="24"/>
                <w:szCs w:val="24"/>
                <w:highlight w:val="none"/>
              </w:rPr>
              <w:t>进行响应。</w:t>
            </w:r>
            <w:r>
              <w:rPr>
                <w:rFonts w:hint="eastAsia" w:ascii="仿宋" w:hAnsi="仿宋" w:eastAsia="仿宋" w:cs="仿宋"/>
                <w:sz w:val="24"/>
                <w:szCs w:val="24"/>
                <w:highlight w:val="none"/>
                <w:lang w:val="en-US" w:eastAsia="zh-CN"/>
              </w:rPr>
              <w:t>每完全满足一项</w:t>
            </w:r>
            <w:r>
              <w:rPr>
                <w:rFonts w:hint="eastAsia" w:ascii="仿宋" w:hAnsi="仿宋" w:eastAsia="仿宋" w:cs="仿宋"/>
                <w:sz w:val="24"/>
                <w:szCs w:val="24"/>
                <w:highlight w:val="none"/>
              </w:rPr>
              <w:t>服务</w:t>
            </w:r>
            <w:r>
              <w:rPr>
                <w:rFonts w:hint="eastAsia" w:ascii="仿宋" w:hAnsi="仿宋" w:eastAsia="仿宋" w:cs="仿宋"/>
                <w:sz w:val="24"/>
                <w:szCs w:val="24"/>
                <w:highlight w:val="none"/>
                <w:lang w:val="en-US" w:eastAsia="zh-CN"/>
              </w:rPr>
              <w:t>内容得2分，满分10分。</w:t>
            </w:r>
          </w:p>
        </w:tc>
      </w:tr>
      <w:tr w14:paraId="0A7F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40" w:type="dxa"/>
            <w:noWrap w:val="0"/>
            <w:vAlign w:val="center"/>
          </w:tcPr>
          <w:p w14:paraId="5BEF567F">
            <w:pPr>
              <w:shd w:val="clear" w:color="auto" w:fill="auto"/>
              <w:spacing w:line="40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rPr>
              <w:t>质量保证方案</w:t>
            </w:r>
          </w:p>
        </w:tc>
        <w:tc>
          <w:tcPr>
            <w:tcW w:w="782" w:type="dxa"/>
            <w:noWrap w:val="0"/>
            <w:vAlign w:val="center"/>
          </w:tcPr>
          <w:p w14:paraId="6B077CAC">
            <w:pPr>
              <w:shd w:val="clear" w:color="auto" w:fill="auto"/>
              <w:spacing w:line="40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6分</w:t>
            </w:r>
          </w:p>
        </w:tc>
        <w:tc>
          <w:tcPr>
            <w:tcW w:w="7446" w:type="dxa"/>
            <w:noWrap w:val="0"/>
            <w:vAlign w:val="center"/>
          </w:tcPr>
          <w:p w14:paraId="16557ECE">
            <w:pPr>
              <w:numPr>
                <w:ilvl w:val="0"/>
                <w:numId w:val="3"/>
              </w:numPr>
              <w:shd w:val="clear" w:color="auto" w:fill="auto"/>
              <w:autoSpaceDE w:val="0"/>
              <w:autoSpaceDN w:val="0"/>
              <w:adjustRightInd w:val="0"/>
              <w:spacing w:afterLines="0" w:line="400" w:lineRule="exac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评审内容</w:t>
            </w:r>
          </w:p>
          <w:p w14:paraId="4F6BD210">
            <w:pPr>
              <w:shd w:val="clear" w:color="auto" w:fill="auto"/>
              <w:adjustRightInd w:val="0"/>
              <w:spacing w:afterLines="0" w:line="400" w:lineRule="exac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实际需要，提供质量保证方案。</w:t>
            </w:r>
            <w:r>
              <w:rPr>
                <w:rFonts w:hint="eastAsia" w:ascii="仿宋" w:hAnsi="仿宋" w:eastAsia="仿宋" w:cs="仿宋"/>
                <w:color w:val="auto"/>
                <w:kern w:val="0"/>
                <w:sz w:val="24"/>
                <w:szCs w:val="24"/>
                <w:highlight w:val="none"/>
              </w:rPr>
              <w:t>内容包括：①产品性能</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使用寿命及效果②质量管理体系及保证措施。</w:t>
            </w:r>
          </w:p>
          <w:p w14:paraId="1230E383">
            <w:pPr>
              <w:shd w:val="clear" w:color="auto" w:fill="auto"/>
              <w:autoSpaceDE w:val="0"/>
              <w:autoSpaceDN w:val="0"/>
              <w:adjustRightInd w:val="0"/>
              <w:spacing w:afterLines="0" w:line="400" w:lineRule="exact"/>
              <w:jc w:val="both"/>
              <w:rPr>
                <w:rFonts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二、评审标准</w:t>
            </w:r>
          </w:p>
          <w:p w14:paraId="7073AC66">
            <w:pPr>
              <w:shd w:val="clear" w:color="auto" w:fill="auto"/>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1、完整性：方案必须全面，对评审内容中的各项要求有详细描述；</w:t>
            </w:r>
          </w:p>
          <w:p w14:paraId="582657EC">
            <w:pPr>
              <w:shd w:val="clear" w:color="auto" w:fill="auto"/>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2、可实施性：切合本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实际情况，提出步骤清晰、合理的方案；</w:t>
            </w:r>
          </w:p>
          <w:p w14:paraId="42C1A13B">
            <w:pPr>
              <w:shd w:val="clear" w:color="auto" w:fill="auto"/>
              <w:spacing w:afterLines="0" w:line="400" w:lineRule="exact"/>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3、针对性：方案能够紧扣项目实际情况，内容科学合理。</w:t>
            </w:r>
          </w:p>
          <w:p w14:paraId="02A19EBA">
            <w:pPr>
              <w:shd w:val="clear" w:color="auto" w:fill="auto"/>
              <w:spacing w:afterLines="0" w:line="400" w:lineRule="exact"/>
              <w:jc w:val="both"/>
              <w:rPr>
                <w:rFonts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bidi="ar"/>
              </w:rPr>
              <w:t>三、赋分标准（满分</w:t>
            </w:r>
            <w:r>
              <w:rPr>
                <w:rFonts w:hint="eastAsia" w:ascii="仿宋" w:hAnsi="仿宋" w:eastAsia="仿宋" w:cs="仿宋"/>
                <w:b/>
                <w:bCs/>
                <w:color w:val="auto"/>
                <w:kern w:val="0"/>
                <w:sz w:val="24"/>
                <w:szCs w:val="24"/>
                <w:highlight w:val="none"/>
                <w:lang w:val="en-US" w:eastAsia="zh-CN" w:bidi="ar"/>
              </w:rPr>
              <w:t>6</w:t>
            </w:r>
            <w:r>
              <w:rPr>
                <w:rFonts w:hint="eastAsia" w:ascii="仿宋" w:hAnsi="仿宋" w:eastAsia="仿宋" w:cs="仿宋"/>
                <w:b/>
                <w:bCs/>
                <w:color w:val="auto"/>
                <w:kern w:val="0"/>
                <w:sz w:val="24"/>
                <w:szCs w:val="24"/>
                <w:highlight w:val="none"/>
                <w:lang w:bidi="ar"/>
              </w:rPr>
              <w:t>分）</w:t>
            </w:r>
          </w:p>
          <w:p w14:paraId="279BA4C7">
            <w:pPr>
              <w:shd w:val="clear" w:color="auto" w:fill="auto"/>
              <w:spacing w:afterLines="0" w:line="4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color w:val="auto"/>
                <w:kern w:val="0"/>
                <w:sz w:val="24"/>
                <w:szCs w:val="24"/>
                <w:highlight w:val="none"/>
              </w:rPr>
              <w:t>产品性能</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使用寿命及效果</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14:paraId="5558AA84">
            <w:pPr>
              <w:shd w:val="clear" w:color="auto" w:fill="auto"/>
              <w:spacing w:afterLines="0"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②</w:t>
            </w:r>
            <w:r>
              <w:rPr>
                <w:rFonts w:hint="eastAsia" w:ascii="仿宋" w:hAnsi="仿宋" w:eastAsia="仿宋" w:cs="仿宋"/>
                <w:color w:val="auto"/>
                <w:kern w:val="0"/>
                <w:sz w:val="24"/>
                <w:szCs w:val="24"/>
                <w:highlight w:val="none"/>
              </w:rPr>
              <w:t>质量管理体系及保证措施</w:t>
            </w:r>
            <w:r>
              <w:rPr>
                <w:rFonts w:hint="eastAsia" w:ascii="仿宋" w:hAnsi="仿宋" w:eastAsia="仿宋" w:cs="仿宋"/>
                <w:color w:val="auto"/>
                <w:sz w:val="24"/>
                <w:szCs w:val="24"/>
                <w:highlight w:val="none"/>
              </w:rPr>
              <w:t>：每完全满足一个评审标准得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分，满分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14:paraId="0A04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740" w:type="dxa"/>
            <w:noWrap w:val="0"/>
            <w:vAlign w:val="center"/>
          </w:tcPr>
          <w:p w14:paraId="472D6F53">
            <w:pPr>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培训方案</w:t>
            </w:r>
          </w:p>
        </w:tc>
        <w:tc>
          <w:tcPr>
            <w:tcW w:w="782" w:type="dxa"/>
            <w:noWrap w:val="0"/>
            <w:vAlign w:val="center"/>
          </w:tcPr>
          <w:p w14:paraId="4798B920">
            <w:pPr>
              <w:autoSpaceDE w:val="0"/>
              <w:autoSpaceDN w:val="0"/>
              <w:adjustRightInd w:val="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3分</w:t>
            </w:r>
          </w:p>
        </w:tc>
        <w:tc>
          <w:tcPr>
            <w:tcW w:w="7446" w:type="dxa"/>
            <w:noWrap w:val="0"/>
            <w:vAlign w:val="center"/>
          </w:tcPr>
          <w:p w14:paraId="38FD4F64">
            <w:pPr>
              <w:autoSpaceDE w:val="0"/>
              <w:autoSpaceDN w:val="0"/>
              <w:adjustRightInd w:val="0"/>
              <w:spacing w:afterLines="0"/>
              <w:rPr>
                <w:rFonts w:ascii="仿宋" w:hAnsi="仿宋" w:eastAsia="仿宋" w:cs="仿宋"/>
                <w:b/>
                <w:bCs/>
                <w:color w:val="auto"/>
                <w:kern w:val="0"/>
                <w:sz w:val="24"/>
                <w:szCs w:val="24"/>
                <w:highlight w:val="none"/>
              </w:rPr>
            </w:pPr>
            <w:r>
              <w:rPr>
                <w:rFonts w:hint="eastAsia" w:ascii="仿宋" w:hAnsi="仿宋" w:eastAsia="仿宋" w:cs="仿宋"/>
                <w:b/>
                <w:bCs/>
                <w:color w:val="auto"/>
                <w:sz w:val="24"/>
                <w:szCs w:val="24"/>
                <w:highlight w:val="none"/>
              </w:rPr>
              <w:t>一、</w:t>
            </w:r>
            <w:r>
              <w:rPr>
                <w:rFonts w:hint="eastAsia" w:ascii="仿宋" w:hAnsi="仿宋" w:eastAsia="仿宋" w:cs="仿宋"/>
                <w:b/>
                <w:bCs/>
                <w:color w:val="auto"/>
                <w:kern w:val="0"/>
                <w:sz w:val="24"/>
                <w:szCs w:val="24"/>
                <w:highlight w:val="none"/>
              </w:rPr>
              <w:t>评审内容</w:t>
            </w:r>
          </w:p>
          <w:p w14:paraId="45E5DB80">
            <w:pPr>
              <w:adjustRightInd w:val="0"/>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针对</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采购需求及特点制定培训方案，</w:t>
            </w:r>
            <w:r>
              <w:rPr>
                <w:rFonts w:hint="eastAsia" w:ascii="仿宋" w:hAnsi="仿宋" w:eastAsia="仿宋" w:cs="仿宋"/>
                <w:color w:val="auto"/>
                <w:kern w:val="0"/>
                <w:sz w:val="24"/>
                <w:szCs w:val="24"/>
                <w:highlight w:val="none"/>
              </w:rPr>
              <w:t>内容包括：</w:t>
            </w:r>
            <w:r>
              <w:rPr>
                <w:rFonts w:hint="eastAsia" w:ascii="仿宋" w:hAnsi="仿宋" w:eastAsia="仿宋" w:cs="仿宋"/>
                <w:bCs/>
                <w:color w:val="auto"/>
                <w:sz w:val="24"/>
                <w:szCs w:val="24"/>
                <w:highlight w:val="none"/>
              </w:rPr>
              <w:t>①培训目标及计划②培训内容及方式</w:t>
            </w:r>
            <w:r>
              <w:rPr>
                <w:rFonts w:hint="eastAsia" w:ascii="仿宋" w:hAnsi="仿宋" w:eastAsia="仿宋" w:cs="仿宋"/>
                <w:color w:val="auto"/>
                <w:sz w:val="24"/>
                <w:szCs w:val="24"/>
                <w:highlight w:val="none"/>
              </w:rPr>
              <w:t>。</w:t>
            </w:r>
          </w:p>
          <w:p w14:paraId="1ED190B9">
            <w:pPr>
              <w:pStyle w:val="61"/>
              <w:widowControl/>
              <w:spacing w:afterLines="0" w:line="400" w:lineRule="exact"/>
              <w:ind w:firstLine="0"/>
              <w:rPr>
                <w:rFonts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二、评审标准</w:t>
            </w:r>
          </w:p>
          <w:p w14:paraId="138369AE">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1、完整性：方案须全面，对评审内容中的各项要求有详细描述；</w:t>
            </w:r>
          </w:p>
          <w:p w14:paraId="0924DED0">
            <w:pPr>
              <w:tabs>
                <w:tab w:val="left" w:pos="547"/>
              </w:tabs>
              <w:autoSpaceDE w:val="0"/>
              <w:autoSpaceDN w:val="0"/>
              <w:adjustRightInd w:val="0"/>
              <w:spacing w:afterLines="0"/>
              <w:rPr>
                <w:rFonts w:ascii="仿宋" w:hAnsi="仿宋" w:eastAsia="仿宋" w:cs="仿宋"/>
                <w:color w:val="auto"/>
                <w:kern w:val="0"/>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color w:val="auto"/>
                <w:sz w:val="24"/>
                <w:szCs w:val="24"/>
                <w:highlight w:val="none"/>
              </w:rPr>
              <w:t>可实施性：</w:t>
            </w:r>
            <w:r>
              <w:rPr>
                <w:rFonts w:hint="eastAsia" w:ascii="仿宋" w:hAnsi="仿宋" w:eastAsia="仿宋" w:cs="仿宋"/>
                <w:color w:val="auto"/>
                <w:kern w:val="0"/>
                <w:sz w:val="24"/>
                <w:szCs w:val="24"/>
                <w:highlight w:val="none"/>
              </w:rPr>
              <w:t>切合本项目实际情况，实施步骤清晰、合理；</w:t>
            </w:r>
          </w:p>
          <w:p w14:paraId="2D631DAD">
            <w:pPr>
              <w:tabs>
                <w:tab w:val="left" w:pos="547"/>
              </w:tabs>
              <w:autoSpaceDE w:val="0"/>
              <w:autoSpaceDN w:val="0"/>
              <w:adjustRightInd w:val="0"/>
              <w:spacing w:afterLines="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3、针对性：方案能够紧扣项目实际情况，内容科学合理。</w:t>
            </w:r>
          </w:p>
          <w:p w14:paraId="4017E56A">
            <w:pPr>
              <w:spacing w:afterLines="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三、赋分标准（满分3分）</w:t>
            </w:r>
          </w:p>
          <w:p w14:paraId="3F442E8B">
            <w:pPr>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①</w:t>
            </w:r>
            <w:r>
              <w:rPr>
                <w:rFonts w:hint="eastAsia" w:ascii="仿宋" w:hAnsi="仿宋" w:eastAsia="仿宋" w:cs="仿宋"/>
                <w:bCs/>
                <w:color w:val="auto"/>
                <w:sz w:val="24"/>
                <w:szCs w:val="24"/>
                <w:highlight w:val="none"/>
              </w:rPr>
              <w:t>培训目标及计划</w:t>
            </w:r>
            <w:r>
              <w:rPr>
                <w:rFonts w:hint="eastAsia" w:ascii="仿宋" w:hAnsi="仿宋" w:eastAsia="仿宋" w:cs="仿宋"/>
                <w:color w:val="auto"/>
                <w:sz w:val="24"/>
                <w:szCs w:val="24"/>
                <w:highlight w:val="none"/>
              </w:rPr>
              <w:t>：每完全满足一个评审标准得0.5分，满分1.5分；</w:t>
            </w:r>
          </w:p>
          <w:p w14:paraId="3EE1FC0F">
            <w:pPr>
              <w:adjustRightInd w:val="0"/>
              <w:spacing w:afterLines="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②</w:t>
            </w:r>
            <w:r>
              <w:rPr>
                <w:rFonts w:hint="eastAsia" w:ascii="仿宋" w:hAnsi="仿宋" w:eastAsia="仿宋" w:cs="仿宋"/>
                <w:bCs/>
                <w:color w:val="auto"/>
                <w:sz w:val="24"/>
                <w:szCs w:val="24"/>
                <w:highlight w:val="none"/>
              </w:rPr>
              <w:t>培训内容及方式</w:t>
            </w:r>
            <w:r>
              <w:rPr>
                <w:rFonts w:hint="eastAsia" w:ascii="仿宋" w:hAnsi="仿宋" w:eastAsia="仿宋" w:cs="仿宋"/>
                <w:color w:val="auto"/>
                <w:sz w:val="24"/>
                <w:szCs w:val="24"/>
                <w:highlight w:val="none"/>
              </w:rPr>
              <w:t>:每完全满足一个评审标准得0.5分，满分1.5分。</w:t>
            </w:r>
          </w:p>
        </w:tc>
      </w:tr>
      <w:tr w14:paraId="30FF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40" w:type="dxa"/>
            <w:noWrap w:val="0"/>
            <w:vAlign w:val="center"/>
          </w:tcPr>
          <w:p w14:paraId="071B8BF6">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项目经理</w:t>
            </w:r>
          </w:p>
        </w:tc>
        <w:tc>
          <w:tcPr>
            <w:tcW w:w="782" w:type="dxa"/>
            <w:noWrap w:val="0"/>
            <w:vAlign w:val="center"/>
          </w:tcPr>
          <w:p w14:paraId="788E025A">
            <w:pPr>
              <w:keepNext w:val="0"/>
              <w:keepLines w:val="0"/>
              <w:pageBreakBefore w:val="0"/>
              <w:widowControl/>
              <w:kinsoku/>
              <w:wordWrap/>
              <w:overflowPunct/>
              <w:topLinePunct w:val="0"/>
              <w:bidi w:val="0"/>
              <w:snapToGrid/>
              <w:spacing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6分</w:t>
            </w:r>
          </w:p>
        </w:tc>
        <w:tc>
          <w:tcPr>
            <w:tcW w:w="7446" w:type="dxa"/>
            <w:noWrap w:val="0"/>
            <w:vAlign w:val="center"/>
          </w:tcPr>
          <w:p w14:paraId="281218FF">
            <w:pPr>
              <w:spacing w:afterLines="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证书</w:t>
            </w:r>
            <w:r>
              <w:rPr>
                <w:rFonts w:hint="eastAsia" w:ascii="仿宋" w:hAnsi="仿宋" w:eastAsia="仿宋" w:cs="仿宋"/>
                <w:b/>
                <w:bCs/>
                <w:color w:val="auto"/>
                <w:sz w:val="24"/>
                <w:szCs w:val="24"/>
                <w:highlight w:val="none"/>
              </w:rPr>
              <w:t>要求（2分）</w:t>
            </w:r>
          </w:p>
          <w:p w14:paraId="3EB12078">
            <w:pPr>
              <w:spacing w:afterLine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具有</w:t>
            </w:r>
            <w:r>
              <w:rPr>
                <w:rFonts w:hint="eastAsia" w:ascii="仿宋" w:hAnsi="仿宋" w:eastAsia="仿宋" w:cs="仿宋"/>
                <w:i w:val="0"/>
                <w:iCs w:val="0"/>
                <w:color w:val="auto"/>
                <w:kern w:val="0"/>
                <w:sz w:val="24"/>
                <w:szCs w:val="24"/>
                <w:highlight w:val="none"/>
                <w:u w:val="none"/>
                <w:lang w:val="en-US" w:eastAsia="zh-CN" w:bidi="ar"/>
              </w:rPr>
              <w:t>信息系统项目管理师证书</w:t>
            </w:r>
            <w:r>
              <w:rPr>
                <w:rFonts w:hint="eastAsia" w:ascii="仿宋" w:hAnsi="仿宋" w:eastAsia="仿宋" w:cs="仿宋"/>
                <w:color w:val="auto"/>
                <w:sz w:val="24"/>
                <w:szCs w:val="24"/>
                <w:highlight w:val="none"/>
              </w:rPr>
              <w:t>得2分。</w:t>
            </w:r>
          </w:p>
          <w:p w14:paraId="37E580E8">
            <w:pPr>
              <w:keepNext w:val="0"/>
              <w:keepLines w:val="0"/>
              <w:pageBreakBefore w:val="0"/>
              <w:widowControl/>
              <w:kinsoku/>
              <w:wordWrap/>
              <w:overflowPunct/>
              <w:topLinePunct w:val="0"/>
              <w:autoSpaceDE w:val="0"/>
              <w:autoSpaceDN w:val="0"/>
              <w:bidi w:val="0"/>
              <w:adjustRightInd w:val="0"/>
              <w:snapToGrid/>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赋分依据：须</w:t>
            </w:r>
            <w:r>
              <w:rPr>
                <w:rFonts w:hint="eastAsia" w:ascii="仿宋" w:hAnsi="仿宋" w:eastAsia="仿宋" w:cs="仿宋"/>
                <w:color w:val="auto"/>
                <w:kern w:val="0"/>
                <w:sz w:val="24"/>
                <w:szCs w:val="24"/>
                <w:highlight w:val="none"/>
              </w:rPr>
              <w:t>提供</w:t>
            </w:r>
            <w:r>
              <w:rPr>
                <w:rFonts w:hint="eastAsia" w:ascii="仿宋" w:hAnsi="仿宋" w:eastAsia="仿宋" w:cs="仿宋"/>
                <w:color w:val="auto"/>
                <w:kern w:val="0"/>
                <w:sz w:val="24"/>
                <w:szCs w:val="24"/>
                <w:highlight w:val="none"/>
                <w:lang w:val="en-US" w:eastAsia="zh-CN"/>
              </w:rPr>
              <w:t>有效期内的加盖公章的证书复印件</w:t>
            </w:r>
            <w:r>
              <w:rPr>
                <w:rFonts w:hint="eastAsia" w:ascii="仿宋" w:hAnsi="仿宋" w:eastAsia="仿宋" w:cs="仿宋"/>
                <w:color w:val="auto"/>
                <w:sz w:val="24"/>
                <w:szCs w:val="24"/>
                <w:highlight w:val="none"/>
              </w:rPr>
              <w:t>，不提供或</w:t>
            </w:r>
            <w:r>
              <w:rPr>
                <w:rFonts w:hint="eastAsia" w:ascii="仿宋" w:hAnsi="仿宋" w:eastAsia="仿宋" w:cs="仿宋"/>
                <w:color w:val="auto"/>
                <w:sz w:val="24"/>
                <w:szCs w:val="24"/>
                <w:highlight w:val="none"/>
                <w:lang w:eastAsia="zh-CN"/>
              </w:rPr>
              <w:t>不满足学历要求</w:t>
            </w:r>
            <w:r>
              <w:rPr>
                <w:rFonts w:hint="eastAsia" w:ascii="仿宋" w:hAnsi="仿宋" w:eastAsia="仿宋" w:cs="仿宋"/>
                <w:color w:val="auto"/>
                <w:sz w:val="24"/>
                <w:szCs w:val="24"/>
                <w:highlight w:val="none"/>
              </w:rPr>
              <w:t>不得分。</w:t>
            </w:r>
          </w:p>
          <w:p w14:paraId="1D3A2466">
            <w:pPr>
              <w:autoSpaceDE w:val="0"/>
              <w:autoSpaceDN w:val="0"/>
              <w:adjustRightInd w:val="0"/>
              <w:spacing w:afterLines="0" w:line="400" w:lineRule="exac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eastAsia="zh-CN"/>
              </w:rPr>
              <w:t>2</w:t>
            </w:r>
            <w:r>
              <w:rPr>
                <w:rFonts w:hint="eastAsia" w:ascii="仿宋" w:hAnsi="仿宋" w:eastAsia="仿宋" w:cs="仿宋"/>
                <w:b/>
                <w:bCs/>
                <w:color w:val="auto"/>
                <w:kern w:val="0"/>
                <w:sz w:val="24"/>
                <w:szCs w:val="24"/>
                <w:highlight w:val="none"/>
              </w:rPr>
              <w:t>、经验要求（</w:t>
            </w:r>
            <w:r>
              <w:rPr>
                <w:rFonts w:hint="eastAsia" w:ascii="仿宋" w:hAnsi="仿宋" w:eastAsia="仿宋" w:cs="仿宋"/>
                <w:b/>
                <w:bCs/>
                <w:color w:val="auto"/>
                <w:kern w:val="0"/>
                <w:sz w:val="24"/>
                <w:szCs w:val="24"/>
                <w:highlight w:val="none"/>
                <w:lang w:val="en-US" w:eastAsia="zh-CN"/>
              </w:rPr>
              <w:t>4</w:t>
            </w:r>
            <w:r>
              <w:rPr>
                <w:rFonts w:hint="eastAsia" w:ascii="仿宋" w:hAnsi="仿宋" w:eastAsia="仿宋" w:cs="仿宋"/>
                <w:b/>
                <w:bCs/>
                <w:color w:val="auto"/>
                <w:kern w:val="0"/>
                <w:sz w:val="24"/>
                <w:szCs w:val="24"/>
                <w:highlight w:val="none"/>
              </w:rPr>
              <w:t>分）</w:t>
            </w:r>
          </w:p>
          <w:p w14:paraId="340C4BAF">
            <w:pPr>
              <w:autoSpaceDE w:val="0"/>
              <w:autoSpaceDN w:val="0"/>
              <w:adjustRightInd w:val="0"/>
              <w:spacing w:afterLines="0"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项目经理</w:t>
            </w:r>
            <w:r>
              <w:rPr>
                <w:rFonts w:hint="eastAsia" w:ascii="仿宋" w:hAnsi="仿宋" w:eastAsia="仿宋" w:cs="仿宋"/>
                <w:color w:val="auto"/>
                <w:kern w:val="0"/>
                <w:sz w:val="24"/>
                <w:szCs w:val="24"/>
                <w:highlight w:val="none"/>
              </w:rPr>
              <w:t>具有3年</w:t>
            </w:r>
            <w:r>
              <w:rPr>
                <w:rFonts w:hint="eastAsia" w:ascii="仿宋" w:hAnsi="仿宋" w:eastAsia="仿宋" w:cs="仿宋"/>
                <w:color w:val="auto"/>
                <w:kern w:val="0"/>
                <w:sz w:val="24"/>
                <w:szCs w:val="24"/>
                <w:highlight w:val="none"/>
                <w:lang w:val="en-US" w:eastAsia="zh-CN"/>
              </w:rPr>
              <w:t>类似项目</w:t>
            </w:r>
            <w:r>
              <w:rPr>
                <w:rFonts w:hint="eastAsia" w:ascii="仿宋" w:hAnsi="仿宋" w:eastAsia="仿宋" w:cs="仿宋"/>
                <w:color w:val="auto"/>
                <w:kern w:val="0"/>
                <w:sz w:val="24"/>
                <w:szCs w:val="24"/>
                <w:highlight w:val="none"/>
              </w:rPr>
              <w:t>服务管理经验得</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分，每增加一年服务管理经验额外加</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分，最多可加</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分。满分</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分。</w:t>
            </w:r>
          </w:p>
          <w:p w14:paraId="314ED7FE">
            <w:pPr>
              <w:autoSpaceDE w:val="0"/>
              <w:autoSpaceDN w:val="0"/>
              <w:adjustRightInd w:val="0"/>
              <w:spacing w:afterLines="0"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赋分依据：须提供被服务单位加盖公章的</w:t>
            </w:r>
            <w:r>
              <w:rPr>
                <w:rFonts w:hint="eastAsia" w:ascii="仿宋" w:hAnsi="仿宋" w:eastAsia="仿宋" w:cs="仿宋"/>
                <w:color w:val="auto"/>
                <w:kern w:val="0"/>
                <w:sz w:val="24"/>
                <w:szCs w:val="24"/>
                <w:highlight w:val="none"/>
                <w:lang w:val="en-US" w:eastAsia="zh-CN"/>
              </w:rPr>
              <w:t>项目经理管理经验</w:t>
            </w:r>
            <w:r>
              <w:rPr>
                <w:rFonts w:hint="eastAsia" w:ascii="仿宋" w:hAnsi="仿宋" w:eastAsia="仿宋" w:cs="仿宋"/>
                <w:color w:val="auto"/>
                <w:kern w:val="0"/>
                <w:sz w:val="24"/>
                <w:szCs w:val="24"/>
                <w:highlight w:val="none"/>
              </w:rPr>
              <w:t>证明材料</w:t>
            </w:r>
            <w:r>
              <w:rPr>
                <w:rFonts w:hint="eastAsia" w:ascii="仿宋" w:hAnsi="仿宋" w:eastAsia="仿宋" w:cs="仿宋"/>
                <w:color w:val="auto"/>
                <w:kern w:val="0"/>
                <w:sz w:val="24"/>
                <w:szCs w:val="24"/>
                <w:highlight w:val="none"/>
                <w:lang w:val="en-US" w:eastAsia="zh-CN"/>
              </w:rPr>
              <w:t>及身份证复印件</w:t>
            </w:r>
            <w:r>
              <w:rPr>
                <w:rFonts w:hint="eastAsia" w:ascii="仿宋" w:hAnsi="仿宋" w:eastAsia="仿宋" w:cs="仿宋"/>
                <w:color w:val="auto"/>
                <w:kern w:val="0"/>
                <w:sz w:val="24"/>
                <w:szCs w:val="24"/>
                <w:highlight w:val="none"/>
              </w:rPr>
              <w:t>，不提供或缺漏项不得分。</w:t>
            </w:r>
          </w:p>
          <w:p w14:paraId="613A3DEF">
            <w:pPr>
              <w:keepNext w:val="0"/>
              <w:keepLines w:val="0"/>
              <w:pageBreakBefore w:val="0"/>
              <w:widowControl/>
              <w:tabs>
                <w:tab w:val="left" w:pos="547"/>
              </w:tabs>
              <w:kinsoku/>
              <w:wordWrap/>
              <w:overflowPunct/>
              <w:topLinePunct w:val="0"/>
              <w:autoSpaceDE w:val="0"/>
              <w:autoSpaceDN w:val="0"/>
              <w:bidi w:val="0"/>
              <w:adjustRightInd w:val="0"/>
              <w:snapToGrid/>
              <w:spacing w:afterLines="0" w:line="400" w:lineRule="exact"/>
              <w:textAlignment w:val="auto"/>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备注：除上述赋分依据外，还须同时提供投标人为</w:t>
            </w:r>
            <w:r>
              <w:rPr>
                <w:rFonts w:hint="eastAsia" w:ascii="仿宋" w:hAnsi="仿宋" w:eastAsia="仿宋" w:cs="仿宋"/>
                <w:color w:val="auto"/>
                <w:kern w:val="0"/>
                <w:sz w:val="24"/>
                <w:szCs w:val="24"/>
                <w:highlight w:val="none"/>
                <w:lang w:val="en-US" w:eastAsia="zh-CN"/>
              </w:rPr>
              <w:t>项目经理</w:t>
            </w:r>
            <w:r>
              <w:rPr>
                <w:rFonts w:hint="eastAsia" w:ascii="仿宋" w:hAnsi="仿宋" w:eastAsia="仿宋" w:cs="仿宋"/>
                <w:color w:val="auto"/>
                <w:kern w:val="0"/>
                <w:sz w:val="24"/>
                <w:szCs w:val="24"/>
                <w:highlight w:val="none"/>
              </w:rPr>
              <w:t>缴纳的近六个月内至少连续三个月的社保缴纳证明材料（成立时间至提交投标文件截止时间不足六个月的投标人，可提供成立后任意一个月的社保缴纳证明材料），不提供或缺漏项本大项(</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rPr>
              <w:t>分)不得分。</w:t>
            </w:r>
          </w:p>
        </w:tc>
      </w:tr>
      <w:tr w14:paraId="743F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40" w:type="dxa"/>
            <w:noWrap w:val="0"/>
            <w:vAlign w:val="center"/>
          </w:tcPr>
          <w:p w14:paraId="77529D74">
            <w:pPr>
              <w:shd w:val="clear" w:color="auto" w:fill="auto"/>
              <w:autoSpaceDE w:val="0"/>
              <w:autoSpaceDN w:val="0"/>
              <w:adjustRightInd w:val="0"/>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其他人员</w:t>
            </w:r>
          </w:p>
        </w:tc>
        <w:tc>
          <w:tcPr>
            <w:tcW w:w="782" w:type="dxa"/>
            <w:noWrap w:val="0"/>
            <w:vAlign w:val="center"/>
          </w:tcPr>
          <w:p w14:paraId="13123C17">
            <w:pPr>
              <w:shd w:val="clear" w:color="auto" w:fill="auto"/>
              <w:autoSpaceDE w:val="0"/>
              <w:autoSpaceDN w:val="0"/>
              <w:adjustRightInd w:val="0"/>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6分</w:t>
            </w:r>
          </w:p>
        </w:tc>
        <w:tc>
          <w:tcPr>
            <w:tcW w:w="7446" w:type="dxa"/>
            <w:noWrap w:val="0"/>
            <w:vAlign w:val="center"/>
          </w:tcPr>
          <w:p w14:paraId="48D5A869">
            <w:pPr>
              <w:numPr>
                <w:ilvl w:val="0"/>
                <w:numId w:val="0"/>
              </w:numPr>
              <w:shd w:val="clear" w:color="auto" w:fill="auto"/>
              <w:tabs>
                <w:tab w:val="left" w:pos="547"/>
              </w:tabs>
              <w:autoSpaceDE w:val="0"/>
              <w:autoSpaceDN w:val="0"/>
              <w:adjustRightInd w:val="0"/>
              <w:spacing w:afterLines="0"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1、硬件系统安装调试人员</w:t>
            </w:r>
          </w:p>
          <w:p w14:paraId="2D34CB81">
            <w:pPr>
              <w:numPr>
                <w:ilvl w:val="0"/>
                <w:numId w:val="0"/>
              </w:numPr>
              <w:shd w:val="clear" w:color="auto" w:fill="auto"/>
              <w:tabs>
                <w:tab w:val="left" w:pos="547"/>
              </w:tabs>
              <w:autoSpaceDE w:val="0"/>
              <w:autoSpaceDN w:val="0"/>
              <w:adjustRightInd w:val="0"/>
              <w:spacing w:afterLines="0"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需提供</w:t>
            </w:r>
            <w:r>
              <w:rPr>
                <w:rFonts w:hint="eastAsia" w:ascii="仿宋" w:hAnsi="仿宋" w:eastAsia="仿宋" w:cs="仿宋"/>
                <w:color w:val="auto"/>
                <w:sz w:val="24"/>
                <w:szCs w:val="24"/>
                <w:highlight w:val="none"/>
              </w:rPr>
              <w:t>信创集成项目高级管理师</w:t>
            </w:r>
            <w:r>
              <w:rPr>
                <w:rFonts w:hint="eastAsia" w:ascii="仿宋" w:hAnsi="仿宋" w:eastAsia="仿宋" w:cs="仿宋"/>
                <w:color w:val="auto"/>
                <w:sz w:val="24"/>
                <w:szCs w:val="24"/>
                <w:highlight w:val="none"/>
                <w:lang w:val="en-US" w:eastAsia="zh-CN"/>
              </w:rPr>
              <w:t>证书，得3分；</w:t>
            </w:r>
          </w:p>
          <w:p w14:paraId="7FB171A3">
            <w:pPr>
              <w:numPr>
                <w:ilvl w:val="0"/>
                <w:numId w:val="0"/>
              </w:numPr>
              <w:shd w:val="clear" w:color="auto" w:fill="auto"/>
              <w:tabs>
                <w:tab w:val="left" w:pos="547"/>
              </w:tabs>
              <w:autoSpaceDE w:val="0"/>
              <w:autoSpaceDN w:val="0"/>
              <w:adjustRightInd w:val="0"/>
              <w:spacing w:afterLines="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2、软件系统安装调试人员</w:t>
            </w:r>
          </w:p>
          <w:p w14:paraId="449C3728">
            <w:pPr>
              <w:numPr>
                <w:ilvl w:val="0"/>
                <w:numId w:val="0"/>
              </w:numPr>
              <w:shd w:val="clear" w:color="auto" w:fill="auto"/>
              <w:tabs>
                <w:tab w:val="left" w:pos="547"/>
              </w:tabs>
              <w:autoSpaceDE w:val="0"/>
              <w:autoSpaceDN w:val="0"/>
              <w:adjustRightInd w:val="0"/>
              <w:spacing w:afterLines="0"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需提供</w:t>
            </w:r>
            <w:r>
              <w:rPr>
                <w:rFonts w:hint="eastAsia" w:ascii="仿宋" w:hAnsi="仿宋" w:eastAsia="仿宋" w:cs="仿宋"/>
                <w:color w:val="auto"/>
                <w:sz w:val="24"/>
                <w:szCs w:val="24"/>
                <w:highlight w:val="none"/>
              </w:rPr>
              <w:t>信息安全管理（</w:t>
            </w:r>
            <w:r>
              <w:rPr>
                <w:rFonts w:hint="eastAsia" w:ascii="仿宋" w:hAnsi="仿宋" w:eastAsia="仿宋" w:cs="仿宋"/>
                <w:color w:val="auto"/>
                <w:sz w:val="24"/>
                <w:szCs w:val="24"/>
                <w:highlight w:val="none"/>
                <w:lang w:val="en-US" w:eastAsia="zh-CN"/>
              </w:rPr>
              <w:t>中级及以上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工程师证书，</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3C77601D">
            <w:pPr>
              <w:shd w:val="clear" w:color="auto" w:fill="auto"/>
              <w:tabs>
                <w:tab w:val="left" w:pos="547"/>
              </w:tabs>
              <w:autoSpaceDE w:val="0"/>
              <w:autoSpaceDN w:val="0"/>
              <w:adjustRightInd w:val="0"/>
              <w:spacing w:afterLines="0" w:line="40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备注：以加盖投标人公章的证明材料复印件为计分依据。</w:t>
            </w:r>
          </w:p>
        </w:tc>
      </w:tr>
      <w:tr w14:paraId="76F5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40" w:type="dxa"/>
            <w:noWrap w:val="0"/>
            <w:vAlign w:val="center"/>
          </w:tcPr>
          <w:p w14:paraId="6957FBC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tc>
        <w:tc>
          <w:tcPr>
            <w:tcW w:w="782" w:type="dxa"/>
            <w:noWrap w:val="0"/>
            <w:vAlign w:val="center"/>
          </w:tcPr>
          <w:p w14:paraId="21AA9B0C">
            <w:pPr>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10分</w:t>
            </w:r>
          </w:p>
        </w:tc>
        <w:tc>
          <w:tcPr>
            <w:tcW w:w="7446" w:type="dxa"/>
            <w:noWrap w:val="0"/>
            <w:vAlign w:val="center"/>
          </w:tcPr>
          <w:p w14:paraId="523C0B0C">
            <w:pPr>
              <w:spacing w:afterLines="0" w:line="40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1、提供202</w:t>
            </w:r>
            <w:r>
              <w:rPr>
                <w:rFonts w:hint="eastAsia" w:ascii="仿宋" w:hAnsi="仿宋" w:eastAsia="仿宋" w:cs="仿宋"/>
                <w:b w:val="0"/>
                <w:bCs w:val="0"/>
                <w:color w:val="auto"/>
                <w:kern w:val="0"/>
                <w:sz w:val="24"/>
                <w:szCs w:val="24"/>
                <w:highlight w:val="none"/>
                <w:lang w:eastAsia="zh-CN"/>
              </w:rPr>
              <w:t>2</w:t>
            </w:r>
            <w:r>
              <w:rPr>
                <w:rFonts w:hint="eastAsia" w:ascii="仿宋" w:hAnsi="仿宋" w:eastAsia="仿宋" w:cs="仿宋"/>
                <w:b w:val="0"/>
                <w:bCs w:val="0"/>
                <w:color w:val="auto"/>
                <w:kern w:val="0"/>
                <w:sz w:val="24"/>
                <w:szCs w:val="24"/>
                <w:highlight w:val="none"/>
              </w:rPr>
              <w:t>年1月1日以来类似项目业绩（以合同签订日期为准），每份合格业绩合同计1分，满分5分；</w:t>
            </w:r>
          </w:p>
          <w:p w14:paraId="73D7126D">
            <w:pPr>
              <w:spacing w:afterLines="0" w:line="400" w:lineRule="exac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备注：须提供完整合同业绩及对应发票复印件（发票可提供服务期内任意一张），并加盖投标人公章，以上两种证明材料同时提供方可得分，否则不得分。</w:t>
            </w:r>
          </w:p>
          <w:p w14:paraId="724335E2">
            <w:pPr>
              <w:spacing w:afterLines="0" w:line="400" w:lineRule="exact"/>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rPr>
              <w:t>2、每提供一份对应合格业绩的服务好评（以被服务单位加盖公章的好评证明材料为计分依据，格式自拟），得1分，满分5分。</w:t>
            </w:r>
          </w:p>
        </w:tc>
      </w:tr>
      <w:tr w14:paraId="204B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40" w:type="dxa"/>
            <w:noWrap w:val="0"/>
            <w:vAlign w:val="center"/>
          </w:tcPr>
          <w:p w14:paraId="48DF2955">
            <w:pPr>
              <w:shd w:val="clear" w:color="auto" w:fill="auto"/>
              <w:autoSpaceDE w:val="0"/>
              <w:autoSpaceDN w:val="0"/>
              <w:adjustRightInd w:val="0"/>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售后服务方案</w:t>
            </w:r>
          </w:p>
        </w:tc>
        <w:tc>
          <w:tcPr>
            <w:tcW w:w="782" w:type="dxa"/>
            <w:noWrap w:val="0"/>
            <w:vAlign w:val="center"/>
          </w:tcPr>
          <w:p w14:paraId="5FF00F2D">
            <w:pPr>
              <w:shd w:val="clear" w:color="auto" w:fill="auto"/>
              <w:autoSpaceDE w:val="0"/>
              <w:autoSpaceDN w:val="0"/>
              <w:adjustRightInd w:val="0"/>
              <w:spacing w:line="40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9分</w:t>
            </w:r>
          </w:p>
        </w:tc>
        <w:tc>
          <w:tcPr>
            <w:tcW w:w="7446" w:type="dxa"/>
            <w:noWrap w:val="0"/>
            <w:vAlign w:val="center"/>
          </w:tcPr>
          <w:p w14:paraId="55AE29CF">
            <w:pPr>
              <w:shd w:val="clear" w:color="auto" w:fill="auto"/>
              <w:spacing w:afterLines="0" w:line="40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一、评审内容</w:t>
            </w:r>
          </w:p>
          <w:p w14:paraId="3092D453">
            <w:pPr>
              <w:shd w:val="clear" w:color="auto" w:fill="auto"/>
              <w:spacing w:afterLines="0" w:line="400" w:lineRule="exac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根据</w:t>
            </w:r>
            <w:r>
              <w:rPr>
                <w:rFonts w:hint="eastAsia" w:ascii="仿宋" w:hAnsi="仿宋" w:eastAsia="仿宋" w:cs="仿宋"/>
                <w:bCs/>
                <w:color w:val="auto"/>
                <w:sz w:val="24"/>
                <w:szCs w:val="24"/>
                <w:highlight w:val="none"/>
                <w:lang w:val="en-US" w:eastAsia="zh-CN"/>
              </w:rPr>
              <w:t>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bCs/>
                <w:color w:val="auto"/>
                <w:sz w:val="24"/>
                <w:szCs w:val="24"/>
                <w:highlight w:val="none"/>
              </w:rPr>
              <w:t>实际需求提供售后服务方案。内容包含：</w:t>
            </w:r>
            <w:r>
              <w:rPr>
                <w:rFonts w:hint="eastAsia" w:ascii="仿宋" w:hAnsi="仿宋" w:eastAsia="仿宋" w:cs="仿宋"/>
                <w:color w:val="auto"/>
                <w:sz w:val="24"/>
                <w:szCs w:val="24"/>
                <w:highlight w:val="none"/>
              </w:rPr>
              <w:t>①售后服务范围及保障措施②响应时间</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故障处理及补救措施。</w:t>
            </w:r>
          </w:p>
          <w:p w14:paraId="20A4BC01">
            <w:pPr>
              <w:shd w:val="clear" w:color="auto" w:fill="auto"/>
              <w:spacing w:afterLines="0" w:line="40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二、评审标准</w:t>
            </w:r>
          </w:p>
          <w:p w14:paraId="18703D78">
            <w:pPr>
              <w:shd w:val="clear" w:color="auto" w:fill="auto"/>
              <w:spacing w:afterLines="0" w:line="400" w:lineRule="exact"/>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完整性：方案须全面，对评审内容中的各项要求有详细描述；</w:t>
            </w:r>
          </w:p>
          <w:p w14:paraId="270B1DF6">
            <w:pPr>
              <w:shd w:val="clear" w:color="auto" w:fill="auto"/>
              <w:spacing w:afterLines="0" w:line="400" w:lineRule="exact"/>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w:t>
            </w:r>
            <w:r>
              <w:rPr>
                <w:rFonts w:hint="eastAsia" w:ascii="仿宋" w:hAnsi="仿宋" w:eastAsia="仿宋" w:cs="仿宋"/>
                <w:color w:val="auto"/>
                <w:sz w:val="24"/>
                <w:szCs w:val="24"/>
                <w:highlight w:val="none"/>
              </w:rPr>
              <w:t>可实施性：切合本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实际情况，提出步骤清晰、合理的方案；</w:t>
            </w:r>
          </w:p>
          <w:p w14:paraId="1955BAE3">
            <w:pPr>
              <w:shd w:val="clear" w:color="auto" w:fill="auto"/>
              <w:spacing w:afterLines="0" w:line="400" w:lineRule="exact"/>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针对性：方案能够紧扣项目实际情况，内容科学合理。</w:t>
            </w:r>
          </w:p>
          <w:p w14:paraId="3D55BDEF">
            <w:pPr>
              <w:shd w:val="clear" w:color="auto" w:fill="auto"/>
              <w:spacing w:afterLines="0" w:line="400" w:lineRule="exac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三、赋分依据（满分</w:t>
            </w: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分）</w:t>
            </w:r>
          </w:p>
          <w:p w14:paraId="33EDA05E">
            <w:pPr>
              <w:shd w:val="clear" w:color="auto" w:fill="auto"/>
              <w:autoSpaceDE/>
              <w:autoSpaceDN/>
              <w:adjustRightInd/>
              <w:spacing w:afterLines="0" w:line="400" w:lineRule="exact"/>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①售后服务范围及保障措施：每完全满足一个评审标</w:t>
            </w:r>
            <w:r>
              <w:rPr>
                <w:rFonts w:hint="eastAsia" w:ascii="仿宋" w:hAnsi="仿宋" w:eastAsia="仿宋" w:cs="仿宋"/>
                <w:bCs/>
                <w:color w:val="auto"/>
                <w:sz w:val="24"/>
                <w:szCs w:val="24"/>
                <w:highlight w:val="none"/>
              </w:rPr>
              <w:t>准得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p>
          <w:p w14:paraId="235DEF2D">
            <w:pPr>
              <w:shd w:val="clear" w:color="auto" w:fill="auto"/>
              <w:spacing w:afterLines="0" w:line="4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②</w:t>
            </w:r>
            <w:r>
              <w:rPr>
                <w:rFonts w:hint="eastAsia" w:ascii="仿宋" w:hAnsi="仿宋" w:eastAsia="仿宋" w:cs="仿宋"/>
                <w:color w:val="auto"/>
                <w:sz w:val="24"/>
                <w:szCs w:val="24"/>
                <w:highlight w:val="none"/>
              </w:rPr>
              <w:t>响应时间</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方式</w:t>
            </w:r>
            <w:r>
              <w:rPr>
                <w:rFonts w:hint="eastAsia" w:ascii="仿宋" w:hAnsi="仿宋" w:eastAsia="仿宋" w:cs="仿宋"/>
                <w:bCs/>
                <w:color w:val="auto"/>
                <w:sz w:val="24"/>
                <w:szCs w:val="24"/>
                <w:highlight w:val="none"/>
              </w:rPr>
              <w:t>：</w:t>
            </w:r>
            <w:r>
              <w:rPr>
                <w:rFonts w:hint="eastAsia" w:ascii="仿宋" w:hAnsi="仿宋" w:eastAsia="仿宋" w:cs="仿宋"/>
                <w:color w:val="auto"/>
                <w:sz w:val="24"/>
                <w:szCs w:val="24"/>
                <w:highlight w:val="none"/>
              </w:rPr>
              <w:t>每完全满足一个评审标</w:t>
            </w:r>
            <w:r>
              <w:rPr>
                <w:rFonts w:hint="eastAsia" w:ascii="仿宋" w:hAnsi="仿宋" w:eastAsia="仿宋" w:cs="仿宋"/>
                <w:bCs/>
                <w:color w:val="auto"/>
                <w:sz w:val="24"/>
                <w:szCs w:val="24"/>
                <w:highlight w:val="none"/>
              </w:rPr>
              <w:t>准得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r>
              <w:rPr>
                <w:rFonts w:hint="eastAsia" w:ascii="仿宋" w:hAnsi="仿宋" w:eastAsia="仿宋" w:cs="仿宋"/>
                <w:bCs/>
                <w:color w:val="auto"/>
                <w:sz w:val="24"/>
                <w:szCs w:val="24"/>
                <w:highlight w:val="none"/>
                <w:lang w:eastAsia="zh-CN"/>
              </w:rPr>
              <w:t>；</w:t>
            </w:r>
          </w:p>
          <w:p w14:paraId="4CB39CFE">
            <w:pPr>
              <w:shd w:val="clear" w:color="auto" w:fill="auto"/>
              <w:spacing w:afterLines="0" w:line="400" w:lineRule="exact"/>
              <w:rPr>
                <w:rFonts w:hint="eastAsia" w:ascii="仿宋" w:hAnsi="仿宋" w:eastAsia="仿宋" w:cs="仿宋"/>
                <w:color w:val="auto"/>
                <w:spacing w:val="4"/>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故障处理及补救措施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每完全满足一个评审标</w:t>
            </w:r>
            <w:r>
              <w:rPr>
                <w:rFonts w:hint="eastAsia" w:ascii="仿宋" w:hAnsi="仿宋" w:eastAsia="仿宋" w:cs="仿宋"/>
                <w:bCs/>
                <w:color w:val="auto"/>
                <w:sz w:val="24"/>
                <w:szCs w:val="24"/>
                <w:highlight w:val="none"/>
              </w:rPr>
              <w:t>准得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分。</w:t>
            </w:r>
          </w:p>
        </w:tc>
      </w:tr>
      <w:tr w14:paraId="32D3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40" w:type="dxa"/>
            <w:noWrap w:val="0"/>
            <w:vAlign w:val="center"/>
          </w:tcPr>
          <w:p w14:paraId="30CD8A68">
            <w:pPr>
              <w:adjustRightInd w:val="0"/>
              <w:snapToGrid w:val="0"/>
              <w:spacing w:line="36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增值服务</w:t>
            </w:r>
          </w:p>
        </w:tc>
        <w:tc>
          <w:tcPr>
            <w:tcW w:w="782" w:type="dxa"/>
            <w:noWrap w:val="0"/>
            <w:vAlign w:val="center"/>
          </w:tcPr>
          <w:p w14:paraId="338A8D04">
            <w:pPr>
              <w:adjustRightInd w:val="0"/>
              <w:snapToGrid w:val="0"/>
              <w:spacing w:line="36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2分</w:t>
            </w:r>
          </w:p>
        </w:tc>
        <w:tc>
          <w:tcPr>
            <w:tcW w:w="7446" w:type="dxa"/>
            <w:noWrap w:val="0"/>
            <w:vAlign w:val="center"/>
          </w:tcPr>
          <w:p w14:paraId="65993681">
            <w:pPr>
              <w:autoSpaceDE w:val="0"/>
              <w:autoSpaceDN w:val="0"/>
              <w:adjustRightInd w:val="0"/>
              <w:spacing w:afterLines="0"/>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Cs/>
                <w:color w:val="auto"/>
                <w:sz w:val="24"/>
                <w:szCs w:val="24"/>
                <w:highlight w:val="none"/>
              </w:rPr>
              <w:t>针对本项目的特点和需求等内容提供</w:t>
            </w:r>
            <w:r>
              <w:rPr>
                <w:rFonts w:hint="eastAsia" w:ascii="仿宋" w:hAnsi="仿宋" w:eastAsia="仿宋" w:cs="仿宋"/>
                <w:bCs/>
                <w:color w:val="auto"/>
                <w:sz w:val="24"/>
                <w:szCs w:val="24"/>
                <w:highlight w:val="none"/>
                <w:lang w:val="en-US" w:eastAsia="zh-CN"/>
              </w:rPr>
              <w:t>有利于项目开展的</w:t>
            </w:r>
            <w:r>
              <w:rPr>
                <w:rFonts w:hint="eastAsia" w:ascii="仿宋" w:hAnsi="仿宋" w:eastAsia="仿宋" w:cs="仿宋"/>
                <w:bCs/>
                <w:color w:val="auto"/>
                <w:sz w:val="24"/>
                <w:szCs w:val="24"/>
                <w:highlight w:val="none"/>
              </w:rPr>
              <w:t>增值服务承诺</w:t>
            </w:r>
            <w:r>
              <w:rPr>
                <w:rFonts w:hint="eastAsia" w:ascii="仿宋" w:hAnsi="仿宋" w:eastAsia="仿宋" w:cs="仿宋"/>
                <w:bCs/>
                <w:color w:val="auto"/>
                <w:sz w:val="24"/>
                <w:szCs w:val="24"/>
                <w:highlight w:val="none"/>
                <w:lang w:val="en-US" w:eastAsia="zh-CN"/>
              </w:rPr>
              <w:t>或其他承诺</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每提供一项承诺，得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分，满分</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分。无承诺不得分。</w:t>
            </w:r>
          </w:p>
        </w:tc>
      </w:tr>
      <w:tr w14:paraId="088D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40" w:type="dxa"/>
            <w:noWrap w:val="0"/>
            <w:vAlign w:val="center"/>
          </w:tcPr>
          <w:p w14:paraId="1F4E645B">
            <w:pPr>
              <w:keepNext w:val="0"/>
              <w:keepLines w:val="0"/>
              <w:pageBreakBefore w:val="0"/>
              <w:widowControl/>
              <w:kinsoku/>
              <w:wordWrap/>
              <w:overflowPunct/>
              <w:topLinePunct w:val="0"/>
              <w:autoSpaceDE w:val="0"/>
              <w:autoSpaceDN w:val="0"/>
              <w:bidi w:val="0"/>
              <w:adjustRightInd w:val="0"/>
              <w:snapToGrid/>
              <w:spacing w:line="400" w:lineRule="exact"/>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tc>
        <w:tc>
          <w:tcPr>
            <w:tcW w:w="8228" w:type="dxa"/>
            <w:gridSpan w:val="2"/>
            <w:noWrap w:val="0"/>
            <w:vAlign w:val="center"/>
          </w:tcPr>
          <w:p w14:paraId="011A5C52">
            <w:pPr>
              <w:keepNext w:val="0"/>
              <w:keepLines w:val="0"/>
              <w:pageBreakBefore w:val="0"/>
              <w:widowControl/>
              <w:kinsoku/>
              <w:wordWrap/>
              <w:overflowPunct/>
              <w:topLinePunct w:val="0"/>
              <w:bidi w:val="0"/>
              <w:snapToGrid/>
              <w:spacing w:afterLines="0" w:line="400" w:lineRule="exact"/>
              <w:textAlignment w:val="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评标委员会成员须按照本评审要素据实打分。</w:t>
            </w:r>
          </w:p>
        </w:tc>
      </w:tr>
    </w:tbl>
    <w:p w14:paraId="67CE902E">
      <w:pPr>
        <w:pStyle w:val="2"/>
        <w:spacing w:line="500" w:lineRule="exact"/>
        <w:rPr>
          <w:rFonts w:ascii="黑体" w:hAnsi="黑体" w:eastAsia="黑体" w:cs="Times New Roman"/>
          <w:b w:val="0"/>
          <w:bCs w:val="0"/>
          <w:color w:val="auto"/>
          <w:sz w:val="32"/>
          <w:szCs w:val="32"/>
          <w:highlight w:val="none"/>
        </w:rPr>
      </w:pPr>
      <w:r>
        <w:rPr>
          <w:rFonts w:hint="eastAsia" w:ascii="黑体" w:hAnsi="黑体" w:eastAsia="黑体" w:cs="黑体"/>
          <w:color w:val="auto"/>
          <w:sz w:val="32"/>
          <w:szCs w:val="32"/>
          <w:highlight w:val="none"/>
        </w:rPr>
        <w:br w:type="page"/>
      </w:r>
      <w:bookmarkStart w:id="335" w:name="_Toc27121"/>
      <w:r>
        <w:rPr>
          <w:rFonts w:hint="eastAsia" w:ascii="黑体" w:hAnsi="黑体" w:eastAsia="黑体" w:cs="黑体"/>
          <w:b w:val="0"/>
          <w:bCs w:val="0"/>
          <w:color w:val="auto"/>
          <w:sz w:val="32"/>
          <w:szCs w:val="32"/>
          <w:highlight w:val="none"/>
        </w:rPr>
        <w:t>第四章  招标内容及采购要求</w:t>
      </w:r>
      <w:bookmarkEnd w:id="335"/>
    </w:p>
    <w:p w14:paraId="05601719">
      <w:pPr>
        <w:pStyle w:val="3"/>
        <w:spacing w:line="500" w:lineRule="exact"/>
        <w:ind w:firstLine="566" w:firstLineChars="200"/>
        <w:rPr>
          <w:rFonts w:hint="eastAsia" w:ascii="华文仿宋" w:hAnsi="华文仿宋" w:cs="华文仿宋"/>
          <w:color w:val="auto"/>
          <w:sz w:val="28"/>
          <w:szCs w:val="28"/>
          <w:highlight w:val="none"/>
        </w:rPr>
      </w:pPr>
      <w:bookmarkStart w:id="336" w:name="_Toc11832"/>
      <w:bookmarkStart w:id="337" w:name="_Toc25879"/>
      <w:r>
        <w:rPr>
          <w:rFonts w:hint="eastAsia" w:ascii="华文仿宋" w:hAnsi="华文仿宋" w:cs="华文仿宋"/>
          <w:color w:val="auto"/>
          <w:sz w:val="28"/>
          <w:szCs w:val="28"/>
          <w:highlight w:val="none"/>
        </w:rPr>
        <w:t>一、项目概况</w:t>
      </w:r>
      <w:bookmarkEnd w:id="336"/>
      <w:bookmarkEnd w:id="337"/>
    </w:p>
    <w:p w14:paraId="1F04CEBC">
      <w:pPr>
        <w:shd w:val="clear" w:color="auto" w:fill="auto"/>
        <w:spacing w:line="500" w:lineRule="exact"/>
        <w:ind w:firstLine="566" w:firstLineChars="200"/>
        <w:rPr>
          <w:rFonts w:hint="eastAsia" w:ascii="仿宋" w:hAnsi="仿宋" w:eastAsia="仿宋" w:cs="仿宋"/>
          <w:i w:val="0"/>
          <w:iCs w:val="0"/>
          <w:caps w:val="0"/>
          <w:color w:val="auto"/>
          <w:spacing w:val="0"/>
          <w:sz w:val="28"/>
          <w:szCs w:val="28"/>
          <w:highlight w:val="none"/>
          <w:u w:val="none"/>
          <w:shd w:val="clear" w:color="auto" w:fill="auto"/>
          <w:lang w:eastAsia="zh-CN"/>
        </w:rPr>
      </w:pPr>
      <w:bookmarkStart w:id="338" w:name="_Toc24029"/>
      <w:bookmarkStart w:id="339" w:name="_Toc1184"/>
      <w:r>
        <w:rPr>
          <w:rFonts w:hint="eastAsia" w:ascii="仿宋" w:hAnsi="仿宋" w:eastAsia="仿宋" w:cs="仿宋"/>
          <w:color w:val="auto"/>
          <w:highlight w:val="none"/>
          <w:u w:val="none"/>
          <w:lang w:eastAsia="zh-CN"/>
        </w:rPr>
        <w:t>陕西交通职业技术学院2025年云数据中心升级扩容项目，</w:t>
      </w:r>
      <w:r>
        <w:rPr>
          <w:rFonts w:hint="eastAsia" w:ascii="仿宋" w:hAnsi="仿宋" w:eastAsia="仿宋" w:cs="仿宋"/>
          <w:color w:val="auto"/>
          <w:highlight w:val="none"/>
          <w:u w:val="none"/>
          <w:lang w:val="en-US" w:eastAsia="zh-CN"/>
        </w:rPr>
        <w:t>该项目主要包含国产化服务器4台、超融合软件扩容1套、原有虚拟化平台软件升级1套（6台18C）、虚拟化防护软件1套、万兆交换机2台、利旧服务器及存储等内容。</w:t>
      </w:r>
      <w:r>
        <w:rPr>
          <w:rFonts w:hint="eastAsia" w:ascii="仿宋" w:hAnsi="仿宋" w:eastAsia="仿宋" w:cs="仿宋"/>
          <w:i w:val="0"/>
          <w:iCs w:val="0"/>
          <w:caps w:val="0"/>
          <w:color w:val="auto"/>
          <w:spacing w:val="0"/>
          <w:sz w:val="28"/>
          <w:szCs w:val="28"/>
          <w:highlight w:val="none"/>
          <w:u w:val="none"/>
          <w:shd w:val="clear" w:color="auto" w:fill="auto"/>
          <w:lang w:val="en-US" w:eastAsia="zh-CN"/>
        </w:rPr>
        <w:t>通过</w:t>
      </w:r>
      <w:r>
        <w:rPr>
          <w:rFonts w:hint="eastAsia" w:ascii="仿宋" w:hAnsi="仿宋" w:eastAsia="仿宋" w:cs="仿宋"/>
          <w:i w:val="0"/>
          <w:iCs w:val="0"/>
          <w:caps w:val="0"/>
          <w:color w:val="auto"/>
          <w:spacing w:val="0"/>
          <w:sz w:val="28"/>
          <w:szCs w:val="28"/>
          <w:highlight w:val="none"/>
          <w:u w:val="none"/>
          <w:shd w:val="clear" w:color="auto" w:fill="auto"/>
          <w:lang w:eastAsia="zh-CN"/>
        </w:rPr>
        <w:t>购置高性能的国产服务器、网络设备，以扩展基础设施资源池；同时升级云管理平台和虚拟化软件，以优化资源调度和运维效率；并完成新旧系统的集成测试，确保平台的稳定可靠运行，全面提升私有云平台的服务能力。此外，项目还将同步进行数据迁移、灾备加固以及运维人员的技术培训。</w:t>
      </w:r>
    </w:p>
    <w:p w14:paraId="45CF9776">
      <w:pPr>
        <w:shd w:val="clear" w:color="auto" w:fill="auto"/>
        <w:spacing w:line="500" w:lineRule="exact"/>
        <w:ind w:firstLine="566" w:firstLineChars="200"/>
        <w:rPr>
          <w:rFonts w:hint="eastAsia" w:ascii="仿宋" w:hAnsi="仿宋" w:eastAsia="仿宋" w:cs="仿宋"/>
          <w:color w:val="auto"/>
          <w:sz w:val="28"/>
          <w:szCs w:val="28"/>
          <w:highlight w:val="none"/>
          <w:u w:val="none"/>
          <w:lang w:eastAsia="zh-CN"/>
        </w:rPr>
      </w:pPr>
      <w:r>
        <w:rPr>
          <w:rFonts w:hint="eastAsia" w:ascii="仿宋" w:hAnsi="仿宋" w:eastAsia="仿宋" w:cs="仿宋"/>
          <w:color w:val="auto"/>
          <w:sz w:val="28"/>
          <w:szCs w:val="28"/>
          <w:highlight w:val="none"/>
          <w:u w:val="none"/>
        </w:rPr>
        <w:t>本次扩容的4节点服务器所有的底层计算、存储、网络、云管功能虚拟化软件授权1套，为保障本次超融合软件扩容项目学校重要业务系统的连续性和稳定性，本次超融合软件必须与原有超融合平台（天融信超融合平台）无缝兼容，不接受品牌或版本限制导致业务系统出现中断或故障。要求本次采购虚拟化终端防护系统进行深度对接</w:t>
      </w:r>
      <w:r>
        <w:rPr>
          <w:rFonts w:hint="eastAsia" w:ascii="仿宋" w:hAnsi="仿宋" w:eastAsia="仿宋" w:cs="仿宋"/>
          <w:color w:val="auto"/>
          <w:sz w:val="28"/>
          <w:szCs w:val="28"/>
          <w:highlight w:val="none"/>
          <w:u w:val="none"/>
          <w:lang w:eastAsia="zh-CN"/>
        </w:rPr>
        <w:t>。</w:t>
      </w:r>
    </w:p>
    <w:p w14:paraId="36ABA007">
      <w:pPr>
        <w:shd w:val="clear" w:color="auto" w:fill="auto"/>
        <w:spacing w:line="500" w:lineRule="exact"/>
        <w:ind w:firstLine="566" w:firstLineChars="200"/>
        <w:rPr>
          <w:rFonts w:hint="eastAsia" w:ascii="仿宋" w:hAnsi="仿宋" w:eastAsia="仿宋" w:cs="仿宋"/>
          <w:color w:val="auto"/>
          <w:highlight w:val="none"/>
          <w:u w:val="none"/>
          <w:lang w:val="en-US" w:eastAsia="zh-CN"/>
        </w:rPr>
      </w:pPr>
      <w:r>
        <w:rPr>
          <w:rFonts w:hint="eastAsia" w:ascii="仿宋" w:hAnsi="仿宋" w:eastAsia="仿宋" w:cs="仿宋"/>
          <w:color w:val="auto"/>
          <w:sz w:val="28"/>
          <w:szCs w:val="28"/>
          <w:highlight w:val="none"/>
          <w:u w:val="none"/>
        </w:rPr>
        <w:t>对原有虚拟化平台（浪潮云海云数据中心操作系统V5.5.1.1）计算虚拟化软件进行升级改造（6节点18C）。要求升级后的虚拟化平台与原有生产环境的虚拟化超融合平台（天融信超融合平台），实现统一管理，且资源可以相互调用；实现与原有天融信虚拟化防火墙系统V3无缝兼容；实现与原有容灾备份系统（科力锐数据备份与恢复系统V2.0）</w:t>
      </w:r>
      <w:r>
        <w:rPr>
          <w:rFonts w:hint="eastAsia" w:ascii="仿宋" w:hAnsi="仿宋" w:eastAsia="仿宋" w:cs="仿宋"/>
          <w:color w:val="auto"/>
          <w:sz w:val="28"/>
          <w:szCs w:val="28"/>
          <w:highlight w:val="none"/>
          <w:u w:val="none"/>
          <w:lang w:val="en-US" w:eastAsia="zh-CN"/>
        </w:rPr>
        <w:t>兼容</w:t>
      </w:r>
      <w:r>
        <w:rPr>
          <w:rFonts w:hint="eastAsia" w:ascii="仿宋" w:hAnsi="仿宋" w:eastAsia="仿宋" w:cs="仿宋"/>
          <w:color w:val="auto"/>
          <w:sz w:val="28"/>
          <w:szCs w:val="28"/>
          <w:highlight w:val="none"/>
          <w:u w:val="none"/>
        </w:rPr>
        <w:t>。</w:t>
      </w:r>
    </w:p>
    <w:p w14:paraId="534E867C">
      <w:pPr>
        <w:pStyle w:val="3"/>
        <w:pageBreakBefore w:val="0"/>
        <w:numPr>
          <w:ilvl w:val="0"/>
          <w:numId w:val="0"/>
        </w:numPr>
        <w:kinsoku/>
        <w:wordWrap/>
        <w:overflowPunct/>
        <w:topLinePunct w:val="0"/>
        <w:autoSpaceDE/>
        <w:autoSpaceDN/>
        <w:bidi w:val="0"/>
        <w:adjustRightInd/>
        <w:snapToGrid/>
        <w:spacing w:line="500" w:lineRule="exact"/>
        <w:ind w:firstLine="566" w:firstLineChars="200"/>
        <w:jc w:val="left"/>
        <w:textAlignment w:val="auto"/>
        <w:rPr>
          <w:rFonts w:hint="eastAsia" w:ascii="华文仿宋" w:hAnsi="华文仿宋" w:cs="华文仿宋"/>
          <w:color w:val="auto"/>
          <w:sz w:val="28"/>
          <w:szCs w:val="28"/>
          <w:highlight w:val="none"/>
        </w:rPr>
      </w:pPr>
      <w:r>
        <w:rPr>
          <w:rFonts w:hint="eastAsia" w:ascii="华文仿宋" w:hAnsi="华文仿宋" w:eastAsia="华文仿宋" w:cs="华文仿宋"/>
          <w:b/>
          <w:bCs/>
          <w:color w:val="auto"/>
          <w:kern w:val="2"/>
          <w:sz w:val="28"/>
          <w:szCs w:val="28"/>
          <w:lang w:val="en-US" w:eastAsia="zh-CN" w:bidi="ar-SA"/>
        </w:rPr>
        <w:t>二、</w:t>
      </w:r>
      <w:r>
        <w:rPr>
          <w:rFonts w:hint="eastAsia" w:ascii="华文仿宋" w:hAnsi="华文仿宋" w:cs="华文仿宋"/>
          <w:color w:val="auto"/>
          <w:sz w:val="28"/>
          <w:szCs w:val="28"/>
          <w:highlight w:val="none"/>
        </w:rPr>
        <w:t>服务内容及要求</w:t>
      </w:r>
      <w:bookmarkEnd w:id="338"/>
      <w:bookmarkEnd w:id="339"/>
    </w:p>
    <w:p w14:paraId="499BF967">
      <w:pPr>
        <w:pStyle w:val="4"/>
        <w:numPr>
          <w:ilvl w:val="0"/>
          <w:numId w:val="0"/>
        </w:numPr>
        <w:spacing w:line="500" w:lineRule="exact"/>
        <w:ind w:firstLine="566" w:firstLineChars="200"/>
        <w:jc w:val="left"/>
        <w:outlineLvl w:val="2"/>
        <w:rPr>
          <w:rFonts w:hint="default" w:ascii="华文仿宋" w:hAnsi="华文仿宋" w:eastAsia="华文仿宋" w:cs="华文仿宋"/>
          <w:color w:val="auto"/>
          <w:sz w:val="28"/>
          <w:szCs w:val="28"/>
          <w:highlight w:val="none"/>
          <w:u w:val="none"/>
          <w:lang w:val="en-US" w:eastAsia="zh-CN"/>
        </w:rPr>
      </w:pPr>
      <w:r>
        <w:rPr>
          <w:rFonts w:hint="eastAsia" w:ascii="华文仿宋" w:hAnsi="华文仿宋" w:cs="华文仿宋"/>
          <w:color w:val="auto"/>
          <w:sz w:val="28"/>
          <w:szCs w:val="28"/>
          <w:highlight w:val="none"/>
          <w:u w:val="none"/>
          <w:lang w:val="en-US" w:eastAsia="zh-CN"/>
        </w:rPr>
        <w:t>（一）服务采购清单</w:t>
      </w:r>
    </w:p>
    <w:tbl>
      <w:tblPr>
        <w:tblStyle w:val="26"/>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32"/>
        <w:gridCol w:w="6746"/>
      </w:tblGrid>
      <w:tr w14:paraId="7A8A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FBCD90C">
            <w:pPr>
              <w:pStyle w:val="75"/>
              <w:widowControl w:val="0"/>
              <w:shd w:val="clear" w:color="auto" w:fill="auto"/>
              <w:spacing w:line="180" w:lineRule="auto"/>
              <w:jc w:val="center"/>
              <w:rPr>
                <w:b/>
                <w:color w:val="auto"/>
                <w:kern w:val="0"/>
                <w:highlight w:val="none"/>
              </w:rPr>
            </w:pPr>
            <w:r>
              <w:rPr>
                <w:rFonts w:hint="eastAsia"/>
                <w:b/>
                <w:color w:val="auto"/>
                <w:kern w:val="0"/>
                <w:highlight w:val="none"/>
              </w:rPr>
              <w:t>序号</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C79F0B0">
            <w:pPr>
              <w:pStyle w:val="75"/>
              <w:widowControl w:val="0"/>
              <w:shd w:val="clear" w:color="auto" w:fill="auto"/>
              <w:spacing w:line="218" w:lineRule="auto"/>
              <w:jc w:val="center"/>
              <w:rPr>
                <w:b/>
                <w:color w:val="auto"/>
                <w:kern w:val="0"/>
                <w:highlight w:val="none"/>
              </w:rPr>
            </w:pPr>
            <w:r>
              <w:rPr>
                <w:rFonts w:hint="eastAsia"/>
                <w:b/>
                <w:color w:val="auto"/>
                <w:kern w:val="0"/>
                <w:highlight w:val="none"/>
              </w:rPr>
              <w:t>服务名称</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55BDA453">
            <w:pPr>
              <w:pStyle w:val="75"/>
              <w:widowControl w:val="0"/>
              <w:shd w:val="clear" w:color="auto" w:fill="auto"/>
              <w:spacing w:line="240" w:lineRule="auto"/>
              <w:jc w:val="center"/>
              <w:rPr>
                <w:b/>
                <w:color w:val="auto"/>
                <w:kern w:val="0"/>
                <w:highlight w:val="none"/>
              </w:rPr>
            </w:pPr>
            <w:r>
              <w:rPr>
                <w:rFonts w:hint="eastAsia"/>
                <w:b/>
                <w:color w:val="auto"/>
                <w:kern w:val="0"/>
                <w:highlight w:val="none"/>
              </w:rPr>
              <w:t>服务内容</w:t>
            </w:r>
          </w:p>
        </w:tc>
      </w:tr>
      <w:tr w14:paraId="6D95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6DFC8CE8">
            <w:pPr>
              <w:widowControl w:val="0"/>
              <w:spacing w:afterLines="0" w:line="400" w:lineRule="exact"/>
              <w:jc w:val="center"/>
              <w:rPr>
                <w:rFonts w:hint="eastAsia" w:eastAsia="仿宋"/>
                <w:bCs/>
                <w:color w:val="auto"/>
                <w:kern w:val="0"/>
                <w:highlight w:val="none"/>
                <w:lang w:eastAsia="zh-CN"/>
              </w:rPr>
            </w:pPr>
            <w:r>
              <w:rPr>
                <w:rFonts w:hint="eastAsia" w:ascii="仿宋" w:hAnsi="仿宋" w:eastAsia="仿宋" w:cs="仿宋"/>
                <w:sz w:val="24"/>
                <w:szCs w:val="24"/>
                <w:lang w:val="en-US" w:eastAsia="zh-CN"/>
              </w:rPr>
              <w:t>1</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51CFF46">
            <w:pPr>
              <w:widowControl w:val="0"/>
              <w:spacing w:afterLines="0" w:line="400" w:lineRule="exact"/>
              <w:jc w:val="center"/>
              <w:rPr>
                <w:bCs/>
                <w:color w:val="auto"/>
                <w:kern w:val="0"/>
                <w:sz w:val="24"/>
                <w:szCs w:val="24"/>
                <w:highlight w:val="none"/>
              </w:rPr>
            </w:pPr>
            <w:r>
              <w:rPr>
                <w:rFonts w:hint="eastAsia" w:ascii="仿宋" w:hAnsi="仿宋" w:eastAsia="仿宋" w:cs="仿宋"/>
                <w:sz w:val="24"/>
                <w:szCs w:val="24"/>
              </w:rPr>
              <w:t>超融合软件扩容</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07A5ED24">
            <w:pPr>
              <w:widowControl w:val="0"/>
              <w:spacing w:afterLines="0" w:line="400" w:lineRule="exact"/>
              <w:ind w:firstLine="0" w:firstLineChars="0"/>
              <w:rPr>
                <w:rFonts w:hint="eastAsia" w:ascii="仿宋" w:hAnsi="仿宋" w:eastAsia="仿宋" w:cs="仿宋"/>
                <w:sz w:val="24"/>
                <w:szCs w:val="24"/>
              </w:rPr>
            </w:pPr>
            <w:r>
              <w:rPr>
                <w:rFonts w:hint="eastAsia" w:ascii="仿宋" w:hAnsi="仿宋" w:eastAsia="仿宋" w:cs="仿宋"/>
                <w:sz w:val="24"/>
                <w:szCs w:val="24"/>
              </w:rPr>
              <w:t>包含支撑本次扩容的4节点服务器所有的底层计算、存储、网络、云管功能虚拟化软件授权1套，</w:t>
            </w:r>
            <w:r>
              <w:rPr>
                <w:rFonts w:hint="eastAsia" w:ascii="仿宋" w:hAnsi="仿宋" w:eastAsia="仿宋" w:cs="仿宋"/>
                <w:color w:val="auto"/>
                <w:sz w:val="24"/>
                <w:szCs w:val="24"/>
              </w:rPr>
              <w:t>为保障本次超融合软件扩容项目学校重要业务系统的连续性和稳定性，本次所投超融合软件必须与原有超融合平台（天融信超融合平台）无缝兼容</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要求本次采购虚拟化终端防护系统进行深度对接，</w:t>
            </w:r>
            <w:r>
              <w:rPr>
                <w:rFonts w:hint="eastAsia" w:ascii="仿宋" w:hAnsi="仿宋" w:eastAsia="仿宋" w:cs="仿宋"/>
                <w:sz w:val="24"/>
                <w:szCs w:val="24"/>
              </w:rPr>
              <w:t>满足采购人对虚拟主机安全防护场景的定制化要求</w:t>
            </w:r>
            <w:r>
              <w:rPr>
                <w:rFonts w:hint="eastAsia" w:ascii="仿宋" w:hAnsi="仿宋" w:eastAsia="仿宋" w:cs="仿宋"/>
                <w:sz w:val="24"/>
                <w:szCs w:val="24"/>
                <w:lang w:eastAsia="zh-CN"/>
              </w:rPr>
              <w:t>。</w:t>
            </w:r>
            <w:r>
              <w:rPr>
                <w:rFonts w:hint="eastAsia" w:ascii="仿宋" w:hAnsi="仿宋" w:eastAsia="仿宋" w:cs="仿宋"/>
                <w:sz w:val="24"/>
                <w:szCs w:val="24"/>
              </w:rPr>
              <w:t>具体功能要求如下：</w:t>
            </w:r>
          </w:p>
          <w:p w14:paraId="1DA702A8">
            <w:pPr>
              <w:widowControl w:val="0"/>
              <w:spacing w:afterLines="0" w:line="400" w:lineRule="exact"/>
              <w:ind w:firstLine="0" w:firstLineChars="0"/>
              <w:rPr>
                <w:rFonts w:hint="eastAsia" w:ascii="仿宋" w:hAnsi="仿宋" w:eastAsia="仿宋" w:cs="仿宋"/>
                <w:sz w:val="24"/>
                <w:szCs w:val="24"/>
              </w:rPr>
            </w:pPr>
            <w:r>
              <w:rPr>
                <w:rFonts w:hint="eastAsia" w:ascii="仿宋" w:hAnsi="仿宋" w:eastAsia="仿宋" w:cs="仿宋"/>
                <w:sz w:val="24"/>
                <w:szCs w:val="24"/>
              </w:rPr>
              <w:t>（1）扩容改造后虚拟机需实现物理机的全部功能，如具有自己的资源（内存、CPU、网卡、存储），可以指定单独的MAC地址等；支持配置动态资源扩展功能，系统支持自动评估虚拟机的性能，当虚拟机性能不足时自动为虚拟机添加CPU和内存资源，确保业务持续高效运行。支持双向迁移，要求将原虚拟机在运行状态下在线热迁移到业务承载平台上，也可将业务承载平台上的虚拟机在运行状态下跨平台迁移到的其他集群中，迁移结束后支持选择自动或手动重启虚拟机。支持虚拟机卡死及蓝屏的检测功能并实现自动重启；支持云服务器内存安全,杜绝云服务器关闭/销毁后的机器内存残留导致的敏感数据泄露问题；支持手动、自动或故障漂移；</w:t>
            </w:r>
          </w:p>
          <w:p w14:paraId="1CB05CAA">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2）支持多副本冗余功能，支持2个或以上副本，副本互斥地保存在集群的不同节点，支持存储卷副本数量的“在线”调整。针对卡盘、慢盘，平台支持在存储管理界面告警并隔离异常的磁盘。针对机械盘慢盘可进行自动临时隔离，针对机械盘卡盘可进行自动永久隔离支持数据写入优化机制。支持标准的iSCSI协议，允许外部物理主机或应用通过标准的iSCSI接口访问虚拟存储，实现Server SAN和IP SAN的融合。支持文件存储、块存储、对象存储服务。支持SSL加密传输，满足非结构化数据存储需求；支持存储卷的数据块副本图形显示和操作的功能，可以监控数据块的当前状态，可以按需迁移数据块所在的主机和磁盘，可以指定数据块副本的读取优先级。在可视化的WEB管理平台上，可以查看虚拟分布式存储对应的容量大小、容量使用率、实时的IOPS读写次数、IOPS读写数据量等信息</w:t>
            </w:r>
            <w:r>
              <w:rPr>
                <w:rFonts w:hint="eastAsia" w:ascii="仿宋" w:hAnsi="仿宋" w:eastAsia="仿宋" w:cs="仿宋"/>
                <w:sz w:val="24"/>
                <w:szCs w:val="24"/>
                <w:lang w:eastAsia="zh-CN"/>
              </w:rPr>
              <w:t>；</w:t>
            </w:r>
          </w:p>
          <w:p w14:paraId="49A2F068">
            <w:pPr>
              <w:widowControl w:val="0"/>
              <w:spacing w:afterLines="0" w:line="400" w:lineRule="exact"/>
              <w:ind w:firstLine="0" w:firstLineChars="0"/>
              <w:rPr>
                <w:rFonts w:hint="eastAsia" w:ascii="仿宋" w:hAnsi="仿宋" w:eastAsia="仿宋" w:cs="仿宋"/>
                <w:sz w:val="24"/>
                <w:szCs w:val="24"/>
              </w:rPr>
            </w:pPr>
            <w:r>
              <w:rPr>
                <w:rFonts w:hint="eastAsia" w:ascii="仿宋" w:hAnsi="仿宋" w:eastAsia="仿宋" w:cs="仿宋"/>
                <w:sz w:val="24"/>
                <w:szCs w:val="24"/>
              </w:rPr>
              <w:t>（3）在管理平台上可以通过拖拽虚拟设备图标和连线就能完成网络拓扑的构建，实现整个业务逻辑，并可连接、开启、关闭虚拟网络设备，支持对整个平台虚拟设备实现统一的管理。支持虚拟机流量镜像，能够将虚拟机、虚拟网络、物理网卡的流量镜像到虚拟或者实体安全设备。支持提供紧耦合的虚拟应用防火墙，非OEM，可对重要业务进行7层应用防护；</w:t>
            </w:r>
          </w:p>
          <w:p w14:paraId="0DD30098">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4）支持大屏显示监控集群状态，展示内容包括集群整体拓扑展示、健康状态、资源统计、资源负载情况及告警信息等。云计算管理平台和底层资源池部分（计算虚拟化、存储虚拟化、网络虚拟化）均为同一品牌，并支持扩展网络功能虚拟化、虚拟应用防火墙、虚拟应用负载均衡等功能组件，以保障平台的扩展性和兼容性。支持无代理杀毒功能。支持分布式电源管理功能,根据集群内主机资源负载情况，实现自动的服务器开、关机，达到能源效率和资源分配。支持与UPS进行联动，且支持关联多个UPS电源</w:t>
            </w:r>
            <w:r>
              <w:rPr>
                <w:rFonts w:hint="eastAsia" w:ascii="仿宋" w:hAnsi="仿宋" w:eastAsia="仿宋" w:cs="仿宋"/>
                <w:sz w:val="24"/>
                <w:szCs w:val="24"/>
                <w:lang w:eastAsia="zh-CN"/>
              </w:rPr>
              <w:t>；</w:t>
            </w:r>
          </w:p>
          <w:p w14:paraId="7E75A0B8">
            <w:pPr>
              <w:widowControl w:val="0"/>
              <w:spacing w:afterLines="0" w:line="400" w:lineRule="exact"/>
              <w:ind w:firstLine="0" w:firstLineChars="0"/>
              <w:rPr>
                <w:bCs/>
                <w:color w:val="auto"/>
                <w:kern w:val="0"/>
                <w:sz w:val="24"/>
                <w:szCs w:val="24"/>
                <w:highlight w:val="none"/>
              </w:rPr>
            </w:pPr>
            <w:r>
              <w:rPr>
                <w:rFonts w:hint="eastAsia" w:ascii="仿宋" w:hAnsi="仿宋" w:eastAsia="仿宋" w:cs="仿宋"/>
                <w:sz w:val="24"/>
                <w:szCs w:val="24"/>
              </w:rPr>
              <w:t>（5）支持多租户功能，租户之间实现计算、存储、网络及安全资源隔离，每个租户可拥有管理员和普通用户。管理员可以对租户配额资源进行修改，资源包括CPU核数、内存配额、存储配额等，并且支持实时扩展；能够将整个集群的存储资源切割成许多的虚拟存储池，并可将虚拟存储池分配给不同的租户，且不同租户的虚拟存储池间的数据和访问链路可实现逻辑隔离，普通用户可拥有所属虚拟资源，普通用户登录到云平台后仅可以看到所分配的资源。</w:t>
            </w:r>
          </w:p>
        </w:tc>
      </w:tr>
      <w:tr w14:paraId="70FC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33157D14">
            <w:pPr>
              <w:widowControl w:val="0"/>
              <w:spacing w:afterLines="0"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F1E8D3E">
            <w:pPr>
              <w:widowControl w:val="0"/>
              <w:spacing w:afterLines="0"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原有虚拟化平台软件升级</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55C9FBAF">
            <w:pPr>
              <w:widowControl w:val="0"/>
              <w:spacing w:afterLines="0" w:line="400" w:lineRule="exact"/>
              <w:rPr>
                <w:rFonts w:hint="eastAsia" w:ascii="仿宋" w:hAnsi="仿宋" w:eastAsia="仿宋" w:cs="仿宋"/>
                <w:sz w:val="24"/>
                <w:szCs w:val="24"/>
              </w:rPr>
            </w:pPr>
            <w:r>
              <w:rPr>
                <w:rFonts w:hint="eastAsia" w:ascii="仿宋" w:hAnsi="仿宋" w:eastAsia="仿宋" w:cs="仿宋"/>
                <w:sz w:val="24"/>
                <w:szCs w:val="24"/>
              </w:rPr>
              <w:t>对原有虚拟化平台（浪潮云海云数据中心操作系统V5.5.1.1）计算虚拟化软件进行升级改造（6节点18C）。要求升级后的虚拟化平台与原有生产环境的虚拟化超融合平台（天融信超融合平台），实现统一管理，且资源可以相互调用；实现与原有天融信虚拟化防火墙系统V3无缝兼容；实现与原有容灾备份系统（科力锐数据备份与恢复系统V2.0），满足采购人对灾备场景下的定制化需求。具体功能要求如下：</w:t>
            </w:r>
          </w:p>
          <w:p w14:paraId="2DF44F25">
            <w:pPr>
              <w:widowControl w:val="0"/>
              <w:spacing w:afterLines="0" w:line="400" w:lineRule="exact"/>
              <w:ind w:firstLine="0" w:firstLineChars="0"/>
              <w:rPr>
                <w:rFonts w:hint="eastAsia" w:ascii="仿宋" w:hAnsi="仿宋" w:eastAsia="仿宋" w:cs="仿宋"/>
                <w:sz w:val="24"/>
                <w:szCs w:val="24"/>
              </w:rPr>
            </w:pPr>
            <w:r>
              <w:rPr>
                <w:rFonts w:hint="eastAsia" w:ascii="仿宋" w:hAnsi="仿宋" w:eastAsia="仿宋" w:cs="仿宋"/>
                <w:sz w:val="24"/>
                <w:szCs w:val="24"/>
              </w:rPr>
              <w:t>（1）支持纳管第三方主流虚拟化平台，支持编辑其虚拟机的vCPU、内存、磁盘、网络等。提供用户自助服务界面，用户能够通过自助服务门户完成虚拟机的查看、申请、使用、修改、销毁等操作。支持可视化实时监控中心功能，支持大屏展示便于直观查看虚拟化资源池的使用情况和健康状态，包括集群资源情况，各主机资源使用情况，包括内存/CPU/磁盘使用趋势，以及集群故障与告警等，支持每个超融合节点出厂自带管理软件，设备上电后可登录任意一台来做超融合管理节点，提升集群冗余度，提升集群资源实用效率，所有节点全部通用</w:t>
            </w:r>
          </w:p>
          <w:p w14:paraId="4BE4B9FF">
            <w:pPr>
              <w:widowControl w:val="0"/>
              <w:spacing w:afterLines="0" w:line="400" w:lineRule="exact"/>
              <w:ind w:firstLine="0" w:firstLineChars="0"/>
              <w:rPr>
                <w:rFonts w:hint="eastAsia" w:ascii="仿宋" w:hAnsi="仿宋" w:eastAsia="仿宋" w:cs="仿宋"/>
                <w:sz w:val="24"/>
                <w:szCs w:val="24"/>
              </w:rPr>
            </w:pPr>
            <w:r>
              <w:rPr>
                <w:rFonts w:hint="eastAsia" w:ascii="仿宋" w:hAnsi="仿宋" w:eastAsia="仿宋" w:cs="仿宋"/>
                <w:sz w:val="24"/>
                <w:szCs w:val="24"/>
              </w:rPr>
              <w:t>（2）虚拟机可以实现物理机的全部功能，如具有自己的资源（内存、CPU、网卡、存储），可以指定单独的MAC地址等；支持配置动态资源扩展功能，系统支持自动评估虚拟机的性能，当虚拟机性能不足时自动为虚拟机添加CPU和内存资源，确保业务持续高效运行。支持无代理跨物理主机的虚拟机USB映射，需要使用USB KEY时，无需再虚拟机上安装客户端插件，支持在同一虚拟化主机或集群上同时运行VDI虚拟机和业务虚拟机，并使用同一品牌管理平台同时管理桌面云与业务虚拟机。支持平台中的集群资源环境一键检测，对硬件健康、平台底层的虚拟化的运行状态和配置，进行多个维度进行检查。</w:t>
            </w:r>
          </w:p>
          <w:p w14:paraId="739C56AF">
            <w:pPr>
              <w:widowControl w:val="0"/>
              <w:spacing w:afterLines="0" w:line="400" w:lineRule="exact"/>
              <w:ind w:firstLine="0" w:firstLineChars="0"/>
              <w:rPr>
                <w:rFonts w:hint="eastAsia" w:ascii="仿宋" w:hAnsi="仿宋" w:eastAsia="仿宋" w:cs="仿宋"/>
                <w:kern w:val="2"/>
                <w:sz w:val="24"/>
                <w:szCs w:val="24"/>
                <w:lang w:val="en-US" w:eastAsia="zh-CN" w:bidi="ar-SA"/>
              </w:rPr>
            </w:pPr>
            <w:r>
              <w:rPr>
                <w:rFonts w:hint="eastAsia" w:ascii="仿宋" w:hAnsi="仿宋" w:eastAsia="仿宋" w:cs="仿宋"/>
                <w:sz w:val="24"/>
                <w:szCs w:val="24"/>
              </w:rPr>
              <w:t>（3）要求改造后的虚拟化平台与原科力锐灾备平台实现功能、性能、兼容性、可靠性、稳定性等方面的兼容，满足关键应用场景需求。支持对X86下的物理主机、虚拟化主机、超融合主机、云主机提供整机CDP持续数据保护，实时备份磁盘任意时刻的状态，备份时间粒度需达微秒级，实现RPO趋近于0；支持基于多个备份点或一个备份任务的多个历史备份点同时启动多个容灾主机对外提供服务，以便灾难故障后的选择最佳容灾备份点；支持针对共享存储类集群业务系统例如Oracle RAC等整机热备容灾架构，实现集群故障的业务秒级切换，保障业务连续性。</w:t>
            </w:r>
          </w:p>
        </w:tc>
      </w:tr>
      <w:tr w14:paraId="3DF2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7" w:hRule="atLeast"/>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7A226373">
            <w:pPr>
              <w:widowControl w:val="0"/>
              <w:spacing w:afterLines="0" w:line="42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F85BBC9">
            <w:pPr>
              <w:widowControl w:val="0"/>
              <w:spacing w:afterLines="0" w:line="400" w:lineRule="exact"/>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虚拟化安全防护软件</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469D645C">
            <w:pPr>
              <w:widowControl w:val="0"/>
              <w:spacing w:afterLines="0" w:line="400" w:lineRule="exact"/>
              <w:rPr>
                <w:rFonts w:hint="eastAsia" w:ascii="仿宋" w:hAnsi="仿宋" w:eastAsia="仿宋" w:cs="仿宋"/>
                <w:sz w:val="24"/>
                <w:szCs w:val="24"/>
              </w:rPr>
            </w:pPr>
            <w:r>
              <w:rPr>
                <w:rFonts w:hint="eastAsia" w:ascii="仿宋" w:hAnsi="仿宋" w:eastAsia="仿宋" w:cs="仿宋"/>
                <w:sz w:val="24"/>
                <w:szCs w:val="24"/>
              </w:rPr>
              <w:t>提供1套虚拟化分布式防火墙系统，满足本项目范围内虚拟化环境安全防护，并与现有云数据中心安全防护体系实现无缝融合，统一管理。具体功能要求如下：</w:t>
            </w:r>
          </w:p>
          <w:p w14:paraId="1D1A2F99">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（1）支持分布式防火墙系统与虚拟化承载平台内核级别集成，实现东西向流量安全防护，提供2-7层安全防护；具有ByPass功能，能以动态拓扑结构向用户展示云内虚机之间的通信关系，并支持云内安全态势分析</w:t>
            </w:r>
            <w:r>
              <w:rPr>
                <w:rFonts w:hint="eastAsia" w:ascii="仿宋" w:hAnsi="仿宋" w:eastAsia="仿宋" w:cs="仿宋"/>
                <w:sz w:val="24"/>
                <w:szCs w:val="24"/>
                <w:lang w:eastAsia="zh-CN"/>
              </w:rPr>
              <w:t>；</w:t>
            </w:r>
          </w:p>
          <w:p w14:paraId="43F19CB3">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（2）支持基于五元组、入侵防御、恶意代码检测以及应用识别的应用层访问控制规则</w:t>
            </w:r>
            <w:r>
              <w:rPr>
                <w:rFonts w:hint="eastAsia" w:ascii="仿宋" w:hAnsi="仿宋" w:eastAsia="仿宋" w:cs="仿宋"/>
                <w:sz w:val="24"/>
                <w:szCs w:val="24"/>
                <w:lang w:eastAsia="zh-CN"/>
              </w:rPr>
              <w:t>；</w:t>
            </w:r>
          </w:p>
          <w:p w14:paraId="7A07D554">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（3）支持恶意代码感染关系统计，以关系拓扑的形式呈现</w:t>
            </w:r>
            <w:r>
              <w:rPr>
                <w:rFonts w:hint="eastAsia" w:ascii="仿宋" w:hAnsi="仿宋" w:eastAsia="仿宋" w:cs="仿宋"/>
                <w:sz w:val="24"/>
                <w:szCs w:val="24"/>
                <w:lang w:eastAsia="zh-CN"/>
              </w:rPr>
              <w:t>；</w:t>
            </w:r>
          </w:p>
          <w:p w14:paraId="6058FDF3">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rPr>
              <w:t>（4）支持虚机之间通信关系展示，支持显现出该虚机的所有通信关系结构</w:t>
            </w:r>
            <w:r>
              <w:rPr>
                <w:rFonts w:hint="eastAsia" w:ascii="仿宋" w:hAnsi="仿宋" w:eastAsia="仿宋" w:cs="仿宋"/>
                <w:sz w:val="24"/>
                <w:szCs w:val="24"/>
                <w:lang w:eastAsia="zh-CN"/>
              </w:rPr>
              <w:t>；</w:t>
            </w:r>
          </w:p>
          <w:p w14:paraId="61839300">
            <w:pPr>
              <w:widowControl w:val="0"/>
              <w:spacing w:afterLines="0" w:line="400" w:lineRule="exact"/>
              <w:rPr>
                <w:rFonts w:hint="eastAsia" w:ascii="仿宋" w:hAnsi="仿宋" w:eastAsia="仿宋" w:cs="仿宋"/>
                <w:kern w:val="2"/>
                <w:sz w:val="24"/>
                <w:szCs w:val="24"/>
                <w:lang w:val="en-US" w:eastAsia="zh-CN" w:bidi="ar-SA"/>
              </w:rPr>
            </w:pPr>
            <w:r>
              <w:rPr>
                <w:rFonts w:hint="eastAsia" w:ascii="仿宋" w:hAnsi="仿宋" w:eastAsia="仿宋" w:cs="仿宋"/>
                <w:sz w:val="24"/>
                <w:szCs w:val="24"/>
              </w:rPr>
              <w:t>（5）支持一键切换成三权分立模式，满足等级保护相关要求。</w:t>
            </w:r>
          </w:p>
        </w:tc>
      </w:tr>
      <w:tr w14:paraId="28B2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5BE8334D">
            <w:pPr>
              <w:widowControl w:val="0"/>
              <w:spacing w:afterLines="0"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4</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97F4488">
            <w:pPr>
              <w:widowControl w:val="0"/>
              <w:spacing w:afterLines="0" w:line="400" w:lineRule="exact"/>
              <w:jc w:val="center"/>
              <w:rPr>
                <w:rFonts w:hint="eastAsia" w:ascii="仿宋" w:hAnsi="仿宋" w:eastAsia="仿宋" w:cs="仿宋"/>
                <w:sz w:val="24"/>
                <w:szCs w:val="24"/>
              </w:rPr>
            </w:pPr>
            <w:r>
              <w:rPr>
                <w:rFonts w:hint="eastAsia" w:ascii="仿宋" w:hAnsi="仿宋" w:eastAsia="仿宋" w:cs="仿宋"/>
                <w:sz w:val="24"/>
                <w:szCs w:val="24"/>
              </w:rPr>
              <w:t>系统集成及辅材</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3E36A8C3">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电源线整理：将电源线按照设备布局合理规划，避免交叉缠绕，采用绑扎带或线槽固定，标记每根电源线的来源和去向，方便识别和维护</w:t>
            </w:r>
            <w:r>
              <w:rPr>
                <w:rFonts w:hint="eastAsia" w:ascii="仿宋" w:hAnsi="仿宋" w:eastAsia="仿宋" w:cs="仿宋"/>
                <w:sz w:val="24"/>
                <w:szCs w:val="24"/>
                <w:lang w:eastAsia="zh-CN"/>
              </w:rPr>
              <w:t>；</w:t>
            </w:r>
          </w:p>
          <w:p w14:paraId="119D213F">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网线整理：对网络线缆进行分类，如按照不同区域或业务功能划分。理顺网线走向，使用理线架将网线整齐排列，减少信号干扰</w:t>
            </w:r>
            <w:r>
              <w:rPr>
                <w:rFonts w:hint="eastAsia" w:ascii="仿宋" w:hAnsi="仿宋" w:eastAsia="仿宋" w:cs="仿宋"/>
                <w:sz w:val="24"/>
                <w:szCs w:val="24"/>
                <w:lang w:eastAsia="zh-CN"/>
              </w:rPr>
              <w:t>；</w:t>
            </w:r>
          </w:p>
          <w:p w14:paraId="24B23D60">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光纤整理：替换原有设备光纤，将光纤束按照标识分类整理，确保光纤连接头的清洁，避免过度弯折</w:t>
            </w:r>
            <w:r>
              <w:rPr>
                <w:rFonts w:hint="eastAsia" w:ascii="仿宋" w:hAnsi="仿宋" w:eastAsia="仿宋" w:cs="仿宋"/>
                <w:sz w:val="24"/>
                <w:szCs w:val="24"/>
                <w:lang w:eastAsia="zh-CN"/>
              </w:rPr>
              <w:t>；</w:t>
            </w:r>
          </w:p>
          <w:p w14:paraId="4E5D7FD4">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根据设备的功能、发热量和使用频率重新规划设备的摆放位置。例如，将服务器按照业务关联性集中放置，把发热量大的设备放置在散热条件较好的区域，如靠近空调出风口</w:t>
            </w:r>
            <w:r>
              <w:rPr>
                <w:rFonts w:hint="eastAsia" w:ascii="仿宋" w:hAnsi="仿宋" w:eastAsia="仿宋" w:cs="仿宋"/>
                <w:sz w:val="24"/>
                <w:szCs w:val="24"/>
                <w:lang w:eastAsia="zh-CN"/>
              </w:rPr>
              <w:t>；</w:t>
            </w:r>
          </w:p>
          <w:p w14:paraId="086864E3">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详细记录每台设备的品牌、型号、序列号、购买日期、保修期限、配置信息等内容，建立完善的资产清单</w:t>
            </w:r>
            <w:r>
              <w:rPr>
                <w:rFonts w:hint="eastAsia" w:ascii="仿宋" w:hAnsi="仿宋" w:eastAsia="仿宋" w:cs="仿宋"/>
                <w:sz w:val="24"/>
                <w:szCs w:val="24"/>
                <w:lang w:eastAsia="zh-CN"/>
              </w:rPr>
              <w:t>；</w:t>
            </w:r>
          </w:p>
          <w:p w14:paraId="51B388D5">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对设备进行标识，贴上资产标签，标明设备编号、名称等信息</w:t>
            </w:r>
            <w:r>
              <w:rPr>
                <w:rFonts w:hint="eastAsia" w:ascii="仿宋" w:hAnsi="仿宋" w:eastAsia="仿宋" w:cs="仿宋"/>
                <w:sz w:val="24"/>
                <w:szCs w:val="24"/>
                <w:lang w:eastAsia="zh-CN"/>
              </w:rPr>
              <w:t>；</w:t>
            </w:r>
          </w:p>
          <w:p w14:paraId="32A95444">
            <w:pPr>
              <w:widowControl w:val="0"/>
              <w:spacing w:afterLines="0"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系统策略调优：对于服务器系统，调整系统参数，如内存分配策略、磁盘I/O调度策略等，以提高系统性能</w:t>
            </w:r>
            <w:r>
              <w:rPr>
                <w:rFonts w:hint="eastAsia" w:ascii="仿宋" w:hAnsi="仿宋" w:eastAsia="仿宋" w:cs="仿宋"/>
                <w:sz w:val="24"/>
                <w:szCs w:val="24"/>
                <w:lang w:eastAsia="zh-CN"/>
              </w:rPr>
              <w:t>；</w:t>
            </w:r>
          </w:p>
          <w:p w14:paraId="7C92BBB3">
            <w:pPr>
              <w:widowControl w:val="0"/>
              <w:spacing w:afterLines="0"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利旧设备安装调试中，需要更换的模块、跳线等材料</w:t>
            </w:r>
            <w:r>
              <w:rPr>
                <w:rFonts w:hint="eastAsia" w:ascii="仿宋" w:hAnsi="仿宋" w:eastAsia="仿宋" w:cs="仿宋"/>
                <w:sz w:val="24"/>
                <w:szCs w:val="24"/>
                <w:lang w:eastAsia="zh-CN"/>
              </w:rPr>
              <w:t>。</w:t>
            </w:r>
          </w:p>
        </w:tc>
      </w:tr>
      <w:tr w14:paraId="4F5D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tcBorders>
              <w:top w:val="single" w:color="auto" w:sz="4" w:space="0"/>
              <w:left w:val="single" w:color="auto" w:sz="4" w:space="0"/>
              <w:bottom w:val="single" w:color="auto" w:sz="4" w:space="0"/>
              <w:right w:val="single" w:color="auto" w:sz="4" w:space="0"/>
            </w:tcBorders>
            <w:noWrap w:val="0"/>
            <w:vAlign w:val="center"/>
          </w:tcPr>
          <w:p w14:paraId="2976795B">
            <w:pPr>
              <w:pStyle w:val="75"/>
              <w:widowControl w:val="0"/>
              <w:shd w:val="clear" w:color="auto" w:fill="auto"/>
              <w:spacing w:line="180" w:lineRule="auto"/>
              <w:jc w:val="center"/>
              <w:rPr>
                <w:rFonts w:hint="eastAsia" w:ascii="仿宋" w:hAnsi="仿宋" w:eastAsia="仿宋" w:cs="仿宋"/>
                <w:sz w:val="24"/>
                <w:szCs w:val="24"/>
                <w:lang w:eastAsia="zh-CN"/>
              </w:rPr>
            </w:pPr>
            <w:r>
              <w:rPr>
                <w:rFonts w:hint="default"/>
                <w:bCs/>
                <w:color w:val="auto"/>
                <w:kern w:val="0"/>
                <w:highlight w:val="none"/>
                <w:lang w:val="en-US" w:eastAsia="zh-CN"/>
              </w:rPr>
              <w:t>5</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7DA1BDE2">
            <w:pPr>
              <w:widowControl w:val="0"/>
              <w:spacing w:afterLines="0" w:line="400" w:lineRule="exact"/>
              <w:jc w:val="center"/>
              <w:rPr>
                <w:rFonts w:hint="eastAsia" w:ascii="仿宋" w:hAnsi="仿宋" w:eastAsia="仿宋" w:cs="仿宋"/>
                <w:sz w:val="24"/>
                <w:szCs w:val="24"/>
              </w:rPr>
            </w:pPr>
            <w:r>
              <w:rPr>
                <w:rFonts w:hint="eastAsia" w:ascii="仿宋" w:hAnsi="仿宋" w:eastAsia="仿宋" w:cs="仿宋"/>
                <w:sz w:val="24"/>
                <w:szCs w:val="24"/>
              </w:rPr>
              <w:t>利旧设备服务</w:t>
            </w:r>
          </w:p>
        </w:tc>
        <w:tc>
          <w:tcPr>
            <w:tcW w:w="6746" w:type="dxa"/>
            <w:tcBorders>
              <w:top w:val="single" w:color="auto" w:sz="4" w:space="0"/>
              <w:left w:val="single" w:color="auto" w:sz="4" w:space="0"/>
              <w:bottom w:val="single" w:color="auto" w:sz="4" w:space="0"/>
              <w:right w:val="single" w:color="auto" w:sz="4" w:space="0"/>
            </w:tcBorders>
            <w:noWrap w:val="0"/>
            <w:vAlign w:val="center"/>
          </w:tcPr>
          <w:p w14:paraId="37619B2D">
            <w:pPr>
              <w:widowControl w:val="0"/>
              <w:spacing w:afterLines="0" w:line="400" w:lineRule="exact"/>
              <w:rPr>
                <w:rFonts w:hint="eastAsia" w:ascii="仿宋" w:hAnsi="仿宋" w:eastAsia="仿宋" w:cs="仿宋"/>
                <w:sz w:val="24"/>
                <w:szCs w:val="24"/>
              </w:rPr>
            </w:pPr>
            <w:r>
              <w:rPr>
                <w:rFonts w:hint="eastAsia" w:ascii="仿宋" w:hAnsi="仿宋" w:eastAsia="仿宋" w:cs="仿宋"/>
                <w:sz w:val="24"/>
                <w:szCs w:val="24"/>
              </w:rPr>
              <w:t>原虚拟化平台采用传统的计算+存储的架构，包含6台浪潮服务器（3台浪潮NF5280F5、3台浪潮NF8480M5）、2台宏杉MS3000 G2存储、2台浪潮S6850全光交换机，2台浪潮FS6500全光交换机等。基于现有的硬件完成虚拟化软件的更新升级。所有硬件提供1年延保服务，包含技术工程师上门检修服务、备品备件服务等；提供5年免费的技术支持服务。</w:t>
            </w:r>
          </w:p>
        </w:tc>
      </w:tr>
    </w:tbl>
    <w:p w14:paraId="1EB115DA">
      <w:pPr>
        <w:pStyle w:val="4"/>
        <w:pageBreakBefore w:val="0"/>
        <w:numPr>
          <w:ilvl w:val="0"/>
          <w:numId w:val="0"/>
        </w:numPr>
        <w:kinsoku/>
        <w:wordWrap/>
        <w:overflowPunct/>
        <w:topLinePunct w:val="0"/>
        <w:autoSpaceDE/>
        <w:autoSpaceDN/>
        <w:bidi w:val="0"/>
        <w:adjustRightInd/>
        <w:snapToGrid/>
        <w:ind w:firstLine="566" w:firstLineChars="200"/>
        <w:jc w:val="left"/>
        <w:textAlignment w:val="auto"/>
        <w:outlineLvl w:val="2"/>
        <w:rPr>
          <w:rFonts w:hint="default" w:ascii="华文仿宋" w:hAnsi="华文仿宋" w:eastAsia="华文仿宋" w:cs="华文仿宋"/>
          <w:color w:val="auto"/>
          <w:sz w:val="28"/>
          <w:szCs w:val="28"/>
          <w:highlight w:val="none"/>
          <w:u w:val="none"/>
          <w:lang w:val="en-US" w:eastAsia="zh-CN"/>
        </w:rPr>
      </w:pPr>
      <w:r>
        <w:rPr>
          <w:rFonts w:hint="eastAsia" w:ascii="华文仿宋" w:hAnsi="华文仿宋" w:cs="华文仿宋"/>
          <w:color w:val="auto"/>
          <w:sz w:val="28"/>
          <w:szCs w:val="28"/>
          <w:highlight w:val="none"/>
          <w:u w:val="none"/>
          <w:lang w:val="en-US" w:eastAsia="zh-CN"/>
        </w:rPr>
        <w:t>（二）货物采购清单</w:t>
      </w:r>
    </w:p>
    <w:tbl>
      <w:tblPr>
        <w:tblStyle w:val="25"/>
        <w:tblW w:w="4716" w:type="pct"/>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210"/>
        <w:gridCol w:w="5688"/>
        <w:gridCol w:w="1103"/>
      </w:tblGrid>
      <w:tr w14:paraId="3637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3" w:type="pct"/>
            <w:noWrap w:val="0"/>
            <w:vAlign w:val="center"/>
          </w:tcPr>
          <w:p w14:paraId="20AFFE4E">
            <w:pPr>
              <w:spacing w:afterLines="0"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690" w:type="pct"/>
            <w:noWrap w:val="0"/>
            <w:vAlign w:val="center"/>
          </w:tcPr>
          <w:p w14:paraId="0ABA9CF2">
            <w:pPr>
              <w:spacing w:afterLines="0"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货物名称</w:t>
            </w:r>
          </w:p>
        </w:tc>
        <w:tc>
          <w:tcPr>
            <w:tcW w:w="3245" w:type="pct"/>
            <w:noWrap w:val="0"/>
            <w:vAlign w:val="center"/>
          </w:tcPr>
          <w:p w14:paraId="1694C95D">
            <w:pPr>
              <w:spacing w:afterLines="0"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629" w:type="pct"/>
            <w:noWrap w:val="0"/>
            <w:vAlign w:val="center"/>
          </w:tcPr>
          <w:p w14:paraId="75997D5B">
            <w:pPr>
              <w:spacing w:afterLines="0"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数量</w:t>
            </w:r>
          </w:p>
        </w:tc>
      </w:tr>
      <w:tr w14:paraId="4707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 w:type="pct"/>
            <w:noWrap w:val="0"/>
            <w:vAlign w:val="center"/>
          </w:tcPr>
          <w:p w14:paraId="6A412540">
            <w:pPr>
              <w:spacing w:afterLines="0" w:line="400" w:lineRule="exact"/>
              <w:jc w:val="center"/>
              <w:rPr>
                <w:rFonts w:hint="eastAsia" w:ascii="仿宋" w:hAnsi="仿宋" w:eastAsia="仿宋" w:cs="仿宋"/>
                <w:sz w:val="24"/>
                <w:szCs w:val="24"/>
              </w:rPr>
            </w:pPr>
            <w:bookmarkStart w:id="340" w:name="OLE_LINK13" w:colFirst="2" w:colLast="2"/>
            <w:r>
              <w:rPr>
                <w:rFonts w:hint="eastAsia" w:ascii="仿宋" w:hAnsi="仿宋" w:eastAsia="仿宋" w:cs="仿宋"/>
                <w:sz w:val="24"/>
                <w:szCs w:val="24"/>
              </w:rPr>
              <w:t>1</w:t>
            </w:r>
          </w:p>
        </w:tc>
        <w:tc>
          <w:tcPr>
            <w:tcW w:w="690" w:type="pct"/>
            <w:noWrap w:val="0"/>
            <w:vAlign w:val="center"/>
          </w:tcPr>
          <w:p w14:paraId="6BFD44AE">
            <w:pPr>
              <w:spacing w:afterLines="0" w:line="400" w:lineRule="exact"/>
              <w:jc w:val="center"/>
              <w:rPr>
                <w:rFonts w:hint="eastAsia" w:ascii="仿宋" w:hAnsi="仿宋" w:eastAsia="仿宋" w:cs="仿宋"/>
                <w:sz w:val="24"/>
                <w:szCs w:val="24"/>
              </w:rPr>
            </w:pPr>
            <w:r>
              <w:rPr>
                <w:rFonts w:hint="eastAsia" w:ascii="仿宋" w:hAnsi="仿宋" w:eastAsia="仿宋" w:cs="仿宋"/>
                <w:sz w:val="24"/>
                <w:szCs w:val="24"/>
              </w:rPr>
              <w:t>服务器</w:t>
            </w:r>
          </w:p>
        </w:tc>
        <w:tc>
          <w:tcPr>
            <w:tcW w:w="3245" w:type="pct"/>
            <w:noWrap w:val="0"/>
            <w:vAlign w:val="center"/>
          </w:tcPr>
          <w:p w14:paraId="0DD8987A">
            <w:pPr>
              <w:numPr>
                <w:ilvl w:val="0"/>
                <w:numId w:val="0"/>
              </w:numPr>
              <w:spacing w:afterLines="0" w:line="400" w:lineRule="exact"/>
              <w:rPr>
                <w:rFonts w:hint="eastAsia" w:ascii="仿宋" w:hAnsi="仿宋" w:eastAsia="仿宋" w:cs="仿宋"/>
                <w:sz w:val="24"/>
                <w:szCs w:val="24"/>
                <w:lang w:eastAsia="zh-CN"/>
              </w:rPr>
            </w:pPr>
            <w:bookmarkStart w:id="341" w:name="OLE_LINK4"/>
            <w:r>
              <w:rPr>
                <w:rFonts w:hint="eastAsia" w:ascii="仿宋" w:hAnsi="仿宋" w:eastAsia="仿宋" w:cs="仿宋"/>
                <w:kern w:val="2"/>
                <w:sz w:val="24"/>
                <w:szCs w:val="24"/>
                <w:lang w:val="en-US" w:eastAsia="zh-CN" w:bidi="ar-SA"/>
              </w:rPr>
              <w:t>（1）</w:t>
            </w:r>
            <w:bookmarkEnd w:id="341"/>
            <w:r>
              <w:rPr>
                <w:rFonts w:hint="eastAsia" w:ascii="仿宋" w:hAnsi="仿宋" w:eastAsia="仿宋" w:cs="仿宋"/>
                <w:sz w:val="24"/>
                <w:szCs w:val="24"/>
              </w:rPr>
              <w:t>标准机架式2U服务器，要求</w:t>
            </w:r>
            <w:bookmarkStart w:id="342" w:name="OLE_LINK10"/>
            <w:r>
              <w:rPr>
                <w:rFonts w:hint="eastAsia" w:ascii="仿宋" w:hAnsi="仿宋" w:eastAsia="仿宋" w:cs="仿宋"/>
                <w:sz w:val="24"/>
                <w:szCs w:val="24"/>
              </w:rPr>
              <w:t>配置国产化CPU*2颗,核心数≥32C，主频≥2.0GHz</w:t>
            </w:r>
            <w:r>
              <w:rPr>
                <w:rFonts w:hint="eastAsia" w:ascii="仿宋" w:hAnsi="仿宋" w:eastAsia="仿宋" w:cs="仿宋"/>
                <w:sz w:val="24"/>
                <w:szCs w:val="24"/>
                <w:lang w:eastAsia="zh-CN"/>
              </w:rPr>
              <w:t>，</w:t>
            </w:r>
            <w:bookmarkEnd w:id="342"/>
            <w:r>
              <w:rPr>
                <w:rFonts w:hint="eastAsia" w:ascii="仿宋" w:hAnsi="仿宋" w:eastAsia="仿宋" w:cs="仿宋"/>
                <w:sz w:val="24"/>
                <w:szCs w:val="24"/>
              </w:rPr>
              <w:t>适配国内外主流操作系统、数据库、中间件等基础软件及广泛的行业应用软件，如Windows、Linux、麒麟OS、统信UOS等，能够无缝运行大量基于x86开发的Windows应用程序，无需对现有软件系统进行大规模重构</w:t>
            </w:r>
            <w:r>
              <w:rPr>
                <w:rFonts w:hint="eastAsia" w:ascii="仿宋" w:hAnsi="仿宋" w:eastAsia="仿宋" w:cs="仿宋"/>
                <w:sz w:val="24"/>
                <w:szCs w:val="24"/>
                <w:lang w:eastAsia="zh-CN"/>
              </w:rPr>
              <w:t>；</w:t>
            </w:r>
          </w:p>
          <w:p w14:paraId="20F64426">
            <w:pPr>
              <w:numPr>
                <w:ilvl w:val="0"/>
                <w:numId w:val="0"/>
              </w:numPr>
              <w:spacing w:afterLines="0" w:line="400" w:lineRule="exact"/>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配置DDR4内存≥512G，后置系统盘≥240GB SSD*2块（RAID1）</w:t>
            </w:r>
            <w:r>
              <w:rPr>
                <w:rFonts w:hint="eastAsia" w:ascii="仿宋" w:hAnsi="仿宋" w:eastAsia="仿宋" w:cs="仿宋"/>
                <w:sz w:val="24"/>
                <w:szCs w:val="24"/>
                <w:lang w:eastAsia="zh-CN"/>
              </w:rPr>
              <w:t>；</w:t>
            </w:r>
          </w:p>
          <w:p w14:paraId="1728C6A4">
            <w:pPr>
              <w:numPr>
                <w:ilvl w:val="0"/>
                <w:numId w:val="0"/>
              </w:numPr>
              <w:spacing w:afterLines="0" w:line="400" w:lineRule="exact"/>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配置1920GB SSD固态缓存盘*2块，≥8TB 7200转 SATA硬盘（数据盘）*5块</w:t>
            </w:r>
            <w:r>
              <w:rPr>
                <w:rFonts w:hint="eastAsia" w:ascii="仿宋" w:hAnsi="仿宋" w:eastAsia="仿宋" w:cs="仿宋"/>
                <w:sz w:val="24"/>
                <w:szCs w:val="24"/>
                <w:lang w:eastAsia="zh-CN"/>
              </w:rPr>
              <w:t>；</w:t>
            </w:r>
          </w:p>
          <w:p w14:paraId="760F2F04">
            <w:pPr>
              <w:numPr>
                <w:ilvl w:val="0"/>
                <w:numId w:val="0"/>
              </w:numPr>
              <w:spacing w:afterLines="0" w:line="400" w:lineRule="exact"/>
              <w:rPr>
                <w:rFonts w:hint="eastAsia" w:ascii="仿宋" w:hAnsi="仿宋" w:eastAsia="仿宋" w:cs="仿宋"/>
                <w:sz w:val="24"/>
                <w:szCs w:val="24"/>
                <w:lang w:eastAsia="zh-CN"/>
              </w:rPr>
            </w:pPr>
            <w:bookmarkStart w:id="343" w:name="OLE_LINK12"/>
            <w:r>
              <w:rPr>
                <w:rFonts w:hint="eastAsia" w:ascii="仿宋" w:hAnsi="仿宋" w:eastAsia="仿宋" w:cs="仿宋"/>
                <w:kern w:val="2"/>
                <w:sz w:val="24"/>
                <w:szCs w:val="24"/>
                <w:lang w:val="en-US" w:eastAsia="zh-CN" w:bidi="ar-SA"/>
              </w:rPr>
              <w:t>（4）</w:t>
            </w:r>
            <w:bookmarkEnd w:id="343"/>
            <w:r>
              <w:rPr>
                <w:rFonts w:hint="eastAsia" w:ascii="仿宋" w:hAnsi="仿宋" w:eastAsia="仿宋" w:cs="仿宋"/>
                <w:sz w:val="24"/>
                <w:szCs w:val="24"/>
              </w:rPr>
              <w:t>网口≥2个千兆电口，≥4个万兆光口（含多模光模块）</w:t>
            </w:r>
            <w:r>
              <w:rPr>
                <w:rFonts w:hint="eastAsia" w:ascii="仿宋" w:hAnsi="仿宋" w:eastAsia="仿宋" w:cs="仿宋"/>
                <w:sz w:val="24"/>
                <w:szCs w:val="24"/>
                <w:lang w:eastAsia="zh-CN"/>
              </w:rPr>
              <w:t>；</w:t>
            </w:r>
          </w:p>
          <w:p w14:paraId="7C75A096">
            <w:pPr>
              <w:numPr>
                <w:ilvl w:val="0"/>
                <w:numId w:val="0"/>
              </w:numPr>
              <w:spacing w:afterLines="0" w:line="400" w:lineRule="exact"/>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集成IPMI管理模块，前置≥12个3.5"热插拔SAS/SATA盘位，冗余电源</w:t>
            </w:r>
            <w:r>
              <w:rPr>
                <w:rFonts w:hint="eastAsia" w:ascii="仿宋" w:hAnsi="仿宋" w:eastAsia="仿宋" w:cs="仿宋"/>
                <w:sz w:val="24"/>
                <w:szCs w:val="24"/>
                <w:lang w:eastAsia="zh-CN"/>
              </w:rPr>
              <w:t>。</w:t>
            </w:r>
          </w:p>
        </w:tc>
        <w:tc>
          <w:tcPr>
            <w:tcW w:w="629" w:type="pct"/>
            <w:noWrap w:val="0"/>
            <w:vAlign w:val="center"/>
          </w:tcPr>
          <w:p w14:paraId="1623660E">
            <w:pPr>
              <w:spacing w:afterLines="0" w:line="400" w:lineRule="exact"/>
              <w:jc w:val="center"/>
              <w:rPr>
                <w:rFonts w:ascii="仿宋" w:hAnsi="仿宋" w:eastAsia="仿宋" w:cs="仿宋"/>
                <w:sz w:val="24"/>
                <w:szCs w:val="24"/>
              </w:rPr>
            </w:pPr>
            <w:r>
              <w:rPr>
                <w:rFonts w:hint="eastAsia" w:ascii="仿宋" w:hAnsi="仿宋" w:eastAsia="仿宋" w:cs="仿宋"/>
                <w:sz w:val="24"/>
                <w:szCs w:val="24"/>
              </w:rPr>
              <w:t>4台</w:t>
            </w:r>
          </w:p>
        </w:tc>
      </w:tr>
      <w:bookmarkEnd w:id="340"/>
      <w:tr w14:paraId="7AF2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33" w:type="pct"/>
            <w:noWrap w:val="0"/>
            <w:vAlign w:val="center"/>
          </w:tcPr>
          <w:p w14:paraId="44C795EE">
            <w:pPr>
              <w:spacing w:afterLines="0"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p>
        </w:tc>
        <w:tc>
          <w:tcPr>
            <w:tcW w:w="690" w:type="pct"/>
            <w:noWrap w:val="0"/>
            <w:vAlign w:val="center"/>
          </w:tcPr>
          <w:p w14:paraId="453C0792">
            <w:pPr>
              <w:spacing w:afterLines="0" w:line="400" w:lineRule="exact"/>
              <w:jc w:val="center"/>
              <w:rPr>
                <w:rFonts w:hint="eastAsia" w:ascii="仿宋" w:hAnsi="仿宋" w:eastAsia="仿宋" w:cs="仿宋"/>
                <w:sz w:val="24"/>
                <w:szCs w:val="24"/>
              </w:rPr>
            </w:pPr>
            <w:r>
              <w:rPr>
                <w:rFonts w:hint="eastAsia" w:ascii="仿宋" w:hAnsi="仿宋" w:eastAsia="仿宋" w:cs="仿宋"/>
                <w:sz w:val="24"/>
                <w:szCs w:val="24"/>
              </w:rPr>
              <w:t>网络交换机（万兆）</w:t>
            </w:r>
          </w:p>
        </w:tc>
        <w:tc>
          <w:tcPr>
            <w:tcW w:w="3245" w:type="pct"/>
            <w:noWrap w:val="0"/>
            <w:vAlign w:val="center"/>
          </w:tcPr>
          <w:p w14:paraId="7F7ED992">
            <w:pPr>
              <w:spacing w:afterLines="0" w:line="400" w:lineRule="exact"/>
              <w:rPr>
                <w:rFonts w:hint="eastAsia" w:ascii="仿宋" w:hAnsi="仿宋" w:eastAsia="仿宋" w:cs="仿宋"/>
                <w:sz w:val="24"/>
                <w:szCs w:val="24"/>
              </w:rPr>
            </w:pPr>
            <w:bookmarkStart w:id="344" w:name="OLE_LINK18"/>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 xml:space="preserve">配置要求：交换容量≥2.56Tbps，包转发率≥1620Mpps； </w:t>
            </w:r>
          </w:p>
          <w:p w14:paraId="305A4301">
            <w:pPr>
              <w:spacing w:afterLines="0" w:line="40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提供≥48个10G SFP+端口，≥6个40GE/100GE QSFP28端口；</w:t>
            </w:r>
          </w:p>
          <w:p w14:paraId="0F94A7DB">
            <w:pPr>
              <w:spacing w:afterLines="0" w:line="400" w:lineRule="exact"/>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提供≥2个160W交流电源；</w:t>
            </w:r>
          </w:p>
          <w:p w14:paraId="0BCE0F74">
            <w:pPr>
              <w:spacing w:afterLines="0"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提供≥24个万兆SPF+多模模块</w:t>
            </w:r>
            <w:bookmarkEnd w:id="344"/>
            <w:r>
              <w:rPr>
                <w:rFonts w:hint="eastAsia" w:ascii="仿宋" w:hAnsi="仿宋" w:eastAsia="仿宋" w:cs="仿宋"/>
                <w:sz w:val="24"/>
                <w:szCs w:val="24"/>
                <w:lang w:eastAsia="zh-CN"/>
              </w:rPr>
              <w:t>。</w:t>
            </w:r>
          </w:p>
        </w:tc>
        <w:tc>
          <w:tcPr>
            <w:tcW w:w="629" w:type="pct"/>
            <w:noWrap w:val="0"/>
            <w:vAlign w:val="center"/>
          </w:tcPr>
          <w:p w14:paraId="16A28149">
            <w:pPr>
              <w:spacing w:afterLines="0" w:line="400" w:lineRule="exact"/>
              <w:jc w:val="center"/>
              <w:rPr>
                <w:rFonts w:ascii="仿宋" w:hAnsi="仿宋" w:eastAsia="仿宋" w:cs="仿宋"/>
                <w:sz w:val="24"/>
                <w:szCs w:val="24"/>
              </w:rPr>
            </w:pPr>
            <w:r>
              <w:rPr>
                <w:rFonts w:hint="eastAsia" w:ascii="仿宋" w:hAnsi="仿宋" w:eastAsia="仿宋" w:cs="仿宋"/>
                <w:sz w:val="24"/>
                <w:szCs w:val="24"/>
              </w:rPr>
              <w:t>2台</w:t>
            </w:r>
          </w:p>
        </w:tc>
      </w:tr>
    </w:tbl>
    <w:p w14:paraId="04123C18">
      <w:pPr>
        <w:pStyle w:val="3"/>
        <w:numPr>
          <w:ilvl w:val="0"/>
          <w:numId w:val="0"/>
        </w:numPr>
        <w:spacing w:afterLines="0" w:line="500" w:lineRule="exact"/>
        <w:ind w:firstLine="566" w:firstLineChars="200"/>
        <w:rPr>
          <w:rFonts w:hint="eastAsia" w:ascii="仿宋" w:hAnsi="仿宋" w:eastAsia="仿宋" w:cs="仿宋"/>
          <w:color w:val="auto"/>
          <w:sz w:val="28"/>
          <w:szCs w:val="28"/>
          <w:highlight w:val="none"/>
        </w:rPr>
      </w:pPr>
      <w:r>
        <w:rPr>
          <w:rFonts w:hint="eastAsia" w:ascii="仿宋" w:hAnsi="仿宋" w:eastAsia="仿宋" w:cs="仿宋"/>
          <w:b/>
          <w:bCs/>
          <w:color w:val="auto"/>
          <w:kern w:val="2"/>
          <w:sz w:val="28"/>
          <w:szCs w:val="28"/>
          <w:lang w:val="en-US" w:eastAsia="zh-CN" w:bidi="ar-SA"/>
        </w:rPr>
        <w:t>三、</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要求</w:t>
      </w:r>
    </w:p>
    <w:p w14:paraId="30FB88D4">
      <w:pPr>
        <w:spacing w:afterLines="0" w:line="500" w:lineRule="exact"/>
        <w:ind w:firstLine="566" w:firstLineChars="200"/>
        <w:rPr>
          <w:rFonts w:hint="eastAsia" w:ascii="仿宋" w:hAnsi="仿宋" w:eastAsia="仿宋" w:cs="仿宋"/>
          <w:b/>
          <w:bCs/>
          <w:sz w:val="28"/>
          <w:szCs w:val="28"/>
          <w:u w:val="none"/>
        </w:rPr>
      </w:pPr>
      <w:r>
        <w:rPr>
          <w:rFonts w:hint="eastAsia" w:ascii="华文仿宋" w:hAnsi="华文仿宋" w:eastAsia="华文仿宋" w:cs="华文仿宋"/>
          <w:color w:val="auto"/>
          <w:sz w:val="28"/>
          <w:szCs w:val="28"/>
          <w:highlight w:val="none"/>
        </w:rPr>
        <w:t>▲</w:t>
      </w:r>
      <w:r>
        <w:rPr>
          <w:rFonts w:hint="eastAsia" w:ascii="仿宋" w:hAnsi="仿宋" w:eastAsia="仿宋" w:cs="仿宋"/>
          <w:b/>
          <w:bCs/>
          <w:sz w:val="28"/>
          <w:szCs w:val="28"/>
          <w:u w:val="none"/>
          <w:lang w:val="en-US" w:eastAsia="zh-CN"/>
        </w:rPr>
        <w:t>（一）</w:t>
      </w:r>
      <w:r>
        <w:rPr>
          <w:rFonts w:hint="eastAsia" w:ascii="仿宋" w:hAnsi="仿宋" w:eastAsia="仿宋" w:cs="仿宋"/>
          <w:b/>
          <w:bCs/>
          <w:sz w:val="28"/>
          <w:szCs w:val="28"/>
          <w:u w:val="none"/>
        </w:rPr>
        <w:t>技术支持团队</w:t>
      </w:r>
    </w:p>
    <w:p w14:paraId="7E80ED65">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应配备专业的技术支持团队，提供7×24小时的技术支持服务，确保在接到采购方技术支持请求后1小时内响应，并在2小时内到达现场解决问题。</w:t>
      </w:r>
    </w:p>
    <w:p w14:paraId="7564C89B">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做好</w:t>
      </w:r>
      <w:r>
        <w:rPr>
          <w:rFonts w:hint="eastAsia" w:ascii="仿宋" w:hAnsi="仿宋" w:eastAsia="仿宋" w:cs="仿宋"/>
          <w:sz w:val="28"/>
          <w:szCs w:val="28"/>
          <w:u w:val="none"/>
          <w:lang w:eastAsia="zh-CN"/>
        </w:rPr>
        <w:t>采购人</w:t>
      </w:r>
      <w:r>
        <w:rPr>
          <w:rFonts w:hint="eastAsia" w:ascii="仿宋" w:hAnsi="仿宋" w:eastAsia="仿宋" w:cs="仿宋"/>
          <w:sz w:val="28"/>
          <w:szCs w:val="28"/>
          <w:u w:val="none"/>
        </w:rPr>
        <w:t>云管理系统服务。梳理</w:t>
      </w:r>
      <w:r>
        <w:rPr>
          <w:rFonts w:hint="eastAsia" w:ascii="仿宋" w:hAnsi="仿宋" w:eastAsia="仿宋" w:cs="仿宋"/>
          <w:sz w:val="28"/>
          <w:szCs w:val="28"/>
          <w:u w:val="none"/>
          <w:lang w:eastAsia="zh-CN"/>
        </w:rPr>
        <w:t>采购人</w:t>
      </w:r>
      <w:r>
        <w:rPr>
          <w:rFonts w:hint="eastAsia" w:ascii="仿宋" w:hAnsi="仿宋" w:eastAsia="仿宋" w:cs="仿宋"/>
          <w:sz w:val="28"/>
          <w:szCs w:val="28"/>
          <w:u w:val="none"/>
        </w:rPr>
        <w:t>私有云中各业务系统，完成资产台账；根据使用部门进行分级管理；创建系统镜像、配置安全基线，包括常用的稳定的windows、</w:t>
      </w:r>
      <w:r>
        <w:rPr>
          <w:rFonts w:hint="eastAsia" w:ascii="仿宋" w:hAnsi="仿宋" w:eastAsia="仿宋" w:cs="仿宋"/>
          <w:sz w:val="28"/>
          <w:szCs w:val="28"/>
          <w:u w:val="none"/>
          <w:lang w:val="en-US" w:eastAsia="zh-CN"/>
        </w:rPr>
        <w:t>L</w:t>
      </w:r>
      <w:r>
        <w:rPr>
          <w:rFonts w:hint="eastAsia" w:ascii="仿宋" w:hAnsi="仿宋" w:eastAsia="仿宋" w:cs="仿宋"/>
          <w:sz w:val="28"/>
          <w:szCs w:val="28"/>
          <w:u w:val="none"/>
        </w:rPr>
        <w:t>inux、Unix、</w:t>
      </w:r>
      <w:r>
        <w:rPr>
          <w:rFonts w:hint="eastAsia" w:ascii="仿宋" w:hAnsi="仿宋" w:eastAsia="仿宋" w:cs="仿宋"/>
          <w:sz w:val="28"/>
          <w:szCs w:val="28"/>
          <w:u w:val="none"/>
          <w:lang w:val="en-US" w:eastAsia="zh-CN"/>
        </w:rPr>
        <w:t>U</w:t>
      </w:r>
      <w:r>
        <w:rPr>
          <w:rFonts w:hint="eastAsia" w:ascii="仿宋" w:hAnsi="仿宋" w:eastAsia="仿宋" w:cs="仿宋"/>
          <w:sz w:val="28"/>
          <w:szCs w:val="28"/>
          <w:u w:val="none"/>
        </w:rPr>
        <w:t>buntu等系统；根据业务部门的需要，创建管理账号、虚拟机；配合业务部门做好网络安全防护及安全加固，包括修补漏洞、设置策略、查找问题等；配合业务部门做好系统及数据备份，重要业务系统进行镜像备份；制作用户操作使用手册；配合</w:t>
      </w:r>
      <w:r>
        <w:rPr>
          <w:rFonts w:hint="eastAsia" w:ascii="仿宋" w:hAnsi="仿宋" w:eastAsia="仿宋" w:cs="仿宋"/>
          <w:sz w:val="28"/>
          <w:szCs w:val="28"/>
          <w:u w:val="none"/>
          <w:lang w:eastAsia="zh-CN"/>
        </w:rPr>
        <w:t>采购人</w:t>
      </w:r>
      <w:r>
        <w:rPr>
          <w:rFonts w:hint="eastAsia" w:ascii="仿宋" w:hAnsi="仿宋" w:eastAsia="仿宋" w:cs="仿宋"/>
          <w:sz w:val="28"/>
          <w:szCs w:val="28"/>
          <w:u w:val="none"/>
        </w:rPr>
        <w:t>处理虚拟服务器及业务系统的其他问题。</w:t>
      </w:r>
    </w:p>
    <w:p w14:paraId="058CC8D7">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提供7×24小时的无偿技术支持。支持范围包括产品的功能、配置、安装、调试、客户使用中遇到的各种技术问题的一般性咨询，并随时准备处理各种突发事件。</w:t>
      </w:r>
    </w:p>
    <w:p w14:paraId="153E07A3">
      <w:pPr>
        <w:widowControl w:val="0"/>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3、</w:t>
      </w:r>
      <w:r>
        <w:rPr>
          <w:rFonts w:hint="eastAsia" w:ascii="仿宋" w:hAnsi="仿宋" w:eastAsia="仿宋" w:cs="仿宋"/>
          <w:sz w:val="28"/>
          <w:szCs w:val="28"/>
          <w:u w:val="none"/>
        </w:rPr>
        <w:t>在发生各类信息安全事件时，第一时间提供应急响应和处置服务，按照安全应急响应预案，及时采取有效的应对措施，控制安全事件造成的影响范围，缩小损失，排查问题来源，恢复信息资产正常运行。</w:t>
      </w:r>
    </w:p>
    <w:p w14:paraId="6D540EBA">
      <w:pPr>
        <w:widowControl w:val="0"/>
        <w:numPr>
          <w:ilvl w:val="0"/>
          <w:numId w:val="0"/>
        </w:numPr>
        <w:spacing w:afterLines="0" w:line="500" w:lineRule="exact"/>
        <w:ind w:firstLine="566" w:firstLineChars="200"/>
        <w:rPr>
          <w:rFonts w:hint="eastAsia" w:ascii="仿宋" w:hAnsi="仿宋" w:eastAsia="仿宋" w:cs="仿宋"/>
          <w:b/>
          <w:bCs/>
          <w:sz w:val="28"/>
          <w:szCs w:val="28"/>
          <w:u w:val="none"/>
        </w:rPr>
      </w:pPr>
      <w:r>
        <w:rPr>
          <w:rFonts w:hint="eastAsia" w:ascii="仿宋" w:hAnsi="仿宋" w:eastAsia="仿宋" w:cs="仿宋"/>
          <w:b/>
          <w:bCs/>
          <w:sz w:val="28"/>
          <w:szCs w:val="28"/>
          <w:u w:val="none"/>
          <w:lang w:val="en-US" w:eastAsia="zh-CN"/>
        </w:rPr>
        <w:t>（二）</w:t>
      </w:r>
      <w:r>
        <w:rPr>
          <w:rFonts w:hint="eastAsia" w:ascii="仿宋" w:hAnsi="仿宋" w:eastAsia="仿宋" w:cs="仿宋"/>
          <w:b/>
          <w:bCs/>
          <w:sz w:val="28"/>
          <w:szCs w:val="28"/>
          <w:u w:val="none"/>
        </w:rPr>
        <w:t>专用工具</w:t>
      </w:r>
    </w:p>
    <w:p w14:paraId="203A1173">
      <w:pPr>
        <w:widowControl w:val="0"/>
        <w:numPr>
          <w:ilvl w:val="0"/>
          <w:numId w:val="0"/>
        </w:num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需提供项目实施所需的全部专用工具，包括但不限于服务器安装工具、网络设备调试工具、存储设备维护工具等。专用工具应为全新且符合国家或行业标准，确保在项目实施过程中正常使用。</w:t>
      </w:r>
    </w:p>
    <w:p w14:paraId="2ADB713C">
      <w:pPr>
        <w:widowControl w:val="0"/>
        <w:spacing w:afterLines="0" w:line="500" w:lineRule="exact"/>
        <w:ind w:firstLine="566" w:firstLineChars="200"/>
        <w:rPr>
          <w:rFonts w:hint="eastAsia" w:ascii="仿宋" w:hAnsi="仿宋" w:eastAsia="仿宋" w:cs="仿宋"/>
          <w:b/>
          <w:bCs/>
          <w:sz w:val="28"/>
          <w:szCs w:val="28"/>
          <w:u w:val="none"/>
        </w:rPr>
      </w:pPr>
      <w:r>
        <w:rPr>
          <w:rFonts w:hint="eastAsia" w:ascii="仿宋" w:hAnsi="仿宋" w:eastAsia="仿宋" w:cs="仿宋"/>
          <w:b/>
          <w:bCs/>
          <w:sz w:val="28"/>
          <w:szCs w:val="28"/>
          <w:u w:val="none"/>
          <w:lang w:val="en-US" w:eastAsia="zh-CN"/>
        </w:rPr>
        <w:t>（三）</w:t>
      </w:r>
      <w:r>
        <w:rPr>
          <w:rFonts w:hint="eastAsia" w:ascii="仿宋" w:hAnsi="仿宋" w:eastAsia="仿宋" w:cs="仿宋"/>
          <w:b/>
          <w:bCs/>
          <w:sz w:val="28"/>
          <w:szCs w:val="28"/>
          <w:u w:val="none"/>
        </w:rPr>
        <w:t>安装调试及配套工程</w:t>
      </w:r>
    </w:p>
    <w:p w14:paraId="42FD57BC">
      <w:pPr>
        <w:widowControl w:val="0"/>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安装调试</w:t>
      </w:r>
    </w:p>
    <w:p w14:paraId="0F8E895B">
      <w:pPr>
        <w:widowControl w:val="0"/>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负责所有设备的安装、调试工作，确保设备正常运行并满足招标文件及合同要求。安装调试工作应严格按照国家、行业及地方相关标准和规范进行，确保安装质量。安装调试完成后，</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应向采购</w:t>
      </w:r>
      <w:r>
        <w:rPr>
          <w:rFonts w:hint="eastAsia" w:ascii="仿宋" w:hAnsi="仿宋" w:eastAsia="仿宋" w:cs="仿宋"/>
          <w:sz w:val="28"/>
          <w:szCs w:val="28"/>
          <w:u w:val="none"/>
          <w:lang w:val="en-US" w:eastAsia="zh-CN"/>
        </w:rPr>
        <w:t>人</w:t>
      </w:r>
      <w:r>
        <w:rPr>
          <w:rFonts w:hint="eastAsia" w:ascii="仿宋" w:hAnsi="仿宋" w:eastAsia="仿宋" w:cs="仿宋"/>
          <w:sz w:val="28"/>
          <w:szCs w:val="28"/>
          <w:u w:val="none"/>
        </w:rPr>
        <w:t>提供完整的安装调试报告，包括设备安装位置、调试参数、测试结果等内容。</w:t>
      </w:r>
    </w:p>
    <w:p w14:paraId="5B0D7F61">
      <w:pPr>
        <w:widowControl w:val="0"/>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配套工程</w:t>
      </w:r>
    </w:p>
    <w:p w14:paraId="720F757C">
      <w:pPr>
        <w:widowControl w:val="0"/>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需负责与云平台扩容相关的配套工程建设，如机房环境改造、网络布线、电源接入等，确保项目整体的顺利实施。</w:t>
      </w:r>
    </w:p>
    <w:p w14:paraId="029FD0C9">
      <w:pPr>
        <w:widowControl w:val="0"/>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rPr>
        <w:t>配套工程应符合相关建筑、电气、通信等标准和规范，采购</w:t>
      </w:r>
      <w:r>
        <w:rPr>
          <w:rFonts w:hint="eastAsia" w:ascii="仿宋" w:hAnsi="仿宋" w:eastAsia="仿宋" w:cs="仿宋"/>
          <w:sz w:val="28"/>
          <w:szCs w:val="28"/>
          <w:u w:val="none"/>
          <w:lang w:val="en-US" w:eastAsia="zh-CN"/>
        </w:rPr>
        <w:t>人</w:t>
      </w:r>
      <w:r>
        <w:rPr>
          <w:rFonts w:hint="eastAsia" w:ascii="仿宋" w:hAnsi="仿宋" w:eastAsia="仿宋" w:cs="仿宋"/>
          <w:sz w:val="28"/>
          <w:szCs w:val="28"/>
          <w:u w:val="none"/>
        </w:rPr>
        <w:t>有权对配套工程进行验收，如发现不符合要求的情况，</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应在规定时间内进行整改。配套工程的施工方案需提前报采购</w:t>
      </w:r>
      <w:r>
        <w:rPr>
          <w:rFonts w:hint="eastAsia" w:ascii="仿宋" w:hAnsi="仿宋" w:eastAsia="仿宋" w:cs="仿宋"/>
          <w:sz w:val="28"/>
          <w:szCs w:val="28"/>
          <w:u w:val="none"/>
          <w:lang w:val="en-US" w:eastAsia="zh-CN"/>
        </w:rPr>
        <w:t>人</w:t>
      </w:r>
      <w:r>
        <w:rPr>
          <w:rFonts w:hint="eastAsia" w:ascii="仿宋" w:hAnsi="仿宋" w:eastAsia="仿宋" w:cs="仿宋"/>
          <w:sz w:val="28"/>
          <w:szCs w:val="28"/>
          <w:u w:val="none"/>
        </w:rPr>
        <w:t>审核，经采购</w:t>
      </w:r>
      <w:r>
        <w:rPr>
          <w:rFonts w:hint="eastAsia" w:ascii="仿宋" w:hAnsi="仿宋" w:eastAsia="仿宋" w:cs="仿宋"/>
          <w:sz w:val="28"/>
          <w:szCs w:val="28"/>
          <w:u w:val="none"/>
          <w:lang w:val="en-US" w:eastAsia="zh-CN"/>
        </w:rPr>
        <w:t>人</w:t>
      </w:r>
      <w:r>
        <w:rPr>
          <w:rFonts w:hint="eastAsia" w:ascii="仿宋" w:hAnsi="仿宋" w:eastAsia="仿宋" w:cs="仿宋"/>
          <w:sz w:val="28"/>
          <w:szCs w:val="28"/>
          <w:u w:val="none"/>
        </w:rPr>
        <w:t>同意后方可实施。</w:t>
      </w:r>
    </w:p>
    <w:p w14:paraId="4037C319">
      <w:pPr>
        <w:spacing w:afterLines="0" w:line="500" w:lineRule="exact"/>
        <w:ind w:firstLine="566" w:firstLineChars="200"/>
        <w:rPr>
          <w:rFonts w:hint="eastAsia" w:ascii="仿宋" w:hAnsi="仿宋" w:eastAsia="仿宋" w:cs="仿宋"/>
          <w:b/>
          <w:bCs/>
          <w:sz w:val="28"/>
          <w:szCs w:val="28"/>
          <w:u w:val="none"/>
        </w:rPr>
      </w:pPr>
      <w:r>
        <w:rPr>
          <w:rFonts w:hint="eastAsia" w:ascii="仿宋" w:hAnsi="仿宋" w:eastAsia="仿宋" w:cs="仿宋"/>
          <w:color w:val="auto"/>
          <w:sz w:val="28"/>
          <w:szCs w:val="28"/>
          <w:highlight w:val="none"/>
        </w:rPr>
        <w:t>▲</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lang w:val="en-US" w:eastAsia="zh-CN"/>
        </w:rPr>
        <w:t>四</w:t>
      </w:r>
      <w:r>
        <w:rPr>
          <w:rFonts w:hint="eastAsia" w:ascii="仿宋" w:hAnsi="仿宋" w:eastAsia="仿宋" w:cs="仿宋"/>
          <w:b/>
          <w:bCs/>
          <w:sz w:val="28"/>
          <w:szCs w:val="28"/>
          <w:u w:val="none"/>
          <w:lang w:eastAsia="zh-CN"/>
        </w:rPr>
        <w:t>）</w:t>
      </w:r>
      <w:r>
        <w:rPr>
          <w:rFonts w:hint="eastAsia" w:ascii="仿宋" w:hAnsi="仿宋" w:eastAsia="仿宋" w:cs="仿宋"/>
          <w:b/>
          <w:bCs/>
          <w:sz w:val="28"/>
          <w:szCs w:val="28"/>
          <w:u w:val="none"/>
        </w:rPr>
        <w:t>质量保证</w:t>
      </w:r>
    </w:p>
    <w:p w14:paraId="12A2BE0A">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质量标准：项目采购标的应符合国家、行业及地方相关质量标准，同时满足招标文件及合同中规定的质量要求。</w:t>
      </w:r>
    </w:p>
    <w:p w14:paraId="47B032F5">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rPr>
        <w:t>质量检测：</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应提供采购标的的质量检测报告或相关认证证书，证明其质量符合要求。采购</w:t>
      </w:r>
      <w:r>
        <w:rPr>
          <w:rFonts w:hint="eastAsia" w:ascii="仿宋" w:hAnsi="仿宋" w:eastAsia="仿宋" w:cs="仿宋"/>
          <w:sz w:val="28"/>
          <w:szCs w:val="28"/>
          <w:u w:val="none"/>
          <w:lang w:val="en-US" w:eastAsia="zh-CN"/>
        </w:rPr>
        <w:t>人</w:t>
      </w:r>
      <w:r>
        <w:rPr>
          <w:rFonts w:hint="eastAsia" w:ascii="仿宋" w:hAnsi="仿宋" w:eastAsia="仿宋" w:cs="仿宋"/>
          <w:sz w:val="28"/>
          <w:szCs w:val="28"/>
          <w:u w:val="none"/>
        </w:rPr>
        <w:t>有权对采购标的进行抽样检测，如发现质量问题，</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应负责免费更换或修复。</w:t>
      </w:r>
    </w:p>
    <w:p w14:paraId="31BBC344">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3、</w:t>
      </w:r>
      <w:r>
        <w:rPr>
          <w:rFonts w:hint="eastAsia" w:ascii="仿宋" w:hAnsi="仿宋" w:eastAsia="仿宋" w:cs="仿宋"/>
          <w:sz w:val="28"/>
          <w:szCs w:val="28"/>
          <w:u w:val="none"/>
        </w:rPr>
        <w:t>质量监督：在项目实施过程中，采购</w:t>
      </w:r>
      <w:r>
        <w:rPr>
          <w:rFonts w:hint="eastAsia" w:ascii="仿宋" w:hAnsi="仿宋" w:eastAsia="仿宋" w:cs="仿宋"/>
          <w:sz w:val="28"/>
          <w:szCs w:val="28"/>
          <w:u w:val="none"/>
          <w:lang w:val="en-US" w:eastAsia="zh-CN"/>
        </w:rPr>
        <w:t>人</w:t>
      </w:r>
      <w:r>
        <w:rPr>
          <w:rFonts w:hint="eastAsia" w:ascii="仿宋" w:hAnsi="仿宋" w:eastAsia="仿宋" w:cs="仿宋"/>
          <w:sz w:val="28"/>
          <w:szCs w:val="28"/>
          <w:u w:val="none"/>
        </w:rPr>
        <w:t>将对</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的质量管理进行监督，</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应积极配合采购方的质量检查工作，及时整改发现的质量问题。</w:t>
      </w:r>
    </w:p>
    <w:p w14:paraId="3EE47B4D">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质量保证期：项目验收合格之日起，</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应提供不少于5年的质量保证期。在质保期内，因产品质量问题导致的故障或损坏，</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应负责免费修复或更换，并承担由此产生的所有费用。</w:t>
      </w:r>
    </w:p>
    <w:p w14:paraId="38334024">
      <w:pPr>
        <w:pStyle w:val="8"/>
        <w:spacing w:afterLines="0"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根据</w:t>
      </w:r>
      <w:r>
        <w:rPr>
          <w:rFonts w:hint="eastAsia" w:ascii="仿宋" w:hAnsi="仿宋" w:eastAsia="仿宋" w:cs="仿宋"/>
          <w:color w:val="auto"/>
          <w:sz w:val="28"/>
          <w:szCs w:val="28"/>
          <w:lang w:val="en-US" w:eastAsia="zh-CN"/>
        </w:rPr>
        <w:t>本项目</w:t>
      </w:r>
      <w:r>
        <w:rPr>
          <w:rFonts w:hint="eastAsia" w:ascii="仿宋" w:hAnsi="仿宋" w:eastAsia="仿宋" w:cs="仿宋"/>
          <w:color w:val="auto"/>
          <w:sz w:val="28"/>
          <w:szCs w:val="28"/>
        </w:rPr>
        <w:t>实际需要，提供质量保证方案。内容包括：①产品性能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使用寿命及效果②质量管理体系及保证措施。</w:t>
      </w:r>
    </w:p>
    <w:p w14:paraId="16354B98">
      <w:pPr>
        <w:spacing w:afterLines="0" w:line="500" w:lineRule="exact"/>
        <w:ind w:firstLine="566" w:firstLineChars="200"/>
        <w:rPr>
          <w:rFonts w:hint="eastAsia" w:ascii="仿宋" w:hAnsi="仿宋" w:eastAsia="仿宋" w:cs="仿宋"/>
          <w:b/>
          <w:bCs/>
          <w:color w:val="auto"/>
          <w:sz w:val="28"/>
          <w:szCs w:val="28"/>
          <w:u w:val="none"/>
        </w:rPr>
      </w:pPr>
      <w:r>
        <w:rPr>
          <w:rFonts w:hint="eastAsia" w:ascii="仿宋" w:hAnsi="仿宋" w:eastAsia="仿宋" w:cs="仿宋"/>
          <w:color w:val="auto"/>
          <w:sz w:val="28"/>
          <w:szCs w:val="28"/>
          <w:highlight w:val="none"/>
        </w:rPr>
        <w:t>▲</w:t>
      </w:r>
      <w:r>
        <w:rPr>
          <w:rFonts w:hint="eastAsia" w:ascii="仿宋" w:hAnsi="仿宋" w:eastAsia="仿宋" w:cs="仿宋"/>
          <w:b/>
          <w:bCs/>
          <w:color w:val="auto"/>
          <w:sz w:val="28"/>
          <w:szCs w:val="28"/>
          <w:u w:val="none"/>
          <w:lang w:eastAsia="zh-CN"/>
        </w:rPr>
        <w:t>（</w:t>
      </w:r>
      <w:r>
        <w:rPr>
          <w:rFonts w:hint="eastAsia" w:ascii="仿宋" w:hAnsi="仿宋" w:eastAsia="仿宋" w:cs="仿宋"/>
          <w:b/>
          <w:bCs/>
          <w:color w:val="auto"/>
          <w:sz w:val="28"/>
          <w:szCs w:val="28"/>
          <w:u w:val="none"/>
          <w:lang w:val="en-US" w:eastAsia="zh-CN"/>
        </w:rPr>
        <w:t>五</w:t>
      </w:r>
      <w:r>
        <w:rPr>
          <w:rFonts w:hint="eastAsia" w:ascii="仿宋" w:hAnsi="仿宋" w:eastAsia="仿宋" w:cs="仿宋"/>
          <w:b/>
          <w:bCs/>
          <w:color w:val="auto"/>
          <w:sz w:val="28"/>
          <w:szCs w:val="28"/>
          <w:u w:val="none"/>
          <w:lang w:eastAsia="zh-CN"/>
        </w:rPr>
        <w:t>）</w:t>
      </w:r>
      <w:r>
        <w:rPr>
          <w:rFonts w:hint="eastAsia" w:ascii="仿宋" w:hAnsi="仿宋" w:eastAsia="仿宋" w:cs="仿宋"/>
          <w:b/>
          <w:bCs/>
          <w:color w:val="auto"/>
          <w:sz w:val="28"/>
          <w:szCs w:val="28"/>
          <w:u w:val="none"/>
        </w:rPr>
        <w:t>售后服务</w:t>
      </w:r>
    </w:p>
    <w:p w14:paraId="09E3A45B">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rPr>
        <w:t>技术支持</w:t>
      </w:r>
    </w:p>
    <w:p w14:paraId="22996D29">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rPr>
        <w:t>服务期限内提供7*24的技术支持服务，1小时应答,2小时排除故障，若无法远程排除故障的2小时到达现场，4小时内排除故障，以便在故障处理过程中具备7*24上门服务，实现应急服务等要求，提供7*24的服务支持电话。技术支持服务内容包括但不限于设备故障排除、系统优化、技术咨询等。</w:t>
      </w:r>
    </w:p>
    <w:p w14:paraId="72741B54">
      <w:pPr>
        <w:spacing w:afterLines="0" w:line="500" w:lineRule="exact"/>
        <w:ind w:firstLine="566" w:firstLineChars="200"/>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lang w:val="en-US" w:eastAsia="zh-CN"/>
        </w:rPr>
        <w:t>2、驻场</w:t>
      </w:r>
      <w:r>
        <w:rPr>
          <w:rFonts w:hint="eastAsia" w:ascii="仿宋" w:hAnsi="仿宋" w:eastAsia="仿宋" w:cs="仿宋"/>
          <w:color w:val="auto"/>
          <w:sz w:val="28"/>
          <w:szCs w:val="28"/>
          <w:highlight w:val="none"/>
          <w:u w:val="none"/>
        </w:rPr>
        <w:t>服务</w:t>
      </w:r>
    </w:p>
    <w:p w14:paraId="4B549C47">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rPr>
        <w:t>根据</w:t>
      </w:r>
      <w:r>
        <w:rPr>
          <w:rFonts w:hint="eastAsia" w:ascii="仿宋" w:hAnsi="仿宋" w:eastAsia="仿宋" w:cs="仿宋"/>
          <w:sz w:val="28"/>
          <w:szCs w:val="28"/>
          <w:u w:val="none"/>
          <w:lang w:eastAsia="zh-CN"/>
        </w:rPr>
        <w:t>采购人</w:t>
      </w:r>
      <w:r>
        <w:rPr>
          <w:rFonts w:hint="eastAsia" w:ascii="仿宋" w:hAnsi="仿宋" w:eastAsia="仿宋" w:cs="仿宋"/>
          <w:sz w:val="28"/>
          <w:szCs w:val="28"/>
          <w:u w:val="none"/>
        </w:rPr>
        <w:t>要求，每年提供不少于30天的驻场服务。</w:t>
      </w:r>
    </w:p>
    <w:p w14:paraId="7FF25AE6">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3、</w:t>
      </w:r>
      <w:r>
        <w:rPr>
          <w:rFonts w:hint="eastAsia" w:ascii="仿宋" w:hAnsi="仿宋" w:eastAsia="仿宋" w:cs="仿宋"/>
          <w:sz w:val="28"/>
          <w:szCs w:val="28"/>
          <w:u w:val="none"/>
        </w:rPr>
        <w:t>定期巡检</w:t>
      </w:r>
    </w:p>
    <w:p w14:paraId="0ADA29D4">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1</w:t>
      </w:r>
      <w:r>
        <w:rPr>
          <w:rFonts w:hint="eastAsia" w:ascii="仿宋" w:hAnsi="仿宋" w:eastAsia="仿宋" w:cs="仿宋"/>
          <w:sz w:val="28"/>
          <w:szCs w:val="28"/>
          <w:u w:val="none"/>
          <w:lang w:eastAsia="zh-CN"/>
        </w:rPr>
        <w:t>）</w:t>
      </w:r>
      <w:r>
        <w:rPr>
          <w:rFonts w:hint="eastAsia" w:ascii="仿宋" w:hAnsi="仿宋" w:eastAsia="仿宋" w:cs="仿宋"/>
          <w:sz w:val="28"/>
          <w:szCs w:val="28"/>
          <w:u w:val="none"/>
        </w:rPr>
        <w:t>在质保期内，每月提供定期的现场全面巡检，记录设备的运行状态，及时发现并排除系统故障，调整系统运行参数，保证系统运行在良好状态。及时响应</w:t>
      </w:r>
      <w:r>
        <w:rPr>
          <w:rFonts w:hint="eastAsia" w:ascii="仿宋" w:hAnsi="仿宋" w:eastAsia="仿宋" w:cs="仿宋"/>
          <w:sz w:val="28"/>
          <w:szCs w:val="28"/>
          <w:u w:val="none"/>
          <w:lang w:eastAsia="zh-CN"/>
        </w:rPr>
        <w:t>采购人</w:t>
      </w:r>
      <w:r>
        <w:rPr>
          <w:rFonts w:hint="eastAsia" w:ascii="仿宋" w:hAnsi="仿宋" w:eastAsia="仿宋" w:cs="仿宋"/>
          <w:sz w:val="28"/>
          <w:szCs w:val="28"/>
          <w:u w:val="none"/>
        </w:rPr>
        <w:t>的调试、优化及故障排除等服务要求，确保服务范围内设备无故障、稳定运行。</w:t>
      </w:r>
    </w:p>
    <w:p w14:paraId="4C7D59BF">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eastAsia="zh-CN"/>
        </w:rPr>
        <w:t>（</w:t>
      </w:r>
      <w:r>
        <w:rPr>
          <w:rFonts w:hint="eastAsia" w:ascii="仿宋" w:hAnsi="仿宋" w:eastAsia="仿宋" w:cs="仿宋"/>
          <w:sz w:val="28"/>
          <w:szCs w:val="28"/>
          <w:u w:val="none"/>
          <w:lang w:val="en-US" w:eastAsia="zh-CN"/>
        </w:rPr>
        <w:t>2</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应向采购方提供巡检报告，详细记录巡检情况和发现的问题，并提出相应的解决方案。</w:t>
      </w:r>
    </w:p>
    <w:p w14:paraId="0423C552">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4、</w:t>
      </w:r>
      <w:r>
        <w:rPr>
          <w:rFonts w:hint="eastAsia" w:ascii="仿宋" w:hAnsi="仿宋" w:eastAsia="仿宋" w:cs="仿宋"/>
          <w:sz w:val="28"/>
          <w:szCs w:val="28"/>
          <w:u w:val="none"/>
        </w:rPr>
        <w:t>软件升级</w:t>
      </w:r>
    </w:p>
    <w:p w14:paraId="3BDA0A3F">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应负责项目相关软件的免费升级服务，确保软件功能的持续优化和安全性提升。软件升级应提前通知采购方，并在双方协商一致的时间内进行，升级过程中应确保系统的稳定性和数据的安全性。</w:t>
      </w:r>
    </w:p>
    <w:p w14:paraId="03F5283D">
      <w:pPr>
        <w:spacing w:afterLines="0" w:line="500" w:lineRule="exact"/>
        <w:ind w:firstLine="566"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5、</w:t>
      </w:r>
      <w:r>
        <w:rPr>
          <w:rFonts w:hint="eastAsia" w:ascii="仿宋" w:hAnsi="仿宋" w:eastAsia="仿宋" w:cs="仿宋"/>
          <w:sz w:val="28"/>
          <w:szCs w:val="28"/>
          <w:u w:val="none"/>
        </w:rPr>
        <w:t>备件供应</w:t>
      </w:r>
    </w:p>
    <w:p w14:paraId="75974A6E">
      <w:pPr>
        <w:spacing w:afterLines="0" w:line="500" w:lineRule="exact"/>
        <w:ind w:firstLine="566" w:firstLineChars="200"/>
        <w:rPr>
          <w:rFonts w:hint="eastAsia" w:ascii="仿宋" w:hAnsi="仿宋" w:eastAsia="仿宋" w:cs="仿宋"/>
          <w:sz w:val="28"/>
          <w:szCs w:val="28"/>
        </w:rPr>
      </w:pPr>
      <w:r>
        <w:rPr>
          <w:rFonts w:hint="eastAsia" w:ascii="仿宋" w:hAnsi="仿宋" w:eastAsia="仿宋" w:cs="仿宋"/>
          <w:sz w:val="28"/>
          <w:szCs w:val="28"/>
          <w:u w:val="none"/>
        </w:rPr>
        <w:t>在质保期外，</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应继续为采购方提供备品备件的供应服务，确保设备的正常运行。</w:t>
      </w:r>
      <w:r>
        <w:rPr>
          <w:rFonts w:hint="eastAsia" w:ascii="仿宋" w:hAnsi="仿宋" w:eastAsia="仿宋" w:cs="仿宋"/>
          <w:sz w:val="28"/>
          <w:szCs w:val="28"/>
          <w:u w:val="none"/>
          <w:lang w:eastAsia="zh-CN"/>
        </w:rPr>
        <w:t>投标人</w:t>
      </w:r>
      <w:r>
        <w:rPr>
          <w:rFonts w:hint="eastAsia" w:ascii="仿宋" w:hAnsi="仿宋" w:eastAsia="仿宋" w:cs="仿宋"/>
          <w:sz w:val="28"/>
          <w:szCs w:val="28"/>
          <w:u w:val="none"/>
        </w:rPr>
        <w:t>应保证备品备件的供应价格合理，并在接到采购方备件采购请求后5个工作日内完成供货。</w:t>
      </w:r>
      <w:r>
        <w:rPr>
          <w:rFonts w:hint="eastAsia" w:ascii="仿宋" w:hAnsi="仿宋" w:eastAsia="仿宋" w:cs="仿宋"/>
          <w:sz w:val="28"/>
          <w:szCs w:val="28"/>
        </w:rPr>
        <w:t xml:space="preserve"> </w:t>
      </w:r>
    </w:p>
    <w:p w14:paraId="42F46BF2">
      <w:pPr>
        <w:numPr>
          <w:ilvl w:val="0"/>
          <w:numId w:val="0"/>
        </w:numPr>
        <w:spacing w:afterLines="0" w:line="500" w:lineRule="exact"/>
        <w:ind w:firstLine="566" w:firstLineChars="200"/>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6、</w:t>
      </w:r>
      <w:r>
        <w:rPr>
          <w:rFonts w:hint="eastAsia" w:ascii="仿宋" w:hAnsi="仿宋" w:eastAsia="仿宋" w:cs="仿宋"/>
          <w:sz w:val="28"/>
          <w:szCs w:val="28"/>
          <w:lang w:val="en-US" w:eastAsia="zh-CN"/>
        </w:rPr>
        <w:t>其他服务</w:t>
      </w:r>
    </w:p>
    <w:p w14:paraId="3EA0BF3D">
      <w:pPr>
        <w:spacing w:afterLines="0" w:line="500" w:lineRule="exact"/>
        <w:ind w:firstLine="566"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在学校内完成2人的注册信息安全工程师(CISE)认证培训1次，费用由投标人承担。</w:t>
      </w:r>
    </w:p>
    <w:p w14:paraId="4DF361DC">
      <w:pPr>
        <w:spacing w:line="480" w:lineRule="exact"/>
        <w:ind w:firstLine="566" w:firstLineChars="200"/>
        <w:rPr>
          <w:rFonts w:hint="eastAsia" w:ascii="仿宋" w:hAnsi="仿宋" w:eastAsia="仿宋" w:cs="仿宋"/>
          <w:sz w:val="28"/>
          <w:szCs w:val="28"/>
          <w:u w:val="none"/>
          <w:lang w:val="en-US" w:eastAsia="zh-CN"/>
        </w:rPr>
      </w:pPr>
      <w:r>
        <w:rPr>
          <w:rFonts w:hint="eastAsia" w:ascii="仿宋" w:hAnsi="仿宋" w:eastAsia="仿宋" w:cs="仿宋"/>
          <w:kern w:val="2"/>
          <w:sz w:val="28"/>
          <w:szCs w:val="28"/>
          <w:lang w:val="en-US" w:eastAsia="zh-CN" w:bidi="ar-SA"/>
        </w:rPr>
        <w:t>7、</w:t>
      </w:r>
      <w:r>
        <w:rPr>
          <w:rFonts w:hint="eastAsia" w:ascii="仿宋" w:hAnsi="仿宋" w:eastAsia="仿宋" w:cs="仿宋"/>
          <w:sz w:val="28"/>
          <w:szCs w:val="28"/>
          <w:u w:val="none"/>
          <w:lang w:val="en-US" w:eastAsia="zh-CN"/>
        </w:rPr>
        <w:t>根据本项目实际需求提供售后服务方案。内容包含：①售后服务范围及保障措施②响应时间及方式③故障处理及补救措施。</w:t>
      </w:r>
    </w:p>
    <w:p w14:paraId="591B1835">
      <w:pPr>
        <w:pStyle w:val="3"/>
        <w:shd w:val="clear" w:color="auto" w:fill="auto"/>
        <w:spacing w:line="480" w:lineRule="exact"/>
        <w:ind w:firstLine="566" w:firstLineChars="200"/>
        <w:jc w:val="left"/>
        <w:rPr>
          <w:rFonts w:hint="eastAsia" w:ascii="华文仿宋" w:hAnsi="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rPr>
        <w:t>▲</w:t>
      </w:r>
      <w:r>
        <w:rPr>
          <w:rFonts w:hint="eastAsia" w:ascii="华文仿宋" w:hAnsi="华文仿宋" w:cs="华文仿宋"/>
          <w:color w:val="auto"/>
          <w:sz w:val="28"/>
          <w:szCs w:val="28"/>
          <w:highlight w:val="none"/>
        </w:rPr>
        <w:t>四</w:t>
      </w:r>
      <w:r>
        <w:rPr>
          <w:rFonts w:hint="eastAsia" w:ascii="华文仿宋" w:hAnsi="华文仿宋" w:cs="华文仿宋"/>
          <w:color w:val="auto"/>
          <w:sz w:val="28"/>
          <w:szCs w:val="28"/>
          <w:highlight w:val="none"/>
          <w:lang w:eastAsia="zh-CN"/>
        </w:rPr>
        <w:t>、</w:t>
      </w:r>
      <w:r>
        <w:rPr>
          <w:rFonts w:hint="eastAsia" w:ascii="华文仿宋" w:hAnsi="华文仿宋" w:cs="华文仿宋"/>
          <w:color w:val="auto"/>
          <w:sz w:val="28"/>
          <w:szCs w:val="28"/>
          <w:highlight w:val="none"/>
          <w:lang w:val="en-US" w:eastAsia="zh-CN"/>
        </w:rPr>
        <w:t>服务人员</w:t>
      </w:r>
    </w:p>
    <w:p w14:paraId="59C5BDB4">
      <w:pPr>
        <w:pStyle w:val="6"/>
        <w:shd w:val="clear" w:color="auto" w:fill="auto"/>
        <w:spacing w:line="480" w:lineRule="exact"/>
        <w:ind w:firstLine="566" w:firstLineChars="200"/>
        <w:rPr>
          <w:rFonts w:hint="eastAsia" w:ascii="华文仿宋" w:hAnsi="华文仿宋" w:cs="华文仿宋"/>
          <w:color w:val="auto"/>
          <w:sz w:val="28"/>
          <w:szCs w:val="28"/>
          <w:highlight w:val="none"/>
          <w:lang w:val="en-US" w:eastAsia="zh-CN"/>
        </w:rPr>
      </w:pPr>
      <w:r>
        <w:rPr>
          <w:rFonts w:hint="eastAsia" w:ascii="华文仿宋" w:hAnsi="华文仿宋" w:cs="华文仿宋"/>
          <w:color w:val="auto"/>
          <w:sz w:val="28"/>
          <w:szCs w:val="28"/>
          <w:highlight w:val="none"/>
          <w:lang w:val="en-US" w:eastAsia="zh-CN"/>
        </w:rPr>
        <w:t>1、项目经理具有信息系统项目管理师证书，有3年类似项目服务管理经验。</w:t>
      </w:r>
    </w:p>
    <w:p w14:paraId="5A7169F9">
      <w:pPr>
        <w:pStyle w:val="6"/>
        <w:shd w:val="clear" w:color="auto" w:fill="auto"/>
        <w:spacing w:line="480" w:lineRule="exact"/>
        <w:ind w:firstLine="566" w:firstLineChars="200"/>
        <w:rPr>
          <w:rFonts w:hint="eastAsia" w:ascii="华文仿宋" w:hAnsi="华文仿宋" w:cs="华文仿宋"/>
          <w:color w:val="FF0000"/>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2、</w:t>
      </w:r>
      <w:r>
        <w:rPr>
          <w:rFonts w:hint="eastAsia" w:ascii="华文仿宋" w:hAnsi="华文仿宋" w:eastAsia="华文仿宋" w:cs="华文仿宋"/>
          <w:color w:val="auto"/>
          <w:sz w:val="28"/>
          <w:szCs w:val="28"/>
          <w:highlight w:val="none"/>
        </w:rPr>
        <w:t>投标人提供</w:t>
      </w:r>
      <w:r>
        <w:rPr>
          <w:rFonts w:hint="eastAsia" w:ascii="华文仿宋" w:hAnsi="华文仿宋" w:eastAsia="华文仿宋" w:cs="华文仿宋"/>
          <w:color w:val="auto"/>
          <w:sz w:val="28"/>
          <w:szCs w:val="28"/>
          <w:highlight w:val="none"/>
          <w:lang w:val="en-US" w:eastAsia="zh-CN"/>
        </w:rPr>
        <w:t>本项目</w:t>
      </w:r>
      <w:r>
        <w:rPr>
          <w:rFonts w:hint="eastAsia" w:ascii="华文仿宋" w:hAnsi="华文仿宋" w:eastAsia="华文仿宋" w:cs="华文仿宋"/>
          <w:color w:val="auto"/>
          <w:sz w:val="28"/>
          <w:szCs w:val="28"/>
          <w:highlight w:val="none"/>
        </w:rPr>
        <w:t>的技术实施团队</w:t>
      </w:r>
      <w:r>
        <w:rPr>
          <w:rFonts w:hint="eastAsia" w:ascii="华文仿宋" w:hAnsi="华文仿宋" w:eastAsia="华文仿宋" w:cs="华文仿宋"/>
          <w:color w:val="auto"/>
          <w:sz w:val="28"/>
          <w:szCs w:val="28"/>
          <w:highlight w:val="none"/>
          <w:lang w:eastAsia="zh-CN"/>
        </w:rPr>
        <w:t>，</w:t>
      </w:r>
      <w:r>
        <w:rPr>
          <w:rFonts w:hint="eastAsia" w:ascii="华文仿宋" w:hAnsi="华文仿宋" w:cs="华文仿宋"/>
          <w:color w:val="auto"/>
          <w:sz w:val="28"/>
          <w:szCs w:val="28"/>
          <w:highlight w:val="none"/>
          <w:lang w:val="en-US" w:eastAsia="zh-CN"/>
        </w:rPr>
        <w:t>至少3人。其中</w:t>
      </w:r>
      <w:r>
        <w:rPr>
          <w:rFonts w:hint="eastAsia" w:ascii="华文仿宋" w:hAnsi="华文仿宋" w:eastAsia="华文仿宋" w:cs="华文仿宋"/>
          <w:color w:val="auto"/>
          <w:sz w:val="28"/>
          <w:szCs w:val="28"/>
          <w:highlight w:val="none"/>
          <w:lang w:val="en-US" w:eastAsia="zh-CN"/>
        </w:rPr>
        <w:t>团队人员包括：</w:t>
      </w:r>
      <w:r>
        <w:rPr>
          <w:rFonts w:hint="eastAsia" w:ascii="华文仿宋" w:hAnsi="华文仿宋" w:cs="华文仿宋"/>
          <w:color w:val="auto"/>
          <w:sz w:val="28"/>
          <w:szCs w:val="28"/>
          <w:highlight w:val="none"/>
          <w:lang w:val="en-US" w:eastAsia="zh-CN"/>
        </w:rPr>
        <w:t>项目经理1名；硬件系统安装调试1名，需具有</w:t>
      </w:r>
      <w:r>
        <w:rPr>
          <w:rFonts w:hint="eastAsia" w:ascii="华文仿宋" w:hAnsi="华文仿宋" w:eastAsia="华文仿宋" w:cs="华文仿宋"/>
          <w:color w:val="auto"/>
          <w:sz w:val="28"/>
          <w:szCs w:val="28"/>
          <w:highlight w:val="none"/>
        </w:rPr>
        <w:t>信创集成项目高级管理师</w:t>
      </w:r>
      <w:r>
        <w:rPr>
          <w:rFonts w:hint="eastAsia" w:ascii="华文仿宋" w:hAnsi="华文仿宋" w:cs="华文仿宋"/>
          <w:color w:val="auto"/>
          <w:sz w:val="28"/>
          <w:szCs w:val="28"/>
          <w:highlight w:val="none"/>
          <w:lang w:val="en-US" w:eastAsia="zh-CN"/>
        </w:rPr>
        <w:t>证书；软件系统安装调试1名，需具有</w:t>
      </w:r>
      <w:r>
        <w:rPr>
          <w:rFonts w:hint="eastAsia" w:ascii="华文仿宋" w:hAnsi="华文仿宋" w:eastAsia="华文仿宋" w:cs="华文仿宋"/>
          <w:color w:val="auto"/>
          <w:sz w:val="28"/>
          <w:szCs w:val="28"/>
          <w:highlight w:val="none"/>
        </w:rPr>
        <w:t>信息安全管理（</w:t>
      </w:r>
      <w:r>
        <w:rPr>
          <w:rFonts w:hint="eastAsia" w:ascii="华文仿宋" w:hAnsi="华文仿宋" w:eastAsia="华文仿宋" w:cs="华文仿宋"/>
          <w:color w:val="auto"/>
          <w:sz w:val="28"/>
          <w:szCs w:val="28"/>
          <w:highlight w:val="none"/>
          <w:lang w:val="en-US" w:eastAsia="zh-CN"/>
        </w:rPr>
        <w:t>中级及以上</w:t>
      </w: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color w:val="auto"/>
          <w:sz w:val="28"/>
          <w:szCs w:val="28"/>
          <w:highlight w:val="none"/>
          <w:lang w:val="en-US" w:eastAsia="zh-CN"/>
        </w:rPr>
        <w:t>工程师</w:t>
      </w:r>
      <w:r>
        <w:rPr>
          <w:rFonts w:hint="eastAsia" w:ascii="华文仿宋" w:hAnsi="华文仿宋" w:cs="华文仿宋"/>
          <w:color w:val="auto"/>
          <w:sz w:val="28"/>
          <w:szCs w:val="28"/>
          <w:highlight w:val="none"/>
          <w:lang w:val="en-US" w:eastAsia="zh-CN"/>
        </w:rPr>
        <w:t>证书。</w:t>
      </w:r>
    </w:p>
    <w:p w14:paraId="743930B4">
      <w:pPr>
        <w:pStyle w:val="3"/>
        <w:shd w:val="clear" w:color="auto" w:fill="auto"/>
        <w:spacing w:line="480" w:lineRule="exact"/>
        <w:ind w:firstLine="566" w:firstLineChars="200"/>
        <w:jc w:val="left"/>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lang w:val="en-US" w:eastAsia="zh-CN"/>
        </w:rPr>
        <w:t>五</w:t>
      </w:r>
      <w:r>
        <w:rPr>
          <w:rFonts w:hint="eastAsia" w:ascii="华文仿宋" w:hAnsi="华文仿宋" w:cs="华文仿宋"/>
          <w:color w:val="auto"/>
          <w:sz w:val="28"/>
          <w:szCs w:val="28"/>
          <w:highlight w:val="none"/>
        </w:rPr>
        <w:t>、服务要求</w:t>
      </w:r>
    </w:p>
    <w:p w14:paraId="4565DAD0">
      <w:pPr>
        <w:pStyle w:val="6"/>
        <w:shd w:val="clear" w:color="auto" w:fill="auto"/>
        <w:spacing w:line="480" w:lineRule="exact"/>
        <w:ind w:firstLine="566" w:firstLineChars="200"/>
        <w:rPr>
          <w:rFonts w:hint="eastAsia" w:ascii="华文仿宋" w:hAnsi="华文仿宋" w:eastAsia="华文仿宋" w:cs="华文仿宋"/>
          <w:b/>
          <w:bCs/>
          <w:color w:val="auto"/>
          <w:highlight w:val="none"/>
          <w:lang w:val="en-US" w:eastAsia="zh-CN"/>
        </w:rPr>
      </w:pP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b/>
          <w:bCs/>
          <w:color w:val="auto"/>
          <w:highlight w:val="none"/>
        </w:rPr>
        <w:t>（一）</w:t>
      </w:r>
      <w:r>
        <w:rPr>
          <w:rFonts w:hint="eastAsia" w:ascii="华文仿宋" w:hAnsi="华文仿宋" w:eastAsia="华文仿宋" w:cs="华文仿宋"/>
          <w:b/>
          <w:bCs/>
          <w:color w:val="auto"/>
          <w:highlight w:val="none"/>
          <w:lang w:val="en-US" w:eastAsia="zh-CN"/>
        </w:rPr>
        <w:t>项目理解与分析</w:t>
      </w:r>
    </w:p>
    <w:p w14:paraId="1F2D78C2">
      <w:pPr>
        <w:pStyle w:val="6"/>
        <w:shd w:val="clear" w:color="auto" w:fill="auto"/>
        <w:spacing w:line="480" w:lineRule="exact"/>
        <w:ind w:firstLine="566" w:firstLineChars="20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提出针对于本项目的</w:t>
      </w:r>
      <w:r>
        <w:rPr>
          <w:rFonts w:hint="eastAsia" w:ascii="华文仿宋" w:hAnsi="华文仿宋" w:eastAsia="华文仿宋" w:cs="华文仿宋"/>
          <w:color w:val="auto"/>
          <w:sz w:val="28"/>
          <w:szCs w:val="28"/>
          <w:highlight w:val="none"/>
          <w:lang w:val="en-US" w:eastAsia="zh-CN"/>
        </w:rPr>
        <w:t>项目理解与分析</w:t>
      </w:r>
      <w:r>
        <w:rPr>
          <w:rFonts w:hint="eastAsia" w:ascii="华文仿宋" w:hAnsi="华文仿宋" w:eastAsia="华文仿宋" w:cs="华文仿宋"/>
          <w:color w:val="auto"/>
          <w:sz w:val="28"/>
          <w:szCs w:val="28"/>
          <w:highlight w:val="none"/>
        </w:rPr>
        <w:t>，内容包括</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rPr>
        <w:t>①服务目标及计划安排②服务重难点分析及解决措施。</w:t>
      </w:r>
    </w:p>
    <w:p w14:paraId="7EF9C56E">
      <w:pPr>
        <w:pStyle w:val="6"/>
        <w:shd w:val="clear" w:color="auto" w:fill="auto"/>
        <w:spacing w:line="480" w:lineRule="exact"/>
        <w:ind w:firstLine="566" w:firstLineChars="200"/>
        <w:rPr>
          <w:rFonts w:hint="eastAsia" w:ascii="华文仿宋" w:hAnsi="华文仿宋" w:eastAsia="华文仿宋" w:cs="华文仿宋"/>
          <w:b/>
          <w:bCs/>
          <w:color w:val="auto"/>
          <w:highlight w:val="none"/>
        </w:rPr>
      </w:pP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b/>
          <w:bCs/>
          <w:color w:val="auto"/>
          <w:highlight w:val="none"/>
        </w:rPr>
        <w:t>（二）</w:t>
      </w:r>
      <w:r>
        <w:rPr>
          <w:rFonts w:hint="eastAsia" w:ascii="华文仿宋" w:hAnsi="华文仿宋" w:eastAsia="华文仿宋" w:cs="华文仿宋"/>
          <w:b/>
          <w:bCs/>
          <w:color w:val="auto"/>
          <w:highlight w:val="none"/>
          <w:lang w:val="en-US" w:eastAsia="zh-CN"/>
        </w:rPr>
        <w:t>总体服务</w:t>
      </w:r>
      <w:r>
        <w:rPr>
          <w:rFonts w:hint="eastAsia" w:ascii="华文仿宋" w:hAnsi="华文仿宋" w:eastAsia="华文仿宋" w:cs="华文仿宋"/>
          <w:b/>
          <w:bCs/>
          <w:color w:val="auto"/>
          <w:highlight w:val="none"/>
        </w:rPr>
        <w:t>方案</w:t>
      </w:r>
    </w:p>
    <w:p w14:paraId="07720EA0">
      <w:pPr>
        <w:pStyle w:val="6"/>
        <w:shd w:val="clear" w:color="auto" w:fill="auto"/>
        <w:spacing w:line="480" w:lineRule="exact"/>
        <w:ind w:firstLine="566" w:firstLineChars="20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针对本</w:t>
      </w:r>
      <w:r>
        <w:rPr>
          <w:rFonts w:hint="eastAsia" w:ascii="华文仿宋" w:hAnsi="华文仿宋" w:eastAsia="华文仿宋" w:cs="华文仿宋"/>
          <w:color w:val="auto"/>
          <w:sz w:val="28"/>
          <w:szCs w:val="28"/>
          <w:highlight w:val="none"/>
          <w:lang w:val="en-US" w:eastAsia="zh-CN"/>
        </w:rPr>
        <w:t>项目</w:t>
      </w:r>
      <w:r>
        <w:rPr>
          <w:rFonts w:hint="eastAsia" w:ascii="华文仿宋" w:hAnsi="华文仿宋" w:eastAsia="华文仿宋" w:cs="华文仿宋"/>
          <w:color w:val="auto"/>
          <w:sz w:val="28"/>
          <w:szCs w:val="28"/>
          <w:highlight w:val="none"/>
        </w:rPr>
        <w:t>提供</w:t>
      </w:r>
      <w:r>
        <w:rPr>
          <w:rFonts w:hint="eastAsia" w:ascii="华文仿宋" w:hAnsi="华文仿宋" w:eastAsia="华文仿宋" w:cs="华文仿宋"/>
          <w:color w:val="auto"/>
          <w:sz w:val="28"/>
          <w:szCs w:val="28"/>
          <w:highlight w:val="none"/>
          <w:lang w:val="en-US" w:eastAsia="zh-CN"/>
        </w:rPr>
        <w:t>总体服务</w:t>
      </w:r>
      <w:r>
        <w:rPr>
          <w:rFonts w:hint="eastAsia" w:ascii="华文仿宋" w:hAnsi="华文仿宋" w:eastAsia="华文仿宋" w:cs="华文仿宋"/>
          <w:color w:val="auto"/>
          <w:sz w:val="28"/>
          <w:szCs w:val="28"/>
          <w:highlight w:val="none"/>
        </w:rPr>
        <w:t>方案，内容包括：①实施计划</w:t>
      </w:r>
      <w:r>
        <w:rPr>
          <w:rFonts w:hint="eastAsia" w:ascii="华文仿宋" w:hAnsi="华文仿宋" w:eastAsia="华文仿宋" w:cs="华文仿宋"/>
          <w:color w:val="auto"/>
          <w:sz w:val="28"/>
          <w:szCs w:val="28"/>
          <w:highlight w:val="none"/>
          <w:lang w:eastAsia="zh-CN"/>
        </w:rPr>
        <w:t>：交付成果、验收计划</w:t>
      </w:r>
      <w:r>
        <w:rPr>
          <w:rFonts w:hint="eastAsia" w:ascii="华文仿宋" w:hAnsi="华文仿宋" w:eastAsia="华文仿宋" w:cs="华文仿宋"/>
          <w:color w:val="auto"/>
          <w:sz w:val="28"/>
          <w:szCs w:val="28"/>
          <w:highlight w:val="none"/>
        </w:rPr>
        <w:t>②技术支撑与架构</w:t>
      </w:r>
      <w:r>
        <w:rPr>
          <w:rFonts w:hint="eastAsia" w:ascii="华文仿宋" w:hAnsi="华文仿宋" w:eastAsia="华文仿宋" w:cs="华文仿宋"/>
          <w:color w:val="auto"/>
          <w:sz w:val="28"/>
          <w:szCs w:val="28"/>
          <w:highlight w:val="none"/>
          <w:lang w:val="en-US" w:eastAsia="zh-CN"/>
        </w:rPr>
        <w:t>设计</w:t>
      </w:r>
      <w:r>
        <w:rPr>
          <w:rFonts w:hint="eastAsia" w:ascii="华文仿宋" w:hAnsi="华文仿宋" w:eastAsia="华文仿宋" w:cs="华文仿宋"/>
          <w:color w:val="auto"/>
          <w:sz w:val="28"/>
          <w:szCs w:val="28"/>
          <w:highlight w:val="none"/>
        </w:rPr>
        <w:t>③</w:t>
      </w:r>
      <w:r>
        <w:rPr>
          <w:rFonts w:hint="eastAsia" w:ascii="华文仿宋" w:hAnsi="华文仿宋" w:eastAsia="华文仿宋" w:cs="华文仿宋"/>
          <w:color w:val="auto"/>
          <w:sz w:val="28"/>
          <w:szCs w:val="28"/>
          <w:highlight w:val="none"/>
          <w:lang w:val="en-US" w:eastAsia="zh-CN"/>
        </w:rPr>
        <w:t>运维管理方案④质量与安全保障</w:t>
      </w:r>
      <w:r>
        <w:rPr>
          <w:rFonts w:hint="eastAsia" w:ascii="华文仿宋" w:hAnsi="华文仿宋" w:eastAsia="华文仿宋" w:cs="华文仿宋"/>
          <w:color w:val="auto"/>
          <w:sz w:val="28"/>
          <w:szCs w:val="28"/>
          <w:highlight w:val="none"/>
        </w:rPr>
        <w:t>方案。</w:t>
      </w:r>
    </w:p>
    <w:p w14:paraId="4BF3B611">
      <w:pPr>
        <w:pStyle w:val="6"/>
        <w:shd w:val="clear" w:color="auto" w:fill="auto"/>
        <w:spacing w:line="480" w:lineRule="exact"/>
        <w:ind w:firstLine="566" w:firstLineChars="200"/>
        <w:rPr>
          <w:rFonts w:hint="eastAsia" w:ascii="华文仿宋" w:hAnsi="华文仿宋" w:eastAsia="华文仿宋" w:cs="华文仿宋"/>
          <w:b/>
          <w:bCs/>
          <w:color w:val="auto"/>
          <w:sz w:val="28"/>
          <w:szCs w:val="28"/>
          <w:highlight w:val="none"/>
          <w:u w:val="none"/>
        </w:rPr>
      </w:pPr>
      <w:r>
        <w:rPr>
          <w:rFonts w:hint="eastAsia" w:ascii="华文仿宋" w:hAnsi="华文仿宋" w:eastAsia="华文仿宋" w:cs="华文仿宋"/>
          <w:color w:val="auto"/>
          <w:sz w:val="28"/>
          <w:szCs w:val="28"/>
          <w:highlight w:val="none"/>
        </w:rPr>
        <w:t>▲</w:t>
      </w:r>
      <w:r>
        <w:rPr>
          <w:rFonts w:hint="eastAsia" w:ascii="华文仿宋" w:hAnsi="华文仿宋" w:eastAsia="华文仿宋" w:cs="华文仿宋"/>
          <w:b/>
          <w:bCs/>
          <w:color w:val="auto"/>
          <w:highlight w:val="none"/>
        </w:rPr>
        <w:t>（</w:t>
      </w:r>
      <w:r>
        <w:rPr>
          <w:rFonts w:hint="eastAsia" w:ascii="华文仿宋" w:hAnsi="华文仿宋" w:cs="华文仿宋"/>
          <w:b/>
          <w:bCs/>
          <w:color w:val="auto"/>
          <w:highlight w:val="none"/>
          <w:lang w:val="en-US" w:eastAsia="zh-CN"/>
        </w:rPr>
        <w:t>三</w:t>
      </w:r>
      <w:r>
        <w:rPr>
          <w:rFonts w:hint="eastAsia" w:ascii="华文仿宋" w:hAnsi="华文仿宋" w:eastAsia="华文仿宋" w:cs="华文仿宋"/>
          <w:b/>
          <w:bCs/>
          <w:color w:val="auto"/>
          <w:highlight w:val="none"/>
        </w:rPr>
        <w:t>）</w:t>
      </w:r>
      <w:r>
        <w:rPr>
          <w:rFonts w:hint="eastAsia" w:ascii="华文仿宋" w:hAnsi="华文仿宋" w:eastAsia="华文仿宋" w:cs="华文仿宋"/>
          <w:b/>
          <w:bCs/>
          <w:color w:val="auto"/>
          <w:sz w:val="28"/>
          <w:szCs w:val="28"/>
          <w:highlight w:val="none"/>
          <w:u w:val="none"/>
        </w:rPr>
        <w:t>培训服务</w:t>
      </w:r>
    </w:p>
    <w:p w14:paraId="17FCFED9">
      <w:pPr>
        <w:numPr>
          <w:ilvl w:val="0"/>
          <w:numId w:val="0"/>
        </w:numPr>
        <w:adjustRightInd/>
        <w:spacing w:line="480" w:lineRule="exact"/>
        <w:ind w:firstLine="566"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针对</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采购需求及特点制定培训方案，</w:t>
      </w:r>
      <w:r>
        <w:rPr>
          <w:rFonts w:hint="eastAsia" w:ascii="仿宋" w:hAnsi="仿宋" w:eastAsia="仿宋" w:cs="仿宋"/>
          <w:kern w:val="2"/>
          <w:sz w:val="28"/>
          <w:szCs w:val="28"/>
          <w:highlight w:val="none"/>
        </w:rPr>
        <w:t>内容包括：</w:t>
      </w:r>
      <w:r>
        <w:rPr>
          <w:rFonts w:hint="eastAsia" w:ascii="仿宋" w:hAnsi="仿宋" w:eastAsia="仿宋" w:cs="仿宋"/>
          <w:bCs w:val="0"/>
          <w:sz w:val="28"/>
          <w:szCs w:val="28"/>
          <w:highlight w:val="none"/>
        </w:rPr>
        <w:t>①培训目标及计划②培训内容及方式</w:t>
      </w:r>
      <w:r>
        <w:rPr>
          <w:rFonts w:hint="eastAsia" w:ascii="仿宋" w:hAnsi="仿宋" w:eastAsia="仿宋" w:cs="仿宋"/>
          <w:sz w:val="28"/>
          <w:szCs w:val="28"/>
          <w:highlight w:val="none"/>
        </w:rPr>
        <w:t>。</w:t>
      </w:r>
    </w:p>
    <w:p w14:paraId="3E00092F">
      <w:pPr>
        <w:spacing w:line="480" w:lineRule="exact"/>
        <w:ind w:firstLine="566" w:firstLineChars="200"/>
        <w:rPr>
          <w:rFonts w:hint="eastAsia" w:ascii="华文仿宋" w:hAnsi="华文仿宋" w:eastAsia="华文仿宋" w:cs="华文仿宋"/>
          <w:b/>
          <w:bCs/>
          <w:color w:val="auto"/>
          <w:sz w:val="28"/>
          <w:szCs w:val="28"/>
          <w:highlight w:val="none"/>
          <w:u w:val="none"/>
        </w:rPr>
      </w:pPr>
      <w:r>
        <w:rPr>
          <w:rFonts w:hint="eastAsia" w:ascii="华文仿宋" w:hAnsi="华文仿宋" w:eastAsia="华文仿宋" w:cs="华文仿宋"/>
          <w:b/>
          <w:bCs/>
          <w:color w:val="auto"/>
          <w:sz w:val="28"/>
          <w:szCs w:val="28"/>
          <w:highlight w:val="none"/>
          <w:u w:val="none"/>
        </w:rPr>
        <w:t>★</w:t>
      </w:r>
      <w:r>
        <w:rPr>
          <w:rFonts w:hint="eastAsia" w:ascii="华文仿宋" w:hAnsi="华文仿宋" w:cs="华文仿宋"/>
          <w:b/>
          <w:bCs/>
          <w:color w:val="auto"/>
          <w:sz w:val="28"/>
          <w:szCs w:val="28"/>
          <w:highlight w:val="none"/>
          <w:u w:val="none"/>
          <w:lang w:val="en-US" w:eastAsia="zh-CN"/>
        </w:rPr>
        <w:t>六</w:t>
      </w:r>
      <w:r>
        <w:rPr>
          <w:rFonts w:hint="eastAsia" w:ascii="华文仿宋" w:hAnsi="华文仿宋" w:eastAsia="华文仿宋" w:cs="华文仿宋"/>
          <w:b/>
          <w:bCs/>
          <w:color w:val="auto"/>
          <w:sz w:val="28"/>
          <w:szCs w:val="28"/>
          <w:highlight w:val="none"/>
          <w:u w:val="none"/>
        </w:rPr>
        <w:t>、实质性条款要求（以下条款须提供承诺函，未提供或缺漏项视为无效投标）</w:t>
      </w:r>
    </w:p>
    <w:p w14:paraId="21F3B91F">
      <w:pPr>
        <w:shd w:val="clear" w:color="auto" w:fill="auto"/>
        <w:spacing w:line="480" w:lineRule="exact"/>
        <w:ind w:firstLine="550" w:firstLineChars="200"/>
        <w:textAlignment w:val="baseline"/>
        <w:rPr>
          <w:rFonts w:hint="eastAsia" w:ascii="华文仿宋" w:hAnsi="华文仿宋" w:eastAsia="仿宋" w:cs="华文仿宋"/>
          <w:b/>
          <w:bCs/>
          <w:color w:val="FF0000"/>
          <w:highlight w:val="none"/>
          <w:lang w:eastAsia="zh-CN"/>
        </w:rPr>
      </w:pPr>
      <w:r>
        <w:rPr>
          <w:rFonts w:hint="eastAsia" w:ascii="华文仿宋" w:hAnsi="华文仿宋" w:cs="华文仿宋"/>
          <w:b/>
          <w:bCs/>
          <w:color w:val="auto"/>
          <w:spacing w:val="-4"/>
          <w:highlight w:val="none"/>
          <w:lang w:val="en-US" w:eastAsia="zh-CN"/>
        </w:rPr>
        <w:t>1</w:t>
      </w:r>
      <w:r>
        <w:rPr>
          <w:rFonts w:hint="eastAsia" w:ascii="华文仿宋" w:hAnsi="华文仿宋" w:cs="华文仿宋"/>
          <w:b/>
          <w:bCs/>
          <w:color w:val="auto"/>
          <w:spacing w:val="-4"/>
          <w:highlight w:val="none"/>
        </w:rPr>
        <w:t>、投标人须承诺：</w:t>
      </w:r>
      <w:r>
        <w:rPr>
          <w:rFonts w:hint="eastAsia" w:ascii="华文仿宋" w:hAnsi="华文仿宋" w:eastAsia="华文仿宋" w:cs="华文仿宋"/>
          <w:b/>
          <w:bCs/>
          <w:color w:val="auto"/>
          <w:spacing w:val="-4"/>
          <w:sz w:val="28"/>
          <w:szCs w:val="28"/>
          <w:highlight w:val="none"/>
          <w:u w:val="none"/>
        </w:rPr>
        <w:t>拟派的</w:t>
      </w:r>
      <w:r>
        <w:rPr>
          <w:rFonts w:hint="eastAsia" w:ascii="仿宋" w:hAnsi="仿宋" w:eastAsia="仿宋" w:cs="仿宋"/>
          <w:b/>
          <w:bCs/>
          <w:sz w:val="28"/>
          <w:szCs w:val="28"/>
          <w:u w:val="none"/>
        </w:rPr>
        <w:t>服务</w:t>
      </w:r>
      <w:r>
        <w:rPr>
          <w:rFonts w:hint="eastAsia" w:ascii="仿宋" w:hAnsi="仿宋" w:eastAsia="仿宋" w:cs="仿宋"/>
          <w:b/>
          <w:bCs/>
          <w:sz w:val="28"/>
          <w:szCs w:val="28"/>
          <w:u w:val="none"/>
          <w:lang w:val="en-US" w:eastAsia="zh-CN"/>
        </w:rPr>
        <w:t>团队</w:t>
      </w:r>
      <w:r>
        <w:rPr>
          <w:rFonts w:hint="eastAsia" w:ascii="仿宋" w:hAnsi="仿宋" w:eastAsia="仿宋" w:cs="仿宋"/>
          <w:b/>
          <w:bCs/>
          <w:sz w:val="28"/>
          <w:szCs w:val="28"/>
          <w:u w:val="none"/>
        </w:rPr>
        <w:t>完全满足招标文件人数（</w:t>
      </w:r>
      <w:r>
        <w:rPr>
          <w:rFonts w:hint="eastAsia" w:ascii="仿宋" w:hAnsi="仿宋" w:eastAsia="仿宋" w:cs="仿宋"/>
          <w:b/>
          <w:bCs/>
          <w:sz w:val="28"/>
          <w:szCs w:val="28"/>
          <w:u w:val="none"/>
          <w:lang w:val="en-US" w:eastAsia="zh-CN"/>
        </w:rPr>
        <w:t>3</w:t>
      </w:r>
      <w:r>
        <w:rPr>
          <w:rFonts w:hint="eastAsia" w:ascii="仿宋" w:hAnsi="仿宋" w:eastAsia="仿宋" w:cs="仿宋"/>
          <w:b/>
          <w:bCs/>
          <w:sz w:val="28"/>
          <w:szCs w:val="28"/>
          <w:u w:val="none"/>
        </w:rPr>
        <w:t>人）要求</w:t>
      </w:r>
      <w:r>
        <w:rPr>
          <w:rFonts w:hint="eastAsia" w:ascii="仿宋" w:hAnsi="仿宋" w:eastAsia="仿宋" w:cs="仿宋"/>
          <w:b/>
          <w:bCs/>
          <w:sz w:val="28"/>
          <w:szCs w:val="28"/>
          <w:u w:val="none"/>
          <w:lang w:eastAsia="zh-CN"/>
        </w:rPr>
        <w:t>。</w:t>
      </w:r>
    </w:p>
    <w:p w14:paraId="42BDAC6F">
      <w:pPr>
        <w:shd w:val="clear" w:color="auto" w:fill="auto"/>
        <w:spacing w:line="480" w:lineRule="exact"/>
        <w:ind w:firstLine="566" w:firstLineChars="200"/>
        <w:textAlignment w:val="baseline"/>
        <w:rPr>
          <w:rFonts w:ascii="华文仿宋" w:hAnsi="华文仿宋" w:cs="华文仿宋"/>
          <w:b/>
          <w:bCs/>
          <w:color w:val="auto"/>
          <w:spacing w:val="-4"/>
          <w:highlight w:val="none"/>
        </w:rPr>
      </w:pPr>
      <w:r>
        <w:rPr>
          <w:rFonts w:hint="eastAsia" w:ascii="华文仿宋" w:hAnsi="华文仿宋" w:cs="华文仿宋"/>
          <w:b/>
          <w:bCs/>
          <w:color w:val="auto"/>
          <w:highlight w:val="none"/>
          <w:lang w:val="en-US" w:eastAsia="zh-CN"/>
        </w:rPr>
        <w:t>2</w:t>
      </w:r>
      <w:r>
        <w:rPr>
          <w:rFonts w:hint="eastAsia" w:ascii="华文仿宋" w:hAnsi="华文仿宋" w:cs="华文仿宋"/>
          <w:b/>
          <w:bCs/>
          <w:color w:val="auto"/>
          <w:spacing w:val="-4"/>
          <w:highlight w:val="none"/>
        </w:rPr>
        <w:t>、投标人须承诺：完全</w:t>
      </w:r>
      <w:r>
        <w:rPr>
          <w:rFonts w:hint="eastAsia" w:ascii="华文仿宋" w:hAnsi="华文仿宋" w:cs="华文仿宋"/>
          <w:b/>
          <w:bCs/>
          <w:color w:val="auto"/>
          <w:spacing w:val="-4"/>
          <w:highlight w:val="none"/>
          <w:lang w:val="en-US" w:eastAsia="zh-CN"/>
        </w:rPr>
        <w:t>按照“货物采购清单”进行采购，及保障</w:t>
      </w:r>
      <w:r>
        <w:rPr>
          <w:rFonts w:hint="eastAsia" w:ascii="华文仿宋" w:hAnsi="华文仿宋" w:cs="华文仿宋"/>
          <w:b/>
          <w:bCs/>
          <w:color w:val="auto"/>
          <w:spacing w:val="-4"/>
          <w:highlight w:val="none"/>
        </w:rPr>
        <w:t>产品出厂检测合格、全新、未启封过，无假货。</w:t>
      </w:r>
    </w:p>
    <w:p w14:paraId="74810BB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6" w:firstLineChars="200"/>
        <w:jc w:val="left"/>
        <w:textAlignment w:val="auto"/>
        <w:outlineLvl w:val="9"/>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备注：</w:t>
      </w:r>
    </w:p>
    <w:p w14:paraId="174B9703">
      <w:pPr>
        <w:widowControl w:val="0"/>
        <w:spacing w:line="480" w:lineRule="exact"/>
        <w:ind w:firstLine="426"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1、“★”内容为实质性条款，</w:t>
      </w:r>
      <w:r>
        <w:rPr>
          <w:rFonts w:hint="eastAsia" w:ascii="宋体" w:hAnsi="宋体" w:eastAsia="宋体" w:cs="宋体"/>
          <w:b/>
          <w:bCs/>
          <w:color w:val="auto"/>
          <w:sz w:val="21"/>
          <w:szCs w:val="21"/>
          <w:highlight w:val="none"/>
          <w:lang w:val="en-US" w:eastAsia="zh-CN"/>
        </w:rPr>
        <w:t>投标人</w:t>
      </w:r>
      <w:r>
        <w:rPr>
          <w:rFonts w:hint="eastAsia" w:ascii="宋体" w:hAnsi="宋体" w:eastAsia="宋体" w:cs="宋体"/>
          <w:b/>
          <w:bCs/>
          <w:color w:val="auto"/>
          <w:sz w:val="21"/>
          <w:szCs w:val="21"/>
          <w:highlight w:val="none"/>
        </w:rPr>
        <w:t>应在第</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章“</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文件构成及格式”中的“</w:t>
      </w:r>
      <w:r>
        <w:rPr>
          <w:rFonts w:hint="eastAsia" w:ascii="宋体" w:hAnsi="宋体" w:eastAsia="宋体" w:cs="宋体"/>
          <w:b/>
          <w:bCs/>
          <w:color w:val="auto"/>
          <w:sz w:val="21"/>
          <w:szCs w:val="21"/>
          <w:highlight w:val="none"/>
          <w:lang w:eastAsia="zh-CN"/>
        </w:rPr>
        <w:t>实质性条款响应</w:t>
      </w:r>
      <w:r>
        <w:rPr>
          <w:rFonts w:hint="eastAsia" w:ascii="宋体" w:hAnsi="宋体" w:eastAsia="宋体" w:cs="宋体"/>
          <w:b/>
          <w:bCs/>
          <w:color w:val="auto"/>
          <w:sz w:val="21"/>
          <w:szCs w:val="21"/>
          <w:highlight w:val="none"/>
        </w:rPr>
        <w:t>”处逐条响应，未逐条响应、有缺漏将被视为无效</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w:t>
      </w:r>
    </w:p>
    <w:p w14:paraId="5197D4FB">
      <w:pPr>
        <w:spacing w:afterLines="0" w:line="480" w:lineRule="exact"/>
        <w:ind w:firstLine="426"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2、“▲”内容项为重要要求，</w:t>
      </w:r>
      <w:r>
        <w:rPr>
          <w:rFonts w:hint="eastAsia" w:ascii="宋体" w:hAnsi="宋体" w:eastAsia="宋体" w:cs="宋体"/>
          <w:b/>
          <w:bCs/>
          <w:color w:val="auto"/>
          <w:kern w:val="2"/>
          <w:sz w:val="21"/>
          <w:szCs w:val="21"/>
          <w:highlight w:val="none"/>
          <w:lang w:eastAsia="zh-CN"/>
        </w:rPr>
        <w:t>投标人</w:t>
      </w:r>
      <w:r>
        <w:rPr>
          <w:rFonts w:hint="eastAsia" w:ascii="宋体" w:hAnsi="宋体" w:eastAsia="宋体" w:cs="宋体"/>
          <w:b/>
          <w:bCs/>
          <w:color w:val="auto"/>
          <w:kern w:val="2"/>
          <w:sz w:val="21"/>
          <w:szCs w:val="21"/>
          <w:highlight w:val="none"/>
        </w:rPr>
        <w:t>未达到这些要求或未响应将影响评分。</w:t>
      </w:r>
      <w:bookmarkEnd w:id="323"/>
      <w:bookmarkEnd w:id="324"/>
      <w:bookmarkEnd w:id="325"/>
      <w:bookmarkEnd w:id="326"/>
      <w:bookmarkEnd w:id="327"/>
      <w:bookmarkEnd w:id="328"/>
      <w:bookmarkEnd w:id="329"/>
      <w:bookmarkEnd w:id="330"/>
      <w:bookmarkEnd w:id="331"/>
      <w:bookmarkEnd w:id="332"/>
      <w:bookmarkEnd w:id="333"/>
      <w:bookmarkEnd w:id="334"/>
      <w:bookmarkStart w:id="345" w:name="_Toc15480"/>
      <w:bookmarkStart w:id="346" w:name="_Toc14437"/>
      <w:bookmarkStart w:id="347" w:name="_Toc20880"/>
      <w:bookmarkStart w:id="348" w:name="_Toc22019"/>
    </w:p>
    <w:p w14:paraId="63B59232">
      <w:pPr>
        <w:spacing w:afterLines="0" w:line="480" w:lineRule="exact"/>
        <w:ind w:firstLine="646" w:firstLineChars="200"/>
        <w:jc w:val="both"/>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br w:type="page"/>
      </w:r>
    </w:p>
    <w:p w14:paraId="16771F68">
      <w:pPr>
        <w:pStyle w:val="2"/>
        <w:spacing w:line="500" w:lineRule="exact"/>
        <w:rPr>
          <w:rFonts w:hint="eastAsia" w:ascii="黑体" w:hAnsi="黑体" w:eastAsia="黑体" w:cs="黑体"/>
          <w:b w:val="0"/>
          <w:bCs w:val="0"/>
          <w:color w:val="auto"/>
          <w:sz w:val="32"/>
          <w:szCs w:val="32"/>
          <w:highlight w:val="none"/>
        </w:rPr>
      </w:pPr>
      <w:bookmarkStart w:id="349" w:name="_Toc21489"/>
      <w:r>
        <w:rPr>
          <w:rFonts w:hint="eastAsia" w:ascii="黑体" w:hAnsi="黑体" w:eastAsia="黑体" w:cs="黑体"/>
          <w:b w:val="0"/>
          <w:bCs w:val="0"/>
          <w:color w:val="auto"/>
          <w:sz w:val="32"/>
          <w:szCs w:val="32"/>
          <w:highlight w:val="none"/>
        </w:rPr>
        <w:t>第五章  合同基本条款</w:t>
      </w:r>
      <w:bookmarkEnd w:id="349"/>
    </w:p>
    <w:p w14:paraId="725825E5">
      <w:pPr>
        <w:pStyle w:val="3"/>
        <w:spacing w:line="500" w:lineRule="exact"/>
        <w:ind w:firstLine="566" w:firstLineChars="200"/>
        <w:rPr>
          <w:rFonts w:ascii="Calibri Light" w:hAnsi="Calibri Light"/>
          <w:color w:val="auto"/>
          <w:sz w:val="28"/>
          <w:szCs w:val="28"/>
          <w:highlight w:val="none"/>
        </w:rPr>
      </w:pPr>
      <w:bookmarkStart w:id="350" w:name="_Toc9085"/>
      <w:bookmarkStart w:id="351" w:name="_Toc25553"/>
      <w:bookmarkStart w:id="352" w:name="_Toc35871572"/>
      <w:bookmarkStart w:id="353" w:name="_Toc8274"/>
      <w:bookmarkStart w:id="354" w:name="_Toc8760"/>
      <w:bookmarkStart w:id="355" w:name="_Toc4166"/>
      <w:bookmarkStart w:id="356" w:name="_Toc14082139"/>
      <w:bookmarkStart w:id="357" w:name="_Toc12048"/>
      <w:bookmarkStart w:id="358" w:name="_Toc30955"/>
      <w:bookmarkStart w:id="359" w:name="_Toc23541"/>
      <w:bookmarkStart w:id="360" w:name="_Toc4288"/>
      <w:bookmarkStart w:id="361" w:name="_Toc12594"/>
      <w:r>
        <w:rPr>
          <w:rFonts w:ascii="Calibri Light" w:hAnsi="Calibri Light"/>
          <w:color w:val="auto"/>
          <w:sz w:val="28"/>
          <w:szCs w:val="28"/>
          <w:highlight w:val="none"/>
        </w:rPr>
        <w:t>一、</w:t>
      </w:r>
      <w:r>
        <w:rPr>
          <w:rFonts w:hint="eastAsia" w:ascii="Calibri Light" w:hAnsi="Calibri Light"/>
          <w:color w:val="auto"/>
          <w:sz w:val="28"/>
          <w:szCs w:val="28"/>
          <w:highlight w:val="none"/>
        </w:rPr>
        <w:t>服务</w:t>
      </w:r>
      <w:r>
        <w:rPr>
          <w:rFonts w:ascii="Calibri Light" w:hAnsi="Calibri Light"/>
          <w:color w:val="auto"/>
          <w:sz w:val="28"/>
          <w:szCs w:val="28"/>
          <w:highlight w:val="none"/>
        </w:rPr>
        <w:t>条件</w:t>
      </w:r>
      <w:bookmarkEnd w:id="350"/>
      <w:bookmarkEnd w:id="351"/>
      <w:bookmarkEnd w:id="352"/>
      <w:bookmarkEnd w:id="353"/>
      <w:bookmarkEnd w:id="354"/>
      <w:bookmarkEnd w:id="355"/>
      <w:bookmarkEnd w:id="356"/>
      <w:bookmarkEnd w:id="357"/>
    </w:p>
    <w:p w14:paraId="3A36AFBB">
      <w:pPr>
        <w:spacing w:line="500" w:lineRule="exact"/>
        <w:ind w:firstLine="566"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（一）服务地点：</w:t>
      </w:r>
      <w:r>
        <w:rPr>
          <w:rFonts w:hint="eastAsia" w:ascii="仿宋" w:hAnsi="仿宋" w:eastAsia="仿宋" w:cs="仿宋"/>
          <w:b w:val="0"/>
          <w:bCs w:val="0"/>
          <w:color w:val="auto"/>
          <w:sz w:val="28"/>
          <w:szCs w:val="28"/>
          <w:highlight w:val="none"/>
          <w:u w:val="none"/>
          <w:lang w:val="en-US" w:eastAsia="zh-CN"/>
        </w:rPr>
        <w:t>采购人指定地点</w:t>
      </w:r>
    </w:p>
    <w:p w14:paraId="0B58BAF7">
      <w:pPr>
        <w:spacing w:line="500" w:lineRule="exact"/>
        <w:ind w:firstLine="566"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（二）服务期：</w:t>
      </w:r>
      <w:r>
        <w:rPr>
          <w:rFonts w:hint="eastAsia" w:ascii="仿宋" w:hAnsi="仿宋" w:eastAsia="仿宋" w:cs="仿宋"/>
          <w:color w:val="auto"/>
          <w:sz w:val="28"/>
          <w:szCs w:val="28"/>
          <w:highlight w:val="none"/>
          <w:lang w:val="en-US" w:eastAsia="zh-CN"/>
        </w:rPr>
        <w:t>自合同签订之日起一年</w:t>
      </w:r>
    </w:p>
    <w:p w14:paraId="71887BD3">
      <w:pPr>
        <w:shd w:val="clear" w:color="auto" w:fill="auto"/>
        <w:spacing w:line="500" w:lineRule="exact"/>
        <w:ind w:firstLine="1415" w:firstLineChars="500"/>
        <w:rPr>
          <w:rFonts w:ascii="仿宋" w:hAnsi="仿宋" w:eastAsia="仿宋" w:cs="仿宋"/>
          <w:color w:val="auto"/>
          <w:highlight w:val="none"/>
        </w:rPr>
      </w:pPr>
      <w:r>
        <w:rPr>
          <w:rFonts w:hint="eastAsia" w:ascii="仿宋" w:hAnsi="仿宋" w:eastAsia="仿宋" w:cs="仿宋"/>
          <w:color w:val="auto"/>
          <w:highlight w:val="none"/>
        </w:rPr>
        <w:t>交货期：自合同签订之日起20个日历日内</w:t>
      </w:r>
    </w:p>
    <w:p w14:paraId="3BA59B5F">
      <w:pPr>
        <w:pStyle w:val="8"/>
        <w:shd w:val="clear" w:color="auto" w:fill="auto"/>
        <w:spacing w:afterLines="0" w:line="500" w:lineRule="exact"/>
        <w:ind w:firstLine="566" w:firstLineChars="200"/>
        <w:rPr>
          <w:rFonts w:ascii="华文仿宋" w:hAnsi="华文仿宋" w:cs="华文仿宋"/>
          <w:color w:val="auto"/>
          <w:sz w:val="28"/>
          <w:szCs w:val="28"/>
          <w:highlight w:val="none"/>
        </w:rPr>
      </w:pPr>
      <w:r>
        <w:rPr>
          <w:rFonts w:hint="eastAsia" w:ascii="华文仿宋" w:hAnsi="华文仿宋" w:cs="华文仿宋"/>
          <w:color w:val="auto"/>
          <w:sz w:val="28"/>
          <w:szCs w:val="28"/>
          <w:highlight w:val="none"/>
        </w:rPr>
        <w:t>（三）</w:t>
      </w:r>
      <w:r>
        <w:rPr>
          <w:rFonts w:hint="eastAsia" w:ascii="华文仿宋" w:hAnsi="华文仿宋" w:cs="华文仿宋"/>
          <w:color w:val="auto"/>
          <w:sz w:val="28"/>
          <w:szCs w:val="28"/>
          <w:highlight w:val="none"/>
          <w:lang w:val="en-US" w:eastAsia="zh-CN"/>
        </w:rPr>
        <w:t>货物</w:t>
      </w:r>
      <w:r>
        <w:rPr>
          <w:rFonts w:hint="eastAsia" w:ascii="华文仿宋" w:hAnsi="华文仿宋" w:cs="华文仿宋"/>
          <w:color w:val="auto"/>
          <w:sz w:val="28"/>
          <w:szCs w:val="28"/>
          <w:highlight w:val="none"/>
        </w:rPr>
        <w:t>质保期：自合同签订之日起</w:t>
      </w:r>
      <w:r>
        <w:rPr>
          <w:rFonts w:hint="eastAsia" w:ascii="华文仿宋" w:hAnsi="华文仿宋" w:cs="华文仿宋"/>
          <w:color w:val="auto"/>
          <w:sz w:val="28"/>
          <w:szCs w:val="28"/>
          <w:highlight w:val="none"/>
          <w:lang w:val="en-US" w:eastAsia="zh-CN"/>
        </w:rPr>
        <w:t>5</w:t>
      </w:r>
      <w:r>
        <w:rPr>
          <w:rFonts w:hint="eastAsia" w:ascii="华文仿宋" w:hAnsi="华文仿宋" w:cs="华文仿宋"/>
          <w:color w:val="auto"/>
          <w:sz w:val="28"/>
          <w:szCs w:val="28"/>
          <w:highlight w:val="none"/>
        </w:rPr>
        <w:t>年</w:t>
      </w:r>
    </w:p>
    <w:p w14:paraId="6F812CF5">
      <w:pPr>
        <w:pStyle w:val="3"/>
        <w:spacing w:line="500" w:lineRule="exact"/>
        <w:ind w:firstLine="566" w:firstLineChars="200"/>
        <w:rPr>
          <w:rFonts w:hint="eastAsia" w:ascii="Calibri Light" w:hAnsi="Calibri Light" w:eastAsia="华文仿宋" w:cs="Calibri"/>
          <w:color w:val="auto"/>
          <w:sz w:val="28"/>
          <w:szCs w:val="28"/>
          <w:highlight w:val="none"/>
        </w:rPr>
      </w:pPr>
      <w:bookmarkStart w:id="362" w:name="_Toc21445"/>
      <w:bookmarkStart w:id="363" w:name="_Toc20441"/>
      <w:bookmarkStart w:id="364" w:name="_Toc11302"/>
      <w:r>
        <w:rPr>
          <w:rFonts w:hint="eastAsia" w:ascii="Calibri Light" w:hAnsi="Calibri Light" w:eastAsia="华文仿宋" w:cs="Calibri"/>
          <w:color w:val="auto"/>
          <w:sz w:val="28"/>
          <w:szCs w:val="28"/>
          <w:highlight w:val="none"/>
        </w:rPr>
        <w:t>二、合同价款</w:t>
      </w:r>
      <w:bookmarkEnd w:id="362"/>
      <w:bookmarkEnd w:id="363"/>
      <w:bookmarkEnd w:id="364"/>
    </w:p>
    <w:p w14:paraId="6AA9A0CE">
      <w:pPr>
        <w:spacing w:line="500" w:lineRule="exact"/>
        <w:ind w:firstLine="566" w:firstLineChars="200"/>
        <w:outlineLvl w:val="9"/>
        <w:rPr>
          <w:rFonts w:hint="eastAsia" w:ascii="仿宋" w:hAnsi="仿宋" w:eastAsia="仿宋" w:cs="仿宋"/>
          <w:b w:val="0"/>
          <w:bCs w:val="0"/>
          <w:color w:val="auto"/>
          <w:sz w:val="28"/>
          <w:szCs w:val="28"/>
          <w:highlight w:val="none"/>
        </w:rPr>
      </w:pPr>
      <w:bookmarkStart w:id="365" w:name="_Toc1663"/>
      <w:bookmarkStart w:id="366" w:name="_Toc22625"/>
      <w:bookmarkStart w:id="367" w:name="_Toc107"/>
      <w:r>
        <w:rPr>
          <w:rFonts w:hint="eastAsia" w:ascii="仿宋" w:hAnsi="仿宋" w:eastAsia="仿宋" w:cs="仿宋"/>
          <w:b w:val="0"/>
          <w:bCs w:val="0"/>
          <w:color w:val="auto"/>
          <w:sz w:val="28"/>
          <w:szCs w:val="28"/>
          <w:highlight w:val="none"/>
        </w:rPr>
        <w:t>合同总价一次性包死，不受市场价格变化因素的影响</w:t>
      </w:r>
      <w:r>
        <w:rPr>
          <w:rFonts w:hint="eastAsia" w:ascii="仿宋" w:hAnsi="仿宋" w:eastAsia="仿宋" w:cs="仿宋"/>
          <w:b w:val="0"/>
          <w:bCs w:val="0"/>
          <w:color w:val="auto"/>
          <w:kern w:val="2"/>
          <w:sz w:val="28"/>
          <w:szCs w:val="28"/>
          <w:highlight w:val="none"/>
          <w:lang w:val="en-US" w:eastAsia="zh-CN" w:bidi="ar-SA"/>
        </w:rPr>
        <w:t>。</w:t>
      </w:r>
      <w:bookmarkEnd w:id="365"/>
    </w:p>
    <w:bookmarkEnd w:id="358"/>
    <w:bookmarkEnd w:id="359"/>
    <w:bookmarkEnd w:id="360"/>
    <w:bookmarkEnd w:id="361"/>
    <w:bookmarkEnd w:id="366"/>
    <w:bookmarkEnd w:id="367"/>
    <w:p w14:paraId="5BE30587">
      <w:pPr>
        <w:pStyle w:val="3"/>
        <w:spacing w:line="500" w:lineRule="exact"/>
        <w:ind w:firstLine="566" w:firstLineChars="200"/>
        <w:rPr>
          <w:rFonts w:hint="eastAsia" w:ascii="Calibri Light" w:hAnsi="Calibri Light" w:eastAsia="华文仿宋" w:cs="Calibri"/>
          <w:color w:val="auto"/>
          <w:sz w:val="28"/>
          <w:szCs w:val="28"/>
          <w:highlight w:val="none"/>
        </w:rPr>
      </w:pPr>
      <w:bookmarkStart w:id="368" w:name="_Toc11995"/>
      <w:bookmarkStart w:id="369" w:name="_Toc2874"/>
      <w:bookmarkStart w:id="370" w:name="_Toc5424"/>
      <w:bookmarkStart w:id="371" w:name="_Toc18413"/>
      <w:bookmarkStart w:id="372" w:name="_Toc956"/>
      <w:bookmarkStart w:id="373" w:name="_Toc11262"/>
      <w:bookmarkStart w:id="374" w:name="_Toc12903"/>
      <w:bookmarkStart w:id="375" w:name="_Toc14133"/>
      <w:bookmarkStart w:id="376" w:name="_Toc5100"/>
      <w:r>
        <w:rPr>
          <w:rFonts w:hint="eastAsia" w:ascii="Calibri Light" w:hAnsi="Calibri Light" w:eastAsia="华文仿宋" w:cs="Calibri"/>
          <w:color w:val="auto"/>
          <w:sz w:val="28"/>
          <w:szCs w:val="28"/>
          <w:highlight w:val="none"/>
        </w:rPr>
        <w:t>三、款项结算</w:t>
      </w:r>
      <w:bookmarkEnd w:id="368"/>
      <w:bookmarkEnd w:id="369"/>
      <w:bookmarkEnd w:id="370"/>
      <w:bookmarkEnd w:id="371"/>
    </w:p>
    <w:p w14:paraId="0A25A9DE">
      <w:pPr>
        <w:numPr>
          <w:ilvl w:val="0"/>
          <w:numId w:val="0"/>
        </w:numPr>
        <w:spacing w:line="500" w:lineRule="exact"/>
        <w:ind w:firstLine="566"/>
        <w:outlineLvl w:val="9"/>
        <w:rPr>
          <w:rFonts w:hint="eastAsia" w:ascii="华文仿宋" w:hAnsi="华文仿宋" w:eastAsia="华文仿宋" w:cs="华文仿宋"/>
          <w:color w:val="auto"/>
          <w:sz w:val="28"/>
          <w:szCs w:val="28"/>
          <w:highlight w:val="none"/>
          <w:u w:val="none"/>
        </w:rPr>
      </w:pPr>
      <w:r>
        <w:rPr>
          <w:rFonts w:hint="eastAsia" w:ascii="华文仿宋" w:hAnsi="华文仿宋" w:eastAsia="华文仿宋" w:cs="华文仿宋"/>
          <w:color w:val="auto"/>
          <w:sz w:val="28"/>
          <w:szCs w:val="28"/>
          <w:highlight w:val="none"/>
          <w:u w:val="none"/>
        </w:rPr>
        <w:t>（一）支付方式：银行转账</w:t>
      </w:r>
    </w:p>
    <w:p w14:paraId="1E6D9644">
      <w:pPr>
        <w:numPr>
          <w:ilvl w:val="0"/>
          <w:numId w:val="0"/>
        </w:numPr>
        <w:spacing w:line="500" w:lineRule="exact"/>
        <w:ind w:firstLine="566"/>
        <w:outlineLvl w:val="9"/>
        <w:rPr>
          <w:rFonts w:hint="eastAsia" w:ascii="华文仿宋" w:hAnsi="华文仿宋" w:eastAsia="华文仿宋" w:cs="华文仿宋"/>
          <w:color w:val="auto"/>
          <w:sz w:val="28"/>
          <w:szCs w:val="28"/>
          <w:highlight w:val="none"/>
          <w:u w:val="none"/>
        </w:rPr>
      </w:pPr>
      <w:r>
        <w:rPr>
          <w:rFonts w:hint="eastAsia" w:ascii="华文仿宋" w:hAnsi="华文仿宋" w:eastAsia="华文仿宋" w:cs="华文仿宋"/>
          <w:color w:val="auto"/>
          <w:sz w:val="28"/>
          <w:szCs w:val="28"/>
          <w:highlight w:val="none"/>
          <w:u w:val="none"/>
        </w:rPr>
        <w:t>（二）货币单位：人民币</w:t>
      </w:r>
    </w:p>
    <w:p w14:paraId="5B194FCE">
      <w:pPr>
        <w:numPr>
          <w:ilvl w:val="0"/>
          <w:numId w:val="0"/>
        </w:numPr>
        <w:spacing w:line="500" w:lineRule="exact"/>
        <w:ind w:firstLine="566" w:firstLineChars="200"/>
        <w:outlineLvl w:val="9"/>
        <w:rPr>
          <w:rFonts w:hint="eastAsia" w:ascii="华文仿宋" w:hAnsi="华文仿宋" w:eastAsia="华文仿宋" w:cs="华文仿宋"/>
          <w:color w:val="auto"/>
          <w:sz w:val="28"/>
          <w:szCs w:val="28"/>
          <w:highlight w:val="none"/>
          <w:u w:val="none"/>
        </w:rPr>
      </w:pPr>
      <w:r>
        <w:rPr>
          <w:rFonts w:hint="eastAsia" w:ascii="华文仿宋" w:hAnsi="华文仿宋" w:eastAsia="华文仿宋" w:cs="华文仿宋"/>
          <w:color w:val="auto"/>
          <w:sz w:val="28"/>
          <w:szCs w:val="28"/>
          <w:highlight w:val="none"/>
          <w:u w:val="none"/>
        </w:rPr>
        <w:t>（三）结算方式：</w:t>
      </w:r>
      <w:bookmarkStart w:id="377" w:name="_Toc26880"/>
      <w:bookmarkStart w:id="378" w:name="_Toc28274"/>
      <w:bookmarkStart w:id="379" w:name="_Toc18294"/>
      <w:bookmarkStart w:id="380" w:name="_Toc2746"/>
      <w:bookmarkStart w:id="381" w:name="_Toc21170"/>
      <w:bookmarkStart w:id="382" w:name="_Toc3579"/>
    </w:p>
    <w:p w14:paraId="4E54FA55">
      <w:pPr>
        <w:widowControl w:val="0"/>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合同签订后，合同签订后5日内，采购人支付合同价款40%的预付款，且在自验收合格之日起</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0日内支付剩余款项（具体支付事宜由采购人与中标人商定）。</w:t>
      </w:r>
    </w:p>
    <w:p w14:paraId="797A4F8D">
      <w:pPr>
        <w:numPr>
          <w:ilvl w:val="0"/>
          <w:numId w:val="0"/>
        </w:numPr>
        <w:spacing w:line="500" w:lineRule="exact"/>
        <w:ind w:firstLine="566" w:firstLineChars="200"/>
        <w:outlineLvl w:val="9"/>
        <w:rPr>
          <w:rFonts w:hint="eastAsia" w:ascii="华文仿宋" w:hAnsi="华文仿宋" w:eastAsia="华文仿宋" w:cs="华文仿宋"/>
          <w:b/>
          <w:bCs/>
          <w:color w:val="auto"/>
          <w:sz w:val="28"/>
          <w:szCs w:val="28"/>
          <w:highlight w:val="none"/>
          <w:u w:val="none"/>
        </w:rPr>
      </w:pPr>
      <w:r>
        <w:rPr>
          <w:rFonts w:hint="eastAsia" w:ascii="Calibri Light" w:hAnsi="Calibri Light" w:eastAsia="华文仿宋" w:cs="Calibri"/>
          <w:b/>
          <w:bCs/>
          <w:color w:val="auto"/>
          <w:sz w:val="28"/>
          <w:szCs w:val="28"/>
          <w:highlight w:val="none"/>
          <w:u w:val="none"/>
        </w:rPr>
        <w:t>四、在签订合同前</w:t>
      </w:r>
      <w:r>
        <w:rPr>
          <w:rFonts w:hint="eastAsia" w:ascii="华文仿宋" w:hAnsi="华文仿宋" w:eastAsia="华文仿宋" w:cs="华文仿宋"/>
          <w:b w:val="0"/>
          <w:bCs w:val="0"/>
          <w:color w:val="auto"/>
          <w:sz w:val="28"/>
          <w:szCs w:val="28"/>
          <w:highlight w:val="none"/>
          <w:u w:val="none"/>
        </w:rPr>
        <w:t>，</w:t>
      </w:r>
      <w:r>
        <w:rPr>
          <w:rFonts w:hint="eastAsia" w:ascii="华文仿宋" w:hAnsi="华文仿宋" w:eastAsia="华文仿宋" w:cs="华文仿宋"/>
          <w:b/>
          <w:bCs/>
          <w:color w:val="auto"/>
          <w:sz w:val="28"/>
          <w:szCs w:val="28"/>
          <w:highlight w:val="none"/>
          <w:u w:val="none"/>
        </w:rPr>
        <w:t>中标人应按照招标文件第四章《招标内容及采购要求》中所有承诺事项要求落实，如未在规定时限内按要求完成所承诺事项的，则视为主动放弃中标资格。</w:t>
      </w:r>
    </w:p>
    <w:bookmarkEnd w:id="377"/>
    <w:bookmarkEnd w:id="378"/>
    <w:bookmarkEnd w:id="379"/>
    <w:p w14:paraId="6EFB2146">
      <w:pPr>
        <w:shd w:val="clear" w:color="auto" w:fill="auto"/>
        <w:spacing w:line="500" w:lineRule="exact"/>
        <w:ind w:firstLine="566" w:firstLineChars="200"/>
        <w:outlineLvl w:val="1"/>
        <w:rPr>
          <w:rFonts w:ascii="仿宋" w:hAnsi="仿宋" w:eastAsia="仿宋" w:cs="仿宋"/>
          <w:b/>
          <w:bCs/>
          <w:color w:val="auto"/>
          <w:highlight w:val="none"/>
        </w:rPr>
      </w:pPr>
      <w:bookmarkStart w:id="383" w:name="_Toc25110"/>
      <w:bookmarkStart w:id="384" w:name="_Toc26112"/>
      <w:bookmarkStart w:id="385" w:name="_Toc30908"/>
      <w:bookmarkStart w:id="386" w:name="_Toc1519"/>
      <w:bookmarkStart w:id="387" w:name="_Toc23841"/>
      <w:bookmarkStart w:id="388" w:name="_Toc19581"/>
      <w:bookmarkStart w:id="389" w:name="_Toc17961"/>
      <w:bookmarkStart w:id="390" w:name="_Toc32747"/>
      <w:bookmarkStart w:id="391" w:name="_Toc6523"/>
      <w:bookmarkStart w:id="392" w:name="_Toc183"/>
      <w:bookmarkStart w:id="393" w:name="_Toc29549"/>
      <w:bookmarkStart w:id="394" w:name="_Toc14536"/>
      <w:bookmarkStart w:id="395" w:name="_Toc13984"/>
      <w:r>
        <w:rPr>
          <w:rFonts w:hint="eastAsia" w:ascii="仿宋" w:hAnsi="仿宋" w:eastAsia="仿宋" w:cs="仿宋"/>
          <w:b/>
          <w:bCs/>
          <w:color w:val="auto"/>
          <w:highlight w:val="none"/>
          <w:lang w:val="en-US" w:eastAsia="zh-CN"/>
        </w:rPr>
        <w:t>五</w:t>
      </w:r>
      <w:r>
        <w:rPr>
          <w:rFonts w:hint="eastAsia" w:ascii="仿宋" w:hAnsi="仿宋" w:eastAsia="仿宋" w:cs="仿宋"/>
          <w:b/>
          <w:bCs/>
          <w:color w:val="auto"/>
          <w:highlight w:val="none"/>
        </w:rPr>
        <w:t>、质量保证</w:t>
      </w:r>
      <w:bookmarkEnd w:id="383"/>
      <w:bookmarkEnd w:id="384"/>
      <w:bookmarkEnd w:id="385"/>
      <w:bookmarkEnd w:id="386"/>
      <w:bookmarkEnd w:id="387"/>
      <w:bookmarkEnd w:id="388"/>
      <w:bookmarkEnd w:id="389"/>
      <w:bookmarkEnd w:id="390"/>
      <w:bookmarkEnd w:id="391"/>
      <w:bookmarkEnd w:id="392"/>
    </w:p>
    <w:p w14:paraId="53BEBF00">
      <w:pPr>
        <w:widowControl w:val="0"/>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1、以采购人的要求为准，为采购人提供全新的货物（包括零部件）。</w:t>
      </w:r>
    </w:p>
    <w:p w14:paraId="24ED80C3">
      <w:pPr>
        <w:widowControl w:val="0"/>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2、中标人应随货物向采购人交付货物的随机备品、配件、工具、图纸、使用说明书及相关资料。</w:t>
      </w:r>
    </w:p>
    <w:p w14:paraId="689C3642">
      <w:pPr>
        <w:widowControl w:val="0"/>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3、所用材料必须保证质量可靠、进货渠道正规，无假货、水货或翻新货，符合国家质量性能检测标准及该产品的出厂标准。</w:t>
      </w:r>
    </w:p>
    <w:p w14:paraId="59FB75EF">
      <w:pPr>
        <w:widowControl w:val="0"/>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4、产品符合国家有关技术规范，确保质量合格。</w:t>
      </w:r>
    </w:p>
    <w:p w14:paraId="560AE930">
      <w:pPr>
        <w:widowControl w:val="0"/>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5、中标人提供的产品，若发生侵权而产生的一切后果，由中标人负责。采购人保留索赔权力。</w:t>
      </w:r>
    </w:p>
    <w:bookmarkEnd w:id="380"/>
    <w:bookmarkEnd w:id="381"/>
    <w:bookmarkEnd w:id="382"/>
    <w:bookmarkEnd w:id="393"/>
    <w:bookmarkEnd w:id="394"/>
    <w:bookmarkEnd w:id="395"/>
    <w:p w14:paraId="29D73B74">
      <w:pPr>
        <w:pStyle w:val="3"/>
        <w:keepNext w:val="0"/>
        <w:widowControl w:val="0"/>
        <w:spacing w:line="480" w:lineRule="exact"/>
        <w:ind w:firstLine="567"/>
        <w:rPr>
          <w:rFonts w:ascii="华文仿宋" w:hAnsi="华文仿宋" w:cs="华文仿宋"/>
          <w:sz w:val="28"/>
          <w:szCs w:val="28"/>
        </w:rPr>
      </w:pPr>
      <w:bookmarkStart w:id="396" w:name="_Toc1783"/>
      <w:bookmarkStart w:id="397" w:name="_Toc5849"/>
      <w:bookmarkStart w:id="398" w:name="_Toc17017"/>
      <w:bookmarkStart w:id="399" w:name="_Toc14416"/>
      <w:bookmarkStart w:id="400" w:name="_Toc20523"/>
      <w:bookmarkStart w:id="401" w:name="_Toc27899"/>
      <w:bookmarkStart w:id="402" w:name="_Toc22658"/>
      <w:bookmarkStart w:id="403" w:name="_Toc4634"/>
      <w:bookmarkStart w:id="404" w:name="_Toc19841"/>
      <w:bookmarkStart w:id="405" w:name="_Toc29963"/>
      <w:bookmarkStart w:id="406" w:name="_Toc21913"/>
      <w:r>
        <w:rPr>
          <w:rFonts w:hint="eastAsia" w:ascii="华文仿宋" w:hAnsi="华文仿宋" w:cs="华文仿宋"/>
          <w:sz w:val="28"/>
          <w:szCs w:val="28"/>
        </w:rPr>
        <w:t>六、服务承诺</w:t>
      </w:r>
    </w:p>
    <w:p w14:paraId="79E97AC3">
      <w:pPr>
        <w:widowControl w:val="0"/>
        <w:spacing w:line="500" w:lineRule="exact"/>
        <w:ind w:firstLine="566" w:firstLineChars="200"/>
        <w:rPr>
          <w:rFonts w:ascii="华文仿宋" w:hAnsi="华文仿宋" w:cs="华文仿宋"/>
        </w:rPr>
      </w:pPr>
      <w:r>
        <w:rPr>
          <w:rFonts w:hint="eastAsia" w:ascii="华文仿宋" w:hAnsi="华文仿宋" w:cs="华文仿宋"/>
        </w:rPr>
        <w:t>以投标文件、澄清表（函）、合同和随服务的相关文件为准。</w:t>
      </w:r>
    </w:p>
    <w:p w14:paraId="4E789278">
      <w:pPr>
        <w:pStyle w:val="3"/>
        <w:shd w:val="clear" w:color="auto" w:fill="auto"/>
        <w:spacing w:line="500" w:lineRule="exact"/>
        <w:ind w:firstLine="566"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七、验收条款</w:t>
      </w:r>
    </w:p>
    <w:p w14:paraId="031E8666">
      <w:pPr>
        <w:shd w:val="clear" w:color="auto" w:fill="auto"/>
        <w:spacing w:line="500" w:lineRule="exact"/>
        <w:ind w:firstLine="566" w:firstLineChars="200"/>
        <w:rPr>
          <w:rFonts w:ascii="华文仿宋" w:hAnsi="华文仿宋" w:cs="华文仿宋"/>
          <w:color w:val="auto"/>
          <w:highlight w:val="none"/>
        </w:rPr>
      </w:pPr>
      <w:bookmarkStart w:id="407" w:name="_Toc23695"/>
      <w:bookmarkStart w:id="408" w:name="_Toc19798"/>
      <w:bookmarkStart w:id="409" w:name="_Toc12798"/>
      <w:bookmarkStart w:id="410" w:name="_Toc12734"/>
      <w:bookmarkStart w:id="411" w:name="_Toc3562"/>
      <w:bookmarkStart w:id="412" w:name="_Toc9453"/>
      <w:bookmarkStart w:id="413" w:name="_Toc10850"/>
      <w:bookmarkStart w:id="414" w:name="_Toc23559"/>
      <w:bookmarkStart w:id="415" w:name="_Toc2546"/>
      <w:bookmarkStart w:id="416" w:name="_Toc29832"/>
      <w:r>
        <w:rPr>
          <w:rFonts w:hint="eastAsia" w:ascii="华文仿宋" w:hAnsi="华文仿宋" w:cs="华文仿宋"/>
          <w:color w:val="auto"/>
          <w:highlight w:val="none"/>
        </w:rPr>
        <w:t>（一）验收依据</w:t>
      </w:r>
    </w:p>
    <w:p w14:paraId="5F3E9F33">
      <w:pPr>
        <w:shd w:val="clear" w:color="auto" w:fill="auto"/>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1、招标文件、投标文件、澄清表（函）；</w:t>
      </w:r>
    </w:p>
    <w:p w14:paraId="30C05D36">
      <w:pPr>
        <w:shd w:val="clear" w:color="auto" w:fill="auto"/>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2、国家相应的标准、规范。</w:t>
      </w:r>
    </w:p>
    <w:p w14:paraId="698051EA">
      <w:pPr>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（二）中标人货物经过双方检验认可后，签署验收报告，产品保修期自验收合格之日起算，由中标人提供产品保修文件。</w:t>
      </w:r>
    </w:p>
    <w:p w14:paraId="17F8BF7C">
      <w:pPr>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当满足以下条件时，采购人才向中标人签发货物验收报告：</w:t>
      </w:r>
    </w:p>
    <w:p w14:paraId="03E68472">
      <w:pPr>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1、中标人已按照合同规定提供了全部产品及完整的技术资料。</w:t>
      </w:r>
    </w:p>
    <w:p w14:paraId="793C665E">
      <w:pPr>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2、货物符合招标文件和投标文件技术规格要求，性能满足要求。</w:t>
      </w:r>
    </w:p>
    <w:p w14:paraId="310A0EB0">
      <w:pPr>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3、货物具备产品合格证。</w:t>
      </w:r>
    </w:p>
    <w:p w14:paraId="5956514F">
      <w:pPr>
        <w:shd w:val="clear" w:color="auto" w:fill="auto"/>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szCs w:val="24"/>
          <w:highlight w:val="none"/>
        </w:rPr>
        <w:t>4、采购人</w:t>
      </w:r>
      <w:r>
        <w:rPr>
          <w:rFonts w:hint="eastAsia" w:ascii="仿宋" w:hAnsi="仿宋" w:eastAsia="仿宋" w:cs="仿宋"/>
          <w:color w:val="auto"/>
          <w:szCs w:val="24"/>
          <w:highlight w:val="none"/>
          <w:u w:val="none"/>
        </w:rPr>
        <w:t>进行破坏性验收（随机抽一套）</w:t>
      </w:r>
    </w:p>
    <w:bookmarkEnd w:id="407"/>
    <w:bookmarkEnd w:id="408"/>
    <w:bookmarkEnd w:id="409"/>
    <w:bookmarkEnd w:id="410"/>
    <w:bookmarkEnd w:id="411"/>
    <w:bookmarkEnd w:id="412"/>
    <w:bookmarkEnd w:id="413"/>
    <w:bookmarkEnd w:id="414"/>
    <w:bookmarkEnd w:id="415"/>
    <w:bookmarkEnd w:id="416"/>
    <w:p w14:paraId="2B36A735">
      <w:pPr>
        <w:widowControl w:val="0"/>
        <w:ind w:firstLine="566" w:firstLineChars="200"/>
        <w:rPr>
          <w:rFonts w:cs="Times New Roman"/>
          <w:sz w:val="28"/>
          <w:szCs w:val="28"/>
        </w:rPr>
      </w:pPr>
      <w:bookmarkStart w:id="417" w:name="_Toc6142"/>
      <w:r>
        <w:rPr>
          <w:rFonts w:hint="eastAsia" w:cs="华文仿宋"/>
          <w:b/>
          <w:bCs/>
          <w:sz w:val="28"/>
          <w:szCs w:val="28"/>
        </w:rPr>
        <w:t>八、</w:t>
      </w:r>
      <w:r>
        <w:rPr>
          <w:rFonts w:hint="eastAsia"/>
          <w:b/>
          <w:bCs/>
          <w:sz w:val="28"/>
          <w:szCs w:val="28"/>
        </w:rPr>
        <w:t>违约责任</w:t>
      </w:r>
      <w:bookmarkEnd w:id="417"/>
    </w:p>
    <w:p w14:paraId="7610700B">
      <w:pPr>
        <w:adjustRightInd w:val="0"/>
        <w:snapToGrid w:val="0"/>
        <w:spacing w:line="500" w:lineRule="exact"/>
        <w:ind w:firstLine="566" w:firstLineChars="200"/>
        <w:rPr>
          <w:rFonts w:ascii="华文仿宋" w:hAnsi="华文仿宋" w:cs="华文仿宋"/>
        </w:rPr>
      </w:pPr>
      <w:r>
        <w:rPr>
          <w:rFonts w:hint="eastAsia" w:ascii="华文仿宋" w:hAnsi="华文仿宋" w:cs="华文仿宋"/>
        </w:rPr>
        <w:t>（一）按《中华人民共和国民法典》中的相关条款执行。</w:t>
      </w:r>
    </w:p>
    <w:p w14:paraId="5B9634CE">
      <w:pPr>
        <w:adjustRightInd w:val="0"/>
        <w:snapToGrid w:val="0"/>
        <w:spacing w:line="500" w:lineRule="exact"/>
        <w:ind w:firstLine="566" w:firstLineChars="200"/>
        <w:rPr>
          <w:rFonts w:ascii="华文仿宋" w:hAnsi="华文仿宋" w:cs="华文仿宋"/>
        </w:rPr>
      </w:pPr>
      <w:r>
        <w:rPr>
          <w:rFonts w:hint="eastAsia" w:ascii="华文仿宋" w:hAnsi="华文仿宋" w:cs="华文仿宋"/>
        </w:rPr>
        <w:t>（二）未按合同要求提供服务或服务质量不能满足合同要求，采购人有权依据《中华人民共和国民法典》有关条款及合同约定终止合同，并要求中标人承担违约责任。</w:t>
      </w:r>
    </w:p>
    <w:p w14:paraId="446EB62D">
      <w:pPr>
        <w:pStyle w:val="8"/>
        <w:widowControl w:val="0"/>
        <w:spacing w:afterLines="0" w:line="500" w:lineRule="exact"/>
        <w:ind w:firstLine="566" w:firstLineChars="200"/>
        <w:rPr>
          <w:rFonts w:ascii="华文仿宋" w:hAnsi="华文仿宋" w:cs="华文仿宋"/>
          <w:color w:val="auto"/>
          <w:sz w:val="28"/>
          <w:szCs w:val="28"/>
        </w:rPr>
      </w:pPr>
      <w:r>
        <w:rPr>
          <w:rFonts w:hint="eastAsia" w:ascii="华文仿宋" w:hAnsi="华文仿宋" w:cs="华文仿宋"/>
          <w:color w:val="auto"/>
          <w:sz w:val="28"/>
          <w:szCs w:val="28"/>
        </w:rPr>
        <w:t>（三）双方如因为其他原因要解除合约，应提前一个月通知对方，如有一方违反将补偿对方一个月服务费。</w:t>
      </w:r>
    </w:p>
    <w:p w14:paraId="39855246">
      <w:pPr>
        <w:pStyle w:val="3"/>
        <w:keepNext w:val="0"/>
        <w:keepLines w:val="0"/>
        <w:widowControl w:val="0"/>
        <w:spacing w:line="500" w:lineRule="exact"/>
        <w:ind w:firstLine="566" w:firstLineChars="200"/>
        <w:rPr>
          <w:rFonts w:ascii="华文仿宋" w:cs="Times New Roman"/>
          <w:sz w:val="28"/>
          <w:szCs w:val="28"/>
        </w:rPr>
      </w:pPr>
      <w:bookmarkStart w:id="418" w:name="_Toc13565"/>
      <w:bookmarkStart w:id="419" w:name="_Toc23197"/>
      <w:bookmarkStart w:id="420" w:name="_Toc2022"/>
      <w:bookmarkStart w:id="421" w:name="_Toc27716"/>
      <w:bookmarkStart w:id="422" w:name="_Toc2690"/>
      <w:r>
        <w:rPr>
          <w:rFonts w:hint="eastAsia" w:ascii="华文仿宋" w:hAnsi="华文仿宋" w:cs="华文仿宋"/>
          <w:sz w:val="28"/>
          <w:szCs w:val="28"/>
        </w:rPr>
        <w:t>九、争议解决</w:t>
      </w:r>
      <w:bookmarkEnd w:id="418"/>
      <w:bookmarkEnd w:id="419"/>
      <w:bookmarkEnd w:id="420"/>
      <w:bookmarkEnd w:id="421"/>
      <w:bookmarkEnd w:id="422"/>
    </w:p>
    <w:p w14:paraId="40541727">
      <w:pPr>
        <w:widowControl w:val="0"/>
        <w:spacing w:line="500" w:lineRule="exact"/>
        <w:ind w:firstLine="567"/>
        <w:rPr>
          <w:rFonts w:hint="eastAsia" w:ascii="华文仿宋" w:hAnsi="华文仿宋" w:cs="华文仿宋"/>
        </w:rPr>
      </w:pPr>
      <w:r>
        <w:rPr>
          <w:rFonts w:hint="eastAsia" w:ascii="华文仿宋" w:hAnsi="华文仿宋" w:cs="华文仿宋"/>
        </w:rPr>
        <w:t>执行本合同中产生纠纷，由采购人与中标人双方协商解决；协商不成，向有管辖权的人民法院提起诉讼。</w:t>
      </w:r>
    </w:p>
    <w:p w14:paraId="6F776D0B">
      <w:pPr>
        <w:pStyle w:val="3"/>
        <w:keepNext w:val="0"/>
        <w:widowControl w:val="0"/>
        <w:spacing w:line="480" w:lineRule="exact"/>
        <w:ind w:firstLine="567"/>
        <w:rPr>
          <w:rFonts w:ascii="华文仿宋" w:hAnsi="华文仿宋" w:cs="华文仿宋"/>
          <w:sz w:val="28"/>
          <w:szCs w:val="28"/>
        </w:rPr>
      </w:pPr>
      <w:r>
        <w:rPr>
          <w:rFonts w:hint="eastAsia" w:ascii="华文仿宋" w:hAnsi="华文仿宋" w:cs="华文仿宋"/>
          <w:sz w:val="28"/>
          <w:szCs w:val="28"/>
        </w:rPr>
        <w:t>十</w:t>
      </w:r>
      <w:bookmarkStart w:id="423" w:name="_Toc13398"/>
      <w:r>
        <w:rPr>
          <w:rFonts w:hint="eastAsia" w:ascii="华文仿宋" w:hAnsi="华文仿宋" w:cs="华文仿宋"/>
          <w:sz w:val="28"/>
          <w:szCs w:val="28"/>
        </w:rPr>
        <w:t>、合同生效及其他</w:t>
      </w:r>
      <w:bookmarkEnd w:id="423"/>
    </w:p>
    <w:p w14:paraId="3662C112">
      <w:pPr>
        <w:spacing w:line="520" w:lineRule="exact"/>
        <w:ind w:firstLine="566" w:firstLineChars="200"/>
        <w:rPr>
          <w:rFonts w:ascii="华文仿宋" w:cs="Times New Roman"/>
        </w:rPr>
      </w:pPr>
      <w:r>
        <w:rPr>
          <w:rFonts w:hint="eastAsia" w:ascii="华文仿宋" w:hAnsi="华文仿宋" w:cs="华文仿宋"/>
        </w:rPr>
        <w:t>（一）本合同自签订之日起生效。</w:t>
      </w:r>
    </w:p>
    <w:p w14:paraId="695DF880">
      <w:pPr>
        <w:spacing w:line="520" w:lineRule="exact"/>
        <w:ind w:firstLine="566" w:firstLineChars="200"/>
        <w:rPr>
          <w:rFonts w:ascii="华文仿宋" w:hAnsi="华文仿宋" w:cs="华文仿宋"/>
        </w:rPr>
      </w:pPr>
      <w:r>
        <w:rPr>
          <w:rFonts w:hint="eastAsia" w:ascii="华文仿宋" w:hAnsi="华文仿宋" w:cs="华文仿宋"/>
        </w:rPr>
        <w:t>（二）合同份数由采购人和中标人具体商定。</w:t>
      </w:r>
    </w:p>
    <w:p w14:paraId="41A98802">
      <w:pPr>
        <w:spacing w:line="500" w:lineRule="exact"/>
        <w:ind w:firstLine="566" w:firstLineChars="200"/>
        <w:rPr>
          <w:rFonts w:ascii="华文仿宋" w:hAnsi="华文仿宋" w:cs="华文仿宋"/>
        </w:rPr>
      </w:pPr>
      <w:r>
        <w:rPr>
          <w:rFonts w:hint="eastAsia" w:ascii="华文仿宋" w:hAnsi="华文仿宋" w:cs="华文仿宋"/>
        </w:rPr>
        <w:t>（三）未尽事宜由双方在签订合同时具体明确。</w:t>
      </w:r>
    </w:p>
    <w:bookmarkEnd w:id="345"/>
    <w:bookmarkEnd w:id="346"/>
    <w:bookmarkEnd w:id="347"/>
    <w:bookmarkEnd w:id="348"/>
    <w:bookmarkEnd w:id="372"/>
    <w:bookmarkEnd w:id="373"/>
    <w:bookmarkEnd w:id="374"/>
    <w:bookmarkEnd w:id="375"/>
    <w:bookmarkEnd w:id="376"/>
    <w:bookmarkEnd w:id="396"/>
    <w:bookmarkEnd w:id="397"/>
    <w:bookmarkEnd w:id="398"/>
    <w:bookmarkEnd w:id="399"/>
    <w:bookmarkEnd w:id="400"/>
    <w:bookmarkEnd w:id="401"/>
    <w:bookmarkEnd w:id="402"/>
    <w:bookmarkEnd w:id="403"/>
    <w:bookmarkEnd w:id="404"/>
    <w:bookmarkEnd w:id="405"/>
    <w:bookmarkEnd w:id="406"/>
    <w:p w14:paraId="203E2582">
      <w:pPr>
        <w:numPr>
          <w:ilvl w:val="0"/>
          <w:numId w:val="0"/>
        </w:numPr>
        <w:spacing w:line="500" w:lineRule="exact"/>
        <w:ind w:firstLine="566" w:firstLineChars="200"/>
        <w:outlineLvl w:val="9"/>
        <w:rPr>
          <w:rFonts w:hint="eastAsia" w:ascii="华文仿宋" w:hAnsi="华文仿宋" w:eastAsia="华文仿宋" w:cs="华文仿宋"/>
          <w:color w:val="auto"/>
          <w:highlight w:val="none"/>
          <w:u w:val="none"/>
        </w:rPr>
      </w:pPr>
      <w:bookmarkStart w:id="424" w:name="_Toc13809"/>
      <w:bookmarkStart w:id="425" w:name="_Toc495014922"/>
      <w:bookmarkStart w:id="426" w:name="_Toc495012823"/>
      <w:bookmarkStart w:id="427" w:name="_Toc445306495"/>
      <w:bookmarkStart w:id="428" w:name="_Toc5554"/>
      <w:bookmarkStart w:id="429" w:name="_Toc495014956"/>
      <w:bookmarkStart w:id="430" w:name="_Toc495014587"/>
      <w:bookmarkStart w:id="431" w:name="_Toc495014651"/>
      <w:bookmarkStart w:id="432" w:name="_Toc27349"/>
      <w:bookmarkStart w:id="433" w:name="_Toc495014613"/>
      <w:bookmarkStart w:id="434" w:name="_Toc495012773"/>
      <w:r>
        <w:rPr>
          <w:rFonts w:hint="eastAsia" w:ascii="华文仿宋" w:hAnsi="华文仿宋" w:eastAsia="华文仿宋" w:cs="华文仿宋"/>
          <w:color w:val="auto"/>
          <w:highlight w:val="none"/>
          <w:u w:val="none"/>
        </w:rPr>
        <w:br w:type="page"/>
      </w:r>
    </w:p>
    <w:p w14:paraId="365901B9">
      <w:pPr>
        <w:pStyle w:val="2"/>
        <w:rPr>
          <w:rFonts w:ascii="黑体" w:hAnsi="黑体" w:eastAsia="黑体" w:cs="Times New Roman"/>
          <w:b w:val="0"/>
          <w:bCs w:val="0"/>
          <w:color w:val="auto"/>
          <w:sz w:val="32"/>
          <w:szCs w:val="32"/>
          <w:highlight w:val="none"/>
        </w:rPr>
      </w:pPr>
      <w:bookmarkStart w:id="435" w:name="_Toc27494"/>
      <w:r>
        <w:rPr>
          <w:rFonts w:hint="eastAsia" w:ascii="黑体" w:hAnsi="黑体" w:eastAsia="黑体" w:cs="黑体"/>
          <w:b w:val="0"/>
          <w:bCs w:val="0"/>
          <w:color w:val="auto"/>
          <w:sz w:val="32"/>
          <w:szCs w:val="32"/>
          <w:highlight w:val="none"/>
        </w:rPr>
        <w:t>第六章  投标文件构成及格式</w:t>
      </w:r>
      <w:bookmarkEnd w:id="424"/>
      <w:bookmarkEnd w:id="425"/>
      <w:bookmarkEnd w:id="426"/>
      <w:bookmarkEnd w:id="427"/>
      <w:bookmarkEnd w:id="428"/>
      <w:bookmarkEnd w:id="429"/>
      <w:bookmarkEnd w:id="430"/>
      <w:bookmarkEnd w:id="431"/>
      <w:bookmarkEnd w:id="432"/>
      <w:bookmarkEnd w:id="433"/>
      <w:bookmarkEnd w:id="434"/>
      <w:bookmarkEnd w:id="435"/>
    </w:p>
    <w:p w14:paraId="6D5987A0">
      <w:pPr>
        <w:rPr>
          <w:rFonts w:cs="Times New Roman"/>
          <w:color w:val="auto"/>
          <w:highlight w:val="none"/>
        </w:rPr>
      </w:pPr>
    </w:p>
    <w:p w14:paraId="1C3E80EE">
      <w:pPr>
        <w:rPr>
          <w:rFonts w:cs="Times New Roman"/>
          <w:color w:val="auto"/>
          <w:highlight w:val="none"/>
        </w:rPr>
      </w:pPr>
    </w:p>
    <w:tbl>
      <w:tblPr>
        <w:tblStyle w:val="25"/>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34A9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noWrap w:val="0"/>
            <w:vAlign w:val="top"/>
          </w:tcPr>
          <w:p w14:paraId="14330FC2">
            <w:pPr>
              <w:spacing w:before="12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注释：</w:t>
            </w:r>
          </w:p>
          <w:p w14:paraId="66327AAB">
            <w:pPr>
              <w:spacing w:before="120" w:line="420" w:lineRule="exact"/>
              <w:ind w:firstLine="486"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、本章分为三部分，是为方便投标人制作投标文件设计。第一、二部分应按要求或给定格式选择填报。</w:t>
            </w:r>
          </w:p>
          <w:p w14:paraId="45F5149D">
            <w:pPr>
              <w:spacing w:before="120" w:line="420" w:lineRule="exact"/>
              <w:ind w:firstLine="486" w:firstLineChars="200"/>
              <w:jc w:val="left"/>
              <w:rPr>
                <w:rFonts w:ascii="仿宋" w:hAnsi="仿宋" w:eastAsia="仿宋" w:cs="Times New Roman"/>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rPr>
              <w:t>、第三部分投标方案格式仅供参考，投标人应根据项目特点，结合本次招标要求，对有关表格进行补充或修改，但不得对实质性文件的相关条款作出变动。</w:t>
            </w:r>
          </w:p>
        </w:tc>
      </w:tr>
    </w:tbl>
    <w:p w14:paraId="3FF53384">
      <w:pPr>
        <w:pStyle w:val="48"/>
        <w:spacing w:line="240" w:lineRule="auto"/>
        <w:ind w:firstLine="0" w:firstLineChars="0"/>
        <w:rPr>
          <w:rFonts w:ascii="黑体" w:hAnsi="黑体" w:eastAsia="黑体" w:cs="Times New Roman"/>
          <w:color w:val="auto"/>
          <w:highlight w:val="none"/>
        </w:rPr>
      </w:pPr>
    </w:p>
    <w:p w14:paraId="662AD404">
      <w:pPr>
        <w:pStyle w:val="48"/>
        <w:spacing w:line="240" w:lineRule="auto"/>
        <w:ind w:firstLine="0" w:firstLineChars="0"/>
        <w:rPr>
          <w:rFonts w:ascii="黑体" w:hAnsi="黑体" w:eastAsia="黑体" w:cs="Times New Roman"/>
          <w:color w:val="auto"/>
          <w:highlight w:val="none"/>
        </w:rPr>
      </w:pPr>
    </w:p>
    <w:p w14:paraId="243B325A">
      <w:pPr>
        <w:pStyle w:val="48"/>
        <w:spacing w:line="240" w:lineRule="auto"/>
        <w:ind w:firstLine="0" w:firstLineChars="0"/>
        <w:rPr>
          <w:rFonts w:ascii="黑体" w:hAnsi="黑体" w:eastAsia="黑体" w:cs="Times New Roman"/>
          <w:color w:val="auto"/>
          <w:highlight w:val="none"/>
        </w:rPr>
      </w:pPr>
    </w:p>
    <w:p w14:paraId="60EE7C73">
      <w:pPr>
        <w:pStyle w:val="48"/>
        <w:spacing w:line="240" w:lineRule="auto"/>
        <w:ind w:firstLine="0" w:firstLineChars="0"/>
        <w:rPr>
          <w:rFonts w:ascii="黑体" w:hAnsi="黑体" w:eastAsia="黑体" w:cs="Times New Roman"/>
          <w:color w:val="auto"/>
          <w:highlight w:val="none"/>
        </w:rPr>
      </w:pPr>
    </w:p>
    <w:p w14:paraId="23048818">
      <w:pPr>
        <w:pStyle w:val="48"/>
        <w:spacing w:line="240" w:lineRule="auto"/>
        <w:ind w:firstLine="0" w:firstLineChars="0"/>
        <w:rPr>
          <w:rFonts w:ascii="黑体" w:hAnsi="黑体" w:eastAsia="黑体" w:cs="Times New Roman"/>
          <w:color w:val="auto"/>
          <w:highlight w:val="none"/>
        </w:rPr>
      </w:pPr>
    </w:p>
    <w:p w14:paraId="55BFD572">
      <w:pPr>
        <w:pStyle w:val="48"/>
        <w:spacing w:line="240" w:lineRule="auto"/>
        <w:ind w:firstLine="0" w:firstLineChars="0"/>
        <w:rPr>
          <w:rFonts w:ascii="黑体" w:hAnsi="黑体" w:eastAsia="黑体" w:cs="Times New Roman"/>
          <w:color w:val="auto"/>
          <w:highlight w:val="none"/>
        </w:rPr>
      </w:pPr>
    </w:p>
    <w:p w14:paraId="5843EF80">
      <w:pPr>
        <w:pStyle w:val="48"/>
        <w:spacing w:line="240" w:lineRule="auto"/>
        <w:ind w:firstLine="0" w:firstLineChars="0"/>
        <w:rPr>
          <w:rFonts w:ascii="黑体" w:hAnsi="黑体" w:eastAsia="黑体" w:cs="Times New Roman"/>
          <w:color w:val="auto"/>
          <w:highlight w:val="none"/>
        </w:rPr>
      </w:pPr>
    </w:p>
    <w:p w14:paraId="3E85ADB6">
      <w:pPr>
        <w:pStyle w:val="48"/>
        <w:spacing w:line="240" w:lineRule="auto"/>
        <w:ind w:firstLine="0" w:firstLineChars="0"/>
        <w:rPr>
          <w:rFonts w:ascii="黑体" w:hAnsi="黑体" w:eastAsia="黑体" w:cs="Times New Roman"/>
          <w:color w:val="auto"/>
          <w:highlight w:val="none"/>
        </w:rPr>
      </w:pPr>
    </w:p>
    <w:p w14:paraId="0710BC30">
      <w:pPr>
        <w:pStyle w:val="48"/>
        <w:spacing w:line="240" w:lineRule="auto"/>
        <w:ind w:firstLine="0" w:firstLineChars="0"/>
        <w:rPr>
          <w:rFonts w:ascii="黑体" w:hAnsi="黑体" w:eastAsia="黑体" w:cs="Times New Roman"/>
          <w:color w:val="auto"/>
          <w:highlight w:val="none"/>
        </w:rPr>
      </w:pPr>
    </w:p>
    <w:p w14:paraId="313E50F9">
      <w:pPr>
        <w:pStyle w:val="48"/>
        <w:spacing w:line="240" w:lineRule="auto"/>
        <w:ind w:firstLine="0" w:firstLineChars="0"/>
        <w:rPr>
          <w:rFonts w:ascii="黑体" w:hAnsi="黑体" w:eastAsia="黑体" w:cs="Times New Roman"/>
          <w:color w:val="auto"/>
          <w:highlight w:val="none"/>
        </w:rPr>
      </w:pPr>
    </w:p>
    <w:p w14:paraId="440ED521">
      <w:pPr>
        <w:pStyle w:val="48"/>
        <w:spacing w:line="240" w:lineRule="auto"/>
        <w:ind w:firstLine="0" w:firstLineChars="0"/>
        <w:rPr>
          <w:rFonts w:ascii="黑体" w:hAnsi="黑体" w:eastAsia="黑体" w:cs="Times New Roman"/>
          <w:color w:val="auto"/>
          <w:highlight w:val="none"/>
        </w:rPr>
      </w:pPr>
    </w:p>
    <w:p w14:paraId="144B6CBC">
      <w:pPr>
        <w:pStyle w:val="48"/>
        <w:spacing w:line="240" w:lineRule="auto"/>
        <w:ind w:firstLine="0" w:firstLineChars="0"/>
        <w:rPr>
          <w:rFonts w:ascii="黑体" w:hAnsi="黑体" w:eastAsia="黑体" w:cs="Times New Roman"/>
          <w:color w:val="auto"/>
          <w:highlight w:val="none"/>
        </w:rPr>
      </w:pPr>
    </w:p>
    <w:p w14:paraId="613EC9D0">
      <w:pPr>
        <w:pStyle w:val="48"/>
        <w:spacing w:line="240" w:lineRule="auto"/>
        <w:ind w:firstLine="0" w:firstLineChars="0"/>
        <w:rPr>
          <w:rFonts w:ascii="黑体" w:hAnsi="黑体" w:eastAsia="黑体" w:cs="Times New Roman"/>
          <w:color w:val="auto"/>
          <w:highlight w:val="none"/>
        </w:rPr>
      </w:pPr>
    </w:p>
    <w:p w14:paraId="7AF594CA">
      <w:pPr>
        <w:pStyle w:val="48"/>
        <w:spacing w:line="240" w:lineRule="auto"/>
        <w:ind w:firstLine="0" w:firstLineChars="0"/>
        <w:rPr>
          <w:rFonts w:ascii="黑体" w:hAnsi="黑体" w:eastAsia="黑体" w:cs="Times New Roman"/>
          <w:color w:val="auto"/>
          <w:highlight w:val="none"/>
        </w:rPr>
      </w:pPr>
    </w:p>
    <w:p w14:paraId="30094DB3">
      <w:pPr>
        <w:pStyle w:val="48"/>
        <w:spacing w:line="240" w:lineRule="auto"/>
        <w:ind w:firstLine="0" w:firstLineChars="0"/>
        <w:rPr>
          <w:rFonts w:ascii="黑体" w:hAnsi="黑体" w:eastAsia="黑体" w:cs="Times New Roman"/>
          <w:color w:val="auto"/>
          <w:highlight w:val="none"/>
        </w:rPr>
      </w:pPr>
    </w:p>
    <w:p w14:paraId="35BF3F25">
      <w:pPr>
        <w:pStyle w:val="48"/>
        <w:spacing w:line="240" w:lineRule="auto"/>
        <w:ind w:firstLine="0" w:firstLineChars="0"/>
        <w:rPr>
          <w:rFonts w:ascii="黑体" w:hAnsi="黑体" w:eastAsia="黑体" w:cs="Times New Roman"/>
          <w:color w:val="auto"/>
          <w:highlight w:val="none"/>
        </w:rPr>
      </w:pPr>
    </w:p>
    <w:p w14:paraId="3BE8EF88">
      <w:pPr>
        <w:pStyle w:val="48"/>
        <w:spacing w:line="240" w:lineRule="auto"/>
        <w:ind w:firstLine="0" w:firstLineChars="0"/>
        <w:rPr>
          <w:rFonts w:ascii="黑体" w:hAnsi="黑体" w:eastAsia="黑体" w:cs="Times New Roman"/>
          <w:color w:val="auto"/>
          <w:highlight w:val="none"/>
        </w:rPr>
      </w:pPr>
    </w:p>
    <w:p w14:paraId="07838A1C">
      <w:pPr>
        <w:pStyle w:val="48"/>
        <w:spacing w:line="240" w:lineRule="auto"/>
        <w:ind w:firstLine="0" w:firstLineChars="0"/>
        <w:rPr>
          <w:rFonts w:ascii="黑体" w:hAnsi="黑体" w:eastAsia="黑体" w:cs="Times New Roman"/>
          <w:color w:val="auto"/>
          <w:highlight w:val="none"/>
        </w:rPr>
      </w:pPr>
    </w:p>
    <w:p w14:paraId="214BDE06">
      <w:pPr>
        <w:pStyle w:val="48"/>
        <w:spacing w:line="240" w:lineRule="auto"/>
        <w:ind w:firstLine="0" w:firstLineChars="0"/>
        <w:rPr>
          <w:rFonts w:ascii="黑体" w:hAnsi="黑体" w:eastAsia="黑体" w:cs="Times New Roman"/>
          <w:color w:val="auto"/>
          <w:highlight w:val="none"/>
        </w:rPr>
      </w:pPr>
    </w:p>
    <w:p w14:paraId="33372743">
      <w:pPr>
        <w:pStyle w:val="48"/>
        <w:spacing w:line="240" w:lineRule="auto"/>
        <w:ind w:firstLine="0" w:firstLineChars="0"/>
        <w:rPr>
          <w:rFonts w:ascii="黑体" w:hAnsi="黑体" w:eastAsia="黑体" w:cs="Times New Roman"/>
          <w:color w:val="auto"/>
          <w:highlight w:val="none"/>
        </w:rPr>
      </w:pPr>
    </w:p>
    <w:p w14:paraId="2A90E923">
      <w:pPr>
        <w:pStyle w:val="48"/>
        <w:spacing w:line="240" w:lineRule="auto"/>
        <w:ind w:firstLine="0" w:firstLineChars="0"/>
        <w:rPr>
          <w:rFonts w:ascii="黑体" w:hAnsi="黑体" w:eastAsia="黑体" w:cs="Times New Roman"/>
          <w:color w:val="auto"/>
          <w:highlight w:val="none"/>
        </w:rPr>
      </w:pPr>
    </w:p>
    <w:p w14:paraId="4A5B4B1B">
      <w:pPr>
        <w:pStyle w:val="48"/>
        <w:spacing w:line="240" w:lineRule="auto"/>
        <w:ind w:firstLine="0" w:firstLineChars="0"/>
        <w:rPr>
          <w:rFonts w:ascii="黑体" w:hAnsi="黑体" w:eastAsia="黑体" w:cs="Times New Roman"/>
          <w:color w:val="auto"/>
          <w:highlight w:val="none"/>
        </w:rPr>
      </w:pPr>
    </w:p>
    <w:p w14:paraId="2EB0A910">
      <w:pPr>
        <w:pStyle w:val="48"/>
        <w:spacing w:line="240" w:lineRule="auto"/>
        <w:ind w:firstLine="0" w:firstLineChars="0"/>
        <w:rPr>
          <w:rFonts w:ascii="黑体" w:hAnsi="黑体" w:eastAsia="黑体" w:cs="Times New Roman"/>
          <w:color w:val="auto"/>
          <w:highlight w:val="none"/>
        </w:rPr>
      </w:pPr>
    </w:p>
    <w:p w14:paraId="74B25471">
      <w:pPr>
        <w:pStyle w:val="48"/>
        <w:spacing w:line="240" w:lineRule="auto"/>
        <w:ind w:firstLine="0" w:firstLineChars="0"/>
        <w:rPr>
          <w:rFonts w:ascii="黑体" w:hAnsi="黑体" w:eastAsia="黑体" w:cs="Times New Roman"/>
          <w:color w:val="auto"/>
          <w:highlight w:val="none"/>
        </w:rPr>
      </w:pPr>
    </w:p>
    <w:p w14:paraId="181F42BA">
      <w:pPr>
        <w:pStyle w:val="48"/>
        <w:spacing w:line="240" w:lineRule="auto"/>
        <w:ind w:firstLine="0" w:firstLineChars="0"/>
        <w:rPr>
          <w:rFonts w:ascii="黑体" w:hAnsi="黑体" w:eastAsia="黑体" w:cs="Times New Roman"/>
          <w:color w:val="auto"/>
          <w:highlight w:val="none"/>
        </w:rPr>
      </w:pPr>
    </w:p>
    <w:p w14:paraId="6D2E7088">
      <w:pPr>
        <w:pStyle w:val="48"/>
        <w:spacing w:line="240" w:lineRule="auto"/>
        <w:ind w:firstLine="0" w:firstLineChars="0"/>
        <w:rPr>
          <w:rFonts w:ascii="黑体" w:hAnsi="黑体" w:eastAsia="黑体" w:cs="Times New Roman"/>
          <w:color w:val="auto"/>
          <w:highlight w:val="none"/>
        </w:rPr>
      </w:pPr>
      <w:r>
        <w:rPr>
          <w:rFonts w:hint="eastAsia" w:ascii="黑体" w:hAnsi="黑体" w:eastAsia="黑体" w:cs="黑体"/>
          <w:color w:val="auto"/>
          <w:highlight w:val="none"/>
        </w:rPr>
        <w:t>封面格式</w:t>
      </w:r>
    </w:p>
    <w:p w14:paraId="4508DAD8">
      <w:pPr>
        <w:pStyle w:val="48"/>
        <w:spacing w:line="240" w:lineRule="auto"/>
        <w:ind w:firstLine="253" w:firstLineChars="70"/>
        <w:jc w:val="center"/>
        <w:rPr>
          <w:rFonts w:cs="Times New Roman"/>
          <w:color w:val="auto"/>
          <w:sz w:val="36"/>
          <w:szCs w:val="36"/>
          <w:highlight w:val="none"/>
        </w:rPr>
      </w:pPr>
    </w:p>
    <w:p w14:paraId="28EB2EAD">
      <w:pPr>
        <w:spacing w:line="240" w:lineRule="auto"/>
        <w:jc w:val="center"/>
        <w:rPr>
          <w:rFonts w:cs="Times New Roman"/>
          <w:color w:val="auto"/>
          <w:sz w:val="36"/>
          <w:szCs w:val="36"/>
          <w:highlight w:val="none"/>
        </w:rPr>
      </w:pPr>
      <w:r>
        <w:rPr>
          <w:rFonts w:hint="eastAsia" w:ascii="华文中宋" w:hAnsi="华文中宋" w:eastAsia="华文中宋" w:cs="华文中宋"/>
          <w:color w:val="auto"/>
          <w:sz w:val="60"/>
          <w:szCs w:val="60"/>
          <w:highlight w:val="none"/>
        </w:rPr>
        <w:t>陕西省政府采购货物和服务项目</w:t>
      </w:r>
    </w:p>
    <w:p w14:paraId="62CC905E">
      <w:pPr>
        <w:spacing w:line="500" w:lineRule="exact"/>
        <w:ind w:right="11"/>
        <w:rPr>
          <w:rFonts w:cs="Times New Roman"/>
          <w:color w:val="auto"/>
          <w:highlight w:val="none"/>
          <w:u w:val="single"/>
        </w:rPr>
      </w:pPr>
    </w:p>
    <w:p w14:paraId="3AB7B8DC">
      <w:pPr>
        <w:pStyle w:val="48"/>
        <w:spacing w:line="240" w:lineRule="auto"/>
        <w:ind w:firstLine="0" w:firstLineChars="0"/>
        <w:jc w:val="center"/>
        <w:rPr>
          <w:rFonts w:ascii="华文中宋" w:hAnsi="华文中宋" w:eastAsia="华文中宋" w:cs="Times New Roman"/>
          <w:color w:val="auto"/>
          <w:sz w:val="96"/>
          <w:szCs w:val="96"/>
          <w:highlight w:val="none"/>
        </w:rPr>
      </w:pPr>
      <w:r>
        <w:rPr>
          <w:rFonts w:hint="eastAsia" w:ascii="华文中宋" w:hAnsi="华文中宋" w:eastAsia="华文中宋" w:cs="华文中宋"/>
          <w:color w:val="auto"/>
          <w:spacing w:val="323"/>
          <w:kern w:val="0"/>
          <w:sz w:val="96"/>
          <w:szCs w:val="96"/>
          <w:highlight w:val="none"/>
        </w:rPr>
        <w:t>投标文</w:t>
      </w:r>
      <w:r>
        <w:rPr>
          <w:rFonts w:hint="eastAsia" w:ascii="华文中宋" w:hAnsi="华文中宋" w:eastAsia="华文中宋" w:cs="华文中宋"/>
          <w:color w:val="auto"/>
          <w:kern w:val="0"/>
          <w:sz w:val="96"/>
          <w:szCs w:val="96"/>
          <w:highlight w:val="none"/>
        </w:rPr>
        <w:t>件</w:t>
      </w:r>
    </w:p>
    <w:p w14:paraId="4FC638B1">
      <w:pPr>
        <w:pStyle w:val="48"/>
        <w:spacing w:line="240" w:lineRule="auto"/>
        <w:ind w:firstLine="0" w:firstLineChars="0"/>
        <w:jc w:val="center"/>
        <w:rPr>
          <w:rFonts w:cs="Times New Roman"/>
          <w:color w:val="auto"/>
          <w:sz w:val="36"/>
          <w:szCs w:val="36"/>
          <w:highlight w:val="none"/>
        </w:rPr>
      </w:pPr>
    </w:p>
    <w:p w14:paraId="2744E199">
      <w:pPr>
        <w:pStyle w:val="48"/>
        <w:spacing w:line="240" w:lineRule="auto"/>
        <w:ind w:firstLine="0" w:firstLineChars="0"/>
        <w:jc w:val="center"/>
        <w:rPr>
          <w:rFonts w:cs="Times New Roman"/>
          <w:color w:val="auto"/>
          <w:sz w:val="36"/>
          <w:szCs w:val="36"/>
          <w:highlight w:val="none"/>
        </w:rPr>
      </w:pPr>
    </w:p>
    <w:p w14:paraId="6944576E">
      <w:pPr>
        <w:pStyle w:val="48"/>
        <w:spacing w:line="240" w:lineRule="auto"/>
        <w:ind w:firstLine="0" w:firstLineChars="0"/>
        <w:jc w:val="center"/>
        <w:rPr>
          <w:rFonts w:cs="Times New Roman"/>
          <w:color w:val="auto"/>
          <w:sz w:val="36"/>
          <w:szCs w:val="36"/>
          <w:highlight w:val="none"/>
        </w:rPr>
      </w:pPr>
    </w:p>
    <w:p w14:paraId="69501378">
      <w:pPr>
        <w:pStyle w:val="48"/>
        <w:spacing w:line="240" w:lineRule="auto"/>
        <w:ind w:firstLine="0" w:firstLineChars="0"/>
        <w:jc w:val="center"/>
        <w:rPr>
          <w:rFonts w:cs="Times New Roman"/>
          <w:color w:val="auto"/>
          <w:sz w:val="36"/>
          <w:szCs w:val="36"/>
          <w:highlight w:val="none"/>
        </w:rPr>
      </w:pPr>
    </w:p>
    <w:p w14:paraId="3193C049">
      <w:pPr>
        <w:pStyle w:val="48"/>
        <w:spacing w:line="240" w:lineRule="auto"/>
        <w:ind w:firstLine="0" w:firstLineChars="0"/>
        <w:jc w:val="center"/>
        <w:rPr>
          <w:rFonts w:cs="Times New Roman"/>
          <w:color w:val="auto"/>
          <w:sz w:val="36"/>
          <w:szCs w:val="36"/>
          <w:highlight w:val="none"/>
        </w:rPr>
      </w:pPr>
    </w:p>
    <w:p w14:paraId="52A8CA41">
      <w:pPr>
        <w:pStyle w:val="48"/>
        <w:spacing w:line="240" w:lineRule="auto"/>
        <w:ind w:firstLine="0" w:firstLineChars="0"/>
        <w:jc w:val="center"/>
        <w:rPr>
          <w:rFonts w:cs="Times New Roman"/>
          <w:color w:val="auto"/>
          <w:sz w:val="36"/>
          <w:szCs w:val="36"/>
          <w:highlight w:val="none"/>
        </w:rPr>
      </w:pPr>
    </w:p>
    <w:p w14:paraId="40E42AA3">
      <w:pPr>
        <w:pStyle w:val="48"/>
        <w:spacing w:line="240" w:lineRule="auto"/>
        <w:ind w:firstLine="1815" w:firstLineChars="500"/>
        <w:jc w:val="left"/>
        <w:rPr>
          <w:rFonts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项目名称：</w:t>
      </w:r>
      <w:r>
        <w:rPr>
          <w:rFonts w:hint="eastAsia" w:ascii="仿宋" w:hAnsi="仿宋" w:eastAsia="仿宋" w:cs="仿宋"/>
          <w:color w:val="auto"/>
          <w:sz w:val="36"/>
          <w:szCs w:val="36"/>
          <w:highlight w:val="none"/>
          <w:u w:val="single"/>
        </w:rPr>
        <w:t xml:space="preserve">                </w:t>
      </w:r>
    </w:p>
    <w:p w14:paraId="69B4B153">
      <w:pPr>
        <w:pStyle w:val="48"/>
        <w:spacing w:line="240" w:lineRule="auto"/>
        <w:ind w:firstLine="1815" w:firstLineChars="500"/>
        <w:jc w:val="left"/>
        <w:rPr>
          <w:rFonts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项目编号：</w:t>
      </w:r>
      <w:r>
        <w:rPr>
          <w:rFonts w:hint="eastAsia" w:ascii="仿宋" w:hAnsi="仿宋" w:eastAsia="仿宋" w:cs="仿宋"/>
          <w:color w:val="auto"/>
          <w:sz w:val="36"/>
          <w:szCs w:val="36"/>
          <w:highlight w:val="none"/>
          <w:u w:val="single"/>
        </w:rPr>
        <w:t xml:space="preserve">                </w:t>
      </w:r>
    </w:p>
    <w:p w14:paraId="005E2749">
      <w:pPr>
        <w:pStyle w:val="48"/>
        <w:widowControl w:val="0"/>
        <w:spacing w:line="240" w:lineRule="auto"/>
        <w:ind w:firstLine="1815" w:firstLineChars="500"/>
        <w:rPr>
          <w:rFonts w:ascii="仿宋" w:hAnsi="仿宋" w:eastAsia="仿宋" w:cs="仿宋"/>
          <w:sz w:val="36"/>
          <w:szCs w:val="36"/>
        </w:rPr>
      </w:pPr>
      <w:r>
        <w:rPr>
          <w:rFonts w:hint="eastAsia" w:ascii="仿宋" w:hAnsi="仿宋" w:eastAsia="仿宋" w:cs="仿宋"/>
          <w:sz w:val="36"/>
          <w:szCs w:val="36"/>
          <w:lang w:val="en-US" w:eastAsia="zh-CN"/>
        </w:rPr>
        <w:t>投 标 人</w:t>
      </w:r>
      <w:r>
        <w:rPr>
          <w:rFonts w:hint="eastAsia" w:ascii="仿宋" w:hAnsi="仿宋" w:eastAsia="仿宋" w:cs="仿宋"/>
          <w:sz w:val="36"/>
          <w:szCs w:val="36"/>
        </w:rPr>
        <w:t>：</w:t>
      </w:r>
      <w:r>
        <w:rPr>
          <w:rFonts w:hint="eastAsia" w:ascii="仿宋" w:hAnsi="仿宋" w:eastAsia="仿宋" w:cs="仿宋"/>
          <w:sz w:val="36"/>
          <w:szCs w:val="36"/>
          <w:u w:val="single"/>
        </w:rPr>
        <w:t xml:space="preserve">             </w:t>
      </w:r>
      <w:r>
        <w:rPr>
          <w:rFonts w:hint="eastAsia" w:ascii="仿宋" w:hAnsi="仿宋" w:eastAsia="仿宋" w:cs="仿宋"/>
          <w:sz w:val="36"/>
          <w:szCs w:val="36"/>
        </w:rPr>
        <w:t>（公章）</w:t>
      </w:r>
    </w:p>
    <w:p w14:paraId="11E8753E">
      <w:pPr>
        <w:pStyle w:val="48"/>
        <w:spacing w:line="240" w:lineRule="auto"/>
        <w:ind w:firstLine="1815" w:firstLineChars="500"/>
        <w:rPr>
          <w:rFonts w:ascii="仿宋" w:hAnsi="仿宋" w:eastAsia="仿宋" w:cs="仿宋"/>
          <w:color w:val="auto"/>
          <w:sz w:val="36"/>
          <w:szCs w:val="36"/>
          <w:highlight w:val="none"/>
          <w:u w:val="single"/>
        </w:rPr>
      </w:pPr>
      <w:r>
        <w:rPr>
          <w:rFonts w:hint="eastAsia" w:ascii="仿宋" w:hAnsi="仿宋" w:eastAsia="仿宋" w:cs="仿宋"/>
          <w:color w:val="auto"/>
          <w:sz w:val="36"/>
          <w:szCs w:val="36"/>
          <w:highlight w:val="none"/>
        </w:rPr>
        <w:t>时　  间：</w:t>
      </w:r>
      <w:r>
        <w:rPr>
          <w:rFonts w:hint="eastAsia" w:ascii="仿宋" w:hAnsi="仿宋" w:eastAsia="仿宋" w:cs="仿宋"/>
          <w:color w:val="auto"/>
          <w:sz w:val="36"/>
          <w:szCs w:val="36"/>
          <w:highlight w:val="none"/>
          <w:u w:val="single"/>
        </w:rPr>
        <w:t xml:space="preserve">                </w:t>
      </w:r>
    </w:p>
    <w:p w14:paraId="6D3119B7">
      <w:pPr>
        <w:tabs>
          <w:tab w:val="right" w:leader="hyphen" w:pos="8504"/>
        </w:tabs>
        <w:spacing w:line="500" w:lineRule="exact"/>
        <w:ind w:right="849" w:rightChars="300"/>
        <w:rPr>
          <w:rFonts w:ascii="黑体" w:hAnsi="黑体" w:eastAsia="黑体" w:cs="黑体"/>
          <w:color w:val="auto"/>
          <w:sz w:val="36"/>
          <w:szCs w:val="36"/>
          <w:highlight w:val="none"/>
        </w:rPr>
      </w:pPr>
    </w:p>
    <w:p w14:paraId="48C3E782">
      <w:pPr>
        <w:tabs>
          <w:tab w:val="right" w:leader="hyphen" w:pos="8504"/>
        </w:tabs>
        <w:spacing w:line="500" w:lineRule="exact"/>
        <w:ind w:left="2381" w:leftChars="200" w:right="849" w:rightChars="300" w:hanging="1815" w:hangingChars="500"/>
        <w:jc w:val="center"/>
        <w:rPr>
          <w:rFonts w:ascii="黑体" w:hAnsi="黑体" w:eastAsia="黑体" w:cs="黑体"/>
          <w:color w:val="auto"/>
          <w:sz w:val="36"/>
          <w:szCs w:val="36"/>
          <w:highlight w:val="none"/>
        </w:rPr>
      </w:pPr>
    </w:p>
    <w:p w14:paraId="0FB3C870">
      <w:pPr>
        <w:tabs>
          <w:tab w:val="right" w:leader="hyphen" w:pos="8504"/>
        </w:tabs>
        <w:spacing w:line="500" w:lineRule="exact"/>
        <w:ind w:left="2381" w:leftChars="200" w:right="849" w:rightChars="300" w:hanging="1815" w:hangingChars="500"/>
        <w:jc w:val="center"/>
        <w:rPr>
          <w:rFonts w:hint="eastAsia" w:ascii="黑体" w:hAnsi="黑体" w:eastAsia="黑体" w:cs="黑体"/>
          <w:color w:val="auto"/>
          <w:sz w:val="36"/>
          <w:szCs w:val="36"/>
          <w:highlight w:val="none"/>
        </w:rPr>
      </w:pPr>
    </w:p>
    <w:p w14:paraId="41D68DEF">
      <w:pPr>
        <w:tabs>
          <w:tab w:val="right" w:leader="hyphen" w:pos="8504"/>
        </w:tabs>
        <w:spacing w:line="500" w:lineRule="exact"/>
        <w:ind w:left="2381" w:leftChars="200" w:right="849" w:rightChars="300" w:hanging="1815" w:hangingChars="500"/>
        <w:jc w:val="center"/>
        <w:rPr>
          <w:rFonts w:hint="eastAsia" w:ascii="黑体" w:hAnsi="黑体" w:eastAsia="黑体" w:cs="黑体"/>
          <w:color w:val="auto"/>
          <w:sz w:val="36"/>
          <w:szCs w:val="36"/>
          <w:highlight w:val="none"/>
        </w:rPr>
      </w:pPr>
    </w:p>
    <w:p w14:paraId="6292E86F">
      <w:pPr>
        <w:tabs>
          <w:tab w:val="right" w:leader="hyphen" w:pos="8504"/>
        </w:tabs>
        <w:spacing w:line="500" w:lineRule="exact"/>
        <w:ind w:left="2381" w:leftChars="200" w:right="849" w:rightChars="300" w:hanging="1815" w:hangingChars="500"/>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14:paraId="6667DEC4">
      <w:pPr>
        <w:tabs>
          <w:tab w:val="right" w:leader="hyphen" w:pos="8504"/>
        </w:tabs>
        <w:spacing w:line="500" w:lineRule="exact"/>
        <w:ind w:left="1981" w:leftChars="200" w:right="849" w:rightChars="300" w:hanging="1415" w:hangingChars="500"/>
        <w:rPr>
          <w:rFonts w:ascii="黑体" w:hAnsi="黑体" w:eastAsia="黑体" w:cs="黑体"/>
          <w:color w:val="auto"/>
          <w:highlight w:val="none"/>
        </w:rPr>
      </w:pPr>
      <w:r>
        <w:rPr>
          <w:rFonts w:hint="eastAsia" w:ascii="黑体" w:hAnsi="黑体" w:eastAsia="黑体" w:cs="黑体"/>
          <w:color w:val="auto"/>
          <w:highlight w:val="none"/>
        </w:rPr>
        <w:t>第一部分  资格证明文件</w:t>
      </w:r>
      <w:r>
        <w:rPr>
          <w:rFonts w:ascii="黑体" w:hAnsi="黑体" w:eastAsia="黑体" w:cs="Times New Roman"/>
          <w:color w:val="auto"/>
          <w:highlight w:val="none"/>
        </w:rPr>
        <w:tab/>
      </w:r>
      <w:r>
        <w:rPr>
          <w:rFonts w:ascii="黑体" w:hAnsi="黑体" w:eastAsia="黑体" w:cs="黑体"/>
          <w:color w:val="auto"/>
          <w:highlight w:val="none"/>
        </w:rPr>
        <w:t>X</w:t>
      </w:r>
    </w:p>
    <w:p w14:paraId="7ECA3A21">
      <w:pPr>
        <w:tabs>
          <w:tab w:val="right" w:leader="hyphen" w:pos="8504"/>
        </w:tabs>
        <w:spacing w:line="500" w:lineRule="exact"/>
        <w:ind w:left="1981" w:leftChars="200" w:right="849" w:rightChars="300" w:hanging="1415" w:hangingChars="500"/>
        <w:rPr>
          <w:rFonts w:ascii="华文仿宋" w:cs="Times New Roman"/>
          <w:color w:val="auto"/>
          <w:highlight w:val="none"/>
        </w:rPr>
      </w:pPr>
      <w:r>
        <w:rPr>
          <w:rFonts w:hint="eastAsia" w:ascii="华文仿宋" w:hAnsi="华文仿宋" w:cs="华文仿宋"/>
          <w:color w:val="auto"/>
          <w:highlight w:val="none"/>
        </w:rPr>
        <w:t>　　  一、营业执照等主体资格证明文件</w:t>
      </w:r>
      <w:r>
        <w:rPr>
          <w:rFonts w:cs="Times New Roman"/>
          <w:color w:val="auto"/>
          <w:highlight w:val="none"/>
        </w:rPr>
        <w:tab/>
      </w:r>
      <w:r>
        <w:rPr>
          <w:color w:val="auto"/>
          <w:highlight w:val="none"/>
        </w:rPr>
        <w:t>X</w:t>
      </w:r>
    </w:p>
    <w:p w14:paraId="2EDBD2D7">
      <w:pPr>
        <w:tabs>
          <w:tab w:val="right" w:leader="hyphen" w:pos="8504"/>
        </w:tabs>
        <w:spacing w:line="50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二、财务状况报告</w:t>
      </w:r>
      <w:r>
        <w:rPr>
          <w:rFonts w:cs="Times New Roman"/>
          <w:color w:val="auto"/>
          <w:highlight w:val="none"/>
        </w:rPr>
        <w:tab/>
      </w:r>
      <w:r>
        <w:rPr>
          <w:color w:val="auto"/>
          <w:highlight w:val="none"/>
        </w:rPr>
        <w:t>X</w:t>
      </w:r>
    </w:p>
    <w:p w14:paraId="7F93450E">
      <w:pPr>
        <w:tabs>
          <w:tab w:val="right" w:leader="hyphen" w:pos="8504"/>
        </w:tabs>
        <w:spacing w:line="500" w:lineRule="exact"/>
        <w:ind w:right="849" w:rightChars="300" w:firstLine="1415" w:firstLineChars="500"/>
        <w:rPr>
          <w:color w:val="auto"/>
          <w:highlight w:val="none"/>
        </w:rPr>
      </w:pPr>
      <w:r>
        <w:rPr>
          <w:rFonts w:hint="eastAsia" w:ascii="华文仿宋" w:hAnsi="华文仿宋" w:cs="华文仿宋"/>
          <w:color w:val="auto"/>
          <w:highlight w:val="none"/>
        </w:rPr>
        <w:t>三、社保缴纳证明</w:t>
      </w:r>
      <w:r>
        <w:rPr>
          <w:rFonts w:cs="Times New Roman"/>
          <w:color w:val="auto"/>
          <w:highlight w:val="none"/>
        </w:rPr>
        <w:tab/>
      </w:r>
      <w:r>
        <w:rPr>
          <w:color w:val="auto"/>
          <w:highlight w:val="none"/>
        </w:rPr>
        <w:t>X</w:t>
      </w:r>
    </w:p>
    <w:p w14:paraId="3A315CA1">
      <w:pPr>
        <w:tabs>
          <w:tab w:val="right" w:leader="hyphen" w:pos="8504"/>
        </w:tabs>
        <w:spacing w:line="50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四、税收缴纳证明</w:t>
      </w:r>
      <w:r>
        <w:rPr>
          <w:rFonts w:cs="Times New Roman"/>
          <w:color w:val="auto"/>
          <w:highlight w:val="none"/>
        </w:rPr>
        <w:tab/>
      </w:r>
      <w:r>
        <w:rPr>
          <w:color w:val="auto"/>
          <w:highlight w:val="none"/>
        </w:rPr>
        <w:t>X</w:t>
      </w:r>
    </w:p>
    <w:p w14:paraId="3EBA6A5D">
      <w:pPr>
        <w:tabs>
          <w:tab w:val="right" w:leader="hyphen" w:pos="8504"/>
        </w:tabs>
        <w:spacing w:line="50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五、信用记录</w:t>
      </w:r>
      <w:r>
        <w:rPr>
          <w:rFonts w:cs="Times New Roman"/>
          <w:color w:val="auto"/>
          <w:highlight w:val="none"/>
        </w:rPr>
        <w:tab/>
      </w:r>
      <w:r>
        <w:rPr>
          <w:color w:val="auto"/>
          <w:highlight w:val="none"/>
        </w:rPr>
        <w:t>X</w:t>
      </w:r>
    </w:p>
    <w:p w14:paraId="70F68282">
      <w:pPr>
        <w:tabs>
          <w:tab w:val="right" w:leader="hyphen" w:pos="8504"/>
        </w:tabs>
        <w:spacing w:line="50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六、控股管理关系</w:t>
      </w:r>
      <w:r>
        <w:rPr>
          <w:rFonts w:cs="Times New Roman"/>
          <w:color w:val="auto"/>
          <w:highlight w:val="none"/>
        </w:rPr>
        <w:tab/>
      </w:r>
      <w:r>
        <w:rPr>
          <w:color w:val="auto"/>
          <w:highlight w:val="none"/>
        </w:rPr>
        <w:t>X</w:t>
      </w:r>
    </w:p>
    <w:p w14:paraId="186C02E9">
      <w:pPr>
        <w:tabs>
          <w:tab w:val="right" w:leader="hyphen" w:pos="8504"/>
        </w:tabs>
        <w:spacing w:line="50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七、书面声明</w:t>
      </w:r>
      <w:r>
        <w:rPr>
          <w:rFonts w:cs="Times New Roman"/>
          <w:color w:val="auto"/>
          <w:highlight w:val="none"/>
        </w:rPr>
        <w:tab/>
      </w:r>
      <w:r>
        <w:rPr>
          <w:color w:val="auto"/>
          <w:highlight w:val="none"/>
        </w:rPr>
        <w:t>X</w:t>
      </w:r>
    </w:p>
    <w:p w14:paraId="075CCA00">
      <w:pPr>
        <w:tabs>
          <w:tab w:val="right" w:leader="hyphen" w:pos="8504"/>
        </w:tabs>
        <w:spacing w:line="500" w:lineRule="exact"/>
        <w:ind w:left="1981" w:leftChars="200" w:right="849" w:rightChars="300" w:hanging="1415" w:hangingChars="500"/>
        <w:rPr>
          <w:rFonts w:ascii="华文仿宋" w:hAnsi="华文仿宋" w:cs="华文仿宋"/>
          <w:color w:val="auto"/>
          <w:highlight w:val="none"/>
        </w:rPr>
      </w:pPr>
      <w:r>
        <w:rPr>
          <w:rFonts w:hint="eastAsia" w:ascii="华文仿宋" w:hAnsi="华文仿宋" w:cs="华文仿宋"/>
          <w:color w:val="auto"/>
          <w:highlight w:val="none"/>
        </w:rPr>
        <w:t>　　  八、法定代表人授权委托书</w:t>
      </w:r>
      <w:r>
        <w:rPr>
          <w:rFonts w:cs="Times New Roman"/>
          <w:color w:val="auto"/>
          <w:highlight w:val="none"/>
        </w:rPr>
        <w:tab/>
      </w:r>
      <w:r>
        <w:rPr>
          <w:color w:val="auto"/>
          <w:highlight w:val="none"/>
        </w:rPr>
        <w:t>X</w:t>
      </w:r>
    </w:p>
    <w:p w14:paraId="4F067B0A">
      <w:pPr>
        <w:tabs>
          <w:tab w:val="right" w:leader="hyphen" w:pos="8504"/>
        </w:tabs>
        <w:spacing w:line="500" w:lineRule="exact"/>
        <w:ind w:left="1734" w:leftChars="513" w:right="849" w:rightChars="300" w:hanging="283" w:hangingChars="100"/>
        <w:rPr>
          <w:color w:val="auto"/>
          <w:highlight w:val="none"/>
        </w:rPr>
      </w:pPr>
      <w:r>
        <w:rPr>
          <w:rFonts w:hint="eastAsia" w:ascii="华文仿宋" w:hAnsi="华文仿宋" w:cs="华文仿宋"/>
          <w:color w:val="auto"/>
          <w:highlight w:val="none"/>
        </w:rPr>
        <w:t>九、落实政府采购政策需满足的资格要求</w:t>
      </w:r>
      <w:r>
        <w:rPr>
          <w:rFonts w:cs="Times New Roman"/>
          <w:color w:val="auto"/>
          <w:highlight w:val="none"/>
        </w:rPr>
        <w:tab/>
      </w:r>
      <w:r>
        <w:rPr>
          <w:color w:val="auto"/>
          <w:highlight w:val="none"/>
        </w:rPr>
        <w:t>X</w:t>
      </w:r>
    </w:p>
    <w:p w14:paraId="5AFF14F5">
      <w:pPr>
        <w:tabs>
          <w:tab w:val="right" w:leader="hyphen" w:pos="8504"/>
        </w:tabs>
        <w:spacing w:line="500" w:lineRule="exact"/>
        <w:ind w:left="1734" w:leftChars="513" w:right="849" w:rightChars="300" w:hanging="283" w:hangingChars="100"/>
        <w:rPr>
          <w:rFonts w:hint="eastAsia" w:ascii="黑体" w:hAnsi="黑体" w:eastAsia="黑体" w:cs="黑体"/>
          <w:color w:val="auto"/>
          <w:highlight w:val="none"/>
        </w:rPr>
      </w:pPr>
      <w:r>
        <w:rPr>
          <w:rFonts w:hint="eastAsia" w:ascii="华文仿宋" w:hAnsi="华文仿宋" w:cs="华文仿宋"/>
          <w:color w:val="auto"/>
          <w:highlight w:val="none"/>
        </w:rPr>
        <w:t>十</w:t>
      </w:r>
      <w:r>
        <w:rPr>
          <w:rFonts w:hint="eastAsia" w:ascii="华文仿宋" w:hAnsi="华文仿宋" w:cs="华文仿宋"/>
          <w:color w:val="auto"/>
          <w:highlight w:val="none"/>
          <w:lang w:val="en-US" w:eastAsia="zh-CN"/>
        </w:rPr>
        <w:t>、</w:t>
      </w:r>
      <w:r>
        <w:rPr>
          <w:rFonts w:hint="eastAsia" w:ascii="华文仿宋" w:hAnsi="华文仿宋" w:cs="华文仿宋"/>
          <w:color w:val="auto"/>
          <w:highlight w:val="none"/>
        </w:rPr>
        <w:t>本项目不接受联合体投标，不允许分包</w:t>
      </w:r>
      <w:r>
        <w:rPr>
          <w:rFonts w:cs="Times New Roman"/>
          <w:color w:val="auto"/>
          <w:highlight w:val="none"/>
        </w:rPr>
        <w:tab/>
      </w:r>
      <w:r>
        <w:rPr>
          <w:color w:val="auto"/>
          <w:highlight w:val="none"/>
        </w:rPr>
        <w:t>X</w:t>
      </w:r>
    </w:p>
    <w:p w14:paraId="3476C784">
      <w:pPr>
        <w:tabs>
          <w:tab w:val="right" w:leader="hyphen" w:pos="8504"/>
        </w:tabs>
        <w:spacing w:line="500" w:lineRule="exact"/>
        <w:ind w:left="1981" w:leftChars="200" w:right="849" w:rightChars="300" w:hanging="1415" w:hangingChars="500"/>
        <w:rPr>
          <w:rFonts w:ascii="华文仿宋" w:cs="Times New Roman"/>
          <w:color w:val="auto"/>
          <w:highlight w:val="none"/>
        </w:rPr>
      </w:pPr>
      <w:r>
        <w:rPr>
          <w:rFonts w:hint="eastAsia" w:ascii="黑体" w:hAnsi="黑体" w:eastAsia="黑体" w:cs="黑体"/>
          <w:color w:val="auto"/>
          <w:highlight w:val="none"/>
        </w:rPr>
        <w:t>第二部分  符合性证明文件</w:t>
      </w:r>
      <w:r>
        <w:rPr>
          <w:rFonts w:ascii="黑体" w:hAnsi="黑体" w:eastAsia="黑体" w:cs="Times New Roman"/>
          <w:color w:val="auto"/>
          <w:highlight w:val="none"/>
        </w:rPr>
        <w:tab/>
      </w:r>
      <w:r>
        <w:rPr>
          <w:rFonts w:ascii="黑体" w:hAnsi="黑体" w:eastAsia="黑体" w:cs="黑体"/>
          <w:color w:val="auto"/>
          <w:highlight w:val="none"/>
        </w:rPr>
        <w:t>X</w:t>
      </w:r>
    </w:p>
    <w:p w14:paraId="224CD546">
      <w:pPr>
        <w:tabs>
          <w:tab w:val="right" w:leader="hyphen" w:pos="8504"/>
        </w:tabs>
        <w:spacing w:line="500" w:lineRule="exact"/>
        <w:ind w:right="849" w:rightChars="300" w:firstLine="1415" w:firstLineChars="500"/>
        <w:rPr>
          <w:rFonts w:ascii="华文仿宋" w:hAnsi="华文仿宋" w:cs="华文仿宋"/>
          <w:color w:val="auto"/>
          <w:highlight w:val="none"/>
        </w:rPr>
      </w:pPr>
      <w:r>
        <w:rPr>
          <w:rFonts w:hint="eastAsia" w:ascii="华文仿宋" w:hAnsi="华文仿宋" w:cs="华文仿宋"/>
          <w:color w:val="auto"/>
          <w:highlight w:val="none"/>
        </w:rPr>
        <w:t>一、投标函格式</w:t>
      </w:r>
      <w:r>
        <w:rPr>
          <w:rFonts w:cs="Times New Roman"/>
          <w:color w:val="auto"/>
          <w:highlight w:val="none"/>
        </w:rPr>
        <w:tab/>
      </w:r>
      <w:r>
        <w:rPr>
          <w:color w:val="auto"/>
          <w:highlight w:val="none"/>
        </w:rPr>
        <w:t>X</w:t>
      </w:r>
    </w:p>
    <w:p w14:paraId="7AAF725D">
      <w:pPr>
        <w:tabs>
          <w:tab w:val="right" w:leader="hyphen" w:pos="8504"/>
        </w:tabs>
        <w:spacing w:line="500" w:lineRule="exact"/>
        <w:ind w:left="1981" w:leftChars="500" w:right="849" w:rightChars="300" w:hanging="566" w:hangingChars="200"/>
        <w:rPr>
          <w:rFonts w:ascii="华文仿宋" w:cs="Times New Roman"/>
          <w:color w:val="auto"/>
          <w:highlight w:val="none"/>
        </w:rPr>
      </w:pPr>
      <w:r>
        <w:rPr>
          <w:rFonts w:hint="eastAsia" w:ascii="华文仿宋" w:hAnsi="华文仿宋" w:cs="华文仿宋"/>
          <w:color w:val="auto"/>
          <w:highlight w:val="none"/>
        </w:rPr>
        <w:t>二、开标一览表</w:t>
      </w:r>
      <w:r>
        <w:rPr>
          <w:rFonts w:cs="Times New Roman"/>
          <w:color w:val="auto"/>
          <w:highlight w:val="none"/>
        </w:rPr>
        <w:tab/>
      </w:r>
      <w:r>
        <w:rPr>
          <w:color w:val="auto"/>
          <w:highlight w:val="none"/>
        </w:rPr>
        <w:t>X</w:t>
      </w:r>
    </w:p>
    <w:p w14:paraId="26A55CC8">
      <w:pPr>
        <w:tabs>
          <w:tab w:val="right" w:leader="hyphen" w:pos="8504"/>
        </w:tabs>
        <w:spacing w:line="500" w:lineRule="exact"/>
        <w:ind w:left="1981" w:leftChars="200" w:right="849" w:rightChars="300" w:hanging="1415" w:hangingChars="500"/>
        <w:rPr>
          <w:rFonts w:ascii="华文仿宋" w:cs="Times New Roman"/>
          <w:color w:val="auto"/>
          <w:highlight w:val="none"/>
        </w:rPr>
      </w:pPr>
      <w:r>
        <w:rPr>
          <w:rFonts w:hint="eastAsia" w:ascii="华文仿宋" w:hAnsi="华文仿宋" w:cs="华文仿宋"/>
          <w:color w:val="auto"/>
          <w:highlight w:val="none"/>
        </w:rPr>
        <w:t>　　　    分项报价表</w:t>
      </w:r>
      <w:r>
        <w:rPr>
          <w:rFonts w:cs="Times New Roman"/>
          <w:color w:val="auto"/>
          <w:highlight w:val="none"/>
        </w:rPr>
        <w:tab/>
      </w:r>
      <w:r>
        <w:rPr>
          <w:color w:val="auto"/>
          <w:highlight w:val="none"/>
        </w:rPr>
        <w:t>X</w:t>
      </w:r>
    </w:p>
    <w:p w14:paraId="4EC7ADCA">
      <w:pPr>
        <w:numPr>
          <w:ilvl w:val="0"/>
          <w:numId w:val="0"/>
        </w:numPr>
        <w:tabs>
          <w:tab w:val="right" w:leader="hyphen" w:pos="8504"/>
        </w:tabs>
        <w:spacing w:line="500" w:lineRule="exact"/>
        <w:ind w:left="1415" w:right="849" w:rightChars="300"/>
        <w:rPr>
          <w:color w:val="auto"/>
          <w:highlight w:val="none"/>
        </w:rPr>
      </w:pPr>
      <w:r>
        <w:rPr>
          <w:rFonts w:hint="eastAsia" w:ascii="华文仿宋" w:hAnsi="华文仿宋" w:cs="华文仿宋"/>
          <w:color w:val="auto"/>
          <w:highlight w:val="none"/>
        </w:rPr>
        <w:t>三、</w:t>
      </w:r>
      <w:r>
        <w:rPr>
          <w:rFonts w:hint="eastAsia" w:ascii="华文仿宋" w:hAnsi="华文仿宋" w:cs="华文仿宋"/>
          <w:color w:val="auto"/>
          <w:highlight w:val="none"/>
          <w:lang w:eastAsia="zh-CN"/>
        </w:rPr>
        <w:t>投标人</w:t>
      </w:r>
      <w:r>
        <w:rPr>
          <w:rFonts w:hint="eastAsia" w:ascii="华文仿宋" w:hAnsi="华文仿宋" w:cs="华文仿宋"/>
          <w:color w:val="auto"/>
          <w:highlight w:val="none"/>
        </w:rPr>
        <w:t>承诺书</w:t>
      </w:r>
      <w:r>
        <w:rPr>
          <w:rFonts w:cs="Times New Roman"/>
          <w:color w:val="auto"/>
          <w:highlight w:val="none"/>
        </w:rPr>
        <w:tab/>
      </w:r>
      <w:r>
        <w:rPr>
          <w:color w:val="auto"/>
          <w:highlight w:val="none"/>
        </w:rPr>
        <w:t>X</w:t>
      </w:r>
    </w:p>
    <w:p w14:paraId="6BC88767">
      <w:pPr>
        <w:tabs>
          <w:tab w:val="right" w:leader="hyphen" w:pos="8504"/>
        </w:tabs>
        <w:spacing w:line="500" w:lineRule="exact"/>
        <w:ind w:right="849" w:rightChars="300" w:firstLine="1981" w:firstLineChars="700"/>
        <w:rPr>
          <w:rFonts w:ascii="华文仿宋" w:hAnsi="华文仿宋" w:cs="华文仿宋"/>
          <w:color w:val="auto"/>
          <w:highlight w:val="none"/>
        </w:rPr>
      </w:pPr>
      <w:r>
        <w:rPr>
          <w:rFonts w:hint="eastAsia" w:ascii="华文仿宋" w:hAnsi="华文仿宋" w:cs="华文仿宋"/>
          <w:color w:val="auto"/>
          <w:highlight w:val="none"/>
        </w:rPr>
        <w:t>（一）质量安全责任承诺书</w:t>
      </w:r>
      <w:r>
        <w:rPr>
          <w:rFonts w:hint="eastAsia" w:ascii="华文仿宋" w:hAnsi="华文仿宋" w:cs="华文仿宋"/>
          <w:color w:val="auto"/>
          <w:highlight w:val="none"/>
        </w:rPr>
        <w:tab/>
      </w:r>
      <w:r>
        <w:rPr>
          <w:color w:val="auto"/>
          <w:highlight w:val="none"/>
        </w:rPr>
        <w:t>X</w:t>
      </w:r>
    </w:p>
    <w:p w14:paraId="5C13E3D5">
      <w:pPr>
        <w:tabs>
          <w:tab w:val="right" w:leader="hyphen" w:pos="8504"/>
        </w:tabs>
        <w:spacing w:line="500" w:lineRule="exact"/>
        <w:ind w:right="849" w:rightChars="300" w:firstLine="1981" w:firstLineChars="700"/>
        <w:rPr>
          <w:color w:val="auto"/>
          <w:highlight w:val="none"/>
        </w:rPr>
      </w:pPr>
      <w:r>
        <w:rPr>
          <w:rFonts w:hint="eastAsia" w:ascii="华文仿宋" w:hAnsi="华文仿宋" w:cs="华文仿宋"/>
          <w:color w:val="auto"/>
          <w:highlight w:val="none"/>
        </w:rPr>
        <w:t>（二）拒绝政府采购领域商业贿赂承诺书</w:t>
      </w:r>
      <w:r>
        <w:rPr>
          <w:rFonts w:hint="eastAsia" w:ascii="华文仿宋" w:hAnsi="华文仿宋" w:cs="华文仿宋"/>
          <w:color w:val="auto"/>
          <w:highlight w:val="none"/>
        </w:rPr>
        <w:tab/>
      </w:r>
      <w:r>
        <w:rPr>
          <w:color w:val="auto"/>
          <w:highlight w:val="none"/>
        </w:rPr>
        <w:t>X</w:t>
      </w:r>
    </w:p>
    <w:p w14:paraId="544A2A55">
      <w:pPr>
        <w:tabs>
          <w:tab w:val="right" w:leader="hyphen" w:pos="8504"/>
        </w:tabs>
        <w:spacing w:line="50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四、实质性条款响应</w:t>
      </w:r>
      <w:r>
        <w:rPr>
          <w:rFonts w:cs="Times New Roman"/>
          <w:color w:val="auto"/>
          <w:highlight w:val="none"/>
        </w:rPr>
        <w:tab/>
      </w:r>
      <w:r>
        <w:rPr>
          <w:color w:val="auto"/>
          <w:highlight w:val="none"/>
        </w:rPr>
        <w:t>X</w:t>
      </w:r>
    </w:p>
    <w:p w14:paraId="5190B9D3">
      <w:pPr>
        <w:tabs>
          <w:tab w:val="right" w:leader="hyphen" w:pos="8504"/>
        </w:tabs>
        <w:spacing w:line="500" w:lineRule="exact"/>
        <w:ind w:left="1981" w:leftChars="500" w:right="849" w:rightChars="300" w:hanging="566" w:hangingChars="200"/>
        <w:rPr>
          <w:color w:val="auto"/>
          <w:highlight w:val="none"/>
        </w:rPr>
      </w:pPr>
      <w:r>
        <w:rPr>
          <w:rFonts w:hint="eastAsia" w:ascii="华文仿宋" w:hAnsi="华文仿宋" w:cs="华文仿宋"/>
          <w:color w:val="auto"/>
          <w:highlight w:val="none"/>
        </w:rPr>
        <w:t>五、合同条款响应</w:t>
      </w:r>
      <w:r>
        <w:rPr>
          <w:rFonts w:cs="Times New Roman"/>
          <w:color w:val="auto"/>
          <w:highlight w:val="none"/>
        </w:rPr>
        <w:tab/>
      </w:r>
      <w:r>
        <w:rPr>
          <w:color w:val="auto"/>
          <w:highlight w:val="none"/>
        </w:rPr>
        <w:t>X</w:t>
      </w:r>
    </w:p>
    <w:p w14:paraId="343DECD3">
      <w:pPr>
        <w:tabs>
          <w:tab w:val="right" w:leader="hyphen" w:pos="8504"/>
        </w:tabs>
        <w:spacing w:line="500" w:lineRule="exact"/>
        <w:ind w:right="849" w:rightChars="300" w:firstLine="566" w:firstLineChars="200"/>
        <w:rPr>
          <w:rFonts w:ascii="黑体" w:hAnsi="黑体" w:eastAsia="黑体" w:cs="黑体"/>
          <w:color w:val="auto"/>
          <w:highlight w:val="none"/>
        </w:rPr>
      </w:pPr>
      <w:r>
        <w:rPr>
          <w:rFonts w:hint="eastAsia" w:ascii="黑体" w:hAnsi="黑体" w:eastAsia="黑体" w:cs="黑体"/>
          <w:color w:val="auto"/>
          <w:highlight w:val="none"/>
        </w:rPr>
        <w:t>第三部分  投标方案</w:t>
      </w:r>
      <w:r>
        <w:rPr>
          <w:rFonts w:ascii="黑体" w:hAnsi="黑体" w:eastAsia="黑体" w:cs="Times New Roman"/>
          <w:color w:val="auto"/>
          <w:highlight w:val="none"/>
        </w:rPr>
        <w:tab/>
      </w:r>
      <w:r>
        <w:rPr>
          <w:rFonts w:ascii="黑体" w:hAnsi="黑体" w:eastAsia="黑体" w:cs="黑体"/>
          <w:color w:val="auto"/>
          <w:highlight w:val="none"/>
        </w:rPr>
        <w:t>X</w:t>
      </w:r>
    </w:p>
    <w:p w14:paraId="7B58B316">
      <w:pPr>
        <w:tabs>
          <w:tab w:val="right" w:leader="hyphen" w:pos="8504"/>
        </w:tabs>
        <w:spacing w:line="50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一、投标人概况</w:t>
      </w:r>
      <w:r>
        <w:rPr>
          <w:rFonts w:cs="Times New Roman"/>
          <w:color w:val="auto"/>
          <w:highlight w:val="none"/>
        </w:rPr>
        <w:tab/>
      </w:r>
      <w:r>
        <w:rPr>
          <w:color w:val="auto"/>
          <w:highlight w:val="none"/>
        </w:rPr>
        <w:t>X</w:t>
      </w:r>
    </w:p>
    <w:p w14:paraId="15F9EA01">
      <w:pPr>
        <w:numPr>
          <w:ilvl w:val="0"/>
          <w:numId w:val="4"/>
        </w:numPr>
        <w:tabs>
          <w:tab w:val="right" w:leader="hyphen" w:pos="8504"/>
        </w:tabs>
        <w:spacing w:line="500" w:lineRule="exact"/>
        <w:ind w:right="849" w:rightChars="300" w:firstLine="1415" w:firstLineChars="500"/>
        <w:rPr>
          <w:rFonts w:ascii="华文仿宋" w:cs="Times New Roman"/>
          <w:color w:val="auto"/>
          <w:highlight w:val="none"/>
        </w:rPr>
      </w:pPr>
      <w:r>
        <w:rPr>
          <w:rFonts w:hint="eastAsia" w:cs="Times New Roman"/>
          <w:color w:val="auto"/>
          <w:highlight w:val="none"/>
        </w:rPr>
        <w:t>投标方案</w:t>
      </w:r>
      <w:r>
        <w:rPr>
          <w:rFonts w:cs="Times New Roman"/>
          <w:color w:val="auto"/>
          <w:highlight w:val="none"/>
        </w:rPr>
        <w:tab/>
      </w:r>
      <w:r>
        <w:rPr>
          <w:color w:val="auto"/>
          <w:highlight w:val="none"/>
        </w:rPr>
        <w:t>X</w:t>
      </w:r>
    </w:p>
    <w:p w14:paraId="7952FA03">
      <w:pPr>
        <w:numPr>
          <w:ilvl w:val="0"/>
          <w:numId w:val="4"/>
        </w:numPr>
        <w:tabs>
          <w:tab w:val="right" w:leader="hyphen" w:pos="8504"/>
        </w:tabs>
        <w:spacing w:line="500" w:lineRule="exact"/>
        <w:ind w:right="849" w:rightChars="300" w:firstLine="1415" w:firstLineChars="500"/>
        <w:rPr>
          <w:rFonts w:ascii="华文仿宋" w:cs="Times New Roman"/>
          <w:color w:val="auto"/>
          <w:highlight w:val="none"/>
        </w:rPr>
      </w:pPr>
      <w:r>
        <w:rPr>
          <w:rFonts w:hint="eastAsia" w:ascii="华文仿宋" w:hAnsi="华文仿宋" w:cs="华文仿宋"/>
          <w:color w:val="auto"/>
          <w:highlight w:val="none"/>
        </w:rPr>
        <w:t>参考样表</w:t>
      </w:r>
      <w:r>
        <w:rPr>
          <w:rFonts w:cs="Times New Roman"/>
          <w:color w:val="auto"/>
          <w:highlight w:val="none"/>
        </w:rPr>
        <w:tab/>
      </w:r>
      <w:r>
        <w:rPr>
          <w:color w:val="auto"/>
          <w:highlight w:val="none"/>
        </w:rPr>
        <w:t>X</w:t>
      </w:r>
    </w:p>
    <w:p w14:paraId="2A960610">
      <w:pPr>
        <w:pStyle w:val="49"/>
        <w:outlineLvl w:val="0"/>
        <w:rPr>
          <w:rFonts w:ascii="黑体" w:hAnsi="黑体" w:eastAsia="黑体" w:cs="Times New Roman"/>
          <w:b w:val="0"/>
          <w:bCs w:val="0"/>
          <w:color w:val="auto"/>
          <w:highlight w:val="none"/>
        </w:rPr>
      </w:pPr>
      <w:bookmarkStart w:id="436" w:name="_Toc27546"/>
      <w:bookmarkStart w:id="437" w:name="_Toc13957"/>
      <w:bookmarkStart w:id="438" w:name="_Toc12653"/>
      <w:r>
        <w:rPr>
          <w:rFonts w:hint="eastAsia" w:ascii="黑体" w:hAnsi="黑体" w:eastAsia="黑体" w:cs="黑体"/>
          <w:b w:val="0"/>
          <w:bCs w:val="0"/>
          <w:color w:val="auto"/>
          <w:highlight w:val="none"/>
        </w:rPr>
        <w:t>第一部分  资格证明文件</w:t>
      </w:r>
      <w:bookmarkEnd w:id="436"/>
      <w:bookmarkEnd w:id="437"/>
      <w:bookmarkEnd w:id="438"/>
    </w:p>
    <w:p w14:paraId="2398E4CC">
      <w:pPr>
        <w:spacing w:line="500" w:lineRule="exact"/>
        <w:ind w:firstLine="566" w:firstLineChars="200"/>
        <w:rPr>
          <w:rFonts w:ascii="仿宋" w:hAnsi="仿宋" w:eastAsia="仿宋" w:cs="仿宋"/>
          <w:color w:val="auto"/>
          <w:highlight w:val="none"/>
        </w:rPr>
      </w:pPr>
      <w:r>
        <w:rPr>
          <w:rFonts w:hint="eastAsia" w:cs="华文仿宋"/>
          <w:color w:val="auto"/>
          <w:highlight w:val="none"/>
        </w:rPr>
        <w:t>投标人应按照招标文件第一章第十项所列“</w:t>
      </w:r>
      <w:r>
        <w:rPr>
          <w:rFonts w:hint="eastAsia" w:cs="华文仿宋"/>
          <w:color w:val="auto"/>
          <w:highlight w:val="none"/>
          <w:lang w:eastAsia="zh-CN"/>
        </w:rPr>
        <w:t>投标人</w:t>
      </w:r>
      <w:r>
        <w:rPr>
          <w:rFonts w:hint="eastAsia" w:cs="华文仿宋"/>
          <w:color w:val="auto"/>
          <w:highlight w:val="none"/>
        </w:rPr>
        <w:t>资格要求”逐一提供全部资格证明文件。缺少其中任何一项，其投标文件将被视为无效文件。其中，</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信用记录书面声明函》《控股管理关系》《法定代表人授权委托书》《书面声明》《</w:t>
      </w:r>
      <w:r>
        <w:rPr>
          <w:rFonts w:hint="eastAsia" w:ascii="华文仿宋" w:hAnsi="华文仿宋" w:cs="华文仿宋"/>
          <w:color w:val="auto"/>
          <w:highlight w:val="none"/>
        </w:rPr>
        <w:t>残疾人福利性单位声明函</w:t>
      </w:r>
      <w:r>
        <w:rPr>
          <w:rFonts w:hint="eastAsia" w:ascii="仿宋" w:hAnsi="仿宋" w:eastAsia="仿宋" w:cs="仿宋"/>
          <w:color w:val="auto"/>
          <w:highlight w:val="none"/>
        </w:rPr>
        <w:t>》</w:t>
      </w:r>
      <w:r>
        <w:rPr>
          <w:rFonts w:hint="eastAsia"/>
          <w:color w:val="auto"/>
          <w:highlight w:val="none"/>
        </w:rPr>
        <w:t>《非联合体不分包投标声明》</w:t>
      </w:r>
      <w:r>
        <w:rPr>
          <w:rFonts w:hint="eastAsia" w:ascii="仿宋" w:hAnsi="仿宋" w:eastAsia="仿宋" w:cs="仿宋"/>
          <w:color w:val="auto"/>
          <w:highlight w:val="none"/>
        </w:rPr>
        <w:t>须按下文给定格式填写。</w:t>
      </w:r>
      <w:r>
        <w:rPr>
          <w:rFonts w:hint="eastAsia"/>
          <w:color w:val="auto"/>
          <w:highlight w:val="none"/>
        </w:rPr>
        <w:t>特别说明，法定代表人亲自参加投标的，可不提供法定代表人授权委托书，但须提供其本人身份证（正反面）复印件。</w:t>
      </w:r>
    </w:p>
    <w:p w14:paraId="745185FE">
      <w:pPr>
        <w:spacing w:line="500" w:lineRule="exact"/>
        <w:ind w:firstLine="562"/>
        <w:outlineLvl w:val="1"/>
        <w:rPr>
          <w:rFonts w:ascii="仿宋" w:hAnsi="仿宋" w:eastAsia="仿宋" w:cs="Times New Roman"/>
          <w:b/>
          <w:bCs/>
          <w:color w:val="auto"/>
          <w:highlight w:val="none"/>
        </w:rPr>
      </w:pPr>
      <w:r>
        <w:rPr>
          <w:rFonts w:hint="eastAsia" w:ascii="仿宋" w:hAnsi="仿宋" w:eastAsia="仿宋" w:cs="仿宋"/>
          <w:b/>
          <w:bCs/>
          <w:color w:val="auto"/>
          <w:highlight w:val="none"/>
        </w:rPr>
        <w:t>一、营业执照等主体资格证明文件</w:t>
      </w:r>
    </w:p>
    <w:p w14:paraId="60886D03">
      <w:pPr>
        <w:spacing w:line="500" w:lineRule="exact"/>
        <w:ind w:firstLine="562"/>
        <w:outlineLvl w:val="1"/>
        <w:rPr>
          <w:rFonts w:ascii="仿宋" w:hAnsi="仿宋" w:eastAsia="仿宋" w:cs="Times New Roman"/>
          <w:b/>
          <w:bCs/>
          <w:color w:val="auto"/>
          <w:highlight w:val="none"/>
        </w:rPr>
      </w:pPr>
      <w:r>
        <w:rPr>
          <w:rFonts w:hint="eastAsia" w:ascii="仿宋" w:hAnsi="仿宋" w:eastAsia="仿宋" w:cs="仿宋"/>
          <w:b/>
          <w:bCs/>
          <w:color w:val="auto"/>
          <w:highlight w:val="none"/>
        </w:rPr>
        <w:t>二、财务状况报告</w:t>
      </w:r>
    </w:p>
    <w:p w14:paraId="350BD75B">
      <w:pPr>
        <w:spacing w:line="500" w:lineRule="exact"/>
        <w:ind w:firstLine="562"/>
        <w:outlineLvl w:val="1"/>
        <w:rPr>
          <w:rFonts w:ascii="仿宋" w:hAnsi="仿宋" w:eastAsia="仿宋" w:cs="Times New Roman"/>
          <w:b/>
          <w:bCs/>
          <w:color w:val="auto"/>
          <w:highlight w:val="none"/>
        </w:rPr>
      </w:pPr>
      <w:r>
        <w:rPr>
          <w:rFonts w:hint="eastAsia" w:ascii="仿宋" w:hAnsi="仿宋" w:eastAsia="仿宋" w:cs="仿宋"/>
          <w:b/>
          <w:bCs/>
          <w:color w:val="auto"/>
          <w:highlight w:val="none"/>
        </w:rPr>
        <w:t>三、社保缴纳证明</w:t>
      </w:r>
    </w:p>
    <w:p w14:paraId="6C7A5F9F">
      <w:pPr>
        <w:spacing w:line="500" w:lineRule="exact"/>
        <w:ind w:firstLine="562"/>
        <w:outlineLvl w:val="1"/>
        <w:rPr>
          <w:rFonts w:ascii="仿宋" w:hAnsi="仿宋" w:eastAsia="仿宋" w:cs="Times New Roman"/>
          <w:b/>
          <w:bCs/>
          <w:color w:val="auto"/>
          <w:highlight w:val="none"/>
        </w:rPr>
      </w:pPr>
      <w:r>
        <w:rPr>
          <w:rFonts w:hint="eastAsia" w:ascii="仿宋" w:hAnsi="仿宋" w:eastAsia="仿宋" w:cs="仿宋"/>
          <w:b/>
          <w:bCs/>
          <w:color w:val="auto"/>
          <w:highlight w:val="none"/>
        </w:rPr>
        <w:t>四、税收缴纳证明</w:t>
      </w:r>
    </w:p>
    <w:p w14:paraId="42ACDB4F">
      <w:pPr>
        <w:spacing w:line="500" w:lineRule="exact"/>
        <w:ind w:firstLine="562"/>
        <w:outlineLvl w:val="1"/>
        <w:rPr>
          <w:rFonts w:ascii="仿宋" w:hAnsi="仿宋" w:eastAsia="仿宋" w:cs="Times New Roman"/>
          <w:b/>
          <w:bCs/>
          <w:color w:val="auto"/>
          <w:highlight w:val="none"/>
        </w:rPr>
      </w:pPr>
      <w:r>
        <w:rPr>
          <w:rFonts w:hint="eastAsia" w:ascii="仿宋" w:hAnsi="仿宋" w:eastAsia="仿宋" w:cs="仿宋"/>
          <w:b/>
          <w:bCs/>
          <w:color w:val="auto"/>
          <w:highlight w:val="none"/>
        </w:rPr>
        <w:t>五、信用记录</w:t>
      </w:r>
    </w:p>
    <w:p w14:paraId="0FD1B541">
      <w:pPr>
        <w:pStyle w:val="50"/>
        <w:jc w:val="center"/>
        <w:outlineLvl w:val="9"/>
        <w:rPr>
          <w:rFonts w:cs="Times New Roman"/>
          <w:color w:val="auto"/>
          <w:sz w:val="30"/>
          <w:szCs w:val="30"/>
          <w:highlight w:val="none"/>
        </w:rPr>
      </w:pPr>
      <w:bookmarkStart w:id="439" w:name="_Toc528596084"/>
      <w:bookmarkStart w:id="440" w:name="_Toc22518"/>
      <w:bookmarkStart w:id="441" w:name="_Toc726"/>
      <w:bookmarkStart w:id="442" w:name="_Toc9011"/>
    </w:p>
    <w:p w14:paraId="464EA9F9">
      <w:pPr>
        <w:rPr>
          <w:color w:val="auto"/>
          <w:highlight w:val="none"/>
        </w:rPr>
      </w:pPr>
    </w:p>
    <w:p w14:paraId="28273F10">
      <w:pPr>
        <w:pStyle w:val="50"/>
        <w:jc w:val="center"/>
        <w:outlineLvl w:val="9"/>
        <w:rPr>
          <w:rFonts w:cs="Times New Roman"/>
          <w:color w:val="auto"/>
          <w:sz w:val="30"/>
          <w:szCs w:val="30"/>
          <w:highlight w:val="none"/>
        </w:rPr>
      </w:pPr>
      <w:bookmarkStart w:id="443" w:name="_Toc28457"/>
      <w:bookmarkStart w:id="444" w:name="_Toc28054"/>
      <w:bookmarkStart w:id="445" w:name="_Toc28966"/>
      <w:bookmarkStart w:id="446" w:name="_Toc19115"/>
      <w:bookmarkStart w:id="447" w:name="_Toc2990"/>
      <w:bookmarkStart w:id="448" w:name="_Toc4199"/>
      <w:bookmarkStart w:id="449" w:name="_Toc6424"/>
      <w:bookmarkStart w:id="450" w:name="_Toc2275"/>
      <w:bookmarkStart w:id="451" w:name="_Toc18549"/>
      <w:bookmarkStart w:id="452" w:name="_Toc17411"/>
      <w:bookmarkStart w:id="453" w:name="_Toc17677"/>
      <w:bookmarkStart w:id="454" w:name="_Toc30255"/>
      <w:r>
        <w:rPr>
          <w:rFonts w:hint="eastAsia" w:cs="华文仿宋"/>
          <w:color w:val="auto"/>
          <w:sz w:val="30"/>
          <w:szCs w:val="30"/>
          <w:highlight w:val="none"/>
          <w:lang w:eastAsia="zh-CN"/>
        </w:rPr>
        <w:t>投标人</w:t>
      </w:r>
      <w:r>
        <w:rPr>
          <w:rFonts w:hint="eastAsia" w:cs="华文仿宋"/>
          <w:color w:val="auto"/>
          <w:sz w:val="30"/>
          <w:szCs w:val="30"/>
          <w:highlight w:val="none"/>
        </w:rPr>
        <w:t>信用记录书面声明函</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hint="eastAsia" w:cs="华文仿宋"/>
          <w:color w:val="auto"/>
          <w:sz w:val="30"/>
          <w:szCs w:val="30"/>
          <w:highlight w:val="none"/>
        </w:rPr>
        <w:t>（格式）</w:t>
      </w:r>
      <w:bookmarkEnd w:id="454"/>
    </w:p>
    <w:p w14:paraId="58F68D5F">
      <w:pPr>
        <w:spacing w:line="500" w:lineRule="exact"/>
        <w:rPr>
          <w:rFonts w:ascii="仿宋" w:hAnsi="仿宋" w:cs="Times New Roman"/>
          <w:color w:val="auto"/>
          <w:highlight w:val="none"/>
        </w:rPr>
      </w:pPr>
      <w:r>
        <w:rPr>
          <w:rFonts w:hint="eastAsia" w:ascii="仿宋" w:hAnsi="仿宋" w:cs="仿宋"/>
          <w:color w:val="auto"/>
          <w:highlight w:val="none"/>
        </w:rPr>
        <w:t>陕西省省级单位政府采购中心</w:t>
      </w:r>
      <w:r>
        <w:rPr>
          <w:rFonts w:hint="eastAsia" w:ascii="仿宋" w:hAnsi="仿宋" w:cs="华文仿宋"/>
          <w:color w:val="auto"/>
          <w:highlight w:val="none"/>
        </w:rPr>
        <w:t>：</w:t>
      </w:r>
    </w:p>
    <w:p w14:paraId="6B800199">
      <w:pPr>
        <w:spacing w:line="500" w:lineRule="exact"/>
        <w:ind w:right="11" w:firstLine="566" w:firstLineChars="200"/>
        <w:rPr>
          <w:rFonts w:ascii="仿宋" w:hAnsi="仿宋" w:cs="Times New Roman"/>
          <w:color w:val="auto"/>
          <w:highlight w:val="none"/>
        </w:rPr>
      </w:pPr>
      <w:r>
        <w:rPr>
          <w:rFonts w:hint="eastAsia" w:ascii="仿宋" w:hAnsi="仿宋" w:cs="华文仿宋"/>
          <w:color w:val="auto"/>
          <w:highlight w:val="none"/>
        </w:rPr>
        <w:t>我方作为《</w:t>
      </w:r>
      <w:r>
        <w:rPr>
          <w:rFonts w:hint="eastAsia" w:ascii="仿宋" w:hAnsi="仿宋" w:cs="华文仿宋"/>
          <w:color w:val="auto"/>
          <w:highlight w:val="none"/>
          <w:u w:val="single"/>
        </w:rPr>
        <w:t>项目名称</w:t>
      </w:r>
      <w:r>
        <w:rPr>
          <w:rFonts w:hint="eastAsia" w:ascii="仿宋" w:hAnsi="仿宋" w:cs="华文仿宋"/>
          <w:color w:val="auto"/>
          <w:highlight w:val="none"/>
        </w:rPr>
        <w:t>》（项目编号：</w:t>
      </w:r>
      <w:r>
        <w:rPr>
          <w:rFonts w:hint="eastAsia" w:ascii="仿宋" w:hAnsi="仿宋" w:cs="华文仿宋"/>
          <w:color w:val="auto"/>
          <w:highlight w:val="none"/>
          <w:u w:val="single"/>
        </w:rPr>
        <w:t xml:space="preserve">         </w:t>
      </w:r>
      <w:r>
        <w:rPr>
          <w:rFonts w:hint="eastAsia" w:ascii="仿宋" w:hAnsi="仿宋" w:cs="华文仿宋"/>
          <w:color w:val="auto"/>
          <w:highlight w:val="none"/>
        </w:rPr>
        <w:t>）第</w:t>
      </w:r>
      <w:r>
        <w:rPr>
          <w:rFonts w:hint="eastAsia" w:ascii="仿宋" w:hAnsi="仿宋" w:cs="华文仿宋"/>
          <w:color w:val="auto"/>
          <w:highlight w:val="none"/>
          <w:u w:val="single"/>
        </w:rPr>
        <w:t xml:space="preserve">  </w:t>
      </w:r>
      <w:r>
        <w:rPr>
          <w:rFonts w:hint="eastAsia" w:ascii="仿宋" w:hAnsi="仿宋" w:cs="华文仿宋"/>
          <w:color w:val="auto"/>
          <w:highlight w:val="none"/>
        </w:rPr>
        <w:t>标段的投标人，在此郑重声明：</w:t>
      </w:r>
    </w:p>
    <w:p w14:paraId="7AF02424">
      <w:pPr>
        <w:spacing w:line="500" w:lineRule="exact"/>
        <w:ind w:firstLine="566" w:firstLineChars="200"/>
        <w:rPr>
          <w:rFonts w:ascii="仿宋" w:hAnsi="仿宋" w:cs="Times New Roman"/>
          <w:color w:val="auto"/>
          <w:highlight w:val="none"/>
        </w:rPr>
      </w:pPr>
      <w:r>
        <w:rPr>
          <w:rFonts w:ascii="仿宋" w:hAnsi="仿宋"/>
          <w:color w:val="auto"/>
          <w:highlight w:val="none"/>
        </w:rPr>
        <w:t>1</w:t>
      </w:r>
      <w:r>
        <w:rPr>
          <w:rFonts w:hint="eastAsia" w:ascii="仿宋" w:hAnsi="仿宋" w:cs="华文仿宋"/>
          <w:color w:val="auto"/>
          <w:highlight w:val="none"/>
        </w:rPr>
        <w:t>、在参加本次政府采购活动前</w:t>
      </w:r>
      <w:r>
        <w:rPr>
          <w:rFonts w:ascii="仿宋" w:hAnsi="仿宋" w:cs="仿宋"/>
          <w:color w:val="auto"/>
          <w:highlight w:val="none"/>
        </w:rPr>
        <w:t>3</w:t>
      </w:r>
      <w:r>
        <w:rPr>
          <w:rFonts w:hint="eastAsia" w:ascii="仿宋" w:hAnsi="仿宋" w:cs="华文仿宋"/>
          <w:color w:val="auto"/>
          <w:highlight w:val="none"/>
        </w:rPr>
        <w:t>年内的经营活动中</w:t>
      </w:r>
      <w:r>
        <w:rPr>
          <w:rFonts w:ascii="仿宋" w:hAnsi="仿宋"/>
          <w:color w:val="auto"/>
          <w:highlight w:val="none"/>
        </w:rPr>
        <w:t>____</w:t>
      </w:r>
      <w:r>
        <w:rPr>
          <w:rFonts w:hint="eastAsia" w:ascii="仿宋" w:hAnsi="仿宋" w:cs="华文仿宋"/>
          <w:color w:val="auto"/>
          <w:highlight w:val="none"/>
        </w:rPr>
        <w:t>（填“没有”或“有”）重大违法记录。</w:t>
      </w:r>
      <w:r>
        <w:rPr>
          <w:rFonts w:hint="eastAsia" w:ascii="仿宋" w:hAnsi="仿宋" w:cs="华文仿宋"/>
          <w:b/>
          <w:bCs/>
          <w:color w:val="auto"/>
          <w:highlight w:val="none"/>
          <w:lang w:eastAsia="zh-CN"/>
        </w:rPr>
        <w:t>投标人</w:t>
      </w:r>
      <w:r>
        <w:rPr>
          <w:rFonts w:hint="eastAsia" w:ascii="仿宋" w:hAnsi="仿宋" w:cs="华文仿宋"/>
          <w:b/>
          <w:bCs/>
          <w:color w:val="auto"/>
          <w:highlight w:val="none"/>
        </w:rPr>
        <w:t>在参加政府采购活动前</w:t>
      </w:r>
      <w:r>
        <w:rPr>
          <w:rFonts w:ascii="仿宋" w:hAnsi="仿宋" w:cs="仿宋"/>
          <w:b/>
          <w:bCs/>
          <w:color w:val="auto"/>
          <w:highlight w:val="none"/>
        </w:rPr>
        <w:t>3</w:t>
      </w:r>
      <w:r>
        <w:rPr>
          <w:rFonts w:hint="eastAsia" w:ascii="仿宋" w:hAnsi="仿宋" w:cs="华文仿宋"/>
          <w:b/>
          <w:bCs/>
          <w:color w:val="auto"/>
          <w:highlight w:val="none"/>
        </w:rPr>
        <w:t>年内因违法经营被禁止在一定期限内参加政府采购活动，期限届满的，可以参加政府采购活动，但应提供期限届满的证明材料。</w:t>
      </w:r>
    </w:p>
    <w:p w14:paraId="46DC0297">
      <w:pPr>
        <w:spacing w:line="500" w:lineRule="exact"/>
        <w:ind w:firstLine="566" w:firstLineChars="200"/>
        <w:rPr>
          <w:rFonts w:ascii="仿宋" w:hAnsi="仿宋" w:cs="Times New Roman"/>
          <w:color w:val="auto"/>
          <w:highlight w:val="none"/>
        </w:rPr>
      </w:pPr>
      <w:r>
        <w:rPr>
          <w:rFonts w:ascii="仿宋" w:hAnsi="仿宋"/>
          <w:color w:val="auto"/>
          <w:highlight w:val="none"/>
        </w:rPr>
        <w:t>2</w:t>
      </w:r>
      <w:r>
        <w:rPr>
          <w:rFonts w:hint="eastAsia" w:ascii="仿宋" w:hAnsi="仿宋" w:cs="华文仿宋"/>
          <w:color w:val="auto"/>
          <w:highlight w:val="none"/>
        </w:rPr>
        <w:t>、我方</w:t>
      </w:r>
      <w:r>
        <w:rPr>
          <w:rFonts w:ascii="仿宋" w:hAnsi="仿宋"/>
          <w:color w:val="auto"/>
          <w:highlight w:val="none"/>
        </w:rPr>
        <w:t>______</w:t>
      </w:r>
      <w:r>
        <w:rPr>
          <w:rFonts w:hint="eastAsia" w:ascii="仿宋" w:hAnsi="仿宋" w:cs="华文仿宋"/>
          <w:color w:val="auto"/>
          <w:highlight w:val="none"/>
        </w:rPr>
        <w:t>（填“未被列入”或“被列入”）失信被执行人名单。</w:t>
      </w:r>
    </w:p>
    <w:p w14:paraId="56EE8961">
      <w:pPr>
        <w:spacing w:line="500" w:lineRule="exact"/>
        <w:ind w:firstLine="566" w:firstLineChars="200"/>
        <w:rPr>
          <w:rFonts w:ascii="仿宋" w:hAnsi="仿宋" w:cs="Times New Roman"/>
          <w:color w:val="auto"/>
          <w:highlight w:val="none"/>
        </w:rPr>
      </w:pPr>
      <w:r>
        <w:rPr>
          <w:rFonts w:ascii="仿宋" w:hAnsi="仿宋"/>
          <w:color w:val="auto"/>
          <w:highlight w:val="none"/>
        </w:rPr>
        <w:t>3</w:t>
      </w:r>
      <w:r>
        <w:rPr>
          <w:rFonts w:hint="eastAsia" w:ascii="仿宋" w:hAnsi="仿宋" w:cs="华文仿宋"/>
          <w:color w:val="auto"/>
          <w:highlight w:val="none"/>
        </w:rPr>
        <w:t>、我方</w:t>
      </w:r>
      <w:r>
        <w:rPr>
          <w:rFonts w:ascii="仿宋" w:hAnsi="仿宋"/>
          <w:color w:val="auto"/>
          <w:highlight w:val="none"/>
        </w:rPr>
        <w:t>______</w:t>
      </w:r>
      <w:r>
        <w:rPr>
          <w:rFonts w:hint="eastAsia" w:ascii="仿宋" w:hAnsi="仿宋" w:cs="华文仿宋"/>
          <w:color w:val="auto"/>
          <w:highlight w:val="none"/>
        </w:rPr>
        <w:t>（填“未被列入”或“被列入”）重大税收违法案件当事人名单。</w:t>
      </w:r>
    </w:p>
    <w:p w14:paraId="162643FD">
      <w:pPr>
        <w:spacing w:line="500" w:lineRule="exact"/>
        <w:ind w:firstLine="566" w:firstLineChars="200"/>
        <w:rPr>
          <w:rFonts w:ascii="仿宋" w:hAnsi="仿宋" w:cs="Times New Roman"/>
          <w:color w:val="auto"/>
          <w:highlight w:val="none"/>
        </w:rPr>
      </w:pPr>
      <w:r>
        <w:rPr>
          <w:rFonts w:ascii="仿宋" w:hAnsi="仿宋"/>
          <w:color w:val="auto"/>
          <w:highlight w:val="none"/>
        </w:rPr>
        <w:t>4</w:t>
      </w:r>
      <w:r>
        <w:rPr>
          <w:rFonts w:hint="eastAsia" w:ascii="仿宋" w:hAnsi="仿宋" w:cs="华文仿宋"/>
          <w:color w:val="auto"/>
          <w:highlight w:val="none"/>
        </w:rPr>
        <w:t>、我方</w:t>
      </w:r>
      <w:r>
        <w:rPr>
          <w:rFonts w:ascii="仿宋" w:hAnsi="仿宋"/>
          <w:color w:val="auto"/>
          <w:highlight w:val="none"/>
        </w:rPr>
        <w:t>______</w:t>
      </w:r>
      <w:r>
        <w:rPr>
          <w:rFonts w:hint="eastAsia" w:ascii="仿宋" w:hAnsi="仿宋" w:cs="华文仿宋"/>
          <w:color w:val="auto"/>
          <w:highlight w:val="none"/>
        </w:rPr>
        <w:t>（填“未被列入”或“被列入”）政府采购严重违法失信行为记录名单。</w:t>
      </w:r>
    </w:p>
    <w:p w14:paraId="75D1D9EB">
      <w:pPr>
        <w:spacing w:line="500" w:lineRule="exact"/>
        <w:ind w:firstLine="566" w:firstLineChars="200"/>
        <w:rPr>
          <w:rFonts w:cs="Times New Roman"/>
          <w:color w:val="auto"/>
          <w:highlight w:val="none"/>
        </w:rPr>
      </w:pPr>
      <w:r>
        <w:rPr>
          <w:rFonts w:hint="eastAsia" w:cs="华文仿宋"/>
          <w:color w:val="auto"/>
          <w:highlight w:val="none"/>
        </w:rPr>
        <w:t>如有不实，我方将无条件地退出本项目的采购活动，并遵照《政府采购法》有关“提供虚假材料的规定”接受处罚。</w:t>
      </w:r>
    </w:p>
    <w:p w14:paraId="13E7C5FE">
      <w:pPr>
        <w:spacing w:line="500" w:lineRule="exact"/>
        <w:ind w:firstLine="566" w:firstLineChars="200"/>
        <w:rPr>
          <w:rFonts w:cs="Times New Roman"/>
          <w:color w:val="auto"/>
          <w:highlight w:val="none"/>
        </w:rPr>
      </w:pPr>
      <w:r>
        <w:rPr>
          <w:rFonts w:hint="eastAsia" w:cs="华文仿宋"/>
          <w:color w:val="auto"/>
          <w:highlight w:val="none"/>
        </w:rPr>
        <w:t>特此声明。</w:t>
      </w:r>
    </w:p>
    <w:p w14:paraId="749C6498">
      <w:pPr>
        <w:spacing w:line="500" w:lineRule="exact"/>
        <w:ind w:firstLine="4811" w:firstLineChars="17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14:paraId="6EAF4C36">
      <w:pPr>
        <w:spacing w:line="500" w:lineRule="exact"/>
        <w:ind w:firstLine="5094" w:firstLineChars="1800"/>
        <w:rPr>
          <w:rFonts w:cs="Times New Roman"/>
          <w:color w:val="auto"/>
          <w:highlight w:val="none"/>
        </w:rPr>
      </w:pPr>
      <w:r>
        <w:rPr>
          <w:rFonts w:hint="eastAsia" w:cs="华文仿宋"/>
          <w:color w:val="auto"/>
          <w:highlight w:val="none"/>
        </w:rPr>
        <w:t>日期：　　年　月　日</w:t>
      </w:r>
    </w:p>
    <w:p w14:paraId="6DF96A36">
      <w:pPr>
        <w:spacing w:line="500" w:lineRule="exact"/>
        <w:ind w:firstLine="426" w:firstLineChars="200"/>
        <w:rPr>
          <w:rFonts w:ascii="宋体" w:hAnsi="宋体" w:eastAsia="宋体" w:cs="Times New Roman"/>
          <w:color w:val="auto"/>
          <w:sz w:val="21"/>
          <w:szCs w:val="21"/>
          <w:highlight w:val="none"/>
        </w:rPr>
      </w:pPr>
    </w:p>
    <w:p w14:paraId="661ECDE8">
      <w:pPr>
        <w:pStyle w:val="23"/>
        <w:ind w:firstLine="213"/>
        <w:rPr>
          <w:color w:val="auto"/>
          <w:highlight w:val="none"/>
        </w:rPr>
      </w:pPr>
      <w:r>
        <w:rPr>
          <w:rFonts w:hint="eastAsia" w:ascii="宋体" w:hAnsi="宋体" w:eastAsia="宋体" w:cs="宋体"/>
          <w:color w:val="auto"/>
          <w:sz w:val="21"/>
          <w:szCs w:val="21"/>
          <w:highlight w:val="none"/>
        </w:rPr>
        <w:t>备注：项目不分标段的，第</w:t>
      </w:r>
      <w:r>
        <w:rPr>
          <w:rFonts w:ascii="宋体" w:hAnsi="宋体" w:eastAsia="宋体" w:cs="宋体"/>
          <w:color w:val="auto"/>
          <w:sz w:val="21"/>
          <w:szCs w:val="21"/>
          <w:highlight w:val="none"/>
        </w:rPr>
        <w:t>___</w:t>
      </w:r>
      <w:r>
        <w:rPr>
          <w:rFonts w:hint="eastAsia" w:ascii="宋体" w:hAnsi="宋体" w:eastAsia="宋体" w:cs="宋体"/>
          <w:color w:val="auto"/>
          <w:sz w:val="21"/>
          <w:szCs w:val="21"/>
          <w:highlight w:val="none"/>
        </w:rPr>
        <w:t>标段空白处填写“</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39BD72CC">
      <w:pPr>
        <w:pStyle w:val="23"/>
        <w:ind w:firstLine="183"/>
        <w:rPr>
          <w:color w:val="auto"/>
          <w:highlight w:val="none"/>
        </w:rPr>
      </w:pPr>
    </w:p>
    <w:p w14:paraId="40A2E6E9">
      <w:pPr>
        <w:pStyle w:val="23"/>
        <w:ind w:firstLine="183"/>
        <w:rPr>
          <w:color w:val="auto"/>
          <w:highlight w:val="none"/>
        </w:rPr>
      </w:pPr>
    </w:p>
    <w:p w14:paraId="21C49CC3">
      <w:pPr>
        <w:pStyle w:val="50"/>
        <w:outlineLvl w:val="9"/>
        <w:rPr>
          <w:rFonts w:cs="Times New Roman"/>
          <w:color w:val="auto"/>
          <w:sz w:val="28"/>
          <w:szCs w:val="28"/>
          <w:highlight w:val="none"/>
        </w:rPr>
      </w:pPr>
      <w:bookmarkStart w:id="455" w:name="_Toc9550"/>
      <w:bookmarkStart w:id="456" w:name="_Toc29757"/>
    </w:p>
    <w:p w14:paraId="208D3D11">
      <w:pPr>
        <w:pStyle w:val="46"/>
        <w:ind w:firstLine="0" w:firstLineChars="0"/>
        <w:rPr>
          <w:rFonts w:cs="Times New Roman"/>
          <w:color w:val="auto"/>
          <w:highlight w:val="none"/>
        </w:rPr>
      </w:pPr>
    </w:p>
    <w:p w14:paraId="669F1403">
      <w:pPr>
        <w:pStyle w:val="46"/>
        <w:rPr>
          <w:rFonts w:cs="Times New Roman"/>
          <w:color w:val="auto"/>
          <w:highlight w:val="none"/>
        </w:rPr>
      </w:pPr>
    </w:p>
    <w:p w14:paraId="42300156">
      <w:pPr>
        <w:pStyle w:val="46"/>
        <w:ind w:firstLine="0" w:firstLineChars="0"/>
        <w:rPr>
          <w:rFonts w:cs="Times New Roman"/>
          <w:color w:val="auto"/>
          <w:highlight w:val="none"/>
        </w:rPr>
      </w:pPr>
    </w:p>
    <w:p w14:paraId="61E54BD5">
      <w:pPr>
        <w:pStyle w:val="46"/>
        <w:ind w:firstLine="0" w:firstLineChars="0"/>
        <w:rPr>
          <w:rFonts w:cs="Times New Roman"/>
          <w:color w:val="auto"/>
          <w:highlight w:val="none"/>
        </w:rPr>
      </w:pPr>
    </w:p>
    <w:p w14:paraId="4705F1AC">
      <w:pPr>
        <w:pStyle w:val="46"/>
        <w:ind w:firstLine="0" w:firstLineChars="0"/>
        <w:rPr>
          <w:rFonts w:cs="Times New Roman"/>
          <w:color w:val="auto"/>
          <w:highlight w:val="none"/>
        </w:rPr>
      </w:pPr>
    </w:p>
    <w:p w14:paraId="214E553C">
      <w:pPr>
        <w:pStyle w:val="46"/>
        <w:ind w:firstLine="0" w:firstLineChars="0"/>
        <w:rPr>
          <w:rFonts w:cs="Times New Roman"/>
          <w:color w:val="auto"/>
          <w:highlight w:val="none"/>
        </w:rPr>
      </w:pPr>
    </w:p>
    <w:p w14:paraId="29B56AF4">
      <w:pPr>
        <w:pStyle w:val="46"/>
        <w:ind w:firstLine="0" w:firstLineChars="0"/>
        <w:rPr>
          <w:rFonts w:cs="Times New Roman"/>
          <w:color w:val="auto"/>
          <w:highlight w:val="none"/>
        </w:rPr>
      </w:pPr>
    </w:p>
    <w:p w14:paraId="4CB40191">
      <w:pPr>
        <w:pStyle w:val="46"/>
        <w:ind w:firstLine="0" w:firstLineChars="0"/>
        <w:rPr>
          <w:rFonts w:cs="Times New Roman"/>
          <w:color w:val="auto"/>
          <w:highlight w:val="none"/>
        </w:rPr>
      </w:pPr>
    </w:p>
    <w:p w14:paraId="192141A8">
      <w:pPr>
        <w:pStyle w:val="46"/>
        <w:ind w:firstLine="0" w:firstLineChars="0"/>
        <w:rPr>
          <w:rFonts w:cs="Times New Roman"/>
          <w:color w:val="auto"/>
          <w:highlight w:val="none"/>
        </w:rPr>
      </w:pPr>
    </w:p>
    <w:p w14:paraId="71522617">
      <w:pPr>
        <w:pStyle w:val="46"/>
        <w:ind w:firstLine="0" w:firstLineChars="0"/>
        <w:rPr>
          <w:rFonts w:cs="Times New Roman"/>
          <w:color w:val="auto"/>
          <w:highlight w:val="none"/>
        </w:rPr>
      </w:pPr>
    </w:p>
    <w:p w14:paraId="4AD2E698">
      <w:pPr>
        <w:pStyle w:val="46"/>
        <w:ind w:firstLine="0" w:firstLineChars="0"/>
        <w:rPr>
          <w:rFonts w:cs="Times New Roman"/>
          <w:color w:val="auto"/>
          <w:highlight w:val="none"/>
        </w:rPr>
      </w:pPr>
    </w:p>
    <w:p w14:paraId="189BFA33">
      <w:pPr>
        <w:pStyle w:val="46"/>
        <w:ind w:firstLine="0" w:firstLineChars="0"/>
        <w:rPr>
          <w:rFonts w:cs="Times New Roman"/>
          <w:color w:val="auto"/>
          <w:highlight w:val="none"/>
        </w:rPr>
      </w:pPr>
    </w:p>
    <w:p w14:paraId="4D82D3D7">
      <w:pPr>
        <w:pStyle w:val="46"/>
        <w:ind w:firstLine="0" w:firstLineChars="0"/>
        <w:rPr>
          <w:rFonts w:cs="Times New Roman"/>
          <w:color w:val="auto"/>
          <w:highlight w:val="none"/>
        </w:rPr>
      </w:pPr>
    </w:p>
    <w:p w14:paraId="00B6D5A0">
      <w:pPr>
        <w:pStyle w:val="46"/>
        <w:ind w:firstLine="0" w:firstLineChars="0"/>
        <w:rPr>
          <w:rFonts w:cs="Times New Roman"/>
          <w:color w:val="auto"/>
          <w:highlight w:val="none"/>
        </w:rPr>
      </w:pPr>
    </w:p>
    <w:p w14:paraId="2780F38D">
      <w:pPr>
        <w:pStyle w:val="46"/>
        <w:ind w:firstLine="0" w:firstLineChars="0"/>
        <w:rPr>
          <w:rFonts w:cs="Times New Roman"/>
          <w:color w:val="auto"/>
          <w:highlight w:val="none"/>
        </w:rPr>
      </w:pPr>
    </w:p>
    <w:p w14:paraId="2B41573A">
      <w:pPr>
        <w:pStyle w:val="46"/>
        <w:ind w:firstLine="0" w:firstLineChars="0"/>
        <w:rPr>
          <w:rFonts w:cs="Times New Roman"/>
          <w:color w:val="auto"/>
          <w:highlight w:val="none"/>
        </w:rPr>
      </w:pPr>
    </w:p>
    <w:p w14:paraId="3B31BD63">
      <w:pPr>
        <w:pStyle w:val="46"/>
        <w:ind w:firstLine="0" w:firstLineChars="0"/>
        <w:rPr>
          <w:rFonts w:cs="Times New Roman"/>
          <w:color w:val="auto"/>
          <w:highlight w:val="none"/>
        </w:rPr>
      </w:pPr>
    </w:p>
    <w:p w14:paraId="5D26584D">
      <w:pPr>
        <w:pStyle w:val="46"/>
        <w:ind w:firstLine="0" w:firstLineChars="0"/>
        <w:rPr>
          <w:rFonts w:cs="Times New Roman"/>
          <w:color w:val="auto"/>
          <w:highlight w:val="none"/>
        </w:rPr>
      </w:pPr>
    </w:p>
    <w:p w14:paraId="6AD2F027">
      <w:pPr>
        <w:pStyle w:val="46"/>
        <w:ind w:firstLine="0" w:firstLineChars="0"/>
        <w:rPr>
          <w:rFonts w:cs="Times New Roman"/>
          <w:color w:val="auto"/>
          <w:highlight w:val="none"/>
        </w:rPr>
      </w:pPr>
    </w:p>
    <w:p w14:paraId="2CD4CAFB">
      <w:pPr>
        <w:pStyle w:val="46"/>
        <w:ind w:firstLine="0" w:firstLineChars="0"/>
        <w:rPr>
          <w:rFonts w:cs="Times New Roman"/>
          <w:color w:val="auto"/>
          <w:highlight w:val="none"/>
        </w:rPr>
      </w:pPr>
    </w:p>
    <w:p w14:paraId="6652DCC4">
      <w:pPr>
        <w:pStyle w:val="46"/>
        <w:ind w:firstLine="0" w:firstLineChars="0"/>
        <w:rPr>
          <w:rFonts w:cs="Times New Roman"/>
          <w:color w:val="auto"/>
          <w:highlight w:val="none"/>
        </w:rPr>
      </w:pPr>
    </w:p>
    <w:p w14:paraId="7F1D36D7">
      <w:pPr>
        <w:pStyle w:val="23"/>
        <w:numPr>
          <w:ilvl w:val="0"/>
          <w:numId w:val="0"/>
        </w:numPr>
        <w:spacing w:line="500" w:lineRule="exact"/>
        <w:ind w:firstLine="606" w:firstLineChars="200"/>
        <w:outlineLvl w:val="1"/>
        <w:rPr>
          <w:rFonts w:ascii="仿宋" w:hAnsi="仿宋" w:eastAsia="仿宋" w:cs="仿宋"/>
          <w:b/>
          <w:bCs/>
          <w:color w:val="auto"/>
          <w:sz w:val="30"/>
          <w:szCs w:val="30"/>
          <w:highlight w:val="none"/>
        </w:rPr>
      </w:pPr>
      <w:bookmarkStart w:id="457" w:name="_Toc5613"/>
      <w:bookmarkStart w:id="458" w:name="_Toc3475"/>
      <w:bookmarkStart w:id="459" w:name="_Toc10960"/>
      <w:bookmarkStart w:id="460" w:name="_Toc24508"/>
      <w:bookmarkStart w:id="461" w:name="_Toc14054"/>
      <w:bookmarkStart w:id="462" w:name="_Toc6319"/>
      <w:bookmarkStart w:id="463" w:name="_Toc14266"/>
      <w:bookmarkStart w:id="464" w:name="_Toc27767"/>
      <w:bookmarkStart w:id="465" w:name="_Toc28599"/>
      <w:bookmarkStart w:id="466" w:name="_Toc13686"/>
      <w:r>
        <w:rPr>
          <w:rFonts w:hint="eastAsia" w:ascii="仿宋" w:hAnsi="仿宋" w:eastAsia="仿宋" w:cs="仿宋"/>
          <w:b/>
          <w:bCs/>
          <w:color w:val="auto"/>
          <w:kern w:val="2"/>
          <w:sz w:val="30"/>
          <w:szCs w:val="30"/>
          <w:highlight w:val="none"/>
          <w:lang w:val="en-US" w:eastAsia="zh-CN" w:bidi="ar-SA"/>
        </w:rPr>
        <w:t>六、</w:t>
      </w:r>
      <w:r>
        <w:rPr>
          <w:rFonts w:hint="eastAsia" w:ascii="仿宋" w:hAnsi="仿宋" w:eastAsia="仿宋" w:cs="仿宋"/>
          <w:b/>
          <w:bCs/>
          <w:color w:val="auto"/>
          <w:sz w:val="30"/>
          <w:szCs w:val="30"/>
          <w:highlight w:val="none"/>
        </w:rPr>
        <w:t>控股管理关系</w:t>
      </w:r>
      <w:bookmarkEnd w:id="457"/>
      <w:bookmarkEnd w:id="458"/>
      <w:bookmarkEnd w:id="459"/>
      <w:bookmarkEnd w:id="460"/>
      <w:bookmarkEnd w:id="461"/>
      <w:bookmarkEnd w:id="462"/>
      <w:bookmarkEnd w:id="463"/>
    </w:p>
    <w:p w14:paraId="0A1D2327">
      <w:pPr>
        <w:pStyle w:val="23"/>
        <w:spacing w:line="500" w:lineRule="exact"/>
        <w:ind w:firstLine="606" w:firstLineChars="200"/>
        <w:outlineLvl w:val="9"/>
        <w:rPr>
          <w:rFonts w:ascii="仿宋" w:hAnsi="仿宋" w:eastAsia="仿宋" w:cs="仿宋"/>
          <w:b/>
          <w:bCs/>
          <w:color w:val="auto"/>
          <w:sz w:val="30"/>
          <w:szCs w:val="30"/>
          <w:highlight w:val="none"/>
        </w:rPr>
      </w:pPr>
      <w:bookmarkStart w:id="467" w:name="_Toc31826"/>
      <w:bookmarkStart w:id="468" w:name="_Toc23765"/>
      <w:bookmarkStart w:id="469" w:name="_Toc15773"/>
      <w:bookmarkStart w:id="470" w:name="_Toc7884"/>
      <w:bookmarkStart w:id="471" w:name="_Toc12007"/>
      <w:bookmarkStart w:id="472" w:name="_Toc28160"/>
      <w:bookmarkStart w:id="473" w:name="_Toc25983"/>
      <w:r>
        <w:rPr>
          <w:rFonts w:hint="eastAsia" w:ascii="仿宋" w:hAnsi="仿宋" w:eastAsia="仿宋" w:cs="仿宋"/>
          <w:b/>
          <w:bCs/>
          <w:color w:val="auto"/>
          <w:sz w:val="30"/>
          <w:szCs w:val="30"/>
          <w:highlight w:val="none"/>
        </w:rPr>
        <w:t>投标人提供直接控股和管理关系清单。</w:t>
      </w:r>
      <w:bookmarkEnd w:id="467"/>
      <w:bookmarkEnd w:id="468"/>
      <w:bookmarkEnd w:id="469"/>
      <w:bookmarkEnd w:id="470"/>
      <w:bookmarkEnd w:id="471"/>
      <w:bookmarkEnd w:id="472"/>
      <w:bookmarkEnd w:id="473"/>
    </w:p>
    <w:p w14:paraId="47706350">
      <w:pPr>
        <w:pStyle w:val="23"/>
        <w:spacing w:line="500" w:lineRule="exact"/>
        <w:ind w:firstLine="0" w:firstLineChars="0"/>
        <w:jc w:val="center"/>
        <w:rPr>
          <w:rFonts w:ascii="仿宋" w:hAnsi="仿宋" w:eastAsia="仿宋" w:cs="仿宋"/>
          <w:b/>
          <w:bCs/>
          <w:color w:val="auto"/>
          <w:sz w:val="30"/>
          <w:szCs w:val="30"/>
          <w:highlight w:val="none"/>
        </w:rPr>
      </w:pPr>
      <w:bookmarkStart w:id="474" w:name="_Toc21260"/>
      <w:bookmarkStart w:id="475" w:name="_Toc952"/>
      <w:bookmarkStart w:id="476" w:name="_Toc26760"/>
      <w:bookmarkStart w:id="477" w:name="_Toc15131"/>
      <w:bookmarkStart w:id="478" w:name="_Toc22023"/>
      <w:bookmarkStart w:id="479" w:name="_Toc27526"/>
      <w:bookmarkStart w:id="480" w:name="_Toc27988"/>
      <w:bookmarkStart w:id="481" w:name="_Toc12979"/>
      <w:bookmarkStart w:id="482" w:name="_Toc10651"/>
      <w:r>
        <w:rPr>
          <w:rFonts w:hint="eastAsia" w:ascii="仿宋" w:hAnsi="仿宋" w:eastAsia="仿宋" w:cs="仿宋"/>
          <w:b/>
          <w:bCs/>
          <w:color w:val="auto"/>
          <w:sz w:val="30"/>
          <w:szCs w:val="30"/>
          <w:highlight w:val="none"/>
        </w:rPr>
        <w:t>控股管理关系（</w:t>
      </w:r>
      <w:r>
        <w:rPr>
          <w:rFonts w:hint="eastAsia" w:ascii="仿宋" w:hAnsi="仿宋" w:eastAsia="仿宋" w:cs="仿宋"/>
          <w:b/>
          <w:bCs/>
          <w:color w:val="auto"/>
          <w:sz w:val="30"/>
          <w:szCs w:val="30"/>
          <w:highlight w:val="none"/>
          <w:lang w:val="en-US" w:eastAsia="zh-CN"/>
        </w:rPr>
        <w:t>格式</w:t>
      </w:r>
      <w:r>
        <w:rPr>
          <w:rFonts w:hint="eastAsia" w:ascii="仿宋" w:hAnsi="仿宋" w:eastAsia="仿宋" w:cs="仿宋"/>
          <w:b/>
          <w:bCs/>
          <w:color w:val="auto"/>
          <w:sz w:val="30"/>
          <w:szCs w:val="30"/>
          <w:highlight w:val="none"/>
        </w:rPr>
        <w:t>）</w:t>
      </w:r>
      <w:bookmarkEnd w:id="474"/>
      <w:bookmarkEnd w:id="475"/>
      <w:bookmarkEnd w:id="476"/>
    </w:p>
    <w:p w14:paraId="32E06257">
      <w:pPr>
        <w:spacing w:line="500" w:lineRule="exact"/>
        <w:rPr>
          <w:rFonts w:ascii="仿宋" w:hAnsi="仿宋" w:eastAsia="仿宋" w:cs="仿宋"/>
          <w:color w:val="auto"/>
          <w:highlight w:val="none"/>
        </w:rPr>
      </w:pPr>
      <w:r>
        <w:rPr>
          <w:rFonts w:hint="eastAsia" w:ascii="仿宋" w:hAnsi="仿宋" w:eastAsia="仿宋" w:cs="仿宋"/>
          <w:color w:val="auto"/>
          <w:highlight w:val="none"/>
        </w:rPr>
        <w:t>陕西省省级单位政府采购中心：</w:t>
      </w:r>
    </w:p>
    <w:p w14:paraId="012D0861">
      <w:pPr>
        <w:spacing w:line="500" w:lineRule="exact"/>
        <w:ind w:firstLine="566" w:firstLineChars="200"/>
        <w:rPr>
          <w:rFonts w:ascii="仿宋" w:hAnsi="仿宋" w:eastAsia="仿宋" w:cs="仿宋"/>
          <w:b/>
          <w:bCs/>
          <w:color w:val="auto"/>
          <w:sz w:val="30"/>
          <w:szCs w:val="30"/>
          <w:highlight w:val="none"/>
        </w:rPr>
      </w:pPr>
      <w:r>
        <w:rPr>
          <w:rFonts w:hint="eastAsia" w:ascii="仿宋" w:hAnsi="仿宋" w:eastAsia="仿宋" w:cs="仿宋"/>
          <w:color w:val="auto"/>
          <w:highlight w:val="none"/>
        </w:rPr>
        <w:t>我方与以下投标人存在直接控股、管理关系：</w:t>
      </w:r>
    </w:p>
    <w:tbl>
      <w:tblPr>
        <w:tblStyle w:val="25"/>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14:paraId="54CFA5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noWrap w:val="0"/>
            <w:vAlign w:val="center"/>
          </w:tcPr>
          <w:p w14:paraId="437385D3">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存在直接控股、管理关系的相关投标人</w:t>
            </w:r>
          </w:p>
        </w:tc>
      </w:tr>
      <w:tr w14:paraId="3E2B10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516FD18E">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2855" w:type="dxa"/>
            <w:tcBorders>
              <w:right w:val="single" w:color="auto" w:sz="4" w:space="0"/>
            </w:tcBorders>
            <w:noWrap w:val="0"/>
            <w:vAlign w:val="center"/>
          </w:tcPr>
          <w:p w14:paraId="237E81D4">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直接控股股东名称及出资比例</w:t>
            </w:r>
          </w:p>
        </w:tc>
        <w:tc>
          <w:tcPr>
            <w:tcW w:w="2646" w:type="dxa"/>
            <w:tcBorders>
              <w:left w:val="single" w:color="auto" w:sz="4" w:space="0"/>
              <w:right w:val="single" w:color="auto" w:sz="4" w:space="0"/>
            </w:tcBorders>
            <w:noWrap w:val="0"/>
            <w:vAlign w:val="center"/>
          </w:tcPr>
          <w:p w14:paraId="6BDEC8E1">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直接管理关系单位</w:t>
            </w:r>
          </w:p>
          <w:p w14:paraId="3358B40F">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名称</w:t>
            </w:r>
          </w:p>
        </w:tc>
        <w:tc>
          <w:tcPr>
            <w:tcW w:w="1993" w:type="dxa"/>
            <w:tcBorders>
              <w:left w:val="single" w:color="auto" w:sz="4" w:space="0"/>
              <w:right w:val="single" w:color="auto" w:sz="12" w:space="0"/>
            </w:tcBorders>
            <w:noWrap w:val="0"/>
            <w:vAlign w:val="center"/>
          </w:tcPr>
          <w:p w14:paraId="710B1316">
            <w:pPr>
              <w:autoSpaceDE w:val="0"/>
              <w:autoSpaceDN w:val="0"/>
              <w:adjustRightInd w:val="0"/>
              <w:spacing w:line="320" w:lineRule="exact"/>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备注</w:t>
            </w:r>
          </w:p>
        </w:tc>
      </w:tr>
      <w:tr w14:paraId="6AB830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08DDF9DD">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2855" w:type="dxa"/>
            <w:tcBorders>
              <w:right w:val="single" w:color="auto" w:sz="4" w:space="0"/>
            </w:tcBorders>
            <w:noWrap w:val="0"/>
            <w:vAlign w:val="center"/>
          </w:tcPr>
          <w:p w14:paraId="168F8C59">
            <w:pPr>
              <w:autoSpaceDE w:val="0"/>
              <w:autoSpaceDN w:val="0"/>
              <w:adjustRightInd w:val="0"/>
              <w:spacing w:line="320" w:lineRule="exact"/>
              <w:rPr>
                <w:rFonts w:ascii="仿宋" w:hAnsi="仿宋" w:eastAsia="仿宋" w:cs="仿宋"/>
                <w:bCs/>
                <w:color w:val="auto"/>
                <w:kern w:val="0"/>
                <w:sz w:val="24"/>
                <w:szCs w:val="24"/>
                <w:highlight w:val="none"/>
              </w:rPr>
            </w:pPr>
          </w:p>
        </w:tc>
        <w:tc>
          <w:tcPr>
            <w:tcW w:w="2646" w:type="dxa"/>
            <w:tcBorders>
              <w:left w:val="single" w:color="auto" w:sz="4" w:space="0"/>
              <w:right w:val="single" w:color="auto" w:sz="4" w:space="0"/>
            </w:tcBorders>
            <w:noWrap w:val="0"/>
            <w:vAlign w:val="center"/>
          </w:tcPr>
          <w:p w14:paraId="7E9CEA36">
            <w:pPr>
              <w:autoSpaceDE w:val="0"/>
              <w:autoSpaceDN w:val="0"/>
              <w:adjustRightInd w:val="0"/>
              <w:spacing w:line="320" w:lineRule="exact"/>
              <w:rPr>
                <w:rFonts w:ascii="仿宋" w:hAnsi="仿宋" w:eastAsia="仿宋" w:cs="仿宋"/>
                <w:bCs/>
                <w:color w:val="auto"/>
                <w:kern w:val="0"/>
                <w:sz w:val="24"/>
                <w:szCs w:val="24"/>
                <w:highlight w:val="none"/>
              </w:rPr>
            </w:pPr>
          </w:p>
        </w:tc>
        <w:tc>
          <w:tcPr>
            <w:tcW w:w="1993" w:type="dxa"/>
            <w:tcBorders>
              <w:left w:val="single" w:color="auto" w:sz="4" w:space="0"/>
              <w:right w:val="single" w:color="auto" w:sz="12" w:space="0"/>
            </w:tcBorders>
            <w:noWrap w:val="0"/>
            <w:vAlign w:val="center"/>
          </w:tcPr>
          <w:p w14:paraId="3D6BD806">
            <w:pPr>
              <w:autoSpaceDE w:val="0"/>
              <w:autoSpaceDN w:val="0"/>
              <w:adjustRightInd w:val="0"/>
              <w:spacing w:line="320" w:lineRule="exact"/>
              <w:rPr>
                <w:rFonts w:ascii="仿宋" w:hAnsi="仿宋" w:eastAsia="仿宋" w:cs="仿宋"/>
                <w:bCs/>
                <w:color w:val="auto"/>
                <w:kern w:val="0"/>
                <w:sz w:val="24"/>
                <w:szCs w:val="24"/>
                <w:highlight w:val="none"/>
              </w:rPr>
            </w:pPr>
          </w:p>
        </w:tc>
      </w:tr>
      <w:tr w14:paraId="7FFF64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5B6CAEDE">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2855" w:type="dxa"/>
            <w:tcBorders>
              <w:right w:val="single" w:color="auto" w:sz="4" w:space="0"/>
            </w:tcBorders>
            <w:noWrap w:val="0"/>
            <w:vAlign w:val="center"/>
          </w:tcPr>
          <w:p w14:paraId="179958C6">
            <w:pPr>
              <w:autoSpaceDE w:val="0"/>
              <w:autoSpaceDN w:val="0"/>
              <w:adjustRightInd w:val="0"/>
              <w:spacing w:line="320" w:lineRule="exact"/>
              <w:rPr>
                <w:rFonts w:ascii="仿宋" w:hAnsi="仿宋" w:eastAsia="仿宋" w:cs="仿宋"/>
                <w:bCs/>
                <w:color w:val="auto"/>
                <w:kern w:val="0"/>
                <w:sz w:val="24"/>
                <w:szCs w:val="24"/>
                <w:highlight w:val="none"/>
              </w:rPr>
            </w:pPr>
          </w:p>
        </w:tc>
        <w:tc>
          <w:tcPr>
            <w:tcW w:w="2646" w:type="dxa"/>
            <w:tcBorders>
              <w:left w:val="single" w:color="auto" w:sz="4" w:space="0"/>
              <w:right w:val="single" w:color="auto" w:sz="4" w:space="0"/>
            </w:tcBorders>
            <w:noWrap w:val="0"/>
            <w:vAlign w:val="center"/>
          </w:tcPr>
          <w:p w14:paraId="3D956127">
            <w:pPr>
              <w:autoSpaceDE w:val="0"/>
              <w:autoSpaceDN w:val="0"/>
              <w:adjustRightInd w:val="0"/>
              <w:spacing w:line="320" w:lineRule="exact"/>
              <w:rPr>
                <w:rFonts w:ascii="仿宋" w:hAnsi="仿宋" w:eastAsia="仿宋" w:cs="仿宋"/>
                <w:bCs/>
                <w:color w:val="auto"/>
                <w:kern w:val="0"/>
                <w:sz w:val="24"/>
                <w:szCs w:val="24"/>
                <w:highlight w:val="none"/>
              </w:rPr>
            </w:pPr>
          </w:p>
        </w:tc>
        <w:tc>
          <w:tcPr>
            <w:tcW w:w="1993" w:type="dxa"/>
            <w:tcBorders>
              <w:left w:val="single" w:color="auto" w:sz="4" w:space="0"/>
              <w:right w:val="single" w:color="auto" w:sz="12" w:space="0"/>
            </w:tcBorders>
            <w:noWrap w:val="0"/>
            <w:vAlign w:val="center"/>
          </w:tcPr>
          <w:p w14:paraId="56E27631">
            <w:pPr>
              <w:autoSpaceDE w:val="0"/>
              <w:autoSpaceDN w:val="0"/>
              <w:adjustRightInd w:val="0"/>
              <w:spacing w:line="320" w:lineRule="exact"/>
              <w:rPr>
                <w:rFonts w:ascii="仿宋" w:hAnsi="仿宋" w:eastAsia="仿宋" w:cs="仿宋"/>
                <w:bCs/>
                <w:color w:val="auto"/>
                <w:kern w:val="0"/>
                <w:sz w:val="24"/>
                <w:szCs w:val="24"/>
                <w:highlight w:val="none"/>
              </w:rPr>
            </w:pPr>
          </w:p>
        </w:tc>
      </w:tr>
      <w:tr w14:paraId="37A29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2ABA301D">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2855" w:type="dxa"/>
            <w:tcBorders>
              <w:right w:val="single" w:color="auto" w:sz="4" w:space="0"/>
            </w:tcBorders>
            <w:noWrap w:val="0"/>
            <w:vAlign w:val="center"/>
          </w:tcPr>
          <w:p w14:paraId="3A3011BC">
            <w:pPr>
              <w:autoSpaceDE w:val="0"/>
              <w:autoSpaceDN w:val="0"/>
              <w:adjustRightInd w:val="0"/>
              <w:spacing w:line="320" w:lineRule="exact"/>
              <w:rPr>
                <w:rFonts w:ascii="仿宋" w:hAnsi="仿宋" w:eastAsia="仿宋" w:cs="仿宋"/>
                <w:bCs/>
                <w:color w:val="auto"/>
                <w:kern w:val="0"/>
                <w:sz w:val="24"/>
                <w:szCs w:val="24"/>
                <w:highlight w:val="none"/>
              </w:rPr>
            </w:pPr>
          </w:p>
        </w:tc>
        <w:tc>
          <w:tcPr>
            <w:tcW w:w="2646" w:type="dxa"/>
            <w:tcBorders>
              <w:left w:val="single" w:color="auto" w:sz="4" w:space="0"/>
              <w:right w:val="single" w:color="auto" w:sz="4" w:space="0"/>
            </w:tcBorders>
            <w:noWrap w:val="0"/>
            <w:vAlign w:val="center"/>
          </w:tcPr>
          <w:p w14:paraId="2FC5E19B">
            <w:pPr>
              <w:autoSpaceDE w:val="0"/>
              <w:autoSpaceDN w:val="0"/>
              <w:adjustRightInd w:val="0"/>
              <w:spacing w:line="320" w:lineRule="exact"/>
              <w:rPr>
                <w:rFonts w:ascii="仿宋" w:hAnsi="仿宋" w:eastAsia="仿宋" w:cs="仿宋"/>
                <w:bCs/>
                <w:color w:val="auto"/>
                <w:kern w:val="0"/>
                <w:sz w:val="24"/>
                <w:szCs w:val="24"/>
                <w:highlight w:val="none"/>
              </w:rPr>
            </w:pPr>
          </w:p>
        </w:tc>
        <w:tc>
          <w:tcPr>
            <w:tcW w:w="1993" w:type="dxa"/>
            <w:tcBorders>
              <w:left w:val="single" w:color="auto" w:sz="4" w:space="0"/>
              <w:right w:val="single" w:color="auto" w:sz="12" w:space="0"/>
            </w:tcBorders>
            <w:noWrap w:val="0"/>
            <w:vAlign w:val="center"/>
          </w:tcPr>
          <w:p w14:paraId="22BC86A6">
            <w:pPr>
              <w:autoSpaceDE w:val="0"/>
              <w:autoSpaceDN w:val="0"/>
              <w:adjustRightInd w:val="0"/>
              <w:spacing w:line="320" w:lineRule="exact"/>
              <w:rPr>
                <w:rFonts w:ascii="仿宋" w:hAnsi="仿宋" w:eastAsia="仿宋" w:cs="仿宋"/>
                <w:bCs/>
                <w:color w:val="auto"/>
                <w:kern w:val="0"/>
                <w:sz w:val="24"/>
                <w:szCs w:val="24"/>
                <w:highlight w:val="none"/>
              </w:rPr>
            </w:pPr>
          </w:p>
        </w:tc>
      </w:tr>
      <w:tr w14:paraId="39294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14:paraId="4146D0BC">
            <w:pPr>
              <w:autoSpaceDE w:val="0"/>
              <w:autoSpaceDN w:val="0"/>
              <w:adjustRightInd w:val="0"/>
              <w:spacing w:line="320" w:lineRule="exact"/>
              <w:jc w:val="center"/>
              <w:rPr>
                <w:rFonts w:ascii="仿宋" w:hAnsi="仿宋" w:eastAsia="仿宋" w:cs="仿宋"/>
                <w:color w:val="auto"/>
                <w:kern w:val="0"/>
                <w:sz w:val="24"/>
                <w:szCs w:val="24"/>
                <w:highlight w:val="none"/>
              </w:rPr>
            </w:pPr>
            <w:r>
              <w:rPr>
                <w:rFonts w:hint="eastAsia" w:ascii="宋体" w:hAnsi="宋体" w:cs="宋体"/>
                <w:color w:val="auto"/>
                <w:kern w:val="0"/>
                <w:sz w:val="24"/>
                <w:highlight w:val="none"/>
              </w:rPr>
              <w:t>……</w:t>
            </w:r>
          </w:p>
        </w:tc>
        <w:tc>
          <w:tcPr>
            <w:tcW w:w="2855" w:type="dxa"/>
            <w:tcBorders>
              <w:right w:val="single" w:color="auto" w:sz="4" w:space="0"/>
            </w:tcBorders>
            <w:noWrap w:val="0"/>
            <w:vAlign w:val="center"/>
          </w:tcPr>
          <w:p w14:paraId="78C60C8E">
            <w:pPr>
              <w:autoSpaceDE w:val="0"/>
              <w:autoSpaceDN w:val="0"/>
              <w:adjustRightInd w:val="0"/>
              <w:spacing w:line="320" w:lineRule="exact"/>
              <w:rPr>
                <w:rFonts w:ascii="仿宋" w:hAnsi="仿宋" w:eastAsia="仿宋" w:cs="仿宋"/>
                <w:bCs/>
                <w:color w:val="auto"/>
                <w:kern w:val="0"/>
                <w:sz w:val="24"/>
                <w:szCs w:val="24"/>
                <w:highlight w:val="none"/>
              </w:rPr>
            </w:pPr>
          </w:p>
        </w:tc>
        <w:tc>
          <w:tcPr>
            <w:tcW w:w="2646" w:type="dxa"/>
            <w:tcBorders>
              <w:left w:val="single" w:color="auto" w:sz="4" w:space="0"/>
              <w:right w:val="single" w:color="auto" w:sz="4" w:space="0"/>
            </w:tcBorders>
            <w:noWrap w:val="0"/>
            <w:vAlign w:val="center"/>
          </w:tcPr>
          <w:p w14:paraId="40D1D402">
            <w:pPr>
              <w:autoSpaceDE w:val="0"/>
              <w:autoSpaceDN w:val="0"/>
              <w:adjustRightInd w:val="0"/>
              <w:spacing w:line="320" w:lineRule="exact"/>
              <w:rPr>
                <w:rFonts w:ascii="仿宋" w:hAnsi="仿宋" w:eastAsia="仿宋" w:cs="仿宋"/>
                <w:bCs/>
                <w:color w:val="auto"/>
                <w:kern w:val="0"/>
                <w:sz w:val="24"/>
                <w:szCs w:val="24"/>
                <w:highlight w:val="none"/>
              </w:rPr>
            </w:pPr>
          </w:p>
        </w:tc>
        <w:tc>
          <w:tcPr>
            <w:tcW w:w="1993" w:type="dxa"/>
            <w:tcBorders>
              <w:left w:val="single" w:color="auto" w:sz="4" w:space="0"/>
              <w:right w:val="single" w:color="auto" w:sz="12" w:space="0"/>
            </w:tcBorders>
            <w:noWrap w:val="0"/>
            <w:vAlign w:val="center"/>
          </w:tcPr>
          <w:p w14:paraId="7D63EB49">
            <w:pPr>
              <w:autoSpaceDE w:val="0"/>
              <w:autoSpaceDN w:val="0"/>
              <w:adjustRightInd w:val="0"/>
              <w:spacing w:line="320" w:lineRule="exact"/>
              <w:rPr>
                <w:rFonts w:ascii="仿宋" w:hAnsi="仿宋" w:eastAsia="仿宋" w:cs="仿宋"/>
                <w:bCs/>
                <w:color w:val="auto"/>
                <w:kern w:val="0"/>
                <w:sz w:val="24"/>
                <w:szCs w:val="24"/>
                <w:highlight w:val="none"/>
              </w:rPr>
            </w:pPr>
          </w:p>
        </w:tc>
      </w:tr>
    </w:tbl>
    <w:p w14:paraId="52D06F6E">
      <w:pPr>
        <w:spacing w:line="500" w:lineRule="exact"/>
        <w:ind w:firstLine="4528" w:firstLineChars="1600"/>
        <w:rPr>
          <w:rFonts w:ascii="仿宋" w:hAnsi="仿宋" w:eastAsia="仿宋" w:cs="仿宋"/>
          <w:color w:val="auto"/>
          <w:highlight w:val="none"/>
        </w:rPr>
      </w:pPr>
    </w:p>
    <w:p w14:paraId="7BC78F20">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 xml:space="preserve">投标人： </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（加盖公章）</w:t>
      </w:r>
    </w:p>
    <w:p w14:paraId="506F97AB">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日期：  年  月  日</w:t>
      </w:r>
    </w:p>
    <w:p w14:paraId="4EA7B2F7">
      <w:pPr>
        <w:pStyle w:val="6"/>
        <w:rPr>
          <w:rFonts w:ascii="仿宋" w:hAnsi="仿宋" w:eastAsia="仿宋" w:cs="仿宋"/>
          <w:color w:val="auto"/>
          <w:highlight w:val="none"/>
        </w:rPr>
      </w:pPr>
    </w:p>
    <w:p w14:paraId="53613D08">
      <w:pPr>
        <w:pStyle w:val="23"/>
        <w:wordWrap w:val="0"/>
        <w:spacing w:line="5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DEBB795">
      <w:pPr>
        <w:pStyle w:val="23"/>
        <w:numPr>
          <w:ilvl w:val="0"/>
          <w:numId w:val="0"/>
        </w:numPr>
        <w:wordWrap w:val="0"/>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4954764">
      <w:pPr>
        <w:pStyle w:val="23"/>
        <w:numPr>
          <w:ilvl w:val="0"/>
          <w:numId w:val="0"/>
        </w:numPr>
        <w:wordWrap w:val="0"/>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管理关系：是指不具有出资持股关系的其他单位之间存在的管理与被管理关系，如一些上下级关系的事业单位和团体组织。</w:t>
      </w:r>
    </w:p>
    <w:p w14:paraId="7EE7A60F">
      <w:pPr>
        <w:pStyle w:val="23"/>
        <w:wordWrap w:val="0"/>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本表所指的控股、管理关系仅限于直接控股、直接管理关系，不包括间接的控股或管理关系。公司实际控制人与公司之间的关系不属于本表所指的直接控股关系。</w:t>
      </w:r>
    </w:p>
    <w:p w14:paraId="4634D50D">
      <w:pPr>
        <w:pStyle w:val="23"/>
        <w:wordWrap w:val="0"/>
        <w:spacing w:line="400" w:lineRule="exact"/>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投标人如不存在直接控股股东的，则在“直接控股股东名称及出资比例”处填写“无”或“/”。投标人不存在直接管理关系的，则在“直接管理关系单位名称”中填“无”或“/”。</w:t>
      </w:r>
    </w:p>
    <w:bookmarkEnd w:id="477"/>
    <w:bookmarkEnd w:id="478"/>
    <w:bookmarkEnd w:id="479"/>
    <w:bookmarkEnd w:id="480"/>
    <w:bookmarkEnd w:id="481"/>
    <w:bookmarkEnd w:id="482"/>
    <w:p w14:paraId="360DF9FC">
      <w:pPr>
        <w:rPr>
          <w:rFonts w:ascii="仿宋" w:hAnsi="仿宋" w:eastAsia="仿宋" w:cs="仿宋"/>
          <w:color w:val="auto"/>
          <w:highlight w:val="none"/>
        </w:rPr>
      </w:pPr>
      <w:r>
        <w:rPr>
          <w:rFonts w:ascii="仿宋" w:hAnsi="仿宋" w:eastAsia="仿宋" w:cs="仿宋"/>
          <w:color w:val="auto"/>
          <w:highlight w:val="none"/>
        </w:rPr>
        <w:br w:type="page"/>
      </w:r>
    </w:p>
    <w:p w14:paraId="2FDB8484">
      <w:pPr>
        <w:pStyle w:val="23"/>
        <w:ind w:firstLineChars="200"/>
        <w:outlineLvl w:val="1"/>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七、</w:t>
      </w:r>
      <w:r>
        <w:rPr>
          <w:rFonts w:hint="eastAsia" w:ascii="仿宋" w:hAnsi="仿宋" w:eastAsia="仿宋" w:cs="仿宋"/>
          <w:b/>
          <w:bCs/>
          <w:color w:val="auto"/>
          <w:sz w:val="30"/>
          <w:szCs w:val="30"/>
          <w:highlight w:val="none"/>
        </w:rPr>
        <w:t>书面声明</w:t>
      </w:r>
    </w:p>
    <w:p w14:paraId="255B22E6">
      <w:pPr>
        <w:spacing w:line="500" w:lineRule="exact"/>
        <w:jc w:val="center"/>
        <w:rPr>
          <w:rFonts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书面声明</w:t>
      </w:r>
      <w:r>
        <w:rPr>
          <w:rFonts w:hint="eastAsia" w:cs="华文仿宋"/>
          <w:b/>
          <w:bCs/>
          <w:color w:val="auto"/>
          <w:sz w:val="30"/>
          <w:szCs w:val="30"/>
          <w:highlight w:val="none"/>
        </w:rPr>
        <w:t>（格式）</w:t>
      </w:r>
    </w:p>
    <w:p w14:paraId="00514EFA">
      <w:pPr>
        <w:spacing w:line="500" w:lineRule="exact"/>
        <w:rPr>
          <w:rFonts w:ascii="仿宋" w:hAnsi="仿宋" w:eastAsia="仿宋" w:cs="仿宋"/>
          <w:color w:val="auto"/>
          <w:highlight w:val="none"/>
        </w:rPr>
      </w:pPr>
      <w:r>
        <w:rPr>
          <w:rFonts w:hint="eastAsia" w:ascii="仿宋" w:hAnsi="仿宋" w:eastAsia="仿宋" w:cs="仿宋"/>
          <w:color w:val="auto"/>
          <w:highlight w:val="none"/>
        </w:rPr>
        <w:t>陕西省省级单位政府采购中心：</w:t>
      </w:r>
    </w:p>
    <w:p w14:paraId="55DEC5FE">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我方作为</w:t>
      </w:r>
      <w:r>
        <w:rPr>
          <w:rFonts w:hint="eastAsia" w:ascii="仿宋" w:hAnsi="仿宋" w:eastAsia="仿宋" w:cs="仿宋"/>
          <w:color w:val="auto"/>
          <w:highlight w:val="none"/>
          <w:u w:val="single"/>
        </w:rPr>
        <w:t xml:space="preserve"> 项目名称 </w:t>
      </w: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标段的投标人，在此郑重声明：</w:t>
      </w:r>
    </w:p>
    <w:p w14:paraId="2E51976C">
      <w:pPr>
        <w:numPr>
          <w:ilvl w:val="0"/>
          <w:numId w:val="5"/>
        </w:num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我方具备履行合同所必须的设备和专业技术能力。</w:t>
      </w:r>
    </w:p>
    <w:p w14:paraId="5A7D0654">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2、我方未为本项目提供整体设计、规范编制或者项目管理、监理、检测等服务。</w:t>
      </w:r>
    </w:p>
    <w:p w14:paraId="2C9C105A">
      <w:pPr>
        <w:spacing w:line="500" w:lineRule="exact"/>
        <w:ind w:firstLine="566" w:firstLineChars="200"/>
        <w:rPr>
          <w:rFonts w:ascii="仿宋" w:hAnsi="仿宋" w:eastAsia="仿宋" w:cs="仿宋"/>
          <w:color w:val="auto"/>
          <w:highlight w:val="none"/>
        </w:rPr>
      </w:pPr>
      <w:r>
        <w:rPr>
          <w:rFonts w:hint="eastAsia" w:ascii="仿宋" w:hAnsi="仿宋" w:eastAsia="仿宋" w:cs="仿宋"/>
          <w:color w:val="auto"/>
          <w:highlight w:val="none"/>
        </w:rPr>
        <w:t>如有不实，我方将无条件地退出本项目的采购活动，并遵照《政府采购法》有关“提供虚假材料的规定”接受处罚。</w:t>
      </w:r>
    </w:p>
    <w:p w14:paraId="067A5654">
      <w:pPr>
        <w:spacing w:line="500" w:lineRule="exact"/>
        <w:rPr>
          <w:rFonts w:ascii="仿宋" w:hAnsi="仿宋" w:eastAsia="仿宋" w:cs="仿宋"/>
          <w:color w:val="auto"/>
          <w:highlight w:val="none"/>
        </w:rPr>
      </w:pPr>
      <w:r>
        <w:rPr>
          <w:rFonts w:hint="eastAsia" w:ascii="仿宋" w:hAnsi="仿宋" w:eastAsia="仿宋" w:cs="仿宋"/>
          <w:color w:val="auto"/>
          <w:highlight w:val="none"/>
        </w:rPr>
        <w:t>特此声明。</w:t>
      </w:r>
    </w:p>
    <w:p w14:paraId="6F8C597F">
      <w:pPr>
        <w:spacing w:line="500" w:lineRule="exact"/>
        <w:ind w:firstLine="4528" w:firstLineChars="1600"/>
        <w:rPr>
          <w:rFonts w:ascii="仿宋" w:hAnsi="仿宋" w:eastAsia="仿宋" w:cs="仿宋"/>
          <w:color w:val="auto"/>
          <w:highlight w:val="none"/>
        </w:rPr>
      </w:pPr>
      <w:r>
        <w:rPr>
          <w:rFonts w:hint="eastAsia" w:cs="华文仿宋"/>
          <w:color w:val="auto"/>
          <w:highlight w:val="none"/>
        </w:rPr>
        <w:t>投标人</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（加盖公章）</w:t>
      </w:r>
    </w:p>
    <w:p w14:paraId="15FD9197">
      <w:pPr>
        <w:spacing w:line="500" w:lineRule="exact"/>
        <w:ind w:firstLine="4528" w:firstLineChars="1600"/>
        <w:rPr>
          <w:rFonts w:ascii="仿宋" w:hAnsi="仿宋" w:eastAsia="仿宋" w:cs="仿宋"/>
          <w:color w:val="auto"/>
          <w:highlight w:val="none"/>
        </w:rPr>
      </w:pPr>
      <w:r>
        <w:rPr>
          <w:rFonts w:hint="eastAsia" w:ascii="仿宋" w:hAnsi="仿宋" w:eastAsia="仿宋" w:cs="仿宋"/>
          <w:color w:val="auto"/>
          <w:highlight w:val="none"/>
        </w:rPr>
        <w:t>日期：  年  月  日</w:t>
      </w:r>
    </w:p>
    <w:p w14:paraId="159EFCF3">
      <w:pPr>
        <w:pStyle w:val="6"/>
        <w:rPr>
          <w:rFonts w:ascii="仿宋" w:hAnsi="仿宋" w:eastAsia="仿宋" w:cs="仿宋"/>
          <w:color w:val="auto"/>
          <w:highlight w:val="none"/>
        </w:rPr>
      </w:pPr>
    </w:p>
    <w:p w14:paraId="640F5B32">
      <w:pPr>
        <w:pStyle w:val="6"/>
        <w:rPr>
          <w:rFonts w:ascii="仿宋" w:hAnsi="仿宋" w:eastAsia="仿宋" w:cs="仿宋"/>
          <w:color w:val="auto"/>
          <w:highlight w:val="none"/>
        </w:rPr>
      </w:pPr>
    </w:p>
    <w:p w14:paraId="727A9DF7">
      <w:pPr>
        <w:spacing w:line="500" w:lineRule="exact"/>
        <w:rPr>
          <w:rFonts w:ascii="仿宋" w:hAnsi="仿宋" w:eastAsia="宋体" w:cs="仿宋"/>
          <w:b/>
          <w:bCs/>
          <w:color w:val="auto"/>
          <w:sz w:val="30"/>
          <w:szCs w:val="30"/>
          <w:highlight w:val="none"/>
        </w:rPr>
      </w:pPr>
      <w:r>
        <w:rPr>
          <w:rFonts w:hint="eastAsia" w:ascii="宋体" w:hAnsi="宋体" w:eastAsia="宋体" w:cs="宋体"/>
          <w:color w:val="auto"/>
          <w:sz w:val="21"/>
          <w:szCs w:val="21"/>
          <w:highlight w:val="none"/>
        </w:rPr>
        <w:t>备注：项目不分标段的，第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标段空白处填写“/”。 </w:t>
      </w:r>
    </w:p>
    <w:p w14:paraId="725E7144">
      <w:pPr>
        <w:tabs>
          <w:tab w:val="right" w:pos="9070"/>
        </w:tabs>
        <w:spacing w:line="500" w:lineRule="exact"/>
        <w:rPr>
          <w:rFonts w:ascii="仿宋" w:hAnsi="仿宋" w:eastAsia="仿宋" w:cs="仿宋"/>
          <w:bCs/>
          <w:color w:val="auto"/>
          <w:highlight w:val="none"/>
        </w:rPr>
      </w:pPr>
      <w:r>
        <w:rPr>
          <w:rFonts w:hint="eastAsia" w:ascii="仿宋" w:hAnsi="仿宋" w:eastAsia="仿宋" w:cs="仿宋"/>
          <w:bCs/>
          <w:color w:val="auto"/>
          <w:highlight w:val="none"/>
        </w:rPr>
        <w:tab/>
      </w:r>
    </w:p>
    <w:p w14:paraId="5737C0C8">
      <w:pPr>
        <w:tabs>
          <w:tab w:val="right" w:pos="9070"/>
        </w:tabs>
        <w:spacing w:line="500" w:lineRule="exact"/>
        <w:rPr>
          <w:rFonts w:ascii="仿宋" w:hAnsi="仿宋" w:eastAsia="仿宋" w:cs="仿宋"/>
          <w:bCs/>
          <w:color w:val="auto"/>
          <w:highlight w:val="none"/>
        </w:rPr>
      </w:pPr>
      <w:r>
        <w:rPr>
          <w:rFonts w:hint="eastAsia" w:ascii="仿宋" w:hAnsi="仿宋" w:eastAsia="仿宋" w:cs="仿宋"/>
          <w:bCs/>
          <w:color w:val="auto"/>
          <w:highlight w:val="none"/>
        </w:rPr>
        <w:tab/>
      </w:r>
    </w:p>
    <w:p w14:paraId="68D666C0">
      <w:pPr>
        <w:pStyle w:val="23"/>
        <w:spacing w:line="500" w:lineRule="exact"/>
        <w:ind w:firstLineChars="200"/>
        <w:outlineLvl w:val="1"/>
        <w:rPr>
          <w:rFonts w:cs="Times New Roman"/>
          <w:color w:val="auto"/>
          <w:highlight w:val="none"/>
        </w:rPr>
      </w:pPr>
      <w:r>
        <w:rPr>
          <w:rFonts w:hint="eastAsia" w:ascii="仿宋" w:hAnsi="仿宋" w:eastAsia="仿宋" w:cs="仿宋"/>
          <w:color w:val="auto"/>
          <w:highlight w:val="none"/>
        </w:rPr>
        <w:br w:type="page"/>
      </w:r>
      <w:bookmarkStart w:id="483" w:name="_Toc22384"/>
      <w:bookmarkStart w:id="484" w:name="_Toc21964"/>
      <w:bookmarkStart w:id="485" w:name="_Toc28669"/>
      <w:bookmarkStart w:id="486" w:name="_Toc29668"/>
      <w:bookmarkStart w:id="487" w:name="_Toc4405"/>
      <w:bookmarkStart w:id="488" w:name="_Toc3425"/>
      <w:bookmarkStart w:id="489" w:name="_Toc24934"/>
      <w:r>
        <w:rPr>
          <w:rFonts w:hint="eastAsia" w:ascii="仿宋" w:hAnsi="仿宋" w:eastAsia="仿宋" w:cs="仿宋"/>
          <w:color w:val="auto"/>
          <w:highlight w:val="none"/>
          <w:lang w:val="en-US" w:eastAsia="zh-CN"/>
        </w:rPr>
        <w:t xml:space="preserve">    </w:t>
      </w:r>
      <w:r>
        <w:rPr>
          <w:rFonts w:hint="eastAsia" w:ascii="仿宋" w:hAnsi="仿宋" w:eastAsia="仿宋" w:cs="仿宋"/>
          <w:b/>
          <w:bCs/>
          <w:color w:val="auto"/>
          <w:sz w:val="30"/>
          <w:szCs w:val="30"/>
          <w:highlight w:val="none"/>
        </w:rPr>
        <w:t>八、法定代表人授权委托书</w:t>
      </w:r>
      <w:bookmarkEnd w:id="483"/>
      <w:bookmarkEnd w:id="484"/>
      <w:bookmarkEnd w:id="485"/>
      <w:bookmarkEnd w:id="486"/>
      <w:bookmarkEnd w:id="487"/>
      <w:bookmarkEnd w:id="488"/>
      <w:bookmarkEnd w:id="489"/>
    </w:p>
    <w:p w14:paraId="29857384">
      <w:pPr>
        <w:pStyle w:val="50"/>
        <w:spacing w:afterLines="0" w:line="500" w:lineRule="exact"/>
        <w:jc w:val="center"/>
        <w:outlineLvl w:val="9"/>
        <w:rPr>
          <w:rFonts w:cs="Times New Roman"/>
          <w:color w:val="auto"/>
          <w:sz w:val="30"/>
          <w:szCs w:val="30"/>
          <w:highlight w:val="none"/>
        </w:rPr>
      </w:pPr>
      <w:bookmarkStart w:id="490" w:name="_Toc12408"/>
      <w:bookmarkStart w:id="491" w:name="_Toc13312"/>
      <w:bookmarkStart w:id="492" w:name="_Toc17482"/>
      <w:bookmarkStart w:id="493" w:name="_Toc7695"/>
      <w:bookmarkStart w:id="494" w:name="_Toc1535"/>
      <w:bookmarkStart w:id="495" w:name="_Toc16636"/>
      <w:bookmarkStart w:id="496" w:name="_Toc4063"/>
      <w:r>
        <w:rPr>
          <w:rFonts w:hint="eastAsia" w:cs="华文仿宋"/>
          <w:color w:val="auto"/>
          <w:sz w:val="30"/>
          <w:szCs w:val="30"/>
          <w:highlight w:val="none"/>
        </w:rPr>
        <w:t>法定代表人授权委托书</w:t>
      </w:r>
      <w:bookmarkEnd w:id="490"/>
      <w:bookmarkEnd w:id="491"/>
      <w:bookmarkEnd w:id="492"/>
      <w:r>
        <w:rPr>
          <w:rFonts w:hint="eastAsia" w:cs="华文仿宋"/>
          <w:color w:val="auto"/>
          <w:sz w:val="30"/>
          <w:szCs w:val="30"/>
          <w:highlight w:val="none"/>
        </w:rPr>
        <w:t>（格式）</w:t>
      </w:r>
      <w:bookmarkEnd w:id="493"/>
      <w:bookmarkEnd w:id="494"/>
      <w:bookmarkEnd w:id="495"/>
      <w:bookmarkEnd w:id="496"/>
    </w:p>
    <w:p w14:paraId="4746A383">
      <w:pPr>
        <w:snapToGrid w:val="0"/>
        <w:spacing w:after="0" w:afterLines="0" w:line="500" w:lineRule="exact"/>
        <w:rPr>
          <w:rFonts w:ascii="华文仿宋" w:hAnsi="华文仿宋" w:cs="华文仿宋"/>
          <w:color w:val="auto"/>
          <w:highlight w:val="none"/>
        </w:rPr>
      </w:pPr>
      <w:r>
        <w:rPr>
          <w:rFonts w:hint="eastAsia" w:ascii="华文仿宋" w:hAnsi="华文仿宋" w:cs="华文仿宋"/>
          <w:color w:val="auto"/>
          <w:highlight w:val="none"/>
        </w:rPr>
        <w:t>陕西省省级单位政府采购中心：</w:t>
      </w:r>
    </w:p>
    <w:p w14:paraId="5AFF04B9">
      <w:pPr>
        <w:spacing w:afterLines="0" w:line="500" w:lineRule="exact"/>
        <w:ind w:right="11" w:firstLine="566" w:firstLineChars="200"/>
        <w:rPr>
          <w:rFonts w:cs="Times New Roman"/>
          <w:color w:val="auto"/>
          <w:highlight w:val="none"/>
        </w:rPr>
      </w:pPr>
      <w:r>
        <w:rPr>
          <w:rFonts w:hint="eastAsia" w:cs="华文仿宋"/>
          <w:color w:val="auto"/>
          <w:highlight w:val="none"/>
        </w:rPr>
        <w:t>现委派（</w:t>
      </w:r>
      <w:r>
        <w:rPr>
          <w:rFonts w:hint="eastAsia" w:cs="华文仿宋"/>
          <w:color w:val="auto"/>
          <w:highlight w:val="none"/>
          <w:u w:val="single"/>
        </w:rPr>
        <w:t>被授权代表姓名</w:t>
      </w:r>
      <w:r>
        <w:rPr>
          <w:rFonts w:hint="eastAsia" w:cs="华文仿宋"/>
          <w:color w:val="auto"/>
          <w:highlight w:val="none"/>
        </w:rPr>
        <w:t>）（身份证号：</w:t>
      </w:r>
      <w:r>
        <w:rPr>
          <w:rFonts w:hint="eastAsia" w:cs="华文仿宋"/>
          <w:color w:val="auto"/>
          <w:highlight w:val="none"/>
          <w:u w:val="single"/>
        </w:rPr>
        <w:t xml:space="preserve">    </w:t>
      </w:r>
      <w:r>
        <w:rPr>
          <w:rFonts w:hint="eastAsia" w:cs="华文仿宋"/>
          <w:color w:val="auto"/>
          <w:highlight w:val="none"/>
        </w:rPr>
        <w:t xml:space="preserve"> ）为本公司的被授权代表，参加贵中心组织的</w:t>
      </w:r>
      <w:r>
        <w:rPr>
          <w:color w:val="auto"/>
          <w:highlight w:val="none"/>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7950" cy="161925"/>
                <wp:effectExtent l="0" t="0" r="0" b="0"/>
                <wp:wrapNone/>
                <wp:docPr id="1" name="文本框 3"/>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3BC3C49F"/>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2.75pt;width:8.5pt;mso-position-horizontal:center;mso-position-horizontal-relative:margin;mso-wrap-style:none;z-index:251659264;mso-width-relative:page;mso-height-relative:page;" filled="f" stroked="f" coordsize="21600,21600" o:gfxdata="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xCnVN&#10;0QAAAAMBAAAPAAAAAAAAAAEAIAAAACIAAABkcnMvZG93bnJldi54bWxQSwECFAAUAAAACACHTuJA&#10;c8ohne8BAADTAwAADgAAAAAAAAABACAAAAAgAQAAZHJzL2Uyb0RvYy54bWxQSwUGAAAAAAYABgBZ&#10;AQAAgQUAAAAA&#10;">
                <v:fill on="f" focussize="0,0"/>
                <v:stroke on="f" weight="0.5pt"/>
                <v:imagedata o:title=""/>
                <o:lock v:ext="edit" aspectratio="f"/>
                <v:textbox inset="0mm,0mm,0mm,0mm" style="mso-fit-shape-to-text:t;">
                  <w:txbxContent>
                    <w:p w14:paraId="3BC3C49F"/>
                  </w:txbxContent>
                </v:textbox>
              </v:shape>
            </w:pict>
          </mc:Fallback>
        </mc:AlternateContent>
      </w:r>
      <w:r>
        <w:rPr>
          <w:rFonts w:hint="eastAsia"/>
          <w:color w:val="auto"/>
          <w:highlight w:val="none"/>
          <w:u w:val="single"/>
          <w:lang w:val="en-US" w:eastAsia="zh-CN"/>
        </w:rPr>
        <w:t xml:space="preserve"> </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u w:val="single"/>
          <w:lang w:val="en-US" w:eastAsia="zh-CN"/>
        </w:rPr>
        <w:t xml:space="preserve"> </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w:t>
      </w:r>
      <w:r>
        <w:rPr>
          <w:rFonts w:hint="eastAsia" w:cs="华文仿宋"/>
          <w:color w:val="auto"/>
          <w:highlight w:val="none"/>
        </w:rPr>
        <w:t>政府采购活动，就该项目的投标及合同的执行和完成，以本公司的名义处理一切与之有关的事宜。本授权自开标之日起生效，有效期与投标文件有效期一致。</w:t>
      </w:r>
    </w:p>
    <w:p w14:paraId="2371F4EB">
      <w:pPr>
        <w:tabs>
          <w:tab w:val="left" w:pos="5245"/>
        </w:tabs>
        <w:snapToGrid w:val="0"/>
        <w:ind w:firstLine="566" w:firstLineChars="200"/>
        <w:rPr>
          <w:rFonts w:ascii="华文仿宋" w:cs="Times New Roman"/>
          <w:color w:val="auto"/>
          <w:highlight w:val="none"/>
        </w:rPr>
      </w:pPr>
      <w:r>
        <w:rPr>
          <w:rFonts w:hint="eastAsia" w:ascii="华文仿宋" w:hAnsi="华文仿宋" w:cs="华文仿宋"/>
          <w:color w:val="auto"/>
          <w:highlight w:val="none"/>
        </w:rPr>
        <w:t>被授权代表姓名：</w:t>
      </w:r>
      <w:r>
        <w:rPr>
          <w:rFonts w:ascii="华文仿宋" w:hAnsi="华文仿宋" w:cs="华文仿宋"/>
          <w:color w:val="auto"/>
          <w:highlight w:val="none"/>
        </w:rPr>
        <w:t>______</w:t>
      </w:r>
      <w:r>
        <w:rPr>
          <w:rFonts w:hint="eastAsia" w:ascii="华文仿宋" w:hAnsi="华文仿宋" w:cs="华文仿宋"/>
          <w:color w:val="auto"/>
          <w:highlight w:val="none"/>
        </w:rPr>
        <w:t xml:space="preserve">       性别：</w:t>
      </w:r>
      <w:r>
        <w:rPr>
          <w:rFonts w:ascii="华文仿宋" w:hAnsi="华文仿宋" w:cs="华文仿宋"/>
          <w:color w:val="auto"/>
          <w:highlight w:val="none"/>
        </w:rPr>
        <w:t>________________</w:t>
      </w:r>
    </w:p>
    <w:p w14:paraId="31904D69">
      <w:pPr>
        <w:tabs>
          <w:tab w:val="left" w:pos="5245"/>
        </w:tabs>
        <w:snapToGrid w:val="0"/>
        <w:ind w:firstLine="566" w:firstLineChars="200"/>
        <w:rPr>
          <w:rFonts w:ascii="华文仿宋" w:cs="Times New Roman"/>
          <w:color w:val="auto"/>
          <w:highlight w:val="none"/>
        </w:rPr>
      </w:pPr>
      <w:r>
        <w:rPr>
          <w:rFonts w:hint="eastAsia" w:ascii="华文仿宋" w:hAnsi="华文仿宋" w:cs="华文仿宋"/>
          <w:color w:val="auto"/>
          <w:highlight w:val="none"/>
        </w:rPr>
        <w:t>电话：</w:t>
      </w:r>
      <w:r>
        <w:rPr>
          <w:rFonts w:ascii="华文仿宋" w:hAnsi="华文仿宋" w:cs="华文仿宋"/>
          <w:color w:val="auto"/>
          <w:highlight w:val="none"/>
        </w:rPr>
        <w:t>__________</w:t>
      </w:r>
      <w:r>
        <w:rPr>
          <w:rFonts w:hint="eastAsia" w:ascii="华文仿宋" w:hAnsi="华文仿宋" w:cs="华文仿宋"/>
          <w:color w:val="auto"/>
          <w:highlight w:val="none"/>
        </w:rPr>
        <w:t>通讯地址：</w:t>
      </w:r>
      <w:r>
        <w:rPr>
          <w:rFonts w:ascii="华文仿宋" w:hAnsi="华文仿宋" w:cs="华文仿宋"/>
          <w:color w:val="auto"/>
          <w:highlight w:val="none"/>
        </w:rPr>
        <w:t>______________</w:t>
      </w:r>
    </w:p>
    <w:tbl>
      <w:tblPr>
        <w:tblStyle w:val="25"/>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34B1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noWrap w:val="0"/>
            <w:vAlign w:val="center"/>
          </w:tcPr>
          <w:p w14:paraId="6D890B72">
            <w:pPr>
              <w:snapToGrid w:val="0"/>
              <w:jc w:val="center"/>
              <w:rPr>
                <w:rFonts w:cs="Times New Roman"/>
                <w:color w:val="auto"/>
                <w:highlight w:val="none"/>
              </w:rPr>
            </w:pPr>
            <w:r>
              <w:rPr>
                <w:rFonts w:hint="eastAsia" w:cs="华文仿宋"/>
                <w:color w:val="auto"/>
                <w:highlight w:val="none"/>
              </w:rPr>
              <w:t>法定代表人身份证复印件</w:t>
            </w:r>
          </w:p>
          <w:p w14:paraId="71BB09F9">
            <w:pPr>
              <w:snapToGrid w:val="0"/>
              <w:jc w:val="center"/>
              <w:rPr>
                <w:rFonts w:cs="Times New Roman"/>
                <w:color w:val="auto"/>
                <w:highlight w:val="none"/>
              </w:rPr>
            </w:pPr>
            <w:r>
              <w:rPr>
                <w:rFonts w:hint="eastAsia" w:cs="华文仿宋"/>
                <w:color w:val="auto"/>
                <w:highlight w:val="none"/>
              </w:rPr>
              <w:t>（有人像面）</w:t>
            </w:r>
          </w:p>
        </w:tc>
        <w:tc>
          <w:tcPr>
            <w:tcW w:w="4098" w:type="dxa"/>
            <w:noWrap w:val="0"/>
            <w:vAlign w:val="center"/>
          </w:tcPr>
          <w:p w14:paraId="3C93F701">
            <w:pPr>
              <w:snapToGrid w:val="0"/>
              <w:jc w:val="center"/>
              <w:rPr>
                <w:rFonts w:cs="Times New Roman"/>
                <w:color w:val="auto"/>
                <w:highlight w:val="none"/>
              </w:rPr>
            </w:pPr>
            <w:r>
              <w:rPr>
                <w:rFonts w:hint="eastAsia" w:ascii="华文仿宋" w:hAnsi="华文仿宋" w:cs="华文仿宋"/>
                <w:color w:val="auto"/>
                <w:highlight w:val="none"/>
              </w:rPr>
              <w:t>被</w:t>
            </w:r>
            <w:r>
              <w:rPr>
                <w:rFonts w:hint="eastAsia" w:cs="华文仿宋"/>
                <w:color w:val="auto"/>
                <w:highlight w:val="none"/>
              </w:rPr>
              <w:t>授权代表身份证复印件</w:t>
            </w:r>
          </w:p>
          <w:p w14:paraId="28F27924">
            <w:pPr>
              <w:snapToGrid w:val="0"/>
              <w:jc w:val="center"/>
              <w:rPr>
                <w:rFonts w:cs="Times New Roman"/>
                <w:color w:val="auto"/>
                <w:highlight w:val="none"/>
              </w:rPr>
            </w:pPr>
            <w:r>
              <w:rPr>
                <w:rFonts w:hint="eastAsia" w:cs="华文仿宋"/>
                <w:color w:val="auto"/>
                <w:highlight w:val="none"/>
              </w:rPr>
              <w:t>（有人像面）</w:t>
            </w:r>
          </w:p>
        </w:tc>
      </w:tr>
      <w:tr w14:paraId="0877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noWrap w:val="0"/>
            <w:vAlign w:val="center"/>
          </w:tcPr>
          <w:p w14:paraId="0004D727">
            <w:pPr>
              <w:jc w:val="center"/>
              <w:rPr>
                <w:rFonts w:cs="Times New Roman"/>
                <w:color w:val="auto"/>
                <w:highlight w:val="none"/>
              </w:rPr>
            </w:pPr>
            <w:r>
              <w:rPr>
                <w:rFonts w:hint="eastAsia" w:cs="华文仿宋"/>
                <w:color w:val="auto"/>
                <w:highlight w:val="none"/>
              </w:rPr>
              <w:t>法定代表人身份证复印件</w:t>
            </w:r>
          </w:p>
          <w:p w14:paraId="422A5967">
            <w:pPr>
              <w:jc w:val="center"/>
              <w:rPr>
                <w:rFonts w:cs="Times New Roman"/>
                <w:color w:val="auto"/>
                <w:highlight w:val="none"/>
              </w:rPr>
            </w:pPr>
            <w:r>
              <w:rPr>
                <w:rFonts w:hint="eastAsia" w:cs="华文仿宋"/>
                <w:color w:val="auto"/>
                <w:highlight w:val="none"/>
              </w:rPr>
              <w:t>（有国徽面）</w:t>
            </w:r>
          </w:p>
        </w:tc>
        <w:tc>
          <w:tcPr>
            <w:tcW w:w="4098" w:type="dxa"/>
            <w:noWrap w:val="0"/>
            <w:vAlign w:val="center"/>
          </w:tcPr>
          <w:p w14:paraId="7D5D4788">
            <w:pPr>
              <w:jc w:val="center"/>
              <w:rPr>
                <w:rFonts w:cs="Times New Roman"/>
                <w:color w:val="auto"/>
                <w:highlight w:val="none"/>
              </w:rPr>
            </w:pPr>
            <w:r>
              <w:rPr>
                <w:rFonts w:hint="eastAsia" w:ascii="华文仿宋" w:hAnsi="华文仿宋" w:cs="华文仿宋"/>
                <w:color w:val="auto"/>
                <w:highlight w:val="none"/>
              </w:rPr>
              <w:t>被</w:t>
            </w:r>
            <w:r>
              <w:rPr>
                <w:rFonts w:hint="eastAsia" w:cs="华文仿宋"/>
                <w:color w:val="auto"/>
                <w:highlight w:val="none"/>
              </w:rPr>
              <w:t>授权代表身份证复印件</w:t>
            </w:r>
          </w:p>
          <w:p w14:paraId="3A665835">
            <w:pPr>
              <w:jc w:val="center"/>
              <w:rPr>
                <w:rFonts w:cs="Times New Roman"/>
                <w:color w:val="auto"/>
                <w:highlight w:val="none"/>
              </w:rPr>
            </w:pPr>
            <w:r>
              <w:rPr>
                <w:rFonts w:hint="eastAsia" w:cs="华文仿宋"/>
                <w:color w:val="auto"/>
                <w:highlight w:val="none"/>
              </w:rPr>
              <w:t>（有国徽面）</w:t>
            </w:r>
          </w:p>
        </w:tc>
      </w:tr>
    </w:tbl>
    <w:p w14:paraId="0256C050">
      <w:pPr>
        <w:tabs>
          <w:tab w:val="right" w:pos="8931"/>
        </w:tabs>
        <w:ind w:firstLine="566" w:firstLineChars="2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       法定代表人：（</w:t>
      </w:r>
      <w:r>
        <w:rPr>
          <w:rFonts w:hint="eastAsia" w:ascii="仿宋" w:hAnsi="仿宋" w:eastAsia="仿宋" w:cs="仿宋"/>
          <w:color w:val="auto"/>
          <w:highlight w:val="none"/>
        </w:rPr>
        <w:t>签字或</w:t>
      </w:r>
      <w:r>
        <w:rPr>
          <w:rFonts w:hint="eastAsia" w:cs="华文仿宋"/>
          <w:color w:val="auto"/>
          <w:highlight w:val="none"/>
        </w:rPr>
        <w:t>盖章）</w:t>
      </w:r>
    </w:p>
    <w:p w14:paraId="1D9696A7">
      <w:pPr>
        <w:spacing w:line="440" w:lineRule="exact"/>
        <w:ind w:firstLine="5789" w:firstLineChars="2046"/>
        <w:rPr>
          <w:rFonts w:cs="Times New Roman"/>
          <w:color w:val="auto"/>
          <w:highlight w:val="none"/>
        </w:rPr>
      </w:pPr>
      <w:r>
        <w:rPr>
          <w:rFonts w:hint="eastAsia" w:cs="华文仿宋"/>
          <w:color w:val="auto"/>
          <w:highlight w:val="none"/>
        </w:rPr>
        <w:t>日期：　年　月　日</w:t>
      </w:r>
    </w:p>
    <w:p w14:paraId="1FA69863">
      <w:pPr>
        <w:spacing w:line="340" w:lineRule="exact"/>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备注：</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、项目不分标段的，第</w:t>
      </w:r>
      <w:r>
        <w:rPr>
          <w:rFonts w:ascii="宋体" w:hAnsi="宋体" w:eastAsia="宋体" w:cs="宋体"/>
          <w:color w:val="auto"/>
          <w:sz w:val="21"/>
          <w:szCs w:val="21"/>
          <w:highlight w:val="none"/>
        </w:rPr>
        <w:t>___</w:t>
      </w:r>
      <w:r>
        <w:rPr>
          <w:rFonts w:hint="eastAsia" w:ascii="宋体" w:hAnsi="宋体" w:eastAsia="宋体" w:cs="宋体"/>
          <w:color w:val="auto"/>
          <w:sz w:val="21"/>
          <w:szCs w:val="21"/>
          <w:highlight w:val="none"/>
        </w:rPr>
        <w:t>标段空白处填写“</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0FDD1B8C">
      <w:pPr>
        <w:pStyle w:val="23"/>
        <w:spacing w:line="340" w:lineRule="exact"/>
        <w:ind w:firstLine="639" w:firstLineChars="300"/>
        <w:rPr>
          <w:rFonts w:ascii="宋体" w:hAnsi="宋体" w:eastAsia="宋体"/>
          <w:color w:val="auto"/>
          <w:sz w:val="21"/>
          <w:szCs w:val="21"/>
          <w:highlight w:val="none"/>
        </w:rPr>
      </w:pPr>
      <w:r>
        <w:rPr>
          <w:rFonts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t>、法定代表人亲自参加投标的，无需提供该委托授权书，但须提供法定代表人本人身份证（正反面）复印件，并在复印件中注明联系方式。</w:t>
      </w:r>
    </w:p>
    <w:p w14:paraId="1D878EC1">
      <w:pPr>
        <w:pStyle w:val="23"/>
        <w:spacing w:line="340" w:lineRule="exact"/>
        <w:ind w:firstLine="639" w:firstLineChars="300"/>
        <w:rPr>
          <w:rFonts w:ascii="宋体" w:hAnsi="宋体" w:eastAsia="宋体" w:cs="宋体"/>
          <w:color w:val="auto"/>
          <w:sz w:val="21"/>
          <w:szCs w:val="21"/>
          <w:highlight w:val="none"/>
        </w:rPr>
      </w:pPr>
      <w:r>
        <w:rPr>
          <w:rFonts w:ascii="宋体" w:hAnsi="宋体" w:eastAsia="宋体" w:cs="宋体"/>
          <w:color w:val="auto"/>
          <w:sz w:val="21"/>
          <w:szCs w:val="21"/>
          <w:highlight w:val="none"/>
        </w:rPr>
        <w:t>3</w:t>
      </w:r>
      <w:r>
        <w:rPr>
          <w:rFonts w:hint="eastAsia" w:ascii="宋体" w:hAnsi="宋体" w:eastAsia="宋体" w:cs="宋体"/>
          <w:color w:val="auto"/>
          <w:sz w:val="21"/>
          <w:szCs w:val="21"/>
          <w:highlight w:val="none"/>
        </w:rPr>
        <w:t>、法定代表人签字或盖章可采用纸质签字或盖章后，上传至电子投标文件，也可使用法定代表人</w:t>
      </w:r>
      <w:r>
        <w:rPr>
          <w:rFonts w:ascii="宋体" w:hAnsi="宋体" w:eastAsia="宋体" w:cs="宋体"/>
          <w:color w:val="auto"/>
          <w:sz w:val="21"/>
          <w:szCs w:val="21"/>
          <w:highlight w:val="none"/>
        </w:rPr>
        <w:t>CA</w:t>
      </w:r>
      <w:r>
        <w:rPr>
          <w:rFonts w:hint="eastAsia" w:ascii="宋体" w:hAnsi="宋体" w:eastAsia="宋体" w:cs="宋体"/>
          <w:color w:val="auto"/>
          <w:sz w:val="21"/>
          <w:szCs w:val="21"/>
          <w:highlight w:val="none"/>
        </w:rPr>
        <w:t>锁在电子投标文件制作软件中签章。</w:t>
      </w:r>
    </w:p>
    <w:p w14:paraId="6050A80B">
      <w:pPr>
        <w:pStyle w:val="23"/>
        <w:spacing w:line="340" w:lineRule="exact"/>
        <w:ind w:firstLine="639" w:firstLineChars="300"/>
        <w:rPr>
          <w:rFonts w:ascii="宋体" w:hAnsi="宋体" w:eastAsia="宋体"/>
          <w:color w:val="auto"/>
          <w:sz w:val="21"/>
          <w:szCs w:val="21"/>
          <w:highlight w:val="none"/>
        </w:rPr>
      </w:pPr>
      <w:r>
        <w:rPr>
          <w:rFonts w:hint="eastAsia" w:ascii="宋体" w:hAnsi="宋体" w:eastAsia="宋体" w:cs="宋体"/>
          <w:color w:val="auto"/>
          <w:sz w:val="21"/>
          <w:szCs w:val="21"/>
          <w:highlight w:val="none"/>
        </w:rPr>
        <w:t>4、法人的分支机构参与投标时，除提供《法定代表人授权委托书》外，还须同时提供法人给分支机构出具的授权书。授权书附此处。</w:t>
      </w:r>
    </w:p>
    <w:bookmarkEnd w:id="455"/>
    <w:bookmarkEnd w:id="456"/>
    <w:bookmarkEnd w:id="464"/>
    <w:bookmarkEnd w:id="465"/>
    <w:bookmarkEnd w:id="466"/>
    <w:p w14:paraId="4BDA61A9">
      <w:pPr>
        <w:pStyle w:val="50"/>
        <w:spacing w:line="500" w:lineRule="exact"/>
        <w:ind w:firstLine="646" w:firstLineChars="200"/>
        <w:outlineLvl w:val="1"/>
        <w:rPr>
          <w:rFonts w:ascii="仿宋" w:hAnsi="仿宋" w:eastAsia="仿宋" w:cs="仿宋"/>
          <w:b/>
          <w:bCs/>
          <w:color w:val="auto"/>
          <w:sz w:val="30"/>
          <w:szCs w:val="30"/>
          <w:highlight w:val="none"/>
        </w:rPr>
      </w:pPr>
      <w:bookmarkStart w:id="497" w:name="_Toc5624"/>
      <w:bookmarkStart w:id="498" w:name="_Toc7264"/>
      <w:bookmarkStart w:id="499" w:name="_Toc2556"/>
      <w:bookmarkStart w:id="500" w:name="_Toc14776"/>
      <w:r>
        <w:rPr>
          <w:rFonts w:hint="eastAsia" w:cs="华文仿宋"/>
          <w:color w:val="auto"/>
          <w:highlight w:val="none"/>
        </w:rPr>
        <w:br w:type="page"/>
      </w:r>
      <w:bookmarkStart w:id="501" w:name="_Toc1763"/>
      <w:bookmarkStart w:id="502" w:name="_Toc3866"/>
      <w:bookmarkStart w:id="503" w:name="_Toc9402"/>
      <w:r>
        <w:rPr>
          <w:rFonts w:hint="eastAsia" w:ascii="仿宋" w:hAnsi="仿宋" w:eastAsia="仿宋" w:cs="仿宋"/>
          <w:b/>
          <w:bCs/>
          <w:color w:val="auto"/>
          <w:sz w:val="30"/>
          <w:szCs w:val="30"/>
          <w:highlight w:val="none"/>
        </w:rPr>
        <w:t>九、落实政府采购政策需满足的资格要求</w:t>
      </w:r>
    </w:p>
    <w:p w14:paraId="15CE1C0D">
      <w:pPr>
        <w:pStyle w:val="50"/>
        <w:spacing w:line="500" w:lineRule="exact"/>
        <w:ind w:firstLine="566" w:firstLineChars="200"/>
        <w:outlineLvl w:val="9"/>
        <w:rPr>
          <w:rFonts w:ascii="华文仿宋" w:hAnsi="华文仿宋" w:cs="华文仿宋"/>
          <w:color w:val="auto"/>
          <w:sz w:val="28"/>
          <w:szCs w:val="28"/>
          <w:highlight w:val="none"/>
        </w:rPr>
      </w:pPr>
      <w:bookmarkStart w:id="504" w:name="_Toc21557"/>
      <w:r>
        <w:rPr>
          <w:rFonts w:hint="eastAsia" w:cs="华文仿宋"/>
          <w:b w:val="0"/>
          <w:bCs w:val="0"/>
          <w:color w:val="auto"/>
          <w:sz w:val="28"/>
          <w:szCs w:val="28"/>
          <w:highlight w:val="none"/>
        </w:rPr>
        <w:t>本项目为专门面向中小企业项目，投标人应为中型、小型、微型企业</w:t>
      </w:r>
      <w:r>
        <w:rPr>
          <w:rFonts w:hint="eastAsia" w:ascii="华文仿宋" w:hAnsi="华文仿宋" w:cs="华文仿宋"/>
          <w:b w:val="0"/>
          <w:bCs w:val="0"/>
          <w:color w:val="auto"/>
          <w:sz w:val="28"/>
          <w:szCs w:val="28"/>
          <w:highlight w:val="none"/>
        </w:rPr>
        <w:t>或监狱企业或残疾人福利性单位。投标人为中小企业的</w:t>
      </w:r>
      <w:r>
        <w:rPr>
          <w:rFonts w:hint="eastAsia" w:ascii="华文仿宋" w:hAnsi="华文仿宋" w:cs="华文仿宋"/>
          <w:b w:val="0"/>
          <w:bCs w:val="0"/>
          <w:color w:val="auto"/>
          <w:sz w:val="28"/>
          <w:szCs w:val="28"/>
          <w:highlight w:val="none"/>
          <w:lang w:eastAsia="zh-CN"/>
        </w:rPr>
        <w:t>，</w:t>
      </w:r>
      <w:r>
        <w:rPr>
          <w:rFonts w:hint="eastAsia" w:cs="华文仿宋"/>
          <w:b w:val="0"/>
          <w:bCs w:val="0"/>
          <w:color w:val="auto"/>
          <w:sz w:val="28"/>
          <w:szCs w:val="28"/>
          <w:highlight w:val="none"/>
        </w:rPr>
        <w:t>提供《中小企业声明函》，且中小企业的划分标准所属行业为</w:t>
      </w:r>
      <w:r>
        <w:rPr>
          <w:rFonts w:hint="eastAsia" w:cs="华文仿宋"/>
          <w:color w:val="auto"/>
          <w:sz w:val="28"/>
          <w:szCs w:val="28"/>
          <w:highlight w:val="none"/>
          <w:lang w:val="en-US" w:eastAsia="zh-CN"/>
        </w:rPr>
        <w:t>软件和信息技术服务业</w:t>
      </w:r>
      <w:r>
        <w:rPr>
          <w:rFonts w:hint="eastAsia" w:cs="华文仿宋"/>
          <w:b w:val="0"/>
          <w:bCs w:val="0"/>
          <w:color w:val="auto"/>
          <w:sz w:val="28"/>
          <w:szCs w:val="28"/>
          <w:highlight w:val="none"/>
        </w:rPr>
        <w:t>；投标人为监狱企业的，应提供监狱企业的证明文件；投标人为残疾人福利性单位的，应提供《残疾人福利性单位声明函》。</w:t>
      </w:r>
      <w:bookmarkEnd w:id="504"/>
    </w:p>
    <w:p w14:paraId="56ECBA23">
      <w:pPr>
        <w:pStyle w:val="6"/>
        <w:spacing w:line="500" w:lineRule="exact"/>
        <w:ind w:firstLine="566" w:firstLineChars="200"/>
        <w:rPr>
          <w:rFonts w:cs="华文仿宋"/>
          <w:color w:val="auto"/>
          <w:highlight w:val="none"/>
        </w:rPr>
      </w:pPr>
      <w:r>
        <w:rPr>
          <w:rFonts w:hint="eastAsia" w:ascii="华文仿宋" w:hAnsi="华文仿宋" w:cs="华文仿宋"/>
          <w:color w:val="auto"/>
          <w:highlight w:val="none"/>
        </w:rPr>
        <w:t>各投标人可根据企业从业人员、营业收入、资产总额等指标，按照招标文件约定的采购标的对应的中小企业划分标准所属行业和《中小企业划型标准规定》（工信部联企业〔2011〕300号）进行自测，判断属于中型、小型还是微型企业。也可在微信小程序中搜索中小企业规模类型自测小程序进行测算。</w:t>
      </w:r>
    </w:p>
    <w:p w14:paraId="40E053A3">
      <w:pPr>
        <w:spacing w:line="500" w:lineRule="exact"/>
        <w:ind w:firstLine="566" w:firstLineChars="200"/>
        <w:rPr>
          <w:rFonts w:cs="Times New Roman"/>
          <w:b/>
          <w:bCs/>
          <w:color w:val="auto"/>
          <w:highlight w:val="none"/>
        </w:rPr>
      </w:pPr>
      <w:r>
        <w:rPr>
          <w:rFonts w:hint="eastAsia" w:ascii="华文仿宋" w:hAnsi="华文仿宋" w:cs="华文仿宋"/>
          <w:b/>
          <w:bCs/>
          <w:color w:val="auto"/>
          <w:highlight w:val="none"/>
        </w:rPr>
        <w:t>特别提醒：中标人的《中小企业声明函》</w:t>
      </w:r>
      <w:r>
        <w:rPr>
          <w:rFonts w:hint="eastAsia" w:ascii="华文仿宋" w:hAnsi="华文仿宋" w:cs="华文仿宋"/>
          <w:b/>
          <w:bCs/>
          <w:color w:val="auto"/>
          <w:highlight w:val="none"/>
          <w:lang w:val="en-US" w:eastAsia="zh-CN"/>
        </w:rPr>
        <w:t>或</w:t>
      </w:r>
      <w:r>
        <w:rPr>
          <w:rFonts w:hint="eastAsia" w:ascii="华文仿宋" w:hAnsi="华文仿宋" w:cs="华文仿宋"/>
          <w:b/>
          <w:bCs/>
          <w:color w:val="auto"/>
          <w:highlight w:val="none"/>
        </w:rPr>
        <w:t>《残疾人福利性单位声明函》或监狱企业证明文件将随中标结果公告一同公布，接受社会监督。</w:t>
      </w:r>
    </w:p>
    <w:p w14:paraId="7818DFB9">
      <w:pPr>
        <w:spacing w:line="500" w:lineRule="exact"/>
        <w:ind w:firstLine="566" w:firstLineChars="200"/>
        <w:rPr>
          <w:rFonts w:cs="Times New Roman"/>
          <w:b/>
          <w:bCs/>
          <w:color w:val="auto"/>
          <w:highlight w:val="none"/>
        </w:rPr>
      </w:pPr>
    </w:p>
    <w:p w14:paraId="26098CCD">
      <w:pPr>
        <w:spacing w:line="500" w:lineRule="exact"/>
        <w:rPr>
          <w:rFonts w:cs="Times New Roman"/>
          <w:b/>
          <w:bCs/>
          <w:color w:val="auto"/>
          <w:highlight w:val="none"/>
        </w:rPr>
      </w:pPr>
    </w:p>
    <w:p w14:paraId="7286EA1E">
      <w:pPr>
        <w:spacing w:line="500" w:lineRule="exact"/>
        <w:rPr>
          <w:rFonts w:cs="Times New Roman"/>
          <w:b/>
          <w:bCs/>
          <w:color w:val="auto"/>
          <w:highlight w:val="none"/>
        </w:rPr>
      </w:pPr>
    </w:p>
    <w:p w14:paraId="3537530B">
      <w:pPr>
        <w:spacing w:line="500" w:lineRule="exact"/>
        <w:rPr>
          <w:rFonts w:cs="Times New Roman"/>
          <w:b/>
          <w:bCs/>
          <w:color w:val="auto"/>
          <w:highlight w:val="none"/>
        </w:rPr>
      </w:pPr>
    </w:p>
    <w:p w14:paraId="5FCBA314">
      <w:pPr>
        <w:rPr>
          <w:rFonts w:ascii="华文仿宋" w:hAnsi="华文仿宋" w:cs="华文仿宋"/>
          <w:b/>
          <w:color w:val="auto"/>
          <w:kern w:val="0"/>
          <w:highlight w:val="none"/>
        </w:rPr>
      </w:pPr>
      <w:r>
        <w:rPr>
          <w:rFonts w:hint="eastAsia" w:ascii="华文仿宋" w:hAnsi="华文仿宋" w:cs="华文仿宋"/>
          <w:b/>
          <w:color w:val="auto"/>
          <w:kern w:val="0"/>
          <w:highlight w:val="none"/>
        </w:rPr>
        <w:br w:type="page"/>
      </w:r>
    </w:p>
    <w:p w14:paraId="62F532A4">
      <w:pPr>
        <w:jc w:val="center"/>
        <w:rPr>
          <w:color w:val="auto"/>
          <w:highlight w:val="none"/>
        </w:rPr>
      </w:pPr>
      <w:r>
        <w:rPr>
          <w:rFonts w:hint="eastAsia" w:ascii="华文仿宋" w:hAnsi="华文仿宋" w:cs="华文仿宋"/>
          <w:b/>
          <w:color w:val="auto"/>
          <w:kern w:val="0"/>
          <w:highlight w:val="none"/>
        </w:rPr>
        <w:t>中小企业声明函</w:t>
      </w:r>
    </w:p>
    <w:p w14:paraId="161445C0">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kern w:val="0"/>
          <w:highlight w:val="none"/>
        </w:rPr>
        <w:t>本公司郑重声明，根据《政府采购促进中小企业发展管理办法》（财库﹝2020﹞46号）的规定，本公司参加陕西省省级单位政府采购中心组织的</w:t>
      </w:r>
      <w:r>
        <w:rPr>
          <w:rFonts w:hint="eastAsia" w:ascii="华文仿宋" w:hAnsi="华文仿宋" w:cs="华文仿宋"/>
          <w:iCs/>
          <w:color w:val="auto"/>
          <w:kern w:val="0"/>
          <w:highlight w:val="none"/>
          <w:u w:val="single"/>
        </w:rPr>
        <w:t>（项目名称）</w:t>
      </w:r>
      <w:r>
        <w:rPr>
          <w:rFonts w:hint="eastAsia" w:ascii="华文仿宋" w:hAnsi="华文仿宋" w:cs="华文仿宋"/>
          <w:color w:val="auto"/>
          <w:kern w:val="0"/>
          <w:highlight w:val="none"/>
        </w:rPr>
        <w:t>采购活动，服务全部由符合政策要求的中小企业承接。相关企业的具体情况如下：</w:t>
      </w:r>
    </w:p>
    <w:p w14:paraId="30F525AD">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u w:val="single"/>
        </w:rPr>
        <w:t>（项目名称）</w:t>
      </w:r>
      <w:r>
        <w:rPr>
          <w:rFonts w:hint="eastAsia" w:ascii="华文仿宋" w:hAnsi="华文仿宋" w:cs="华文仿宋"/>
          <w:color w:val="auto"/>
          <w:kern w:val="0"/>
          <w:highlight w:val="none"/>
        </w:rPr>
        <w:t>，属于</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（招标文件中明确的所属行业）；承接企业为</w:t>
      </w:r>
      <w:r>
        <w:rPr>
          <w:rFonts w:hint="eastAsia" w:ascii="华文仿宋" w:hAnsi="华文仿宋" w:cs="华文仿宋"/>
          <w:color w:val="auto"/>
          <w:kern w:val="0"/>
          <w:highlight w:val="none"/>
          <w:u w:val="single"/>
        </w:rPr>
        <w:t>（企业名称）</w:t>
      </w:r>
      <w:r>
        <w:rPr>
          <w:rFonts w:hint="eastAsia" w:ascii="华文仿宋" w:hAnsi="华文仿宋" w:cs="华文仿宋"/>
          <w:color w:val="auto"/>
          <w:kern w:val="0"/>
          <w:highlight w:val="none"/>
        </w:rPr>
        <w:t>，从业人员</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人，营业收入为</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万元，资产总额为</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万元，属于</w:t>
      </w:r>
      <w:r>
        <w:rPr>
          <w:rFonts w:hint="eastAsia" w:ascii="华文仿宋" w:hAnsi="华文仿宋" w:cs="华文仿宋"/>
          <w:color w:val="auto"/>
          <w:kern w:val="0"/>
          <w:highlight w:val="none"/>
          <w:u w:val="single"/>
        </w:rPr>
        <w:t xml:space="preserve">        </w:t>
      </w:r>
      <w:r>
        <w:rPr>
          <w:rFonts w:hint="eastAsia" w:ascii="华文仿宋" w:hAnsi="华文仿宋" w:cs="华文仿宋"/>
          <w:color w:val="auto"/>
          <w:kern w:val="0"/>
          <w:highlight w:val="none"/>
        </w:rPr>
        <w:t>（中型企业、小型企业、微型企业）。</w:t>
      </w:r>
    </w:p>
    <w:p w14:paraId="5B469CAE">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以上企业，不属于大企业的分支机构，不存在控股股东为大企业的情形，也不存在与大企业的负责人为同一人的情形。</w:t>
      </w:r>
    </w:p>
    <w:p w14:paraId="7518BBDC">
      <w:pPr>
        <w:spacing w:line="500" w:lineRule="exact"/>
        <w:ind w:firstLine="566" w:firstLineChars="200"/>
        <w:jc w:val="left"/>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本企业对上述声明内容的真实性负责。如有虚假，将依法承担相应责任。 </w:t>
      </w:r>
    </w:p>
    <w:p w14:paraId="0CF59524">
      <w:pPr>
        <w:pStyle w:val="6"/>
        <w:rPr>
          <w:color w:val="auto"/>
          <w:highlight w:val="none"/>
        </w:rPr>
      </w:pPr>
    </w:p>
    <w:p w14:paraId="71192455">
      <w:pPr>
        <w:spacing w:line="500" w:lineRule="exact"/>
        <w:ind w:firstLine="5094" w:firstLineChars="1800"/>
        <w:rPr>
          <w:rFonts w:ascii="华文仿宋" w:hAnsi="华文仿宋" w:cs="华文仿宋"/>
          <w:color w:val="auto"/>
          <w:kern w:val="0"/>
          <w:highlight w:val="none"/>
        </w:rPr>
      </w:pPr>
      <w:r>
        <w:rPr>
          <w:rFonts w:hint="eastAsia"/>
          <w:color w:val="auto"/>
          <w:highlight w:val="none"/>
        </w:rPr>
        <w:t>投标人</w:t>
      </w:r>
      <w:r>
        <w:rPr>
          <w:rFonts w:hint="eastAsia" w:ascii="华文仿宋" w:hAnsi="华文仿宋" w:cs="华文仿宋"/>
          <w:color w:val="auto"/>
          <w:kern w:val="0"/>
          <w:highlight w:val="none"/>
        </w:rPr>
        <w:t>：</w:t>
      </w:r>
      <w:r>
        <w:rPr>
          <w:rFonts w:hint="eastAsia" w:ascii="华文仿宋" w:hAnsi="华文仿宋" w:cs="华文仿宋"/>
          <w:color w:val="auto"/>
          <w:kern w:val="0"/>
          <w:highlight w:val="none"/>
          <w:u w:val="single"/>
        </w:rPr>
        <w:t>名称</w:t>
      </w:r>
      <w:r>
        <w:rPr>
          <w:rFonts w:hint="eastAsia" w:ascii="华文仿宋" w:hAnsi="华文仿宋" w:cs="华文仿宋"/>
          <w:color w:val="auto"/>
          <w:kern w:val="0"/>
          <w:highlight w:val="none"/>
        </w:rPr>
        <w:t xml:space="preserve">（加盖公章） </w:t>
      </w:r>
    </w:p>
    <w:p w14:paraId="71550EC6">
      <w:pPr>
        <w:spacing w:line="500" w:lineRule="exact"/>
        <w:ind w:firstLine="566" w:firstLineChars="200"/>
        <w:jc w:val="center"/>
        <w:rPr>
          <w:rFonts w:ascii="华文仿宋" w:hAnsi="华文仿宋" w:cs="华文仿宋"/>
          <w:color w:val="auto"/>
          <w:kern w:val="0"/>
          <w:highlight w:val="none"/>
        </w:rPr>
      </w:pPr>
      <w:r>
        <w:rPr>
          <w:rFonts w:hint="eastAsia" w:ascii="华文仿宋" w:hAnsi="华文仿宋" w:cs="华文仿宋"/>
          <w:color w:val="auto"/>
          <w:kern w:val="0"/>
          <w:highlight w:val="none"/>
        </w:rPr>
        <w:t xml:space="preserve">                        日期：    年  月  日</w:t>
      </w:r>
    </w:p>
    <w:p w14:paraId="5109E575">
      <w:pPr>
        <w:ind w:firstLine="426" w:firstLineChars="200"/>
        <w:rPr>
          <w:rFonts w:ascii="宋体" w:hAnsi="宋体" w:eastAsia="宋体" w:cs="宋体"/>
          <w:b/>
          <w:bCs/>
          <w:color w:val="auto"/>
          <w:kern w:val="0"/>
          <w:sz w:val="21"/>
          <w:szCs w:val="21"/>
          <w:highlight w:val="none"/>
        </w:rPr>
      </w:pPr>
    </w:p>
    <w:p w14:paraId="177B87F0">
      <w:pPr>
        <w:ind w:firstLine="426" w:firstLineChars="200"/>
        <w:rPr>
          <w:color w:val="auto"/>
          <w:sz w:val="21"/>
          <w:szCs w:val="21"/>
          <w:highlight w:val="none"/>
        </w:rPr>
      </w:pPr>
      <w:r>
        <w:rPr>
          <w:rFonts w:hint="eastAsia" w:ascii="宋体" w:hAnsi="宋体" w:eastAsia="宋体" w:cs="宋体"/>
          <w:b/>
          <w:bCs/>
          <w:color w:val="auto"/>
          <w:kern w:val="0"/>
          <w:sz w:val="21"/>
          <w:szCs w:val="21"/>
          <w:highlight w:val="none"/>
        </w:rPr>
        <w:t>备注：</w:t>
      </w:r>
      <w:r>
        <w:rPr>
          <w:rFonts w:hint="eastAsia" w:ascii="宋体" w:hAnsi="宋体" w:eastAsia="宋体" w:cs="宋体"/>
          <w:color w:val="auto"/>
          <w:kern w:val="0"/>
          <w:sz w:val="21"/>
          <w:szCs w:val="21"/>
          <w:highlight w:val="none"/>
        </w:rPr>
        <w:t xml:space="preserve">1、填写前请认真阅读《工业和信息化部、国家统计局、国家发展和改革委员会、财政 </w:t>
      </w:r>
    </w:p>
    <w:p w14:paraId="2A6773A9">
      <w:pPr>
        <w:rPr>
          <w:color w:val="auto"/>
          <w:sz w:val="21"/>
          <w:szCs w:val="21"/>
          <w:highlight w:val="none"/>
        </w:rPr>
      </w:pPr>
      <w:r>
        <w:rPr>
          <w:rFonts w:hint="eastAsia" w:ascii="宋体" w:hAnsi="宋体" w:eastAsia="宋体" w:cs="宋体"/>
          <w:color w:val="auto"/>
          <w:kern w:val="0"/>
          <w:sz w:val="21"/>
          <w:szCs w:val="21"/>
          <w:highlight w:val="none"/>
        </w:rPr>
        <w:t xml:space="preserve">部关于印发中小企业划型标准规定的通知》（工信部联企业[2011]300号）和财政部、工业和信息 化部关于印发《政府采购促进中小企业发展管理办法》的通知(财库[2020]46号)相关规定。 </w:t>
      </w:r>
    </w:p>
    <w:p w14:paraId="632084B7">
      <w:pPr>
        <w:ind w:firstLine="426" w:firstLineChars="200"/>
        <w:rPr>
          <w:color w:val="auto"/>
          <w:sz w:val="21"/>
          <w:szCs w:val="21"/>
          <w:highlight w:val="none"/>
        </w:rPr>
      </w:pPr>
      <w:r>
        <w:rPr>
          <w:rFonts w:hint="eastAsia" w:ascii="宋体" w:hAnsi="宋体" w:eastAsia="宋体" w:cs="宋体"/>
          <w:color w:val="auto"/>
          <w:kern w:val="0"/>
          <w:sz w:val="21"/>
          <w:szCs w:val="21"/>
          <w:highlight w:val="none"/>
        </w:rPr>
        <w:t xml:space="preserve">2、从业人员、营业收入、资产总额填报上一年度数据，无上一年度数据的新成立企业可不填 </w:t>
      </w:r>
    </w:p>
    <w:p w14:paraId="5613E1E1">
      <w:pPr>
        <w:rPr>
          <w:color w:val="auto"/>
          <w:sz w:val="21"/>
          <w:szCs w:val="21"/>
          <w:highlight w:val="none"/>
        </w:rPr>
      </w:pPr>
      <w:r>
        <w:rPr>
          <w:rFonts w:hint="eastAsia" w:ascii="宋体" w:hAnsi="宋体" w:eastAsia="宋体" w:cs="宋体"/>
          <w:color w:val="auto"/>
          <w:kern w:val="0"/>
          <w:sz w:val="21"/>
          <w:szCs w:val="21"/>
          <w:highlight w:val="none"/>
        </w:rPr>
        <w:t>报。</w:t>
      </w:r>
    </w:p>
    <w:p w14:paraId="3D5505FF">
      <w:pPr>
        <w:ind w:firstLine="426" w:firstLineChars="200"/>
        <w:rPr>
          <w:color w:val="auto"/>
          <w:sz w:val="21"/>
          <w:szCs w:val="21"/>
          <w:highlight w:val="none"/>
        </w:rPr>
      </w:pPr>
      <w:r>
        <w:rPr>
          <w:rFonts w:hint="eastAsia" w:ascii="宋体" w:hAnsi="宋体" w:eastAsia="宋体" w:cs="宋体"/>
          <w:color w:val="auto"/>
          <w:kern w:val="0"/>
          <w:sz w:val="21"/>
          <w:szCs w:val="21"/>
          <w:highlight w:val="none"/>
        </w:rPr>
        <w:t xml:space="preserve">3、根据《工业和信息化部、国家统计局、国家发展和改革委员会、财政部关于印发中小企业 </w:t>
      </w:r>
    </w:p>
    <w:p w14:paraId="2A50D634">
      <w:pP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划型标准规定的通知》（工信部联企业[2011]300号），本项目所属行业中小企业划型标准具体如下：</w:t>
      </w:r>
      <w:r>
        <w:rPr>
          <w:rFonts w:hint="eastAsia" w:ascii="宋体" w:hAnsi="宋体" w:eastAsia="宋体" w:cs="宋体"/>
          <w:color w:val="auto"/>
          <w:sz w:val="21"/>
          <w:szCs w:val="21"/>
          <w:highlight w:val="none"/>
          <w:lang w:eastAsia="zh-CN"/>
        </w:rPr>
        <w:t>软件和信息技术服务业</w:t>
      </w:r>
      <w:r>
        <w:rPr>
          <w:rFonts w:hint="eastAsia" w:ascii="宋体" w:hAnsi="宋体" w:eastAsia="宋体" w:cs="宋体"/>
          <w:color w:val="auto"/>
          <w:sz w:val="21"/>
          <w:szCs w:val="21"/>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1AF7B6">
      <w:pPr>
        <w:rPr>
          <w:color w:val="auto"/>
          <w:highlight w:val="none"/>
        </w:rPr>
      </w:pPr>
    </w:p>
    <w:p w14:paraId="621A1CE8">
      <w:pPr>
        <w:spacing w:line="240" w:lineRule="auto"/>
        <w:jc w:val="center"/>
        <w:outlineLvl w:val="9"/>
        <w:rPr>
          <w:color w:val="auto"/>
          <w:highlight w:val="none"/>
        </w:rPr>
      </w:pPr>
      <w:r>
        <w:rPr>
          <w:rFonts w:hint="eastAsia"/>
          <w:b/>
          <w:bCs/>
          <w:color w:val="auto"/>
          <w:highlight w:val="none"/>
        </w:rPr>
        <w:br w:type="page"/>
      </w:r>
      <w:bookmarkStart w:id="505" w:name="_Toc6833"/>
      <w:r>
        <w:rPr>
          <w:rFonts w:hint="eastAsia"/>
          <w:b/>
          <w:bCs/>
          <w:color w:val="auto"/>
          <w:highlight w:val="none"/>
        </w:rPr>
        <w:t>监狱企业证明函</w:t>
      </w:r>
      <w:bookmarkEnd w:id="505"/>
    </w:p>
    <w:p w14:paraId="242CDF15">
      <w:pPr>
        <w:tabs>
          <w:tab w:val="left" w:pos="5670"/>
        </w:tabs>
        <w:spacing w:line="500" w:lineRule="exact"/>
        <w:ind w:firstLine="566" w:firstLineChars="200"/>
        <w:jc w:val="left"/>
        <w:outlineLvl w:val="9"/>
        <w:rPr>
          <w:color w:val="auto"/>
          <w:highlight w:val="none"/>
        </w:rPr>
      </w:pPr>
      <w:bookmarkStart w:id="506" w:name="_Toc26614"/>
      <w:r>
        <w:rPr>
          <w:rFonts w:hint="eastAsia"/>
          <w:color w:val="auto"/>
          <w:highlight w:val="none"/>
        </w:rPr>
        <w:t>根据财政部、司法部《关于政府采购支持监狱企业发展有关问题的通知》（财库〔</w:t>
      </w:r>
      <w:r>
        <w:rPr>
          <w:rFonts w:hint="eastAsia" w:ascii="仿宋" w:hAnsi="仿宋" w:cs="仿宋"/>
          <w:color w:val="auto"/>
          <w:highlight w:val="none"/>
        </w:rPr>
        <w:t>2014</w:t>
      </w:r>
      <w:r>
        <w:rPr>
          <w:rFonts w:hint="eastAsia"/>
          <w:color w:val="auto"/>
          <w:highlight w:val="none"/>
        </w:rPr>
        <w:t>〕</w:t>
      </w:r>
      <w:r>
        <w:rPr>
          <w:rFonts w:hint="eastAsia" w:ascii="仿宋" w:hAnsi="仿宋" w:cs="仿宋"/>
          <w:color w:val="auto"/>
          <w:highlight w:val="none"/>
        </w:rPr>
        <w:t>68</w:t>
      </w:r>
      <w:r>
        <w:rPr>
          <w:rFonts w:hint="eastAsia"/>
          <w:color w:val="auto"/>
          <w:highlight w:val="none"/>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506"/>
    </w:p>
    <w:p w14:paraId="5CF63582">
      <w:pPr>
        <w:spacing w:line="500" w:lineRule="exact"/>
        <w:ind w:firstLine="566" w:firstLineChars="200"/>
        <w:jc w:val="left"/>
        <w:rPr>
          <w:color w:val="auto"/>
          <w:highlight w:val="none"/>
        </w:rPr>
      </w:pPr>
      <w:r>
        <w:rPr>
          <w:rFonts w:hint="eastAsia"/>
          <w:color w:val="auto"/>
          <w:highlight w:val="none"/>
        </w:rPr>
        <w:t>监狱企业参加政府采购活动时，应当提供由省级以上监狱管理局、戒毒管理局（含新疆生产建设兵团）出具的属于监狱企业的证明文件。</w:t>
      </w:r>
    </w:p>
    <w:p w14:paraId="4844F7F0">
      <w:pPr>
        <w:pStyle w:val="23"/>
        <w:ind w:firstLine="639" w:firstLineChars="300"/>
        <w:rPr>
          <w:rFonts w:ascii="宋体" w:hAnsi="宋体" w:eastAsia="宋体"/>
          <w:color w:val="auto"/>
          <w:sz w:val="21"/>
          <w:szCs w:val="21"/>
          <w:highlight w:val="none"/>
        </w:rPr>
      </w:pPr>
    </w:p>
    <w:p w14:paraId="2E7A2D2B">
      <w:pPr>
        <w:tabs>
          <w:tab w:val="left" w:pos="5670"/>
        </w:tabs>
        <w:spacing w:after="0" w:afterLines="0" w:line="500" w:lineRule="exact"/>
        <w:ind w:firstLine="426" w:firstLineChars="200"/>
        <w:jc w:val="center"/>
        <w:rPr>
          <w:b/>
          <w:color w:val="auto"/>
          <w:sz w:val="30"/>
          <w:szCs w:val="30"/>
          <w:highlight w:val="none"/>
        </w:rPr>
      </w:pPr>
      <w:r>
        <w:rPr>
          <w:rFonts w:hint="eastAsia" w:ascii="宋体" w:hAnsi="宋体" w:eastAsia="宋体"/>
          <w:color w:val="auto"/>
          <w:sz w:val="21"/>
          <w:szCs w:val="21"/>
          <w:highlight w:val="none"/>
        </w:rPr>
        <w:br w:type="page"/>
      </w:r>
      <w:r>
        <w:rPr>
          <w:rFonts w:hint="eastAsia"/>
          <w:b/>
          <w:color w:val="auto"/>
          <w:sz w:val="30"/>
          <w:szCs w:val="30"/>
          <w:highlight w:val="none"/>
        </w:rPr>
        <w:t>残疾人福利性单位声明函（格式）</w:t>
      </w:r>
    </w:p>
    <w:p w14:paraId="43CC143C">
      <w:pPr>
        <w:spacing w:line="500" w:lineRule="exact"/>
        <w:ind w:firstLine="566" w:firstLineChars="200"/>
        <w:rPr>
          <w:color w:val="auto"/>
          <w:highlight w:val="none"/>
        </w:rPr>
      </w:pPr>
      <w:r>
        <w:rPr>
          <w:rFonts w:hint="eastAsia"/>
          <w:color w:val="auto"/>
          <w:highlight w:val="none"/>
        </w:rPr>
        <w:t>本单位郑重声明，根据《财政部民政部中国残疾人联合会关于促进残疾人就业政府采购政策的通知》（财库〔</w:t>
      </w:r>
      <w:r>
        <w:rPr>
          <w:rFonts w:hint="eastAsia" w:ascii="仿宋" w:hAnsi="仿宋" w:cs="仿宋"/>
          <w:color w:val="auto"/>
          <w:highlight w:val="none"/>
        </w:rPr>
        <w:t>2017</w:t>
      </w:r>
      <w:r>
        <w:rPr>
          <w:rFonts w:hint="eastAsia"/>
          <w:color w:val="auto"/>
          <w:highlight w:val="none"/>
        </w:rPr>
        <w:t>〕</w:t>
      </w:r>
      <w:r>
        <w:rPr>
          <w:rFonts w:hint="eastAsia" w:ascii="仿宋" w:hAnsi="仿宋" w:cs="仿宋"/>
          <w:color w:val="auto"/>
          <w:highlight w:val="none"/>
        </w:rPr>
        <w:t>141</w:t>
      </w:r>
      <w:r>
        <w:rPr>
          <w:rFonts w:hint="eastAsia"/>
          <w:color w:val="auto"/>
          <w:highlight w:val="none"/>
        </w:rPr>
        <w:t>号）的规定，本单位为符合条件的残疾人福利性单位，且本单位参加</w:t>
      </w:r>
      <w:r>
        <w:rPr>
          <w:rFonts w:hint="eastAsia"/>
          <w:color w:val="auto"/>
          <w:highlight w:val="none"/>
          <w:u w:val="single"/>
        </w:rPr>
        <w:t>（项目名称）</w:t>
      </w:r>
      <w:r>
        <w:rPr>
          <w:rFonts w:hint="eastAsia"/>
          <w:color w:val="auto"/>
          <w:highlight w:val="none"/>
        </w:rPr>
        <w:t>（项目编号：</w:t>
      </w:r>
      <w:r>
        <w:rPr>
          <w:rFonts w:hint="eastAsia"/>
          <w:color w:val="auto"/>
          <w:highlight w:val="none"/>
          <w:u w:val="single"/>
        </w:rPr>
        <w:t xml:space="preserve">   </w:t>
      </w:r>
      <w:r>
        <w:rPr>
          <w:rFonts w:hint="eastAsia"/>
          <w:color w:val="auto"/>
          <w:highlight w:val="none"/>
        </w:rPr>
        <w:t>）第___标段采购活动提供本单位制造的货物（由本单位承担工程/提供服务），或者提供其他残疾人福利性单位制造的货物（不包括使用非残疾人福利性单位注册商标的货物）。</w:t>
      </w:r>
    </w:p>
    <w:p w14:paraId="77F83DC9">
      <w:pPr>
        <w:spacing w:line="500" w:lineRule="exact"/>
        <w:ind w:firstLine="566" w:firstLineChars="200"/>
        <w:jc w:val="left"/>
        <w:rPr>
          <w:color w:val="auto"/>
          <w:highlight w:val="none"/>
        </w:rPr>
      </w:pPr>
      <w:r>
        <w:rPr>
          <w:rFonts w:hint="eastAsia"/>
          <w:color w:val="auto"/>
          <w:highlight w:val="none"/>
        </w:rPr>
        <w:t>本单位对上述声明的真实性负责。如有虚假，将依法承担相应责任。</w:t>
      </w:r>
    </w:p>
    <w:p w14:paraId="31FC4942">
      <w:pPr>
        <w:spacing w:line="500" w:lineRule="exact"/>
        <w:ind w:firstLine="566" w:firstLineChars="200"/>
        <w:jc w:val="left"/>
        <w:rPr>
          <w:color w:val="auto"/>
          <w:highlight w:val="none"/>
        </w:rPr>
      </w:pPr>
    </w:p>
    <w:p w14:paraId="53821920">
      <w:pPr>
        <w:spacing w:line="500" w:lineRule="exact"/>
        <w:ind w:firstLine="5094" w:firstLineChars="1800"/>
        <w:rPr>
          <w:rFonts w:ascii="仿宋" w:hAnsi="仿宋" w:cs="仿宋"/>
          <w:color w:val="auto"/>
          <w:highlight w:val="none"/>
        </w:rPr>
      </w:pPr>
      <w:r>
        <w:rPr>
          <w:rFonts w:hint="eastAsia" w:ascii="仿宋" w:hAnsi="仿宋" w:cs="仿宋"/>
          <w:color w:val="auto"/>
          <w:highlight w:val="none"/>
        </w:rPr>
        <w:t>投标人：</w:t>
      </w:r>
      <w:r>
        <w:rPr>
          <w:rFonts w:hint="eastAsia" w:ascii="仿宋" w:hAnsi="仿宋" w:cs="仿宋"/>
          <w:color w:val="auto"/>
          <w:highlight w:val="none"/>
          <w:u w:val="single"/>
        </w:rPr>
        <w:t>名称</w:t>
      </w:r>
      <w:r>
        <w:rPr>
          <w:rFonts w:hint="eastAsia" w:ascii="仿宋" w:hAnsi="仿宋" w:cs="仿宋"/>
          <w:color w:val="auto"/>
          <w:highlight w:val="none"/>
        </w:rPr>
        <w:t>（加盖公章）</w:t>
      </w:r>
    </w:p>
    <w:p w14:paraId="5118354A">
      <w:pPr>
        <w:tabs>
          <w:tab w:val="left" w:pos="5670"/>
        </w:tabs>
        <w:spacing w:line="500" w:lineRule="exact"/>
        <w:ind w:firstLine="5377" w:firstLineChars="1900"/>
        <w:jc w:val="left"/>
        <w:rPr>
          <w:color w:val="auto"/>
          <w:highlight w:val="none"/>
        </w:rPr>
      </w:pPr>
      <w:r>
        <w:rPr>
          <w:rFonts w:hint="eastAsia" w:ascii="仿宋" w:hAnsi="仿宋" w:cs="仿宋"/>
          <w:color w:val="auto"/>
          <w:highlight w:val="none"/>
        </w:rPr>
        <w:t>日期：　　年　月　日</w:t>
      </w:r>
    </w:p>
    <w:p w14:paraId="38F87131">
      <w:pPr>
        <w:tabs>
          <w:tab w:val="left" w:pos="5670"/>
        </w:tabs>
        <w:spacing w:line="240" w:lineRule="auto"/>
        <w:ind w:firstLine="566"/>
        <w:jc w:val="left"/>
        <w:rPr>
          <w:rFonts w:ascii="宋体" w:hAnsi="宋体" w:eastAsia="宋体" w:cs="宋体"/>
          <w:b/>
          <w:bCs/>
          <w:color w:val="auto"/>
          <w:sz w:val="21"/>
          <w:szCs w:val="21"/>
          <w:highlight w:val="none"/>
        </w:rPr>
      </w:pPr>
    </w:p>
    <w:p w14:paraId="0DFA0D18">
      <w:pPr>
        <w:tabs>
          <w:tab w:val="left" w:pos="5670"/>
        </w:tabs>
        <w:spacing w:line="240" w:lineRule="auto"/>
        <w:ind w:firstLine="566"/>
        <w:jc w:val="left"/>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备注：投标人非残疾人福利性单位不用填写此表。</w:t>
      </w:r>
    </w:p>
    <w:p w14:paraId="31706A58">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项目不分标段的，第___标段空白处填写“/”。</w:t>
      </w:r>
    </w:p>
    <w:p w14:paraId="7C57657B">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 民政部 中国残疾人联合会关于促进残疾人就业政府采购政策的通知》（财库〔2017〕141号）的规定：</w:t>
      </w:r>
    </w:p>
    <w:p w14:paraId="5E922678">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一、享受政府采购支持政策的残疾人福利性单位应当同时满足以下条件：</w:t>
      </w:r>
    </w:p>
    <w:p w14:paraId="0D9FA32F">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（一）安置的残疾人占本单位在职职工人数的比例不低于</w:t>
      </w:r>
      <w:r>
        <w:rPr>
          <w:rFonts w:hint="eastAsia" w:ascii="仿宋" w:hAnsi="仿宋" w:cs="仿宋"/>
          <w:color w:val="auto"/>
          <w:sz w:val="21"/>
          <w:szCs w:val="21"/>
          <w:highlight w:val="none"/>
        </w:rPr>
        <w:t>25</w:t>
      </w:r>
      <w:r>
        <w:rPr>
          <w:rFonts w:hint="eastAsia" w:ascii="宋体" w:hAnsi="宋体" w:eastAsia="宋体" w:cs="宋体"/>
          <w:color w:val="auto"/>
          <w:sz w:val="21"/>
          <w:szCs w:val="21"/>
          <w:highlight w:val="none"/>
        </w:rPr>
        <w:t>%（含</w:t>
      </w:r>
      <w:r>
        <w:rPr>
          <w:rFonts w:hint="eastAsia" w:ascii="仿宋" w:hAnsi="仿宋" w:cs="仿宋"/>
          <w:color w:val="auto"/>
          <w:sz w:val="21"/>
          <w:szCs w:val="21"/>
          <w:highlight w:val="none"/>
        </w:rPr>
        <w:t>25</w:t>
      </w:r>
      <w:r>
        <w:rPr>
          <w:rFonts w:hint="eastAsia" w:ascii="宋体" w:hAnsi="宋体" w:eastAsia="宋体" w:cs="宋体"/>
          <w:color w:val="auto"/>
          <w:sz w:val="21"/>
          <w:szCs w:val="21"/>
          <w:highlight w:val="none"/>
        </w:rPr>
        <w:t>%），并且安置的残疾人人数不少于10人（含10人）；</w:t>
      </w:r>
    </w:p>
    <w:p w14:paraId="3826E73C">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（二）依法与安置的每位残疾人签订了一年以上（含一年）的劳动合同或服务协议；</w:t>
      </w:r>
    </w:p>
    <w:p w14:paraId="35A8DDBA">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（三）为安置的每位残疾人按月足额缴纳了基本养老保险、基本医疗保险、失业保险、工伤保险和生育保险等社会保险费；</w:t>
      </w:r>
    </w:p>
    <w:p w14:paraId="2D2D7344">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（四）通过银行等金融机构向安置的每位残疾人，按月支付了不低于单位所在区县适用的经省级人民政府批准的月最低工资标准的工资；</w:t>
      </w:r>
    </w:p>
    <w:p w14:paraId="39431E27">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79298EE1">
      <w:pPr>
        <w:tabs>
          <w:tab w:val="left" w:pos="5670"/>
        </w:tabs>
        <w:spacing w:line="240" w:lineRule="auto"/>
        <w:ind w:firstLine="566"/>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0F9CEE">
      <w:pPr>
        <w:pStyle w:val="23"/>
        <w:numPr>
          <w:ilvl w:val="0"/>
          <w:numId w:val="0"/>
        </w:numPr>
        <w:ind w:firstLine="426"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二、中标人、成交供应商为残疾人福利性单位的，采购人或者其委托的采购代理机构应当随中标、成交结果同时公告其《残疾人福利性单位声明函》，接受社会监督。</w:t>
      </w:r>
    </w:p>
    <w:p w14:paraId="1B72B69B">
      <w:pPr>
        <w:pStyle w:val="50"/>
        <w:spacing w:line="500" w:lineRule="exact"/>
        <w:ind w:firstLine="606" w:firstLineChars="200"/>
        <w:outlineLvl w:val="1"/>
        <w:rPr>
          <w:rFonts w:cs="华文仿宋"/>
          <w:b/>
          <w:bCs/>
          <w:color w:val="auto"/>
          <w:sz w:val="30"/>
          <w:szCs w:val="30"/>
          <w:highlight w:val="none"/>
        </w:rPr>
      </w:pPr>
      <w:r>
        <w:rPr>
          <w:rFonts w:hint="eastAsia" w:cs="华文仿宋"/>
          <w:b/>
          <w:bCs/>
          <w:color w:val="auto"/>
          <w:sz w:val="30"/>
          <w:szCs w:val="30"/>
          <w:highlight w:val="none"/>
        </w:rPr>
        <w:br w:type="page"/>
      </w:r>
      <w:r>
        <w:rPr>
          <w:rFonts w:hint="eastAsia" w:ascii="仿宋" w:hAnsi="仿宋" w:eastAsia="仿宋" w:cs="仿宋"/>
          <w:b/>
          <w:bCs/>
          <w:color w:val="auto"/>
          <w:sz w:val="30"/>
          <w:szCs w:val="30"/>
          <w:highlight w:val="none"/>
          <w:lang w:val="en-US" w:eastAsia="zh-CN"/>
        </w:rPr>
        <w:t>十、</w:t>
      </w:r>
      <w:r>
        <w:rPr>
          <w:rFonts w:hint="eastAsia" w:ascii="仿宋" w:hAnsi="仿宋" w:eastAsia="仿宋" w:cs="仿宋"/>
          <w:b/>
          <w:bCs/>
          <w:color w:val="auto"/>
          <w:sz w:val="30"/>
          <w:szCs w:val="30"/>
          <w:highlight w:val="none"/>
        </w:rPr>
        <w:t>本项目不接受联合体投标，不允许分包</w:t>
      </w:r>
      <w:bookmarkEnd w:id="497"/>
      <w:bookmarkEnd w:id="498"/>
      <w:bookmarkEnd w:id="499"/>
      <w:bookmarkEnd w:id="501"/>
      <w:bookmarkEnd w:id="502"/>
      <w:bookmarkEnd w:id="503"/>
    </w:p>
    <w:p w14:paraId="5BF88C64">
      <w:pPr>
        <w:rPr>
          <w:rFonts w:ascii="华文仿宋" w:cs="Times New Roman"/>
          <w:color w:val="auto"/>
          <w:highlight w:val="none"/>
        </w:rPr>
      </w:pPr>
    </w:p>
    <w:p w14:paraId="49DCDE11">
      <w:pPr>
        <w:pStyle w:val="6"/>
        <w:jc w:val="center"/>
        <w:rPr>
          <w:rFonts w:ascii="华文仿宋" w:hAnsi="华文仿宋" w:cs="华文仿宋"/>
          <w:b/>
          <w:bCs/>
          <w:color w:val="auto"/>
          <w:highlight w:val="none"/>
        </w:rPr>
      </w:pPr>
      <w:r>
        <w:rPr>
          <w:rFonts w:hint="eastAsia" w:ascii="华文仿宋" w:hAnsi="华文仿宋" w:cs="华文仿宋"/>
          <w:b/>
          <w:bCs/>
          <w:color w:val="auto"/>
          <w:highlight w:val="none"/>
        </w:rPr>
        <w:t>非联合体不分包投标声明（格式）</w:t>
      </w:r>
    </w:p>
    <w:p w14:paraId="19CE7BBA">
      <w:pPr>
        <w:spacing w:line="500" w:lineRule="exact"/>
        <w:ind w:firstLine="566" w:firstLineChars="200"/>
        <w:rPr>
          <w:rFonts w:ascii="华文仿宋" w:hAnsi="华文仿宋" w:cs="华文仿宋"/>
          <w:color w:val="auto"/>
          <w:highlight w:val="none"/>
        </w:rPr>
      </w:pPr>
    </w:p>
    <w:p w14:paraId="563F1D22">
      <w:pPr>
        <w:spacing w:line="500" w:lineRule="exact"/>
        <w:ind w:firstLine="566" w:firstLineChars="200"/>
        <w:rPr>
          <w:rFonts w:ascii="华文仿宋" w:hAnsi="华文仿宋" w:cs="华文仿宋"/>
          <w:color w:val="auto"/>
          <w:highlight w:val="none"/>
        </w:rPr>
      </w:pPr>
      <w:r>
        <w:rPr>
          <w:rFonts w:hint="eastAsia" w:ascii="华文仿宋" w:hAnsi="华文仿宋" w:cs="华文仿宋"/>
          <w:color w:val="auto"/>
          <w:highlight w:val="none"/>
        </w:rPr>
        <w:t>本单位郑重声明，参加陕西省省级单位政府采购中心的</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标段采购活动，为非联合体投标，本项目实施过程由本单位独立承担。</w:t>
      </w:r>
    </w:p>
    <w:p w14:paraId="00BA5851">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rPr>
        <w:t>本单位对上述声明的真实性负责。如有虚假，将依法承担相应责任。</w:t>
      </w:r>
    </w:p>
    <w:p w14:paraId="2CA97D19">
      <w:pPr>
        <w:spacing w:line="500" w:lineRule="exact"/>
        <w:ind w:firstLine="566" w:firstLineChars="200"/>
        <w:jc w:val="left"/>
        <w:rPr>
          <w:rFonts w:ascii="华文仿宋" w:hAnsi="华文仿宋" w:cs="华文仿宋"/>
          <w:color w:val="auto"/>
          <w:highlight w:val="none"/>
        </w:rPr>
      </w:pPr>
    </w:p>
    <w:p w14:paraId="51B2F4B1">
      <w:pPr>
        <w:pStyle w:val="6"/>
        <w:rPr>
          <w:rFonts w:ascii="华文仿宋" w:hAnsi="华文仿宋" w:cs="华文仿宋"/>
          <w:color w:val="auto"/>
          <w:highlight w:val="none"/>
        </w:rPr>
      </w:pPr>
    </w:p>
    <w:p w14:paraId="6D576CF2">
      <w:pPr>
        <w:spacing w:line="500" w:lineRule="exact"/>
        <w:ind w:firstLine="5094" w:firstLineChars="1800"/>
        <w:rPr>
          <w:rFonts w:ascii="华文仿宋" w:hAnsi="华文仿宋" w:cs="华文仿宋"/>
          <w:color w:val="auto"/>
          <w:highlight w:val="none"/>
        </w:rPr>
      </w:pPr>
      <w:r>
        <w:rPr>
          <w:rFonts w:hint="eastAsia" w:cs="华文仿宋"/>
          <w:color w:val="auto"/>
          <w:highlight w:val="none"/>
        </w:rPr>
        <w:t>投标人</w:t>
      </w:r>
      <w:r>
        <w:rPr>
          <w:rFonts w:hint="eastAsia" w:ascii="华文仿宋" w:hAnsi="华文仿宋" w:cs="华文仿宋"/>
          <w:color w:val="auto"/>
          <w:highlight w:val="none"/>
        </w:rPr>
        <w:t>：</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14:paraId="45840D7E">
      <w:pPr>
        <w:tabs>
          <w:tab w:val="left" w:pos="5670"/>
        </w:tabs>
        <w:spacing w:line="500" w:lineRule="exact"/>
        <w:ind w:firstLine="5377" w:firstLineChars="1900"/>
        <w:jc w:val="left"/>
        <w:rPr>
          <w:rFonts w:ascii="华文仿宋" w:hAnsi="华文仿宋" w:cs="华文仿宋"/>
          <w:color w:val="auto"/>
          <w:highlight w:val="none"/>
        </w:rPr>
      </w:pPr>
      <w:r>
        <w:rPr>
          <w:rFonts w:hint="eastAsia" w:ascii="华文仿宋" w:hAnsi="华文仿宋" w:cs="华文仿宋"/>
          <w:color w:val="auto"/>
          <w:highlight w:val="none"/>
        </w:rPr>
        <w:t>日期：　　年　月　日</w:t>
      </w:r>
    </w:p>
    <w:p w14:paraId="7F6F918F">
      <w:pPr>
        <w:pStyle w:val="23"/>
        <w:ind w:firstLine="183"/>
        <w:rPr>
          <w:rFonts w:ascii="华文仿宋"/>
          <w:color w:val="auto"/>
          <w:highlight w:val="none"/>
        </w:rPr>
      </w:pPr>
    </w:p>
    <w:p w14:paraId="5E6FF076">
      <w:pPr>
        <w:rPr>
          <w:rFonts w:ascii="华文仿宋" w:cs="Times New Roman"/>
          <w:color w:val="auto"/>
          <w:highlight w:val="none"/>
        </w:rPr>
      </w:pPr>
      <w:r>
        <w:rPr>
          <w:rFonts w:hint="eastAsia" w:ascii="宋体" w:hAnsi="宋体" w:eastAsia="宋体" w:cs="宋体"/>
          <w:color w:val="auto"/>
          <w:sz w:val="21"/>
          <w:szCs w:val="21"/>
          <w:highlight w:val="none"/>
        </w:rPr>
        <w:t>备注：项目不分标段的，第___标段空白处填写“/”。</w:t>
      </w:r>
    </w:p>
    <w:p w14:paraId="3FBF1E56">
      <w:pPr>
        <w:pStyle w:val="23"/>
        <w:ind w:firstLine="183"/>
        <w:rPr>
          <w:rFonts w:ascii="华文仿宋"/>
          <w:color w:val="auto"/>
          <w:highlight w:val="none"/>
        </w:rPr>
      </w:pPr>
    </w:p>
    <w:p w14:paraId="7B6F3C79">
      <w:pPr>
        <w:pStyle w:val="23"/>
        <w:ind w:firstLine="183"/>
        <w:rPr>
          <w:rFonts w:ascii="华文仿宋"/>
          <w:color w:val="auto"/>
          <w:highlight w:val="none"/>
        </w:rPr>
      </w:pPr>
    </w:p>
    <w:p w14:paraId="2B40678C">
      <w:pPr>
        <w:pStyle w:val="23"/>
        <w:ind w:firstLine="183"/>
        <w:rPr>
          <w:rFonts w:ascii="华文仿宋"/>
          <w:color w:val="auto"/>
          <w:highlight w:val="none"/>
        </w:rPr>
      </w:pPr>
    </w:p>
    <w:p w14:paraId="00EFC643">
      <w:pPr>
        <w:pStyle w:val="23"/>
        <w:ind w:firstLine="183"/>
        <w:rPr>
          <w:rFonts w:ascii="华文仿宋"/>
          <w:color w:val="auto"/>
          <w:highlight w:val="none"/>
        </w:rPr>
      </w:pPr>
    </w:p>
    <w:p w14:paraId="51BB589D">
      <w:pPr>
        <w:pStyle w:val="23"/>
        <w:ind w:firstLine="183"/>
        <w:rPr>
          <w:rFonts w:ascii="华文仿宋"/>
          <w:color w:val="auto"/>
          <w:highlight w:val="none"/>
        </w:rPr>
      </w:pPr>
    </w:p>
    <w:p w14:paraId="371EC0E2">
      <w:pPr>
        <w:pStyle w:val="23"/>
        <w:ind w:firstLine="183"/>
        <w:rPr>
          <w:rFonts w:ascii="华文仿宋"/>
          <w:color w:val="auto"/>
          <w:highlight w:val="none"/>
        </w:rPr>
      </w:pPr>
    </w:p>
    <w:p w14:paraId="5A4530F8">
      <w:pPr>
        <w:pStyle w:val="23"/>
        <w:ind w:firstLine="183"/>
        <w:rPr>
          <w:rFonts w:ascii="华文仿宋"/>
          <w:color w:val="auto"/>
          <w:highlight w:val="none"/>
        </w:rPr>
      </w:pPr>
    </w:p>
    <w:p w14:paraId="03CA3E7B">
      <w:pPr>
        <w:pStyle w:val="23"/>
        <w:ind w:firstLine="183"/>
        <w:rPr>
          <w:rFonts w:ascii="华文仿宋"/>
          <w:color w:val="auto"/>
          <w:highlight w:val="none"/>
        </w:rPr>
      </w:pPr>
    </w:p>
    <w:p w14:paraId="7BDA0F92">
      <w:pPr>
        <w:pStyle w:val="23"/>
        <w:ind w:firstLine="183"/>
        <w:rPr>
          <w:rFonts w:ascii="华文仿宋"/>
          <w:color w:val="auto"/>
          <w:highlight w:val="none"/>
        </w:rPr>
      </w:pPr>
    </w:p>
    <w:p w14:paraId="2F9E6FDD">
      <w:pPr>
        <w:pStyle w:val="23"/>
        <w:ind w:firstLine="183"/>
        <w:rPr>
          <w:rFonts w:ascii="华文仿宋"/>
          <w:color w:val="auto"/>
          <w:highlight w:val="none"/>
        </w:rPr>
      </w:pPr>
    </w:p>
    <w:p w14:paraId="53EB1A4D">
      <w:pPr>
        <w:pStyle w:val="23"/>
        <w:ind w:firstLine="183"/>
        <w:rPr>
          <w:rFonts w:ascii="华文仿宋"/>
          <w:color w:val="auto"/>
          <w:highlight w:val="none"/>
        </w:rPr>
      </w:pPr>
    </w:p>
    <w:p w14:paraId="3C15668D">
      <w:pPr>
        <w:pStyle w:val="23"/>
        <w:ind w:firstLine="183"/>
        <w:rPr>
          <w:rFonts w:ascii="华文仿宋"/>
          <w:color w:val="auto"/>
          <w:highlight w:val="none"/>
        </w:rPr>
      </w:pPr>
    </w:p>
    <w:p w14:paraId="203BC431">
      <w:pPr>
        <w:pStyle w:val="23"/>
        <w:ind w:firstLine="183"/>
        <w:rPr>
          <w:rFonts w:ascii="华文仿宋"/>
          <w:color w:val="auto"/>
          <w:highlight w:val="none"/>
        </w:rPr>
      </w:pPr>
    </w:p>
    <w:p w14:paraId="4BBB9D0E">
      <w:pPr>
        <w:pStyle w:val="23"/>
        <w:ind w:firstLine="183"/>
        <w:rPr>
          <w:rFonts w:ascii="华文仿宋"/>
          <w:color w:val="auto"/>
          <w:highlight w:val="none"/>
        </w:rPr>
      </w:pPr>
    </w:p>
    <w:p w14:paraId="1E66FCCD">
      <w:pPr>
        <w:pStyle w:val="23"/>
        <w:ind w:firstLine="183"/>
        <w:rPr>
          <w:rFonts w:ascii="华文仿宋"/>
          <w:color w:val="auto"/>
          <w:highlight w:val="none"/>
        </w:rPr>
      </w:pPr>
    </w:p>
    <w:p w14:paraId="23A92B4B">
      <w:pPr>
        <w:pStyle w:val="23"/>
        <w:ind w:firstLine="183"/>
        <w:rPr>
          <w:rFonts w:ascii="华文仿宋"/>
          <w:color w:val="auto"/>
          <w:highlight w:val="none"/>
        </w:rPr>
      </w:pPr>
    </w:p>
    <w:p w14:paraId="03DCD37F">
      <w:pPr>
        <w:pStyle w:val="23"/>
        <w:ind w:firstLine="183"/>
        <w:rPr>
          <w:rFonts w:ascii="华文仿宋"/>
          <w:color w:val="auto"/>
          <w:highlight w:val="none"/>
        </w:rPr>
      </w:pPr>
    </w:p>
    <w:p w14:paraId="33629E75">
      <w:pPr>
        <w:pStyle w:val="23"/>
        <w:ind w:firstLine="0" w:firstLineChars="0"/>
        <w:rPr>
          <w:rFonts w:ascii="华文仿宋"/>
          <w:color w:val="auto"/>
          <w:highlight w:val="none"/>
        </w:rPr>
      </w:pPr>
    </w:p>
    <w:p w14:paraId="3BDC69CF">
      <w:pPr>
        <w:pStyle w:val="49"/>
        <w:spacing w:line="500" w:lineRule="exact"/>
        <w:outlineLvl w:val="0"/>
        <w:rPr>
          <w:rFonts w:ascii="黑体" w:hAnsi="黑体" w:eastAsia="黑体" w:cs="Times New Roman"/>
          <w:b w:val="0"/>
          <w:bCs w:val="0"/>
          <w:color w:val="auto"/>
          <w:highlight w:val="none"/>
        </w:rPr>
      </w:pPr>
      <w:bookmarkStart w:id="507" w:name="_Toc19563"/>
      <w:bookmarkStart w:id="508" w:name="_Toc25329"/>
      <w:r>
        <w:rPr>
          <w:rFonts w:hint="eastAsia" w:ascii="黑体" w:hAnsi="黑体" w:eastAsia="黑体" w:cs="黑体"/>
          <w:b w:val="0"/>
          <w:bCs w:val="0"/>
          <w:color w:val="auto"/>
          <w:highlight w:val="none"/>
        </w:rPr>
        <w:t>第二部分  符合性证明文件</w:t>
      </w:r>
      <w:bookmarkEnd w:id="500"/>
      <w:bookmarkEnd w:id="507"/>
      <w:bookmarkEnd w:id="508"/>
    </w:p>
    <w:p w14:paraId="0E63A797">
      <w:pPr>
        <w:pStyle w:val="50"/>
        <w:ind w:firstLine="606" w:firstLineChars="200"/>
        <w:jc w:val="both"/>
        <w:rPr>
          <w:rFonts w:hint="eastAsia" w:ascii="仿宋" w:hAnsi="仿宋" w:eastAsia="仿宋" w:cs="仿宋"/>
          <w:color w:val="auto"/>
          <w:sz w:val="30"/>
          <w:szCs w:val="30"/>
          <w:highlight w:val="none"/>
        </w:rPr>
      </w:pPr>
      <w:bookmarkStart w:id="509" w:name="_Toc30414"/>
      <w:bookmarkStart w:id="510" w:name="_Toc17687"/>
      <w:bookmarkStart w:id="511" w:name="_Toc30709"/>
      <w:bookmarkStart w:id="512" w:name="_Toc4366"/>
      <w:bookmarkStart w:id="513" w:name="_Toc23035"/>
      <w:bookmarkStart w:id="514" w:name="_Toc4834"/>
      <w:bookmarkStart w:id="515" w:name="_Toc32108"/>
      <w:bookmarkStart w:id="516" w:name="_Toc28397"/>
      <w:bookmarkStart w:id="517" w:name="_Toc16590"/>
      <w:bookmarkStart w:id="518" w:name="_Toc31044"/>
      <w:bookmarkStart w:id="519" w:name="_Toc9124"/>
      <w:bookmarkStart w:id="520" w:name="_Toc26064"/>
      <w:bookmarkStart w:id="521" w:name="_Toc26252"/>
      <w:bookmarkStart w:id="522" w:name="_Toc1167"/>
      <w:bookmarkStart w:id="523" w:name="_Toc5204"/>
      <w:r>
        <w:rPr>
          <w:rFonts w:hint="eastAsia" w:ascii="仿宋" w:hAnsi="仿宋" w:eastAsia="仿宋" w:cs="仿宋"/>
          <w:color w:val="auto"/>
          <w:sz w:val="30"/>
          <w:szCs w:val="30"/>
          <w:highlight w:val="none"/>
        </w:rPr>
        <w:t>一、投标函格式</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664CBFEB">
      <w:pPr>
        <w:pStyle w:val="49"/>
        <w:spacing w:line="500" w:lineRule="exact"/>
        <w:outlineLvl w:val="9"/>
        <w:rPr>
          <w:rFonts w:ascii="黑体" w:hAnsi="黑体" w:eastAsia="黑体" w:cs="Times New Roman"/>
          <w:b w:val="0"/>
          <w:bCs w:val="0"/>
          <w:color w:val="auto"/>
          <w:highlight w:val="none"/>
        </w:rPr>
      </w:pPr>
      <w:bookmarkStart w:id="524" w:name="_Toc18782"/>
      <w:bookmarkStart w:id="525" w:name="_Toc6798"/>
      <w:bookmarkStart w:id="526" w:name="_Toc17151"/>
      <w:bookmarkStart w:id="527" w:name="_Toc30597"/>
      <w:bookmarkStart w:id="528" w:name="_Toc12334"/>
      <w:bookmarkStart w:id="529" w:name="_Toc7316"/>
      <w:bookmarkStart w:id="530" w:name="_Toc528596088"/>
      <w:bookmarkStart w:id="531" w:name="_Toc5467"/>
      <w:bookmarkStart w:id="532" w:name="_Toc19672"/>
      <w:bookmarkStart w:id="533" w:name="_Toc23313"/>
      <w:bookmarkStart w:id="534" w:name="_Toc29087"/>
      <w:bookmarkStart w:id="535" w:name="_Toc20547"/>
      <w:bookmarkStart w:id="536" w:name="_Toc23615"/>
      <w:bookmarkStart w:id="537" w:name="_Toc16608"/>
      <w:bookmarkStart w:id="538" w:name="_Toc2848"/>
      <w:bookmarkStart w:id="539" w:name="_Toc16759"/>
      <w:bookmarkStart w:id="540" w:name="_Toc18135"/>
      <w:bookmarkStart w:id="541" w:name="_Toc21850"/>
      <w:r>
        <w:rPr>
          <w:rFonts w:hint="eastAsia" w:ascii="黑体" w:hAnsi="黑体" w:eastAsia="黑体" w:cs="黑体"/>
          <w:b w:val="0"/>
          <w:bCs w:val="0"/>
          <w:color w:val="auto"/>
          <w:highlight w:val="none"/>
        </w:rPr>
        <w:t>投标函</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01D6E2AB">
      <w:pPr>
        <w:pStyle w:val="48"/>
        <w:spacing w:line="500" w:lineRule="exact"/>
        <w:ind w:firstLine="0" w:firstLineChars="0"/>
        <w:rPr>
          <w:rFonts w:ascii="仿宋" w:hAnsi="仿宋" w:eastAsia="仿宋" w:cs="Times New Roman"/>
          <w:color w:val="auto"/>
          <w:highlight w:val="none"/>
          <w:lang w:val="zh-CN"/>
        </w:rPr>
      </w:pPr>
      <w:r>
        <w:rPr>
          <w:rFonts w:hint="eastAsia" w:ascii="仿宋" w:hAnsi="仿宋" w:eastAsia="仿宋" w:cs="仿宋"/>
          <w:color w:val="auto"/>
          <w:highlight w:val="none"/>
        </w:rPr>
        <w:t>陕西省省级单位政府采购中心</w:t>
      </w:r>
      <w:r>
        <w:rPr>
          <w:rFonts w:hint="eastAsia" w:ascii="仿宋" w:hAnsi="仿宋" w:eastAsia="仿宋" w:cs="仿宋"/>
          <w:color w:val="auto"/>
          <w:highlight w:val="none"/>
          <w:lang w:val="zh-CN"/>
        </w:rPr>
        <w:t>：</w:t>
      </w:r>
    </w:p>
    <w:p w14:paraId="08D083F5">
      <w:pPr>
        <w:spacing w:line="500" w:lineRule="exact"/>
        <w:ind w:right="11" w:firstLine="566" w:firstLineChars="200"/>
        <w:rPr>
          <w:rFonts w:ascii="仿宋" w:hAnsi="仿宋" w:eastAsia="仿宋" w:cs="Times New Roman"/>
          <w:color w:val="auto"/>
          <w:highlight w:val="none"/>
        </w:rPr>
      </w:pPr>
      <w:r>
        <w:rPr>
          <w:rFonts w:hint="eastAsia" w:ascii="仿宋" w:hAnsi="仿宋" w:eastAsia="仿宋" w:cs="仿宋"/>
          <w:color w:val="auto"/>
          <w:highlight w:val="none"/>
        </w:rPr>
        <w:t>我方收到贵中心发布的</w:t>
      </w:r>
      <w:r>
        <w:rPr>
          <w:rFonts w:hint="eastAsia" w:ascii="仿宋" w:hAnsi="仿宋" w:eastAsia="仿宋" w:cs="仿宋"/>
          <w:color w:val="auto"/>
          <w:highlight w:val="none"/>
          <w:u w:val="single"/>
          <w:lang w:val="en-US" w:eastAsia="zh-CN"/>
        </w:rPr>
        <w:t xml:space="preserve"> </w:t>
      </w:r>
      <w:r>
        <w:rPr>
          <w:rFonts w:hint="eastAsia" w:ascii="华文仿宋" w:hAnsi="华文仿宋" w:cs="华文仿宋"/>
          <w:color w:val="auto"/>
          <w:highlight w:val="none"/>
          <w:u w:val="single"/>
        </w:rPr>
        <w:t>项目名称</w:t>
      </w:r>
      <w:r>
        <w:rPr>
          <w:rFonts w:hint="eastAsia" w:ascii="华文仿宋" w:hAnsi="华文仿宋" w:cs="华文仿宋"/>
          <w:color w:val="auto"/>
          <w:highlight w:val="none"/>
          <w:u w:val="single"/>
          <w:lang w:val="en-US" w:eastAsia="zh-CN"/>
        </w:rPr>
        <w:t xml:space="preserve"> </w:t>
      </w:r>
      <w:r>
        <w:rPr>
          <w:rFonts w:hint="eastAsia" w:ascii="华文仿宋" w:hAnsi="华文仿宋" w:cs="华文仿宋"/>
          <w:color w:val="auto"/>
          <w:highlight w:val="none"/>
        </w:rPr>
        <w:t>（项目编号：</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标段招标文件，经详细研究，我方决定参加该项目第</w:t>
      </w:r>
      <w:r>
        <w:rPr>
          <w:rFonts w:hint="eastAsia" w:ascii="华文仿宋" w:hAnsi="华文仿宋" w:cs="华文仿宋"/>
          <w:color w:val="auto"/>
          <w:highlight w:val="none"/>
          <w:u w:val="single"/>
        </w:rPr>
        <w:t xml:space="preserve">  </w:t>
      </w:r>
      <w:r>
        <w:rPr>
          <w:rFonts w:hint="eastAsia" w:ascii="华文仿宋" w:hAnsi="华文仿宋" w:cs="华文仿宋"/>
          <w:color w:val="auto"/>
          <w:highlight w:val="none"/>
        </w:rPr>
        <w:t>标段招标活动。为</w:t>
      </w:r>
      <w:r>
        <w:rPr>
          <w:rFonts w:hint="eastAsia" w:ascii="仿宋" w:hAnsi="仿宋" w:eastAsia="仿宋" w:cs="仿宋"/>
          <w:color w:val="auto"/>
          <w:highlight w:val="none"/>
        </w:rPr>
        <w:t>此，我方郑重声明以下诸点，并负法律责任。</w:t>
      </w:r>
    </w:p>
    <w:p w14:paraId="34F2E353">
      <w:pPr>
        <w:pStyle w:val="48"/>
        <w:spacing w:line="500" w:lineRule="exact"/>
        <w:ind w:firstLine="567"/>
        <w:rPr>
          <w:rFonts w:cs="Times New Roman"/>
          <w:color w:val="auto"/>
          <w:highlight w:val="none"/>
        </w:rPr>
      </w:pPr>
      <w:r>
        <w:rPr>
          <w:rFonts w:hint="eastAsia" w:cs="华文仿宋"/>
          <w:color w:val="auto"/>
          <w:highlight w:val="none"/>
        </w:rPr>
        <w:t>一、我方已详细阅读了招标文件，完全理解并同意招标文件的所有事项及内容。</w:t>
      </w:r>
    </w:p>
    <w:p w14:paraId="3226ABCE">
      <w:pPr>
        <w:pStyle w:val="48"/>
        <w:spacing w:line="500" w:lineRule="exact"/>
        <w:ind w:firstLine="567"/>
        <w:rPr>
          <w:rFonts w:ascii="仿宋" w:hAnsi="仿宋" w:eastAsia="仿宋" w:cs="仿宋"/>
          <w:color w:val="auto"/>
          <w:highlight w:val="none"/>
        </w:rPr>
      </w:pPr>
      <w:r>
        <w:rPr>
          <w:rFonts w:hint="eastAsia" w:ascii="仿宋" w:hAnsi="仿宋" w:eastAsia="仿宋" w:cs="仿宋"/>
          <w:color w:val="auto"/>
          <w:highlight w:val="none"/>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14:paraId="2744E8CD">
      <w:pPr>
        <w:pStyle w:val="48"/>
        <w:spacing w:line="500" w:lineRule="exact"/>
        <w:ind w:firstLine="567"/>
        <w:rPr>
          <w:rFonts w:ascii="仿宋" w:hAnsi="仿宋" w:eastAsia="仿宋" w:cs="仿宋"/>
          <w:color w:val="auto"/>
          <w:highlight w:val="none"/>
        </w:rPr>
      </w:pPr>
      <w:r>
        <w:rPr>
          <w:rFonts w:hint="eastAsia" w:ascii="仿宋" w:hAnsi="仿宋" w:eastAsia="仿宋" w:cs="仿宋"/>
          <w:color w:val="auto"/>
          <w:highlight w:val="none"/>
        </w:rPr>
        <w:t>三、我方同意向贵方提供与本投标有关的任何证明材料，保证所提交的证明材料真实、合法、有效。我方理解最低价不是中标的唯一条件，并尊重评标委员会的评审结果。</w:t>
      </w:r>
    </w:p>
    <w:p w14:paraId="5DC9865A">
      <w:pPr>
        <w:pStyle w:val="48"/>
        <w:spacing w:line="500" w:lineRule="exact"/>
        <w:ind w:firstLine="567"/>
        <w:rPr>
          <w:rFonts w:ascii="仿宋" w:hAnsi="仿宋" w:eastAsia="仿宋" w:cs="仿宋"/>
          <w:color w:val="auto"/>
          <w:highlight w:val="none"/>
        </w:rPr>
      </w:pPr>
      <w:r>
        <w:rPr>
          <w:rFonts w:hint="eastAsia" w:ascii="仿宋" w:hAnsi="仿宋" w:eastAsia="仿宋" w:cs="仿宋"/>
          <w:color w:val="auto"/>
          <w:highlight w:val="none"/>
        </w:rPr>
        <w:t>四、我方愿意按照招标文件中的一切要求，完成本项目合同责任和义务。</w:t>
      </w:r>
    </w:p>
    <w:p w14:paraId="0FFBDC79">
      <w:pPr>
        <w:pStyle w:val="48"/>
        <w:spacing w:line="500" w:lineRule="exact"/>
        <w:ind w:firstLine="567"/>
        <w:rPr>
          <w:rFonts w:ascii="仿宋" w:hAnsi="仿宋" w:eastAsia="仿宋" w:cs="仿宋"/>
          <w:color w:val="auto"/>
          <w:highlight w:val="none"/>
        </w:rPr>
      </w:pPr>
      <w:r>
        <w:rPr>
          <w:rFonts w:hint="eastAsia" w:ascii="仿宋" w:hAnsi="仿宋" w:eastAsia="仿宋" w:cs="仿宋"/>
          <w:color w:val="auto"/>
          <w:highlight w:val="none"/>
        </w:rPr>
        <w:t>五、按招标文件的规定，完成本项目采购内容并验收合格的投标报价以开标一览表为准。</w:t>
      </w:r>
    </w:p>
    <w:p w14:paraId="3271D391">
      <w:pPr>
        <w:pStyle w:val="21"/>
        <w:wordWrap w:val="0"/>
        <w:spacing w:beforeAutospacing="0" w:afterAutospacing="0" w:line="500" w:lineRule="exact"/>
        <w:ind w:firstLine="566" w:firstLineChars="200"/>
        <w:rPr>
          <w:rFonts w:cs="Times New Roman"/>
          <w:color w:val="auto"/>
          <w:kern w:val="2"/>
          <w:sz w:val="28"/>
          <w:szCs w:val="28"/>
          <w:highlight w:val="none"/>
        </w:rPr>
      </w:pPr>
      <w:r>
        <w:rPr>
          <w:rFonts w:hint="eastAsia" w:cs="华文仿宋"/>
          <w:color w:val="auto"/>
          <w:kern w:val="2"/>
          <w:sz w:val="28"/>
          <w:szCs w:val="28"/>
          <w:highlight w:val="none"/>
        </w:rPr>
        <w:t>六、我方提交的</w:t>
      </w:r>
      <w:r>
        <w:rPr>
          <w:rFonts w:hint="eastAsia" w:cs="华文仿宋"/>
          <w:b/>
          <w:bCs/>
          <w:color w:val="auto"/>
          <w:kern w:val="2"/>
          <w:sz w:val="28"/>
          <w:szCs w:val="28"/>
          <w:highlight w:val="none"/>
        </w:rPr>
        <w:t>电子投标文件</w:t>
      </w:r>
      <w:r>
        <w:rPr>
          <w:rFonts w:hint="eastAsia" w:cs="华文仿宋"/>
          <w:b/>
          <w:bCs/>
          <w:color w:val="auto"/>
          <w:kern w:val="2"/>
          <w:sz w:val="28"/>
          <w:szCs w:val="28"/>
          <w:highlight w:val="none"/>
          <w:u w:val="single"/>
        </w:rPr>
        <w:t>1</w:t>
      </w:r>
      <w:r>
        <w:rPr>
          <w:rFonts w:hint="eastAsia" w:cs="华文仿宋"/>
          <w:b/>
          <w:bCs/>
          <w:color w:val="auto"/>
          <w:kern w:val="2"/>
          <w:sz w:val="28"/>
          <w:szCs w:val="28"/>
          <w:highlight w:val="none"/>
        </w:rPr>
        <w:t>份</w:t>
      </w:r>
      <w:r>
        <w:rPr>
          <w:rFonts w:hint="eastAsia" w:cs="华文仿宋"/>
          <w:color w:val="auto"/>
          <w:kern w:val="2"/>
          <w:sz w:val="28"/>
          <w:szCs w:val="28"/>
          <w:highlight w:val="none"/>
        </w:rPr>
        <w:t>。</w:t>
      </w:r>
    </w:p>
    <w:p w14:paraId="02B8AF59">
      <w:pPr>
        <w:pStyle w:val="48"/>
        <w:spacing w:line="500" w:lineRule="exact"/>
        <w:ind w:firstLine="567"/>
        <w:rPr>
          <w:rFonts w:cs="Times New Roman"/>
          <w:color w:val="auto"/>
          <w:highlight w:val="none"/>
        </w:rPr>
      </w:pPr>
      <w:r>
        <w:rPr>
          <w:rFonts w:hint="eastAsia" w:cs="华文仿宋"/>
          <w:color w:val="auto"/>
          <w:highlight w:val="none"/>
        </w:rPr>
        <w:t>七、开标后在规定的投标有效期内撤回投标，我们愿接受政府采购的有关处罚决定。</w:t>
      </w:r>
    </w:p>
    <w:p w14:paraId="06CBD3FF">
      <w:pPr>
        <w:autoSpaceDE w:val="0"/>
        <w:autoSpaceDN w:val="0"/>
        <w:adjustRightInd w:val="0"/>
        <w:spacing w:line="500" w:lineRule="exact"/>
        <w:ind w:firstLine="566" w:firstLineChars="200"/>
        <w:rPr>
          <w:rFonts w:cs="Times New Roman"/>
          <w:color w:val="auto"/>
          <w:highlight w:val="none"/>
        </w:rPr>
      </w:pPr>
      <w:r>
        <w:rPr>
          <w:rFonts w:hint="eastAsia" w:cs="华文仿宋"/>
          <w:color w:val="auto"/>
          <w:highlight w:val="none"/>
        </w:rPr>
        <w:t>八、我方的投标文件在开标之日起</w:t>
      </w:r>
      <w:r>
        <w:rPr>
          <w:rFonts w:hint="eastAsia" w:ascii="仿宋" w:hAnsi="仿宋" w:eastAsia="仿宋" w:cs="仿宋"/>
          <w:b/>
          <w:bCs/>
          <w:color w:val="auto"/>
          <w:highlight w:val="none"/>
          <w:u w:val="single"/>
        </w:rPr>
        <w:t>90</w:t>
      </w:r>
      <w:r>
        <w:rPr>
          <w:rFonts w:hint="eastAsia" w:cs="华文仿宋"/>
          <w:color w:val="auto"/>
          <w:highlight w:val="none"/>
        </w:rPr>
        <w:t>个日历日内有效，如中标，延长至合同执行完毕时止。</w:t>
      </w:r>
    </w:p>
    <w:p w14:paraId="14D10BFF">
      <w:pPr>
        <w:pStyle w:val="48"/>
        <w:spacing w:line="500" w:lineRule="exact"/>
        <w:ind w:firstLine="567"/>
        <w:rPr>
          <w:rFonts w:cs="Times New Roman"/>
          <w:color w:val="auto"/>
          <w:highlight w:val="none"/>
        </w:rPr>
      </w:pPr>
      <w:r>
        <w:rPr>
          <w:rFonts w:hint="eastAsia" w:cs="华文仿宋"/>
          <w:color w:val="auto"/>
          <w:highlight w:val="none"/>
        </w:rPr>
        <w:t>九、所有关于此次招标活动的函电，请按下列地址联系：</w:t>
      </w:r>
    </w:p>
    <w:p w14:paraId="16FBBFF4">
      <w:pPr>
        <w:pStyle w:val="48"/>
        <w:spacing w:line="500" w:lineRule="exact"/>
        <w:ind w:firstLine="567"/>
        <w:rPr>
          <w:rFonts w:cs="Times New Roman"/>
          <w:color w:val="auto"/>
          <w:highlight w:val="none"/>
        </w:rPr>
      </w:pPr>
    </w:p>
    <w:p w14:paraId="112A48AC">
      <w:pPr>
        <w:pStyle w:val="48"/>
        <w:spacing w:line="500" w:lineRule="exact"/>
        <w:ind w:firstLine="567"/>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14:paraId="24957A08">
      <w:pPr>
        <w:pStyle w:val="48"/>
        <w:spacing w:line="500" w:lineRule="exact"/>
        <w:ind w:firstLine="567"/>
        <w:rPr>
          <w:rFonts w:cs="Times New Roman"/>
          <w:color w:val="auto"/>
          <w:highlight w:val="none"/>
        </w:rPr>
      </w:pPr>
      <w:r>
        <w:rPr>
          <w:rFonts w:hint="eastAsia" w:cs="华文仿宋"/>
          <w:color w:val="auto"/>
          <w:highlight w:val="none"/>
        </w:rPr>
        <w:t>地址：</w:t>
      </w:r>
    </w:p>
    <w:p w14:paraId="78507EF3">
      <w:pPr>
        <w:pStyle w:val="48"/>
        <w:spacing w:line="500" w:lineRule="exact"/>
        <w:ind w:firstLine="567"/>
        <w:rPr>
          <w:rFonts w:cs="Times New Roman"/>
          <w:color w:val="auto"/>
          <w:highlight w:val="none"/>
        </w:rPr>
      </w:pPr>
      <w:r>
        <w:rPr>
          <w:rFonts w:hint="eastAsia" w:cs="华文仿宋"/>
          <w:color w:val="auto"/>
          <w:highlight w:val="none"/>
        </w:rPr>
        <w:t>开户银行：</w:t>
      </w:r>
    </w:p>
    <w:p w14:paraId="05A4724A">
      <w:pPr>
        <w:pStyle w:val="48"/>
        <w:spacing w:line="500" w:lineRule="exact"/>
        <w:ind w:firstLine="567"/>
        <w:rPr>
          <w:rFonts w:cs="Times New Roman"/>
          <w:color w:val="auto"/>
          <w:highlight w:val="none"/>
        </w:rPr>
      </w:pPr>
      <w:r>
        <w:rPr>
          <w:rFonts w:hint="eastAsia" w:cs="华文仿宋"/>
          <w:color w:val="auto"/>
          <w:highlight w:val="none"/>
        </w:rPr>
        <w:t>账号：</w:t>
      </w:r>
    </w:p>
    <w:p w14:paraId="489DC84C">
      <w:pPr>
        <w:pStyle w:val="48"/>
        <w:spacing w:line="500" w:lineRule="exact"/>
        <w:ind w:firstLine="567"/>
        <w:rPr>
          <w:rFonts w:cs="Times New Roman"/>
          <w:color w:val="auto"/>
          <w:highlight w:val="none"/>
        </w:rPr>
      </w:pPr>
      <w:r>
        <w:rPr>
          <w:rFonts w:hint="eastAsia" w:cs="华文仿宋"/>
          <w:color w:val="auto"/>
          <w:highlight w:val="none"/>
        </w:rPr>
        <w:t>电话：</w:t>
      </w:r>
    </w:p>
    <w:p w14:paraId="7300501E">
      <w:pPr>
        <w:pStyle w:val="48"/>
        <w:spacing w:line="500" w:lineRule="exact"/>
        <w:ind w:firstLine="567"/>
        <w:rPr>
          <w:rFonts w:cs="Times New Roman"/>
          <w:color w:val="auto"/>
          <w:highlight w:val="none"/>
        </w:rPr>
      </w:pPr>
      <w:r>
        <w:rPr>
          <w:rFonts w:hint="eastAsia" w:cs="华文仿宋"/>
          <w:color w:val="auto"/>
          <w:highlight w:val="none"/>
        </w:rPr>
        <w:t>传真：</w:t>
      </w:r>
    </w:p>
    <w:p w14:paraId="1B99730F">
      <w:pPr>
        <w:pStyle w:val="48"/>
        <w:spacing w:line="500" w:lineRule="exact"/>
        <w:ind w:firstLine="567"/>
        <w:rPr>
          <w:rFonts w:cs="Times New Roman"/>
          <w:color w:val="auto"/>
          <w:highlight w:val="none"/>
        </w:rPr>
      </w:pPr>
      <w:r>
        <w:rPr>
          <w:rFonts w:hint="eastAsia" w:cs="华文仿宋"/>
          <w:color w:val="auto"/>
          <w:highlight w:val="none"/>
        </w:rPr>
        <w:t>邮编：</w:t>
      </w:r>
    </w:p>
    <w:p w14:paraId="2FD08FBC">
      <w:pPr>
        <w:pStyle w:val="48"/>
        <w:spacing w:line="500" w:lineRule="exact"/>
        <w:ind w:firstLine="567"/>
        <w:rPr>
          <w:rFonts w:cs="Times New Roman"/>
          <w:color w:val="auto"/>
          <w:highlight w:val="none"/>
        </w:rPr>
      </w:pPr>
      <w:r>
        <w:rPr>
          <w:rFonts w:hint="eastAsia" w:cs="华文仿宋"/>
          <w:color w:val="auto"/>
          <w:highlight w:val="none"/>
        </w:rPr>
        <w:t>电子邮箱：</w:t>
      </w:r>
    </w:p>
    <w:p w14:paraId="1DF8F008">
      <w:pPr>
        <w:pStyle w:val="48"/>
        <w:spacing w:line="500" w:lineRule="exact"/>
        <w:ind w:firstLine="567"/>
        <w:rPr>
          <w:rFonts w:cs="Times New Roman"/>
          <w:color w:val="auto"/>
          <w:highlight w:val="none"/>
        </w:rPr>
      </w:pPr>
      <w:r>
        <w:rPr>
          <w:rFonts w:hint="eastAsia" w:cs="华文仿宋"/>
          <w:color w:val="auto"/>
          <w:highlight w:val="none"/>
        </w:rPr>
        <w:t>日期：　　年　月　日</w:t>
      </w:r>
    </w:p>
    <w:p w14:paraId="5DE65369">
      <w:pPr>
        <w:pStyle w:val="48"/>
        <w:ind w:firstLine="0" w:firstLineChars="0"/>
        <w:rPr>
          <w:rFonts w:cs="Times New Roman"/>
          <w:color w:val="auto"/>
          <w:sz w:val="36"/>
          <w:szCs w:val="36"/>
          <w:highlight w:val="none"/>
        </w:rPr>
      </w:pPr>
    </w:p>
    <w:p w14:paraId="3412FB8A">
      <w:pPr>
        <w:pStyle w:val="48"/>
        <w:ind w:firstLine="0" w:firstLineChars="0"/>
        <w:rPr>
          <w:rFonts w:cs="Times New Roman"/>
          <w:color w:val="auto"/>
          <w:sz w:val="36"/>
          <w:szCs w:val="36"/>
          <w:highlight w:val="none"/>
        </w:rPr>
      </w:pPr>
    </w:p>
    <w:p w14:paraId="7C0EAAC1">
      <w:pPr>
        <w:pStyle w:val="48"/>
        <w:ind w:firstLine="0" w:firstLineChars="0"/>
        <w:rPr>
          <w:rFonts w:cs="Times New Roman"/>
          <w:color w:val="auto"/>
          <w:sz w:val="36"/>
          <w:szCs w:val="36"/>
          <w:highlight w:val="none"/>
        </w:rPr>
      </w:pPr>
    </w:p>
    <w:p w14:paraId="64B429C7">
      <w:pPr>
        <w:pStyle w:val="48"/>
        <w:ind w:firstLine="0" w:firstLineChars="0"/>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备注：</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、项目不分标段的，第</w:t>
      </w:r>
      <w:r>
        <w:rPr>
          <w:rFonts w:ascii="宋体" w:hAnsi="宋体" w:eastAsia="宋体" w:cs="宋体"/>
          <w:color w:val="auto"/>
          <w:sz w:val="21"/>
          <w:szCs w:val="21"/>
          <w:highlight w:val="none"/>
        </w:rPr>
        <w:t>___</w:t>
      </w:r>
      <w:r>
        <w:rPr>
          <w:rFonts w:hint="eastAsia" w:ascii="宋体" w:hAnsi="宋体" w:eastAsia="宋体" w:cs="宋体"/>
          <w:color w:val="auto"/>
          <w:sz w:val="21"/>
          <w:szCs w:val="21"/>
          <w:highlight w:val="none"/>
        </w:rPr>
        <w:t>标段空白处填写“</w:t>
      </w:r>
      <w:r>
        <w:rPr>
          <w:rFonts w:ascii="宋体" w:hAnsi="宋体" w:eastAsia="宋体" w:cs="宋体"/>
          <w:color w:val="auto"/>
          <w:sz w:val="21"/>
          <w:szCs w:val="21"/>
          <w:highlight w:val="none"/>
        </w:rPr>
        <w:t>/</w:t>
      </w:r>
      <w:r>
        <w:rPr>
          <w:rFonts w:hint="eastAsia" w:ascii="宋体" w:hAnsi="宋体" w:eastAsia="宋体" w:cs="宋体"/>
          <w:color w:val="auto"/>
          <w:sz w:val="21"/>
          <w:szCs w:val="21"/>
          <w:highlight w:val="none"/>
        </w:rPr>
        <w:t>”。</w:t>
      </w:r>
    </w:p>
    <w:p w14:paraId="77CDE649">
      <w:pPr>
        <w:pStyle w:val="48"/>
        <w:ind w:firstLine="639" w:firstLineChars="300"/>
        <w:rPr>
          <w:rFonts w:ascii="宋体" w:hAnsi="宋体" w:eastAsia="宋体" w:cs="Times New Roman"/>
          <w:color w:val="auto"/>
          <w:sz w:val="21"/>
          <w:szCs w:val="21"/>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、除可填报项目外，对本投标函的任何实质性内容修改将被视为非实质性响应，在评审时将其视为无效响应。</w:t>
      </w:r>
    </w:p>
    <w:p w14:paraId="0F0C8BD3">
      <w:pPr>
        <w:pStyle w:val="48"/>
        <w:ind w:firstLine="0" w:firstLineChars="0"/>
        <w:rPr>
          <w:rFonts w:ascii="宋体" w:hAnsi="宋体" w:eastAsia="宋体" w:cs="Times New Roman"/>
          <w:b/>
          <w:bCs/>
          <w:color w:val="auto"/>
          <w:sz w:val="21"/>
          <w:szCs w:val="21"/>
          <w:highlight w:val="none"/>
        </w:rPr>
      </w:pPr>
    </w:p>
    <w:p w14:paraId="370C9569">
      <w:pPr>
        <w:pStyle w:val="48"/>
        <w:ind w:firstLine="0" w:firstLineChars="0"/>
        <w:rPr>
          <w:rFonts w:ascii="黑体" w:hAnsi="黑体" w:eastAsia="黑体" w:cs="Times New Roman"/>
          <w:color w:val="auto"/>
          <w:sz w:val="32"/>
          <w:szCs w:val="32"/>
          <w:highlight w:val="none"/>
        </w:rPr>
      </w:pPr>
    </w:p>
    <w:p w14:paraId="2DE51529">
      <w:pPr>
        <w:pStyle w:val="48"/>
        <w:ind w:firstLine="0" w:firstLineChars="0"/>
        <w:rPr>
          <w:rFonts w:ascii="黑体" w:hAnsi="黑体" w:eastAsia="黑体" w:cs="Times New Roman"/>
          <w:color w:val="auto"/>
          <w:sz w:val="32"/>
          <w:szCs w:val="32"/>
          <w:highlight w:val="none"/>
        </w:rPr>
      </w:pPr>
    </w:p>
    <w:p w14:paraId="78580705">
      <w:pPr>
        <w:pStyle w:val="48"/>
        <w:ind w:firstLine="0" w:firstLineChars="0"/>
        <w:rPr>
          <w:rFonts w:ascii="黑体" w:hAnsi="黑体" w:eastAsia="黑体" w:cs="Times New Roman"/>
          <w:color w:val="auto"/>
          <w:sz w:val="32"/>
          <w:szCs w:val="32"/>
          <w:highlight w:val="none"/>
        </w:rPr>
      </w:pPr>
    </w:p>
    <w:p w14:paraId="77F05115">
      <w:pPr>
        <w:pStyle w:val="48"/>
        <w:ind w:firstLine="0" w:firstLineChars="0"/>
        <w:rPr>
          <w:rFonts w:ascii="黑体" w:hAnsi="黑体" w:eastAsia="黑体" w:cs="Times New Roman"/>
          <w:color w:val="auto"/>
          <w:sz w:val="32"/>
          <w:szCs w:val="32"/>
          <w:highlight w:val="none"/>
        </w:rPr>
      </w:pPr>
    </w:p>
    <w:p w14:paraId="5B08CD42">
      <w:pPr>
        <w:pStyle w:val="48"/>
        <w:ind w:firstLine="0" w:firstLineChars="0"/>
        <w:rPr>
          <w:rFonts w:ascii="黑体" w:hAnsi="黑体" w:eastAsia="黑体" w:cs="Times New Roman"/>
          <w:color w:val="auto"/>
          <w:sz w:val="32"/>
          <w:szCs w:val="32"/>
          <w:highlight w:val="none"/>
        </w:rPr>
      </w:pPr>
    </w:p>
    <w:p w14:paraId="5F40373E">
      <w:pPr>
        <w:pStyle w:val="48"/>
        <w:ind w:firstLine="0" w:firstLineChars="0"/>
        <w:rPr>
          <w:rFonts w:ascii="黑体" w:hAnsi="黑体" w:eastAsia="黑体" w:cs="Times New Roman"/>
          <w:color w:val="auto"/>
          <w:sz w:val="32"/>
          <w:szCs w:val="32"/>
          <w:highlight w:val="none"/>
        </w:rPr>
      </w:pPr>
    </w:p>
    <w:p w14:paraId="7F451979">
      <w:pPr>
        <w:pStyle w:val="48"/>
        <w:ind w:firstLine="0" w:firstLineChars="0"/>
        <w:rPr>
          <w:rFonts w:ascii="黑体" w:hAnsi="黑体" w:eastAsia="黑体" w:cs="Times New Roman"/>
          <w:color w:val="auto"/>
          <w:sz w:val="32"/>
          <w:szCs w:val="32"/>
          <w:highlight w:val="none"/>
        </w:rPr>
      </w:pPr>
    </w:p>
    <w:p w14:paraId="5935EBD6">
      <w:pPr>
        <w:pStyle w:val="48"/>
        <w:ind w:firstLine="0" w:firstLineChars="0"/>
        <w:rPr>
          <w:rFonts w:ascii="黑体" w:hAnsi="黑体" w:eastAsia="黑体" w:cs="Times New Roman"/>
          <w:color w:val="auto"/>
          <w:sz w:val="32"/>
          <w:szCs w:val="32"/>
          <w:highlight w:val="none"/>
        </w:rPr>
      </w:pPr>
    </w:p>
    <w:p w14:paraId="4FEBC2CA">
      <w:pPr>
        <w:pStyle w:val="48"/>
        <w:ind w:firstLine="0" w:firstLineChars="0"/>
        <w:rPr>
          <w:rFonts w:ascii="黑体" w:hAnsi="黑体" w:eastAsia="黑体" w:cs="Times New Roman"/>
          <w:color w:val="auto"/>
          <w:sz w:val="32"/>
          <w:szCs w:val="32"/>
          <w:highlight w:val="none"/>
        </w:rPr>
      </w:pPr>
    </w:p>
    <w:p w14:paraId="3DC13819">
      <w:pPr>
        <w:pStyle w:val="48"/>
        <w:ind w:firstLine="0" w:firstLineChars="0"/>
        <w:rPr>
          <w:rFonts w:ascii="黑体" w:hAnsi="黑体" w:eastAsia="黑体" w:cs="Times New Roman"/>
          <w:color w:val="auto"/>
          <w:sz w:val="32"/>
          <w:szCs w:val="32"/>
          <w:highlight w:val="none"/>
        </w:rPr>
      </w:pPr>
    </w:p>
    <w:p w14:paraId="4F5B5D4B">
      <w:pPr>
        <w:pStyle w:val="48"/>
        <w:ind w:firstLine="0" w:firstLineChars="0"/>
        <w:rPr>
          <w:rFonts w:ascii="黑体" w:hAnsi="黑体" w:eastAsia="黑体" w:cs="Times New Roman"/>
          <w:color w:val="auto"/>
          <w:sz w:val="32"/>
          <w:szCs w:val="32"/>
          <w:highlight w:val="none"/>
        </w:rPr>
      </w:pPr>
    </w:p>
    <w:p w14:paraId="5727917D">
      <w:pPr>
        <w:pStyle w:val="48"/>
        <w:ind w:firstLine="0" w:firstLineChars="0"/>
        <w:rPr>
          <w:rFonts w:ascii="黑体" w:hAnsi="黑体" w:eastAsia="黑体" w:cs="Times New Roman"/>
          <w:color w:val="auto"/>
          <w:sz w:val="32"/>
          <w:szCs w:val="32"/>
          <w:highlight w:val="none"/>
        </w:rPr>
      </w:pPr>
    </w:p>
    <w:p w14:paraId="50878147">
      <w:pPr>
        <w:pStyle w:val="48"/>
        <w:ind w:firstLine="0" w:firstLineChars="0"/>
        <w:rPr>
          <w:rFonts w:ascii="黑体" w:hAnsi="黑体" w:eastAsia="黑体" w:cs="Times New Roman"/>
          <w:color w:val="auto"/>
          <w:sz w:val="32"/>
          <w:szCs w:val="32"/>
          <w:highlight w:val="none"/>
        </w:rPr>
      </w:pPr>
    </w:p>
    <w:p w14:paraId="674BE293">
      <w:pPr>
        <w:pStyle w:val="50"/>
        <w:spacing w:line="500" w:lineRule="exact"/>
        <w:ind w:firstLine="606" w:firstLineChars="200"/>
        <w:jc w:val="left"/>
        <w:rPr>
          <w:rFonts w:ascii="仿宋" w:hAnsi="仿宋" w:eastAsia="仿宋" w:cs="Times New Roman"/>
          <w:color w:val="auto"/>
          <w:highlight w:val="none"/>
        </w:rPr>
      </w:pPr>
      <w:bookmarkStart w:id="542" w:name="_Toc28380"/>
      <w:bookmarkStart w:id="543" w:name="_Toc27965"/>
      <w:bookmarkStart w:id="544" w:name="_Toc28261"/>
      <w:bookmarkStart w:id="545" w:name="_Toc5710"/>
      <w:bookmarkStart w:id="546" w:name="_Toc8061"/>
      <w:bookmarkStart w:id="547" w:name="_Toc15271"/>
      <w:bookmarkStart w:id="548" w:name="_Toc940"/>
      <w:bookmarkStart w:id="549" w:name="_Toc14393"/>
      <w:bookmarkStart w:id="550" w:name="_Toc6164"/>
      <w:bookmarkStart w:id="551" w:name="_Toc6674"/>
      <w:bookmarkStart w:id="552" w:name="_Toc28620"/>
      <w:bookmarkStart w:id="553" w:name="_Toc28505"/>
      <w:bookmarkStart w:id="554" w:name="_Toc26017"/>
      <w:bookmarkStart w:id="555" w:name="_Toc23720"/>
      <w:r>
        <w:rPr>
          <w:rFonts w:hint="eastAsia" w:ascii="仿宋" w:hAnsi="仿宋" w:eastAsia="仿宋" w:cs="仿宋"/>
          <w:color w:val="auto"/>
          <w:sz w:val="30"/>
          <w:szCs w:val="30"/>
          <w:highlight w:val="none"/>
        </w:rPr>
        <w:br w:type="page"/>
      </w:r>
      <w:bookmarkStart w:id="556" w:name="_Toc23479"/>
      <w:r>
        <w:rPr>
          <w:rFonts w:hint="eastAsia" w:ascii="仿宋" w:hAnsi="仿宋" w:eastAsia="仿宋" w:cs="仿宋"/>
          <w:color w:val="auto"/>
          <w:sz w:val="30"/>
          <w:szCs w:val="30"/>
          <w:highlight w:val="none"/>
        </w:rPr>
        <w:t>二、开标一览表</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3B6A0EF8">
      <w:pPr>
        <w:spacing w:line="500" w:lineRule="exact"/>
        <w:ind w:firstLine="566" w:firstLineChars="200"/>
        <w:jc w:val="left"/>
        <w:rPr>
          <w:rFonts w:ascii="华文仿宋" w:hAnsi="华文仿宋" w:cs="华文仿宋"/>
          <w:color w:val="auto"/>
          <w:highlight w:val="none"/>
        </w:rPr>
      </w:pPr>
      <w:r>
        <w:rPr>
          <w:rFonts w:hint="eastAsia" w:ascii="华文仿宋" w:hAnsi="华文仿宋" w:cs="华文仿宋"/>
          <w:color w:val="auto"/>
          <w:highlight w:val="none"/>
        </w:rPr>
        <w:t>项目编号：</w:t>
      </w:r>
    </w:p>
    <w:p w14:paraId="42137EF8">
      <w:pPr>
        <w:spacing w:line="500" w:lineRule="exact"/>
        <w:ind w:firstLine="566" w:firstLineChars="200"/>
        <w:jc w:val="left"/>
        <w:rPr>
          <w:rFonts w:hint="default" w:eastAsia="华文仿宋"/>
          <w:color w:val="auto"/>
          <w:highlight w:val="none"/>
          <w:lang w:val="en-US" w:eastAsia="zh-CN"/>
        </w:rPr>
      </w:pPr>
      <w:r>
        <w:rPr>
          <w:rFonts w:hint="eastAsia" w:ascii="华文仿宋" w:hAnsi="华文仿宋" w:cs="华文仿宋"/>
          <w:color w:val="auto"/>
          <w:highlight w:val="none"/>
        </w:rPr>
        <w:t>项目名称：</w:t>
      </w:r>
    </w:p>
    <w:p w14:paraId="0D4632B3">
      <w:pPr>
        <w:spacing w:line="440" w:lineRule="exact"/>
        <w:ind w:right="560"/>
        <w:jc w:val="right"/>
        <w:rPr>
          <w:rFonts w:ascii="仿宋" w:hAnsi="仿宋" w:eastAsia="仿宋" w:cs="Times New Roman"/>
          <w:color w:val="auto"/>
          <w:sz w:val="24"/>
          <w:szCs w:val="24"/>
          <w:highlight w:val="none"/>
        </w:rPr>
      </w:pPr>
    </w:p>
    <w:tbl>
      <w:tblPr>
        <w:tblStyle w:val="25"/>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865"/>
        <w:gridCol w:w="5752"/>
      </w:tblGrid>
      <w:tr w14:paraId="3B47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2865" w:type="dxa"/>
            <w:noWrap w:val="0"/>
            <w:vAlign w:val="center"/>
          </w:tcPr>
          <w:p w14:paraId="22BAF321">
            <w:pPr>
              <w:pStyle w:val="6"/>
              <w:spacing w:line="360" w:lineRule="auto"/>
              <w:ind w:firstLine="0"/>
              <w:jc w:val="center"/>
              <w:rPr>
                <w:rFonts w:ascii="宋体" w:eastAsia="宋体" w:cs="Times New Roman"/>
                <w:color w:val="auto"/>
                <w:highlight w:val="none"/>
              </w:rPr>
            </w:pPr>
          </w:p>
        </w:tc>
        <w:tc>
          <w:tcPr>
            <w:tcW w:w="5752" w:type="dxa"/>
            <w:noWrap w:val="0"/>
            <w:vAlign w:val="center"/>
          </w:tcPr>
          <w:p w14:paraId="00D9873B">
            <w:pPr>
              <w:autoSpaceDE w:val="0"/>
              <w:autoSpaceDN w:val="0"/>
              <w:spacing w:line="360" w:lineRule="auto"/>
              <w:jc w:val="center"/>
              <w:rPr>
                <w:rFonts w:ascii="宋体" w:eastAsia="宋体" w:cs="Times New Roman"/>
                <w:color w:val="auto"/>
                <w:kern w:val="0"/>
                <w:highlight w:val="none"/>
                <w:lang w:val="zh-CN"/>
              </w:rPr>
            </w:pPr>
            <w:r>
              <w:rPr>
                <w:rFonts w:hint="eastAsia" w:ascii="宋体" w:hAnsi="宋体" w:cs="华文仿宋"/>
                <w:color w:val="auto"/>
                <w:kern w:val="0"/>
                <w:highlight w:val="none"/>
                <w:lang w:val="zh-CN"/>
              </w:rPr>
              <w:t>内容</w:t>
            </w:r>
          </w:p>
        </w:tc>
      </w:tr>
      <w:tr w14:paraId="298A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2865" w:type="dxa"/>
            <w:noWrap w:val="0"/>
            <w:vAlign w:val="center"/>
          </w:tcPr>
          <w:p w14:paraId="4570978C">
            <w:pPr>
              <w:pStyle w:val="6"/>
              <w:spacing w:line="360" w:lineRule="auto"/>
              <w:ind w:firstLine="0"/>
              <w:jc w:val="center"/>
              <w:rPr>
                <w:rFonts w:ascii="宋体" w:eastAsia="宋体" w:cs="Times New Roman"/>
                <w:color w:val="auto"/>
                <w:highlight w:val="none"/>
              </w:rPr>
            </w:pPr>
            <w:r>
              <w:rPr>
                <w:rFonts w:hint="eastAsia" w:ascii="宋体" w:hAnsi="宋体" w:cs="华文仿宋"/>
                <w:color w:val="auto"/>
                <w:highlight w:val="none"/>
              </w:rPr>
              <w:t>投标报价</w:t>
            </w:r>
          </w:p>
        </w:tc>
        <w:tc>
          <w:tcPr>
            <w:tcW w:w="5752" w:type="dxa"/>
            <w:noWrap w:val="0"/>
            <w:vAlign w:val="center"/>
          </w:tcPr>
          <w:p w14:paraId="0B4E4270">
            <w:pPr>
              <w:autoSpaceDE w:val="0"/>
              <w:autoSpaceDN w:val="0"/>
              <w:spacing w:line="360" w:lineRule="auto"/>
              <w:rPr>
                <w:rFonts w:ascii="宋体" w:hAnsi="宋体" w:cs="华文仿宋"/>
                <w:color w:val="auto"/>
                <w:kern w:val="0"/>
                <w:highlight w:val="none"/>
                <w:lang w:val="zh-CN"/>
              </w:rPr>
            </w:pPr>
          </w:p>
          <w:p w14:paraId="203ADEB4">
            <w:pPr>
              <w:autoSpaceDE w:val="0"/>
              <w:autoSpaceDN w:val="0"/>
              <w:spacing w:line="360" w:lineRule="auto"/>
              <w:rPr>
                <w:rFonts w:ascii="宋体" w:eastAsia="宋体" w:cs="Times New Roman"/>
                <w:color w:val="auto"/>
                <w:kern w:val="0"/>
                <w:highlight w:val="none"/>
                <w:lang w:val="zh-CN"/>
              </w:rPr>
            </w:pPr>
            <w:r>
              <w:rPr>
                <w:rFonts w:hint="eastAsia" w:ascii="宋体" w:hAnsi="宋体" w:cs="华文仿宋"/>
                <w:color w:val="auto"/>
                <w:kern w:val="0"/>
                <w:highlight w:val="none"/>
                <w:lang w:val="zh-CN"/>
              </w:rPr>
              <w:t>小写：</w:t>
            </w:r>
          </w:p>
          <w:p w14:paraId="357A8885">
            <w:pPr>
              <w:autoSpaceDE w:val="0"/>
              <w:autoSpaceDN w:val="0"/>
              <w:spacing w:line="360" w:lineRule="auto"/>
              <w:ind w:firstLine="0" w:firstLineChars="0"/>
              <w:jc w:val="right"/>
              <w:rPr>
                <w:rFonts w:ascii="宋体" w:eastAsia="宋体" w:cs="Times New Roman"/>
                <w:color w:val="auto"/>
                <w:kern w:val="0"/>
                <w:highlight w:val="none"/>
                <w:lang w:val="zh-CN"/>
              </w:rPr>
            </w:pPr>
            <w:r>
              <w:rPr>
                <w:rFonts w:hint="eastAsia" w:ascii="仿宋" w:hAnsi="仿宋" w:eastAsia="仿宋" w:cs="仿宋"/>
                <w:color w:val="auto"/>
                <w:sz w:val="24"/>
                <w:szCs w:val="24"/>
                <w:highlight w:val="none"/>
              </w:rPr>
              <w:t>单位：元（</w:t>
            </w:r>
            <w:r>
              <w:rPr>
                <w:rFonts w:hint="eastAsia" w:ascii="华文仿宋" w:hAnsi="华文仿宋" w:eastAsia="仿宋" w:cs="仿宋"/>
                <w:color w:val="auto"/>
                <w:sz w:val="24"/>
                <w:szCs w:val="24"/>
                <w:highlight w:val="none"/>
              </w:rPr>
              <w:t>报价最多保留到小数点后两位</w:t>
            </w:r>
            <w:r>
              <w:rPr>
                <w:rFonts w:hint="eastAsia" w:ascii="仿宋" w:hAnsi="仿宋" w:eastAsia="仿宋" w:cs="仿宋"/>
                <w:color w:val="auto"/>
                <w:sz w:val="24"/>
                <w:szCs w:val="24"/>
                <w:highlight w:val="none"/>
              </w:rPr>
              <w:t>）</w:t>
            </w:r>
          </w:p>
        </w:tc>
      </w:tr>
    </w:tbl>
    <w:p w14:paraId="556BDACB">
      <w:pPr>
        <w:autoSpaceDE w:val="0"/>
        <w:autoSpaceDN w:val="0"/>
        <w:spacing w:line="240" w:lineRule="auto"/>
        <w:ind w:firstLine="213" w:firstLineChars="100"/>
        <w:rPr>
          <w:rFonts w:ascii="宋体" w:hAnsi="宋体" w:eastAsia="宋体" w:cs="Times New Roman"/>
          <w:color w:val="auto"/>
          <w:sz w:val="21"/>
          <w:szCs w:val="21"/>
          <w:highlight w:val="none"/>
        </w:rPr>
      </w:pPr>
      <w:r>
        <w:rPr>
          <w:rFonts w:hint="eastAsia" w:ascii="宋体" w:hAnsi="宋体" w:eastAsia="宋体" w:cs="宋体"/>
          <w:color w:val="auto"/>
          <w:kern w:val="0"/>
          <w:sz w:val="21"/>
          <w:szCs w:val="21"/>
          <w:highlight w:val="none"/>
        </w:rPr>
        <w:t>备注</w:t>
      </w:r>
      <w:r>
        <w:rPr>
          <w:rFonts w:hint="eastAsia" w:ascii="宋体" w:hAnsi="宋体" w:eastAsia="宋体" w:cs="宋体"/>
          <w:color w:val="auto"/>
          <w:kern w:val="0"/>
          <w:sz w:val="21"/>
          <w:szCs w:val="21"/>
          <w:highlight w:val="none"/>
          <w:lang w:val="zh-CN"/>
        </w:rPr>
        <w:t>：“投标报价”为</w:t>
      </w:r>
      <w:r>
        <w:rPr>
          <w:rFonts w:hint="eastAsia" w:ascii="宋体" w:hAnsi="宋体" w:eastAsia="宋体" w:cs="宋体"/>
          <w:color w:val="auto"/>
          <w:kern w:val="0"/>
          <w:sz w:val="21"/>
          <w:szCs w:val="21"/>
          <w:highlight w:val="none"/>
        </w:rPr>
        <w:t>投标总价</w:t>
      </w:r>
      <w:r>
        <w:rPr>
          <w:rFonts w:hint="eastAsia" w:ascii="宋体" w:hAnsi="宋体" w:eastAsia="宋体" w:cs="宋体"/>
          <w:color w:val="auto"/>
          <w:kern w:val="0"/>
          <w:sz w:val="21"/>
          <w:szCs w:val="21"/>
          <w:highlight w:val="none"/>
          <w:lang w:val="zh-CN"/>
        </w:rPr>
        <w:t>。</w:t>
      </w:r>
      <w:bookmarkStart w:id="557" w:name="_Toc8006"/>
      <w:bookmarkStart w:id="558" w:name="_Toc25597_WPSOffice_Level2"/>
      <w:bookmarkStart w:id="559" w:name="_Toc26334"/>
      <w:bookmarkStart w:id="560" w:name="_Toc31114"/>
      <w:bookmarkStart w:id="561" w:name="_Toc29740_WPSOffice_Level2"/>
      <w:bookmarkStart w:id="562" w:name="_Toc29232"/>
      <w:bookmarkStart w:id="563" w:name="_Toc24699_WPSOffice_Level2"/>
      <w:bookmarkStart w:id="564" w:name="_Toc5592"/>
      <w:r>
        <w:rPr>
          <w:rFonts w:hint="eastAsia" w:ascii="宋体" w:hAnsi="宋体" w:eastAsia="宋体" w:cs="宋体"/>
          <w:color w:val="auto"/>
          <w:kern w:val="0"/>
          <w:sz w:val="21"/>
          <w:szCs w:val="21"/>
          <w:highlight w:val="none"/>
          <w:lang w:val="zh-CN"/>
        </w:rPr>
        <w:t>投标</w:t>
      </w:r>
      <w:r>
        <w:rPr>
          <w:rFonts w:ascii="宋体" w:hAnsi="宋体" w:eastAsia="宋体" w:cs="宋体"/>
          <w:color w:val="auto"/>
          <w:kern w:val="0"/>
          <w:sz w:val="21"/>
          <w:szCs w:val="21"/>
          <w:highlight w:val="none"/>
          <w:lang w:val="zh-CN"/>
        </w:rPr>
        <w:t>报价必须包括</w:t>
      </w:r>
      <w:r>
        <w:rPr>
          <w:rFonts w:hint="eastAsia" w:ascii="宋体" w:hAnsi="宋体" w:eastAsia="宋体" w:cs="宋体"/>
          <w:color w:val="auto"/>
          <w:kern w:val="0"/>
          <w:sz w:val="21"/>
          <w:szCs w:val="21"/>
          <w:highlight w:val="none"/>
          <w:lang w:val="zh-CN"/>
        </w:rPr>
        <w:t>本项目所需</w:t>
      </w:r>
      <w:r>
        <w:rPr>
          <w:rFonts w:ascii="宋体" w:hAnsi="宋体" w:eastAsia="宋体" w:cs="宋体"/>
          <w:color w:val="auto"/>
          <w:kern w:val="0"/>
          <w:sz w:val="21"/>
          <w:szCs w:val="21"/>
          <w:highlight w:val="none"/>
          <w:lang w:val="zh-CN"/>
        </w:rPr>
        <w:t>全部费用</w:t>
      </w:r>
      <w:r>
        <w:rPr>
          <w:rFonts w:hint="eastAsia" w:ascii="宋体" w:hAnsi="宋体" w:eastAsia="宋体" w:cs="宋体"/>
          <w:color w:val="auto"/>
          <w:kern w:val="0"/>
          <w:sz w:val="21"/>
          <w:szCs w:val="21"/>
          <w:highlight w:val="none"/>
          <w:lang w:val="zh-CN"/>
        </w:rPr>
        <w:t>。</w:t>
      </w:r>
    </w:p>
    <w:bookmarkEnd w:id="557"/>
    <w:bookmarkEnd w:id="558"/>
    <w:bookmarkEnd w:id="559"/>
    <w:bookmarkEnd w:id="560"/>
    <w:bookmarkEnd w:id="561"/>
    <w:bookmarkEnd w:id="562"/>
    <w:bookmarkEnd w:id="563"/>
    <w:p w14:paraId="77ADC5B0">
      <w:pPr>
        <w:autoSpaceDE w:val="0"/>
        <w:autoSpaceDN w:val="0"/>
        <w:spacing w:before="190" w:beforeLines="50" w:line="500" w:lineRule="exact"/>
        <w:ind w:firstLine="5377" w:firstLineChars="1900"/>
        <w:rPr>
          <w:rFonts w:ascii="华文仿宋" w:hAnsi="华文仿宋" w:cs="华文仿宋"/>
          <w:color w:val="auto"/>
          <w:highlight w:val="none"/>
        </w:rPr>
      </w:pPr>
    </w:p>
    <w:p w14:paraId="0E7604BD">
      <w:pPr>
        <w:autoSpaceDE w:val="0"/>
        <w:autoSpaceDN w:val="0"/>
        <w:spacing w:before="190" w:beforeLines="50" w:line="500" w:lineRule="exact"/>
        <w:ind w:firstLine="5377" w:firstLineChars="1900"/>
        <w:rPr>
          <w:rFonts w:ascii="华文仿宋" w:cs="Times New Roman"/>
          <w:color w:val="auto"/>
          <w:highlight w:val="none"/>
        </w:rPr>
      </w:pPr>
      <w:r>
        <w:rPr>
          <w:rFonts w:hint="eastAsia" w:cs="华文仿宋"/>
          <w:color w:val="auto"/>
          <w:highlight w:val="none"/>
        </w:rPr>
        <w:t>投标人</w:t>
      </w:r>
      <w:r>
        <w:rPr>
          <w:rFonts w:hint="eastAsia" w:ascii="华文仿宋" w:hAnsi="华文仿宋" w:cs="华文仿宋"/>
          <w:color w:val="auto"/>
          <w:highlight w:val="none"/>
        </w:rPr>
        <w:t>：</w:t>
      </w:r>
      <w:r>
        <w:rPr>
          <w:rFonts w:hint="eastAsia" w:ascii="华文仿宋" w:hAnsi="华文仿宋" w:cs="华文仿宋"/>
          <w:color w:val="auto"/>
          <w:highlight w:val="none"/>
          <w:u w:val="single"/>
        </w:rPr>
        <w:t>名称</w:t>
      </w:r>
      <w:r>
        <w:rPr>
          <w:rFonts w:hint="eastAsia" w:ascii="华文仿宋" w:hAnsi="华文仿宋" w:cs="华文仿宋"/>
          <w:color w:val="auto"/>
          <w:highlight w:val="none"/>
        </w:rPr>
        <w:t>（加盖公章）</w:t>
      </w:r>
    </w:p>
    <w:p w14:paraId="2BFD4503">
      <w:pPr>
        <w:spacing w:line="500" w:lineRule="exact"/>
        <w:ind w:firstLine="5660" w:firstLineChars="2000"/>
        <w:rPr>
          <w:rFonts w:cs="Times New Roman"/>
          <w:color w:val="auto"/>
          <w:highlight w:val="none"/>
        </w:rPr>
      </w:pPr>
      <w:r>
        <w:rPr>
          <w:rFonts w:hint="eastAsia" w:cs="华文仿宋"/>
          <w:color w:val="auto"/>
          <w:highlight w:val="none"/>
        </w:rPr>
        <w:t>日期：　年　月　日</w:t>
      </w:r>
    </w:p>
    <w:p w14:paraId="1BC191B7">
      <w:pPr>
        <w:spacing w:after="190" w:afterLines="50" w:line="500" w:lineRule="exact"/>
        <w:jc w:val="center"/>
        <w:rPr>
          <w:rFonts w:ascii="华文仿宋" w:hAnsi="华文仿宋" w:cs="华文仿宋"/>
          <w:b/>
          <w:color w:val="auto"/>
          <w:highlight w:val="none"/>
        </w:rPr>
        <w:sectPr>
          <w:headerReference r:id="rId9" w:type="default"/>
          <w:footerReference r:id="rId10" w:type="default"/>
          <w:pgSz w:w="11906" w:h="16838"/>
          <w:pgMar w:top="1417" w:right="1417" w:bottom="1417" w:left="1417" w:header="850" w:footer="794" w:gutter="0"/>
          <w:pgNumType w:fmt="decimal" w:start="1" w:chapStyle="1"/>
          <w:cols w:space="720" w:num="1"/>
          <w:docGrid w:type="linesAndChars" w:linePitch="381" w:charSpace="704"/>
        </w:sectPr>
      </w:pPr>
    </w:p>
    <w:p w14:paraId="5A3E7533">
      <w:pPr>
        <w:spacing w:after="190" w:afterLines="50" w:line="500" w:lineRule="exact"/>
        <w:jc w:val="center"/>
        <w:rPr>
          <w:rFonts w:ascii="仿宋" w:hAnsi="仿宋"/>
          <w:b/>
          <w:bCs/>
          <w:color w:val="auto"/>
          <w:sz w:val="32"/>
          <w:szCs w:val="32"/>
          <w:highlight w:val="none"/>
        </w:rPr>
      </w:pPr>
      <w:r>
        <w:rPr>
          <w:rFonts w:hint="eastAsia" w:ascii="华文仿宋" w:hAnsi="华文仿宋" w:cs="华文仿宋"/>
          <w:b/>
          <w:color w:val="auto"/>
          <w:highlight w:val="none"/>
        </w:rPr>
        <w:t>分项报价表</w:t>
      </w:r>
    </w:p>
    <w:tbl>
      <w:tblPr>
        <w:tblStyle w:val="25"/>
        <w:tblW w:w="8854" w:type="dxa"/>
        <w:jc w:val="center"/>
        <w:tblLayout w:type="fixed"/>
        <w:tblCellMar>
          <w:top w:w="0" w:type="dxa"/>
          <w:left w:w="28" w:type="dxa"/>
          <w:bottom w:w="0" w:type="dxa"/>
          <w:right w:w="28" w:type="dxa"/>
        </w:tblCellMar>
      </w:tblPr>
      <w:tblGrid>
        <w:gridCol w:w="713"/>
        <w:gridCol w:w="1250"/>
        <w:gridCol w:w="1681"/>
        <w:gridCol w:w="1840"/>
        <w:gridCol w:w="1270"/>
        <w:gridCol w:w="1334"/>
        <w:gridCol w:w="766"/>
      </w:tblGrid>
      <w:tr w14:paraId="4EEB5415">
        <w:tblPrEx>
          <w:tblCellMar>
            <w:top w:w="0" w:type="dxa"/>
            <w:left w:w="28" w:type="dxa"/>
            <w:bottom w:w="0" w:type="dxa"/>
            <w:right w:w="28" w:type="dxa"/>
          </w:tblCellMar>
        </w:tblPrEx>
        <w:trPr>
          <w:trHeight w:val="1274" w:hRule="atLeast"/>
          <w:jc w:val="center"/>
        </w:trPr>
        <w:tc>
          <w:tcPr>
            <w:tcW w:w="713" w:type="dxa"/>
            <w:tcBorders>
              <w:top w:val="single" w:color="000000" w:sz="8" w:space="0"/>
              <w:left w:val="single" w:color="000000" w:sz="8" w:space="0"/>
              <w:bottom w:val="single" w:color="000000" w:sz="6" w:space="0"/>
              <w:right w:val="single" w:color="000000" w:sz="6" w:space="0"/>
            </w:tcBorders>
            <w:noWrap w:val="0"/>
            <w:vAlign w:val="center"/>
          </w:tcPr>
          <w:p w14:paraId="2B75EF78">
            <w:pPr>
              <w:widowControl w:val="0"/>
              <w:autoSpaceDE w:val="0"/>
              <w:autoSpaceDN w:val="0"/>
              <w:spacing w:line="240" w:lineRule="auto"/>
              <w:jc w:val="center"/>
              <w:rPr>
                <w:rFonts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序号</w:t>
            </w:r>
          </w:p>
        </w:tc>
        <w:tc>
          <w:tcPr>
            <w:tcW w:w="1250" w:type="dxa"/>
            <w:tcBorders>
              <w:top w:val="single" w:color="000000" w:sz="8" w:space="0"/>
              <w:left w:val="single" w:color="000000" w:sz="6" w:space="0"/>
              <w:bottom w:val="single" w:color="000000" w:sz="6" w:space="0"/>
              <w:right w:val="single" w:color="000000" w:sz="6" w:space="0"/>
            </w:tcBorders>
            <w:noWrap w:val="0"/>
            <w:vAlign w:val="center"/>
          </w:tcPr>
          <w:p w14:paraId="4D2FAF4D">
            <w:pPr>
              <w:widowControl w:val="0"/>
              <w:autoSpaceDE w:val="0"/>
              <w:autoSpaceDN w:val="0"/>
              <w:spacing w:line="240" w:lineRule="auto"/>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服务名称</w:t>
            </w:r>
          </w:p>
        </w:tc>
        <w:tc>
          <w:tcPr>
            <w:tcW w:w="1681" w:type="dxa"/>
            <w:tcBorders>
              <w:top w:val="single" w:color="000000" w:sz="8" w:space="0"/>
              <w:left w:val="single" w:color="000000" w:sz="6" w:space="0"/>
              <w:bottom w:val="single" w:color="000000" w:sz="6" w:space="0"/>
              <w:right w:val="single" w:color="000000" w:sz="6" w:space="0"/>
            </w:tcBorders>
            <w:noWrap w:val="0"/>
            <w:vAlign w:val="center"/>
          </w:tcPr>
          <w:p w14:paraId="727C04F5">
            <w:pPr>
              <w:pStyle w:val="49"/>
              <w:widowControl w:val="0"/>
              <w:rPr>
                <w:rFonts w:ascii="仿宋" w:hAnsi="仿宋" w:eastAsia="仿宋" w:cs="仿宋"/>
                <w:b w:val="0"/>
                <w:bCs w:val="0"/>
                <w:color w:val="auto"/>
                <w:kern w:val="0"/>
                <w:sz w:val="24"/>
                <w:szCs w:val="24"/>
                <w:highlight w:val="none"/>
              </w:rPr>
            </w:pPr>
            <w:bookmarkStart w:id="565" w:name="_Toc28616"/>
            <w:bookmarkStart w:id="566" w:name="_Toc4826"/>
            <w:bookmarkStart w:id="567" w:name="_Toc16359"/>
            <w:bookmarkStart w:id="568" w:name="_Toc16202"/>
            <w:bookmarkStart w:id="569" w:name="_Toc32559"/>
            <w:r>
              <w:rPr>
                <w:rFonts w:hint="eastAsia" w:ascii="仿宋" w:hAnsi="仿宋" w:eastAsia="仿宋" w:cs="仿宋"/>
                <w:bCs w:val="0"/>
                <w:color w:val="auto"/>
                <w:sz w:val="24"/>
                <w:szCs w:val="24"/>
                <w:highlight w:val="none"/>
              </w:rPr>
              <w:t>计量单位</w:t>
            </w:r>
            <w:bookmarkEnd w:id="565"/>
            <w:bookmarkEnd w:id="566"/>
            <w:bookmarkEnd w:id="567"/>
            <w:bookmarkEnd w:id="568"/>
            <w:bookmarkEnd w:id="569"/>
          </w:p>
        </w:tc>
        <w:tc>
          <w:tcPr>
            <w:tcW w:w="1840" w:type="dxa"/>
            <w:tcBorders>
              <w:top w:val="single" w:color="000000" w:sz="8" w:space="0"/>
              <w:left w:val="single" w:color="000000" w:sz="6" w:space="0"/>
              <w:bottom w:val="single" w:color="000000" w:sz="6" w:space="0"/>
              <w:right w:val="single" w:color="000000" w:sz="6" w:space="0"/>
            </w:tcBorders>
            <w:noWrap w:val="0"/>
            <w:vAlign w:val="center"/>
          </w:tcPr>
          <w:p w14:paraId="2FF02F42">
            <w:pPr>
              <w:pStyle w:val="49"/>
              <w:widowControl w:val="0"/>
              <w:rPr>
                <w:rFonts w:ascii="仿宋" w:hAnsi="仿宋" w:eastAsia="仿宋" w:cs="仿宋"/>
                <w:b w:val="0"/>
                <w:bCs w:val="0"/>
                <w:color w:val="auto"/>
                <w:kern w:val="0"/>
                <w:sz w:val="24"/>
                <w:szCs w:val="24"/>
                <w:highlight w:val="none"/>
                <w:lang w:val="zh-CN"/>
              </w:rPr>
            </w:pPr>
            <w:bookmarkStart w:id="570" w:name="_Toc19648"/>
            <w:bookmarkStart w:id="571" w:name="_Toc26417"/>
            <w:bookmarkStart w:id="572" w:name="_Toc4371"/>
            <w:bookmarkStart w:id="573" w:name="_Toc5340"/>
            <w:bookmarkStart w:id="574" w:name="_Toc29236"/>
            <w:r>
              <w:rPr>
                <w:rFonts w:hint="eastAsia" w:ascii="仿宋" w:hAnsi="仿宋" w:eastAsia="仿宋" w:cs="仿宋"/>
                <w:bCs w:val="0"/>
                <w:color w:val="auto"/>
                <w:sz w:val="24"/>
                <w:szCs w:val="24"/>
                <w:highlight w:val="none"/>
              </w:rPr>
              <w:t>具体要求说明</w:t>
            </w:r>
            <w:bookmarkEnd w:id="570"/>
            <w:bookmarkEnd w:id="571"/>
            <w:bookmarkEnd w:id="572"/>
            <w:bookmarkEnd w:id="573"/>
            <w:bookmarkEnd w:id="574"/>
          </w:p>
        </w:tc>
        <w:tc>
          <w:tcPr>
            <w:tcW w:w="1270" w:type="dxa"/>
            <w:tcBorders>
              <w:top w:val="single" w:color="000000" w:sz="8" w:space="0"/>
              <w:left w:val="single" w:color="000000" w:sz="6" w:space="0"/>
              <w:bottom w:val="single" w:color="000000" w:sz="6" w:space="0"/>
              <w:right w:val="single" w:color="auto" w:sz="4" w:space="0"/>
            </w:tcBorders>
            <w:noWrap w:val="0"/>
            <w:vAlign w:val="center"/>
          </w:tcPr>
          <w:p w14:paraId="1812CC4C">
            <w:pPr>
              <w:pStyle w:val="49"/>
              <w:widowControl w:val="0"/>
              <w:rPr>
                <w:rFonts w:ascii="仿宋" w:hAnsi="仿宋" w:eastAsia="仿宋" w:cs="仿宋"/>
                <w:bCs w:val="0"/>
                <w:color w:val="auto"/>
                <w:sz w:val="24"/>
                <w:szCs w:val="24"/>
                <w:highlight w:val="none"/>
              </w:rPr>
            </w:pPr>
            <w:bookmarkStart w:id="575" w:name="_Toc2637"/>
            <w:bookmarkStart w:id="576" w:name="_Toc18908"/>
            <w:bookmarkStart w:id="577" w:name="_Toc24317"/>
            <w:bookmarkStart w:id="578" w:name="_Toc14670"/>
            <w:bookmarkStart w:id="579" w:name="_Toc9206"/>
            <w:r>
              <w:rPr>
                <w:rFonts w:hint="eastAsia" w:ascii="仿宋" w:hAnsi="仿宋" w:eastAsia="仿宋" w:cs="仿宋"/>
                <w:bCs w:val="0"/>
                <w:color w:val="auto"/>
                <w:sz w:val="24"/>
                <w:szCs w:val="24"/>
                <w:highlight w:val="none"/>
              </w:rPr>
              <w:t>数量</w:t>
            </w:r>
            <w:bookmarkEnd w:id="575"/>
          </w:p>
        </w:tc>
        <w:tc>
          <w:tcPr>
            <w:tcW w:w="1334" w:type="dxa"/>
            <w:tcBorders>
              <w:top w:val="single" w:color="000000" w:sz="8" w:space="0"/>
              <w:left w:val="single" w:color="auto" w:sz="4" w:space="0"/>
              <w:bottom w:val="single" w:color="000000" w:sz="6" w:space="0"/>
              <w:right w:val="single" w:color="000000" w:sz="6" w:space="0"/>
            </w:tcBorders>
            <w:noWrap w:val="0"/>
            <w:vAlign w:val="center"/>
          </w:tcPr>
          <w:p w14:paraId="1A54D2E2">
            <w:pPr>
              <w:pStyle w:val="49"/>
              <w:widowControl w:val="0"/>
              <w:rPr>
                <w:rFonts w:ascii="仿宋" w:hAnsi="仿宋" w:eastAsia="仿宋" w:cs="仿宋"/>
                <w:bCs w:val="0"/>
                <w:color w:val="auto"/>
                <w:sz w:val="24"/>
                <w:szCs w:val="24"/>
                <w:highlight w:val="none"/>
              </w:rPr>
            </w:pPr>
            <w:bookmarkStart w:id="580" w:name="_Toc13402"/>
            <w:r>
              <w:rPr>
                <w:rFonts w:hint="eastAsia" w:ascii="仿宋" w:hAnsi="仿宋" w:eastAsia="仿宋" w:cs="仿宋"/>
                <w:bCs w:val="0"/>
                <w:color w:val="auto"/>
                <w:sz w:val="24"/>
                <w:szCs w:val="24"/>
                <w:highlight w:val="none"/>
              </w:rPr>
              <w:t>金额</w:t>
            </w:r>
            <w:bookmarkEnd w:id="580"/>
          </w:p>
        </w:tc>
        <w:tc>
          <w:tcPr>
            <w:tcW w:w="766" w:type="dxa"/>
            <w:tcBorders>
              <w:top w:val="single" w:color="000000" w:sz="8" w:space="0"/>
              <w:left w:val="single" w:color="000000" w:sz="6" w:space="0"/>
              <w:bottom w:val="single" w:color="000000" w:sz="6" w:space="0"/>
              <w:right w:val="single" w:color="000000" w:sz="8" w:space="0"/>
            </w:tcBorders>
            <w:noWrap w:val="0"/>
            <w:vAlign w:val="center"/>
          </w:tcPr>
          <w:p w14:paraId="2F7C27BF">
            <w:pPr>
              <w:pStyle w:val="49"/>
              <w:widowControl w:val="0"/>
              <w:rPr>
                <w:rFonts w:ascii="仿宋" w:hAnsi="仿宋" w:eastAsia="仿宋" w:cs="仿宋"/>
                <w:b w:val="0"/>
                <w:bCs w:val="0"/>
                <w:color w:val="auto"/>
                <w:sz w:val="24"/>
                <w:szCs w:val="24"/>
                <w:highlight w:val="none"/>
              </w:rPr>
            </w:pPr>
            <w:bookmarkStart w:id="581" w:name="_Toc24773"/>
            <w:r>
              <w:rPr>
                <w:rFonts w:hint="eastAsia" w:ascii="仿宋" w:hAnsi="仿宋" w:eastAsia="仿宋" w:cs="仿宋"/>
                <w:bCs w:val="0"/>
                <w:color w:val="auto"/>
                <w:sz w:val="24"/>
                <w:szCs w:val="24"/>
                <w:highlight w:val="none"/>
              </w:rPr>
              <w:t>备注</w:t>
            </w:r>
            <w:bookmarkEnd w:id="576"/>
            <w:bookmarkEnd w:id="577"/>
            <w:bookmarkEnd w:id="578"/>
            <w:bookmarkEnd w:id="579"/>
            <w:bookmarkEnd w:id="581"/>
          </w:p>
        </w:tc>
      </w:tr>
      <w:tr w14:paraId="046F7675">
        <w:tblPrEx>
          <w:tblCellMar>
            <w:top w:w="0" w:type="dxa"/>
            <w:left w:w="28" w:type="dxa"/>
            <w:bottom w:w="0" w:type="dxa"/>
            <w:right w:w="28" w:type="dxa"/>
          </w:tblCellMar>
        </w:tblPrEx>
        <w:trPr>
          <w:trHeight w:val="393" w:hRule="atLeast"/>
          <w:jc w:val="center"/>
        </w:trPr>
        <w:tc>
          <w:tcPr>
            <w:tcW w:w="713" w:type="dxa"/>
            <w:tcBorders>
              <w:top w:val="single" w:color="000000" w:sz="6" w:space="0"/>
              <w:left w:val="single" w:color="000000" w:sz="8" w:space="0"/>
              <w:bottom w:val="single" w:color="000000" w:sz="6" w:space="0"/>
              <w:right w:val="single" w:color="000000" w:sz="6" w:space="0"/>
            </w:tcBorders>
            <w:noWrap w:val="0"/>
            <w:vAlign w:val="center"/>
          </w:tcPr>
          <w:p w14:paraId="28700E78">
            <w:pPr>
              <w:autoSpaceDE w:val="0"/>
              <w:autoSpaceDN w:val="0"/>
              <w:spacing w:line="24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w:t>
            </w: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49CDBF8F">
            <w:pPr>
              <w:autoSpaceDE w:val="0"/>
              <w:autoSpaceDN w:val="0"/>
              <w:spacing w:line="240" w:lineRule="auto"/>
              <w:jc w:val="center"/>
              <w:rPr>
                <w:rFonts w:ascii="仿宋" w:hAnsi="仿宋" w:eastAsia="仿宋" w:cs="仿宋"/>
                <w:color w:val="auto"/>
                <w:kern w:val="0"/>
                <w:sz w:val="24"/>
                <w:szCs w:val="24"/>
                <w:highlight w:val="none"/>
                <w:lang w:val="zh-CN"/>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4409F7EE">
            <w:pPr>
              <w:autoSpaceDE w:val="0"/>
              <w:autoSpaceDN w:val="0"/>
              <w:spacing w:line="240" w:lineRule="auto"/>
              <w:jc w:val="center"/>
              <w:rPr>
                <w:rFonts w:ascii="仿宋" w:hAnsi="仿宋" w:eastAsia="仿宋" w:cs="仿宋"/>
                <w:color w:val="auto"/>
                <w:kern w:val="0"/>
                <w:sz w:val="24"/>
                <w:szCs w:val="24"/>
                <w:highlight w:val="none"/>
              </w:rPr>
            </w:pPr>
          </w:p>
        </w:tc>
        <w:tc>
          <w:tcPr>
            <w:tcW w:w="1840" w:type="dxa"/>
            <w:tcBorders>
              <w:top w:val="single" w:color="000000" w:sz="6" w:space="0"/>
              <w:left w:val="single" w:color="000000" w:sz="6" w:space="0"/>
              <w:bottom w:val="single" w:color="000000" w:sz="6" w:space="0"/>
              <w:right w:val="single" w:color="000000" w:sz="6" w:space="0"/>
            </w:tcBorders>
            <w:noWrap w:val="0"/>
            <w:vAlign w:val="center"/>
          </w:tcPr>
          <w:p w14:paraId="5F79D40C">
            <w:pPr>
              <w:autoSpaceDE w:val="0"/>
              <w:autoSpaceDN w:val="0"/>
              <w:spacing w:line="240" w:lineRule="auto"/>
              <w:jc w:val="center"/>
              <w:rPr>
                <w:rFonts w:ascii="仿宋" w:hAnsi="仿宋" w:eastAsia="仿宋" w:cs="仿宋"/>
                <w:color w:val="auto"/>
                <w:kern w:val="0"/>
                <w:sz w:val="24"/>
                <w:szCs w:val="24"/>
                <w:highlight w:val="none"/>
                <w:lang w:val="zh-CN"/>
              </w:rPr>
            </w:pPr>
          </w:p>
        </w:tc>
        <w:tc>
          <w:tcPr>
            <w:tcW w:w="1270" w:type="dxa"/>
            <w:tcBorders>
              <w:top w:val="single" w:color="000000" w:sz="6" w:space="0"/>
              <w:left w:val="single" w:color="000000" w:sz="6" w:space="0"/>
              <w:bottom w:val="single" w:color="000000" w:sz="6" w:space="0"/>
              <w:right w:val="single" w:color="auto" w:sz="4" w:space="0"/>
            </w:tcBorders>
            <w:noWrap w:val="0"/>
            <w:vAlign w:val="center"/>
          </w:tcPr>
          <w:p w14:paraId="26DFABB1">
            <w:pPr>
              <w:autoSpaceDE w:val="0"/>
              <w:autoSpaceDN w:val="0"/>
              <w:spacing w:line="240" w:lineRule="auto"/>
              <w:jc w:val="center"/>
              <w:rPr>
                <w:rFonts w:ascii="仿宋" w:hAnsi="仿宋" w:eastAsia="仿宋" w:cs="仿宋"/>
                <w:color w:val="auto"/>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noWrap w:val="0"/>
            <w:vAlign w:val="center"/>
          </w:tcPr>
          <w:p w14:paraId="08AFA7B8">
            <w:pPr>
              <w:autoSpaceDE w:val="0"/>
              <w:autoSpaceDN w:val="0"/>
              <w:spacing w:line="240" w:lineRule="auto"/>
              <w:jc w:val="center"/>
              <w:rPr>
                <w:rFonts w:ascii="仿宋" w:hAnsi="仿宋" w:eastAsia="仿宋" w:cs="仿宋"/>
                <w:color w:val="auto"/>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noWrap w:val="0"/>
            <w:vAlign w:val="center"/>
          </w:tcPr>
          <w:p w14:paraId="3D0D65BD">
            <w:pPr>
              <w:autoSpaceDE w:val="0"/>
              <w:autoSpaceDN w:val="0"/>
              <w:spacing w:line="240" w:lineRule="auto"/>
              <w:jc w:val="center"/>
              <w:rPr>
                <w:rFonts w:ascii="仿宋" w:hAnsi="仿宋" w:eastAsia="仿宋" w:cs="仿宋"/>
                <w:color w:val="auto"/>
                <w:kern w:val="0"/>
                <w:sz w:val="24"/>
                <w:szCs w:val="24"/>
                <w:highlight w:val="none"/>
                <w:lang w:val="zh-CN"/>
              </w:rPr>
            </w:pPr>
          </w:p>
        </w:tc>
      </w:tr>
      <w:tr w14:paraId="6800FAD5">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noWrap w:val="0"/>
            <w:vAlign w:val="center"/>
          </w:tcPr>
          <w:p w14:paraId="77BBC378">
            <w:pPr>
              <w:autoSpaceDE w:val="0"/>
              <w:autoSpaceDN w:val="0"/>
              <w:spacing w:line="24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w:t>
            </w: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3E18649D">
            <w:pPr>
              <w:autoSpaceDE w:val="0"/>
              <w:autoSpaceDN w:val="0"/>
              <w:spacing w:line="240" w:lineRule="auto"/>
              <w:jc w:val="center"/>
              <w:rPr>
                <w:rFonts w:ascii="仿宋" w:hAnsi="仿宋" w:eastAsia="仿宋" w:cs="仿宋"/>
                <w:color w:val="auto"/>
                <w:kern w:val="0"/>
                <w:sz w:val="24"/>
                <w:szCs w:val="24"/>
                <w:highlight w:val="none"/>
                <w:lang w:val="zh-CN"/>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3EBC34E7">
            <w:pPr>
              <w:autoSpaceDE w:val="0"/>
              <w:autoSpaceDN w:val="0"/>
              <w:spacing w:line="240" w:lineRule="auto"/>
              <w:jc w:val="center"/>
              <w:rPr>
                <w:rFonts w:ascii="仿宋" w:hAnsi="仿宋" w:eastAsia="仿宋" w:cs="仿宋"/>
                <w:color w:val="auto"/>
                <w:kern w:val="0"/>
                <w:sz w:val="24"/>
                <w:szCs w:val="24"/>
                <w:highlight w:val="none"/>
              </w:rPr>
            </w:pPr>
          </w:p>
        </w:tc>
        <w:tc>
          <w:tcPr>
            <w:tcW w:w="1840" w:type="dxa"/>
            <w:tcBorders>
              <w:top w:val="single" w:color="000000" w:sz="6" w:space="0"/>
              <w:left w:val="single" w:color="000000" w:sz="6" w:space="0"/>
              <w:bottom w:val="single" w:color="000000" w:sz="6" w:space="0"/>
              <w:right w:val="single" w:color="000000" w:sz="6" w:space="0"/>
            </w:tcBorders>
            <w:noWrap w:val="0"/>
            <w:vAlign w:val="center"/>
          </w:tcPr>
          <w:p w14:paraId="511FAC1C">
            <w:pPr>
              <w:autoSpaceDE w:val="0"/>
              <w:autoSpaceDN w:val="0"/>
              <w:spacing w:line="240" w:lineRule="auto"/>
              <w:jc w:val="center"/>
              <w:rPr>
                <w:rFonts w:ascii="仿宋" w:hAnsi="仿宋" w:eastAsia="仿宋" w:cs="仿宋"/>
                <w:color w:val="auto"/>
                <w:kern w:val="0"/>
                <w:sz w:val="24"/>
                <w:szCs w:val="24"/>
                <w:highlight w:val="none"/>
                <w:lang w:val="zh-CN"/>
              </w:rPr>
            </w:pPr>
          </w:p>
        </w:tc>
        <w:tc>
          <w:tcPr>
            <w:tcW w:w="1270" w:type="dxa"/>
            <w:tcBorders>
              <w:top w:val="single" w:color="000000" w:sz="6" w:space="0"/>
              <w:left w:val="single" w:color="000000" w:sz="6" w:space="0"/>
              <w:bottom w:val="single" w:color="000000" w:sz="6" w:space="0"/>
              <w:right w:val="single" w:color="auto" w:sz="4" w:space="0"/>
            </w:tcBorders>
            <w:noWrap w:val="0"/>
            <w:vAlign w:val="center"/>
          </w:tcPr>
          <w:p w14:paraId="344FC3E7">
            <w:pPr>
              <w:autoSpaceDE w:val="0"/>
              <w:autoSpaceDN w:val="0"/>
              <w:spacing w:line="240" w:lineRule="auto"/>
              <w:jc w:val="center"/>
              <w:rPr>
                <w:rFonts w:ascii="仿宋" w:hAnsi="仿宋" w:eastAsia="仿宋" w:cs="仿宋"/>
                <w:color w:val="auto"/>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noWrap w:val="0"/>
            <w:vAlign w:val="center"/>
          </w:tcPr>
          <w:p w14:paraId="71F35BE1">
            <w:pPr>
              <w:autoSpaceDE w:val="0"/>
              <w:autoSpaceDN w:val="0"/>
              <w:spacing w:line="240" w:lineRule="auto"/>
              <w:jc w:val="center"/>
              <w:rPr>
                <w:rFonts w:ascii="仿宋" w:hAnsi="仿宋" w:eastAsia="仿宋" w:cs="仿宋"/>
                <w:color w:val="auto"/>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noWrap w:val="0"/>
            <w:vAlign w:val="center"/>
          </w:tcPr>
          <w:p w14:paraId="533A0021">
            <w:pPr>
              <w:autoSpaceDE w:val="0"/>
              <w:autoSpaceDN w:val="0"/>
              <w:spacing w:line="240" w:lineRule="auto"/>
              <w:jc w:val="center"/>
              <w:rPr>
                <w:rFonts w:ascii="仿宋" w:hAnsi="仿宋" w:eastAsia="仿宋" w:cs="仿宋"/>
                <w:color w:val="auto"/>
                <w:kern w:val="0"/>
                <w:sz w:val="24"/>
                <w:szCs w:val="24"/>
                <w:highlight w:val="none"/>
                <w:lang w:val="zh-CN"/>
              </w:rPr>
            </w:pPr>
          </w:p>
        </w:tc>
      </w:tr>
      <w:tr w14:paraId="0C713B51">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noWrap w:val="0"/>
            <w:vAlign w:val="center"/>
          </w:tcPr>
          <w:p w14:paraId="2D9EBAEC">
            <w:pPr>
              <w:autoSpaceDE w:val="0"/>
              <w:autoSpaceDN w:val="0"/>
              <w:spacing w:line="240" w:lineRule="auto"/>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1"/>
                <w:szCs w:val="21"/>
                <w:highlight w:val="none"/>
                <w:lang w:val="zh-CN"/>
              </w:rPr>
              <w:t>…</w:t>
            </w:r>
          </w:p>
        </w:tc>
        <w:tc>
          <w:tcPr>
            <w:tcW w:w="1250" w:type="dxa"/>
            <w:tcBorders>
              <w:top w:val="single" w:color="000000" w:sz="6" w:space="0"/>
              <w:left w:val="single" w:color="000000" w:sz="6" w:space="0"/>
              <w:bottom w:val="single" w:color="000000" w:sz="6" w:space="0"/>
              <w:right w:val="single" w:color="000000" w:sz="6" w:space="0"/>
            </w:tcBorders>
            <w:noWrap w:val="0"/>
            <w:vAlign w:val="center"/>
          </w:tcPr>
          <w:p w14:paraId="1ACE873C">
            <w:pPr>
              <w:autoSpaceDE w:val="0"/>
              <w:autoSpaceDN w:val="0"/>
              <w:spacing w:line="240" w:lineRule="auto"/>
              <w:jc w:val="center"/>
              <w:rPr>
                <w:rFonts w:ascii="仿宋" w:hAnsi="仿宋" w:eastAsia="仿宋" w:cs="仿宋"/>
                <w:color w:val="auto"/>
                <w:kern w:val="0"/>
                <w:sz w:val="24"/>
                <w:szCs w:val="24"/>
                <w:highlight w:val="none"/>
                <w:lang w:val="zh-CN"/>
              </w:rPr>
            </w:pPr>
          </w:p>
        </w:tc>
        <w:tc>
          <w:tcPr>
            <w:tcW w:w="1681" w:type="dxa"/>
            <w:tcBorders>
              <w:top w:val="single" w:color="000000" w:sz="6" w:space="0"/>
              <w:left w:val="single" w:color="000000" w:sz="6" w:space="0"/>
              <w:bottom w:val="single" w:color="000000" w:sz="6" w:space="0"/>
              <w:right w:val="single" w:color="000000" w:sz="6" w:space="0"/>
            </w:tcBorders>
            <w:noWrap w:val="0"/>
            <w:vAlign w:val="center"/>
          </w:tcPr>
          <w:p w14:paraId="760E0F11">
            <w:pPr>
              <w:autoSpaceDE w:val="0"/>
              <w:autoSpaceDN w:val="0"/>
              <w:spacing w:line="240" w:lineRule="auto"/>
              <w:jc w:val="center"/>
              <w:rPr>
                <w:rFonts w:ascii="仿宋" w:hAnsi="仿宋" w:eastAsia="仿宋" w:cs="仿宋"/>
                <w:color w:val="auto"/>
                <w:kern w:val="0"/>
                <w:sz w:val="24"/>
                <w:szCs w:val="24"/>
                <w:highlight w:val="none"/>
              </w:rPr>
            </w:pPr>
          </w:p>
        </w:tc>
        <w:tc>
          <w:tcPr>
            <w:tcW w:w="1840" w:type="dxa"/>
            <w:tcBorders>
              <w:top w:val="single" w:color="000000" w:sz="6" w:space="0"/>
              <w:left w:val="single" w:color="000000" w:sz="6" w:space="0"/>
              <w:bottom w:val="single" w:color="000000" w:sz="6" w:space="0"/>
              <w:right w:val="single" w:color="000000" w:sz="6" w:space="0"/>
            </w:tcBorders>
            <w:noWrap w:val="0"/>
            <w:vAlign w:val="center"/>
          </w:tcPr>
          <w:p w14:paraId="74F80F60">
            <w:pPr>
              <w:autoSpaceDE w:val="0"/>
              <w:autoSpaceDN w:val="0"/>
              <w:spacing w:line="240" w:lineRule="auto"/>
              <w:jc w:val="center"/>
              <w:rPr>
                <w:rFonts w:ascii="仿宋" w:hAnsi="仿宋" w:eastAsia="仿宋" w:cs="仿宋"/>
                <w:color w:val="auto"/>
                <w:kern w:val="0"/>
                <w:sz w:val="24"/>
                <w:szCs w:val="24"/>
                <w:highlight w:val="none"/>
                <w:lang w:val="zh-CN"/>
              </w:rPr>
            </w:pPr>
          </w:p>
        </w:tc>
        <w:tc>
          <w:tcPr>
            <w:tcW w:w="1270" w:type="dxa"/>
            <w:tcBorders>
              <w:top w:val="single" w:color="000000" w:sz="6" w:space="0"/>
              <w:left w:val="single" w:color="000000" w:sz="6" w:space="0"/>
              <w:bottom w:val="single" w:color="000000" w:sz="6" w:space="0"/>
              <w:right w:val="single" w:color="auto" w:sz="4" w:space="0"/>
            </w:tcBorders>
            <w:noWrap w:val="0"/>
            <w:vAlign w:val="center"/>
          </w:tcPr>
          <w:p w14:paraId="2563BC78">
            <w:pPr>
              <w:autoSpaceDE w:val="0"/>
              <w:autoSpaceDN w:val="0"/>
              <w:spacing w:line="240" w:lineRule="auto"/>
              <w:jc w:val="center"/>
              <w:rPr>
                <w:rFonts w:ascii="仿宋" w:hAnsi="仿宋" w:eastAsia="仿宋" w:cs="仿宋"/>
                <w:color w:val="auto"/>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noWrap w:val="0"/>
            <w:vAlign w:val="center"/>
          </w:tcPr>
          <w:p w14:paraId="7944B6FC">
            <w:pPr>
              <w:autoSpaceDE w:val="0"/>
              <w:autoSpaceDN w:val="0"/>
              <w:spacing w:line="240" w:lineRule="auto"/>
              <w:jc w:val="center"/>
              <w:rPr>
                <w:rFonts w:ascii="仿宋" w:hAnsi="仿宋" w:eastAsia="仿宋" w:cs="仿宋"/>
                <w:color w:val="auto"/>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noWrap w:val="0"/>
            <w:vAlign w:val="center"/>
          </w:tcPr>
          <w:p w14:paraId="338503A6">
            <w:pPr>
              <w:autoSpaceDE w:val="0"/>
              <w:autoSpaceDN w:val="0"/>
              <w:spacing w:line="240" w:lineRule="auto"/>
              <w:jc w:val="center"/>
              <w:rPr>
                <w:rFonts w:ascii="仿宋" w:hAnsi="仿宋" w:eastAsia="仿宋" w:cs="仿宋"/>
                <w:color w:val="auto"/>
                <w:kern w:val="0"/>
                <w:sz w:val="24"/>
                <w:szCs w:val="24"/>
                <w:highlight w:val="none"/>
                <w:lang w:val="zh-CN"/>
              </w:rPr>
            </w:pPr>
          </w:p>
        </w:tc>
      </w:tr>
      <w:tr w14:paraId="7B92B0A6">
        <w:tblPrEx>
          <w:tblCellMar>
            <w:top w:w="0" w:type="dxa"/>
            <w:left w:w="28" w:type="dxa"/>
            <w:bottom w:w="0" w:type="dxa"/>
            <w:right w:w="28" w:type="dxa"/>
          </w:tblCellMar>
        </w:tblPrEx>
        <w:trPr>
          <w:trHeight w:val="801" w:hRule="atLeast"/>
          <w:jc w:val="center"/>
        </w:trPr>
        <w:tc>
          <w:tcPr>
            <w:tcW w:w="8854" w:type="dxa"/>
            <w:gridSpan w:val="7"/>
            <w:tcBorders>
              <w:top w:val="single" w:color="000000" w:sz="6" w:space="0"/>
              <w:left w:val="single" w:color="000000" w:sz="8" w:space="0"/>
              <w:bottom w:val="single" w:color="000000" w:sz="6" w:space="0"/>
              <w:right w:val="single" w:color="000000" w:sz="8" w:space="0"/>
            </w:tcBorders>
            <w:noWrap w:val="0"/>
            <w:vAlign w:val="center"/>
          </w:tcPr>
          <w:p w14:paraId="292E4EE3">
            <w:pPr>
              <w:autoSpaceDE w:val="0"/>
              <w:autoSpaceDN w:val="0"/>
              <w:spacing w:line="240" w:lineRule="auto"/>
              <w:jc w:val="left"/>
              <w:rPr>
                <w:rFonts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合计（元）：</w:t>
            </w:r>
          </w:p>
        </w:tc>
      </w:tr>
      <w:tr w14:paraId="78EB9327">
        <w:tblPrEx>
          <w:tblCellMar>
            <w:top w:w="0" w:type="dxa"/>
            <w:left w:w="28" w:type="dxa"/>
            <w:bottom w:w="0" w:type="dxa"/>
            <w:right w:w="28" w:type="dxa"/>
          </w:tblCellMar>
        </w:tblPrEx>
        <w:trPr>
          <w:trHeight w:val="1570" w:hRule="atLeast"/>
          <w:jc w:val="center"/>
        </w:trPr>
        <w:tc>
          <w:tcPr>
            <w:tcW w:w="1963" w:type="dxa"/>
            <w:gridSpan w:val="2"/>
            <w:tcBorders>
              <w:top w:val="single" w:color="000000" w:sz="6" w:space="0"/>
              <w:left w:val="single" w:color="000000" w:sz="8" w:space="0"/>
              <w:bottom w:val="single" w:color="000000" w:sz="6" w:space="0"/>
              <w:right w:val="single" w:color="000000" w:sz="6" w:space="0"/>
            </w:tcBorders>
            <w:noWrap w:val="0"/>
            <w:vAlign w:val="center"/>
          </w:tcPr>
          <w:p w14:paraId="6A2C3D1C">
            <w:pPr>
              <w:autoSpaceDE w:val="0"/>
              <w:autoSpaceDN w:val="0"/>
              <w:spacing w:line="240" w:lineRule="auto"/>
              <w:jc w:val="center"/>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投标</w:t>
            </w:r>
            <w:r>
              <w:rPr>
                <w:rFonts w:hint="eastAsia" w:ascii="仿宋" w:hAnsi="仿宋" w:eastAsia="仿宋" w:cs="仿宋"/>
                <w:color w:val="auto"/>
                <w:kern w:val="0"/>
                <w:sz w:val="24"/>
                <w:szCs w:val="24"/>
                <w:highlight w:val="none"/>
                <w:lang w:val="zh-CN"/>
              </w:rPr>
              <w:t>报价</w:t>
            </w:r>
          </w:p>
        </w:tc>
        <w:tc>
          <w:tcPr>
            <w:tcW w:w="6891" w:type="dxa"/>
            <w:gridSpan w:val="5"/>
            <w:tcBorders>
              <w:top w:val="single" w:color="000000" w:sz="6" w:space="0"/>
              <w:left w:val="single" w:color="000000" w:sz="6" w:space="0"/>
              <w:bottom w:val="single" w:color="000000" w:sz="6" w:space="0"/>
              <w:right w:val="single" w:color="000000" w:sz="8" w:space="0"/>
            </w:tcBorders>
            <w:noWrap w:val="0"/>
            <w:vAlign w:val="center"/>
          </w:tcPr>
          <w:p w14:paraId="09B57B27">
            <w:pPr>
              <w:autoSpaceDE w:val="0"/>
              <w:autoSpaceDN w:val="0"/>
              <w:spacing w:before="190" w:beforeLines="50" w:line="240" w:lineRule="auto"/>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小写：</w:t>
            </w:r>
          </w:p>
          <w:p w14:paraId="25CB3ACC">
            <w:pPr>
              <w:autoSpaceDE w:val="0"/>
              <w:autoSpaceDN w:val="0"/>
              <w:spacing w:line="240" w:lineRule="auto"/>
              <w:jc w:val="righ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单位：元（报价最多保留到小数点后两位）</w:t>
            </w:r>
          </w:p>
        </w:tc>
      </w:tr>
    </w:tbl>
    <w:p w14:paraId="38667AE6">
      <w:pPr>
        <w:tabs>
          <w:tab w:val="right" w:pos="9072"/>
        </w:tabs>
        <w:ind w:firstLine="426" w:firstLineChars="200"/>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备注：</w:t>
      </w: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、本表“投标报价”金额应与“开标一览表”中的“投标报价”一致；</w:t>
      </w:r>
    </w:p>
    <w:p w14:paraId="26FF76A1">
      <w:pPr>
        <w:tabs>
          <w:tab w:val="right" w:pos="9072"/>
        </w:tabs>
        <w:ind w:firstLine="1065" w:firstLineChars="500"/>
        <w:rPr>
          <w:rFonts w:ascii="华文仿宋" w:cs="Times New Roman"/>
          <w:color w:val="auto"/>
          <w:sz w:val="24"/>
          <w:szCs w:val="24"/>
          <w:highlight w:val="none"/>
        </w:rPr>
      </w:pPr>
      <w:r>
        <w:rPr>
          <w:rFonts w:ascii="宋体" w:hAnsi="宋体" w:eastAsia="宋体" w:cs="宋体"/>
          <w:color w:val="auto"/>
          <w:sz w:val="21"/>
          <w:szCs w:val="21"/>
          <w:highlight w:val="none"/>
        </w:rPr>
        <w:t>2</w:t>
      </w:r>
      <w:r>
        <w:rPr>
          <w:rFonts w:hint="eastAsia" w:ascii="宋体" w:hAnsi="宋体" w:eastAsia="宋体" w:cs="宋体"/>
          <w:color w:val="auto"/>
          <w:sz w:val="21"/>
          <w:szCs w:val="21"/>
          <w:highlight w:val="none"/>
        </w:rPr>
        <w:t>、本表为样表，仅供参考，投标人根据项目实际需求进行填写。</w:t>
      </w:r>
    </w:p>
    <w:p w14:paraId="555A06A7">
      <w:pPr>
        <w:tabs>
          <w:tab w:val="right" w:pos="9072"/>
        </w:tabs>
        <w:ind w:firstLine="1981" w:firstLineChars="700"/>
        <w:rPr>
          <w:rFonts w:eastAsia="宋体"/>
          <w:color w:val="auto"/>
          <w:highlight w:val="none"/>
        </w:rPr>
      </w:pPr>
    </w:p>
    <w:p w14:paraId="1959F141">
      <w:pPr>
        <w:spacing w:line="500" w:lineRule="exact"/>
        <w:ind w:firstLine="4811" w:firstLineChars="1700"/>
        <w:jc w:val="right"/>
        <w:rPr>
          <w:rFonts w:ascii="仿宋" w:hAnsi="仿宋" w:eastAsia="仿宋" w:cs="仿宋"/>
          <w:color w:val="auto"/>
          <w:highlight w:val="non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名称</w:t>
      </w:r>
      <w:r>
        <w:rPr>
          <w:rFonts w:hint="eastAsia" w:ascii="仿宋" w:hAnsi="仿宋" w:eastAsia="仿宋" w:cs="仿宋"/>
          <w:color w:val="auto"/>
          <w:highlight w:val="none"/>
        </w:rPr>
        <w:t>（加盖公章）</w:t>
      </w:r>
    </w:p>
    <w:p w14:paraId="262C174B">
      <w:pPr>
        <w:pStyle w:val="8"/>
        <w:spacing w:after="190"/>
        <w:ind w:firstLine="5660" w:firstLineChars="2000"/>
        <w:rPr>
          <w:rFonts w:cs="Times New Roman"/>
          <w:color w:val="auto"/>
          <w:highlight w:val="none"/>
        </w:rPr>
        <w:sectPr>
          <w:pgSz w:w="11906" w:h="16838"/>
          <w:pgMar w:top="1304" w:right="1417" w:bottom="1304" w:left="1417" w:header="850" w:footer="992" w:gutter="0"/>
          <w:pgNumType w:fmt="decimal" w:chapStyle="1"/>
          <w:cols w:space="720" w:num="1"/>
          <w:docGrid w:type="linesAndChars" w:linePitch="381" w:charSpace="704"/>
        </w:sectPr>
      </w:pPr>
      <w:r>
        <w:rPr>
          <w:rFonts w:hint="eastAsia" w:ascii="仿宋" w:hAnsi="仿宋" w:eastAsia="仿宋" w:cs="仿宋"/>
          <w:color w:val="auto"/>
          <w:sz w:val="28"/>
          <w:szCs w:val="28"/>
          <w:highlight w:val="none"/>
        </w:rPr>
        <w:t>日期：　　年　月　日</w:t>
      </w:r>
    </w:p>
    <w:bookmarkEnd w:id="564"/>
    <w:p w14:paraId="2A1C891C">
      <w:pPr>
        <w:pStyle w:val="50"/>
        <w:spacing w:line="500" w:lineRule="exact"/>
        <w:ind w:firstLine="606" w:firstLineChars="200"/>
        <w:jc w:val="left"/>
        <w:rPr>
          <w:rFonts w:hint="eastAsia" w:ascii="仿宋" w:hAnsi="仿宋" w:eastAsia="仿宋" w:cs="仿宋"/>
          <w:color w:val="auto"/>
          <w:sz w:val="30"/>
          <w:szCs w:val="30"/>
          <w:highlight w:val="none"/>
        </w:rPr>
      </w:pPr>
      <w:bookmarkStart w:id="582" w:name="_Toc9151"/>
      <w:bookmarkStart w:id="583" w:name="_Toc27127"/>
      <w:bookmarkStart w:id="584" w:name="_Toc4946"/>
      <w:bookmarkStart w:id="585" w:name="_Toc21044"/>
      <w:bookmarkStart w:id="586" w:name="_Toc10991"/>
      <w:bookmarkStart w:id="587" w:name="_Toc27481"/>
      <w:bookmarkStart w:id="588" w:name="_Toc30708"/>
      <w:bookmarkStart w:id="589" w:name="_Toc6005"/>
      <w:bookmarkStart w:id="590" w:name="_Toc2012"/>
      <w:bookmarkStart w:id="591" w:name="_Toc9028"/>
      <w:bookmarkStart w:id="592" w:name="_Toc32030"/>
      <w:bookmarkStart w:id="593" w:name="_Toc15442"/>
      <w:r>
        <w:rPr>
          <w:rFonts w:hint="eastAsia" w:ascii="仿宋" w:hAnsi="仿宋" w:eastAsia="仿宋" w:cs="仿宋"/>
          <w:color w:val="auto"/>
          <w:sz w:val="30"/>
          <w:szCs w:val="30"/>
          <w:highlight w:val="none"/>
        </w:rPr>
        <w:t>三、</w:t>
      </w:r>
      <w:r>
        <w:rPr>
          <w:rFonts w:hint="eastAsia" w:ascii="仿宋" w:hAnsi="仿宋" w:eastAsia="仿宋" w:cs="仿宋"/>
          <w:color w:val="auto"/>
          <w:sz w:val="30"/>
          <w:szCs w:val="30"/>
          <w:highlight w:val="none"/>
          <w:lang w:eastAsia="zh-CN"/>
        </w:rPr>
        <w:t>投标人</w:t>
      </w:r>
      <w:r>
        <w:rPr>
          <w:rFonts w:hint="eastAsia" w:ascii="仿宋" w:hAnsi="仿宋" w:eastAsia="仿宋" w:cs="仿宋"/>
          <w:color w:val="auto"/>
          <w:sz w:val="30"/>
          <w:szCs w:val="30"/>
          <w:highlight w:val="none"/>
        </w:rPr>
        <w:t>承诺书</w:t>
      </w:r>
      <w:bookmarkEnd w:id="582"/>
      <w:bookmarkEnd w:id="583"/>
      <w:bookmarkEnd w:id="584"/>
      <w:bookmarkEnd w:id="585"/>
      <w:bookmarkEnd w:id="586"/>
      <w:bookmarkEnd w:id="587"/>
      <w:bookmarkEnd w:id="588"/>
      <w:bookmarkEnd w:id="589"/>
      <w:bookmarkEnd w:id="590"/>
      <w:bookmarkEnd w:id="591"/>
      <w:bookmarkEnd w:id="592"/>
      <w:bookmarkEnd w:id="593"/>
    </w:p>
    <w:p w14:paraId="13ED70F3">
      <w:pPr>
        <w:spacing w:line="500" w:lineRule="exact"/>
        <w:ind w:firstLine="566" w:firstLineChars="200"/>
        <w:rPr>
          <w:rFonts w:cs="Times New Roman"/>
          <w:color w:val="auto"/>
          <w:highlight w:val="none"/>
        </w:rPr>
      </w:pPr>
      <w:r>
        <w:rPr>
          <w:rFonts w:hint="eastAsia" w:cs="华文仿宋"/>
          <w:color w:val="auto"/>
          <w:highlight w:val="none"/>
        </w:rPr>
        <w:t>未签署下列承诺书的，其责任由投标人自行承担。</w:t>
      </w:r>
    </w:p>
    <w:p w14:paraId="673A5AD4">
      <w:pPr>
        <w:spacing w:line="500" w:lineRule="exact"/>
        <w:ind w:firstLine="566" w:firstLineChars="200"/>
        <w:rPr>
          <w:rFonts w:cs="Times New Roman"/>
          <w:b/>
          <w:bCs/>
          <w:color w:val="auto"/>
          <w:highlight w:val="none"/>
        </w:rPr>
      </w:pPr>
      <w:r>
        <w:rPr>
          <w:rFonts w:hint="eastAsia" w:cs="华文仿宋"/>
          <w:b/>
          <w:bCs/>
          <w:color w:val="auto"/>
          <w:highlight w:val="none"/>
        </w:rPr>
        <w:t>（一）质量安全责任承诺书</w:t>
      </w:r>
    </w:p>
    <w:p w14:paraId="3D7056FB">
      <w:pPr>
        <w:spacing w:line="500" w:lineRule="exact"/>
        <w:ind w:firstLine="566" w:firstLineChars="200"/>
        <w:rPr>
          <w:rFonts w:cs="Times New Roman"/>
          <w:color w:val="auto"/>
          <w:highlight w:val="none"/>
        </w:rPr>
      </w:pPr>
      <w:r>
        <w:rPr>
          <w:rFonts w:hint="eastAsia" w:cs="华文仿宋"/>
          <w:color w:val="auto"/>
          <w:highlight w:val="none"/>
        </w:rPr>
        <w:t>为保证本采购项目顺利进行，作为投标人，现郑重承诺：</w:t>
      </w:r>
    </w:p>
    <w:p w14:paraId="56B7D361">
      <w:pPr>
        <w:spacing w:line="500" w:lineRule="exact"/>
        <w:ind w:firstLine="566" w:firstLineChars="200"/>
        <w:rPr>
          <w:rFonts w:cs="Times New Roman"/>
          <w:color w:val="auto"/>
          <w:highlight w:val="none"/>
        </w:rPr>
      </w:pPr>
      <w:r>
        <w:rPr>
          <w:color w:val="auto"/>
          <w:highlight w:val="none"/>
        </w:rPr>
        <w:t>1</w:t>
      </w:r>
      <w:r>
        <w:rPr>
          <w:rFonts w:hint="eastAsia" w:cs="华文仿宋"/>
          <w:color w:val="auto"/>
          <w:highlight w:val="none"/>
        </w:rPr>
        <w:t>、我方投标产品的生产（包括设计、制造、安装、改造、维修等）、投入使用的材料等均完全符合国家现行质量、安全、环保标准和要求。</w:t>
      </w:r>
    </w:p>
    <w:p w14:paraId="756F2C10">
      <w:pPr>
        <w:spacing w:line="500" w:lineRule="exact"/>
        <w:ind w:firstLine="566" w:firstLineChars="200"/>
        <w:rPr>
          <w:rFonts w:cs="Times New Roman"/>
          <w:color w:val="auto"/>
          <w:highlight w:val="none"/>
        </w:rPr>
      </w:pPr>
      <w:r>
        <w:rPr>
          <w:color w:val="auto"/>
          <w:highlight w:val="none"/>
        </w:rPr>
        <w:t>2</w:t>
      </w:r>
      <w:r>
        <w:rPr>
          <w:rFonts w:hint="eastAsia" w:cs="华文仿宋"/>
          <w:color w:val="auto"/>
          <w:highlight w:val="none"/>
        </w:rPr>
        <w:t>、我方将严格按照国家现行相关储存、运输、安装调试技术标准及规范、服务标准及规范、施工标准及规范，在规定的时限内，保质、保量完成项目全部内容，并向采购人交付合格产品。</w:t>
      </w:r>
    </w:p>
    <w:p w14:paraId="29A4B3F2">
      <w:pPr>
        <w:spacing w:line="500" w:lineRule="exact"/>
        <w:ind w:firstLine="566" w:firstLineChars="200"/>
        <w:rPr>
          <w:rFonts w:cs="Times New Roman"/>
          <w:color w:val="auto"/>
          <w:highlight w:val="none"/>
        </w:rPr>
      </w:pPr>
      <w:r>
        <w:rPr>
          <w:color w:val="auto"/>
          <w:highlight w:val="none"/>
        </w:rPr>
        <w:t>3</w:t>
      </w:r>
      <w:r>
        <w:rPr>
          <w:rFonts w:hint="eastAsia" w:cs="华文仿宋"/>
          <w:color w:val="auto"/>
          <w:highlight w:val="none"/>
        </w:rPr>
        <w:t>、对于因产品生产质量以及储存、运输、安装调试、服务、施工等过程中产生的任何安全事故，我方承担全部责任。</w:t>
      </w:r>
    </w:p>
    <w:p w14:paraId="5E5A7BBA">
      <w:pPr>
        <w:spacing w:line="500" w:lineRule="exact"/>
        <w:ind w:firstLine="566" w:firstLineChars="200"/>
        <w:rPr>
          <w:rFonts w:cs="Times New Roman"/>
          <w:color w:val="auto"/>
          <w:highlight w:val="none"/>
        </w:rPr>
      </w:pPr>
      <w:r>
        <w:rPr>
          <w:color w:val="auto"/>
          <w:highlight w:val="none"/>
        </w:rPr>
        <w:t>4</w:t>
      </w:r>
      <w:r>
        <w:rPr>
          <w:rFonts w:hint="eastAsia" w:cs="华文仿宋"/>
          <w:color w:val="auto"/>
          <w:highlight w:val="none"/>
        </w:rPr>
        <w:t>、我方提供的货物、工程、服务等符合现行的国家、行业、地区、企业标准及要求，标准不一致的，以更为严格的为准，我方对提供的货物、工程、服务等的质量、安全、环保等承担全部责任。</w:t>
      </w:r>
    </w:p>
    <w:p w14:paraId="08B02B02">
      <w:pPr>
        <w:spacing w:line="500" w:lineRule="exact"/>
        <w:ind w:firstLine="566" w:firstLineChars="200"/>
        <w:rPr>
          <w:rFonts w:cs="Times New Roman"/>
          <w:color w:val="auto"/>
          <w:highlight w:val="none"/>
        </w:rPr>
      </w:pPr>
    </w:p>
    <w:p w14:paraId="0B42597A">
      <w:pPr>
        <w:spacing w:line="500" w:lineRule="exact"/>
        <w:ind w:firstLine="5094" w:firstLineChars="18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14:paraId="58DEE887">
      <w:pPr>
        <w:spacing w:line="500" w:lineRule="exact"/>
        <w:ind w:firstLine="5377" w:firstLineChars="1900"/>
        <w:rPr>
          <w:rFonts w:cs="Times New Roman"/>
          <w:color w:val="auto"/>
          <w:highlight w:val="none"/>
        </w:rPr>
      </w:pPr>
      <w:r>
        <w:rPr>
          <w:rFonts w:hint="eastAsia" w:cs="华文仿宋"/>
          <w:color w:val="auto"/>
          <w:highlight w:val="none"/>
        </w:rPr>
        <w:t>日期：　年　月　日</w:t>
      </w:r>
    </w:p>
    <w:p w14:paraId="3B888BD0">
      <w:pPr>
        <w:spacing w:line="500" w:lineRule="exact"/>
        <w:rPr>
          <w:rFonts w:cs="Times New Roman"/>
          <w:color w:val="auto"/>
          <w:highlight w:val="none"/>
        </w:rPr>
      </w:pPr>
    </w:p>
    <w:p w14:paraId="04A725C7">
      <w:pPr>
        <w:spacing w:line="500" w:lineRule="exact"/>
        <w:rPr>
          <w:rFonts w:cs="Times New Roman"/>
          <w:color w:val="auto"/>
          <w:highlight w:val="none"/>
        </w:rPr>
      </w:pPr>
    </w:p>
    <w:p w14:paraId="712062E4">
      <w:pPr>
        <w:spacing w:line="500" w:lineRule="exact"/>
        <w:rPr>
          <w:rFonts w:cs="Times New Roman"/>
          <w:color w:val="auto"/>
          <w:highlight w:val="none"/>
        </w:rPr>
      </w:pPr>
    </w:p>
    <w:p w14:paraId="72E2C0C1">
      <w:pPr>
        <w:spacing w:line="500" w:lineRule="exact"/>
        <w:rPr>
          <w:rFonts w:cs="Times New Roman"/>
          <w:color w:val="auto"/>
          <w:highlight w:val="none"/>
        </w:rPr>
      </w:pPr>
    </w:p>
    <w:p w14:paraId="6CEE8B50">
      <w:pPr>
        <w:spacing w:line="500" w:lineRule="exact"/>
        <w:rPr>
          <w:rFonts w:cs="Times New Roman"/>
          <w:color w:val="auto"/>
          <w:highlight w:val="none"/>
        </w:rPr>
      </w:pPr>
    </w:p>
    <w:p w14:paraId="0F128509">
      <w:pPr>
        <w:pStyle w:val="23"/>
        <w:ind w:firstLine="183"/>
        <w:rPr>
          <w:color w:val="auto"/>
          <w:highlight w:val="none"/>
        </w:rPr>
      </w:pPr>
    </w:p>
    <w:p w14:paraId="1FA16945">
      <w:pPr>
        <w:pStyle w:val="23"/>
        <w:ind w:firstLine="183"/>
        <w:rPr>
          <w:color w:val="auto"/>
          <w:highlight w:val="none"/>
        </w:rPr>
      </w:pPr>
    </w:p>
    <w:p w14:paraId="5B49A74B">
      <w:pPr>
        <w:spacing w:line="500" w:lineRule="exact"/>
        <w:rPr>
          <w:rFonts w:cs="Times New Roman"/>
          <w:color w:val="auto"/>
          <w:highlight w:val="none"/>
        </w:rPr>
      </w:pPr>
    </w:p>
    <w:p w14:paraId="6975DE0D">
      <w:pPr>
        <w:pStyle w:val="23"/>
        <w:ind w:firstLine="183"/>
        <w:rPr>
          <w:color w:val="auto"/>
          <w:highlight w:val="none"/>
        </w:rPr>
      </w:pPr>
    </w:p>
    <w:p w14:paraId="3A66FAF9">
      <w:pPr>
        <w:spacing w:before="190" w:beforeLines="50" w:line="500" w:lineRule="exact"/>
        <w:ind w:firstLine="566" w:firstLineChars="200"/>
        <w:rPr>
          <w:rFonts w:cs="Times New Roman"/>
          <w:b/>
          <w:bCs/>
          <w:color w:val="auto"/>
          <w:highlight w:val="none"/>
        </w:rPr>
      </w:pPr>
    </w:p>
    <w:p w14:paraId="5A585F68">
      <w:pPr>
        <w:spacing w:before="190" w:beforeLines="50" w:line="500" w:lineRule="exact"/>
        <w:ind w:firstLine="566" w:firstLineChars="200"/>
        <w:rPr>
          <w:rFonts w:cs="Times New Roman"/>
          <w:b/>
          <w:bCs/>
          <w:color w:val="auto"/>
          <w:highlight w:val="none"/>
        </w:rPr>
      </w:pPr>
      <w:r>
        <w:rPr>
          <w:rFonts w:hint="eastAsia" w:cs="华文仿宋"/>
          <w:b/>
          <w:bCs/>
          <w:color w:val="auto"/>
          <w:highlight w:val="none"/>
        </w:rPr>
        <w:t>（二）拒绝政府采购领域商业贿赂承诺书</w:t>
      </w:r>
    </w:p>
    <w:p w14:paraId="579CF7A1">
      <w:pPr>
        <w:overflowPunct w:val="0"/>
        <w:topLinePunct/>
        <w:spacing w:line="440" w:lineRule="exact"/>
        <w:jc w:val="center"/>
        <w:rPr>
          <w:rFonts w:cs="Times New Roman"/>
          <w:color w:val="auto"/>
          <w:highlight w:val="none"/>
        </w:rPr>
      </w:pPr>
      <w:r>
        <w:rPr>
          <w:rFonts w:hint="eastAsia" w:cs="华文仿宋"/>
          <w:color w:val="auto"/>
          <w:highlight w:val="none"/>
        </w:rPr>
        <w:t>（执行陕财办采管</w:t>
      </w:r>
      <w:r>
        <w:rPr>
          <w:rFonts w:ascii="仿宋" w:hAnsi="仿宋" w:eastAsia="仿宋" w:cs="仿宋"/>
          <w:color w:val="auto"/>
          <w:highlight w:val="none"/>
        </w:rPr>
        <w:t>[2006]21</w:t>
      </w:r>
      <w:r>
        <w:rPr>
          <w:rFonts w:hint="eastAsia" w:cs="华文仿宋"/>
          <w:color w:val="auto"/>
          <w:highlight w:val="none"/>
        </w:rPr>
        <w:t>号文件）</w:t>
      </w:r>
    </w:p>
    <w:p w14:paraId="2D28F718">
      <w:pPr>
        <w:spacing w:line="500" w:lineRule="exact"/>
        <w:ind w:firstLine="566" w:firstLineChars="200"/>
        <w:rPr>
          <w:rFonts w:cs="Times New Roman"/>
          <w:color w:val="auto"/>
          <w:highlight w:val="none"/>
        </w:rPr>
      </w:pPr>
      <w:r>
        <w:rPr>
          <w:rFonts w:hint="eastAsia" w:cs="华文仿宋"/>
          <w:color w:val="auto"/>
          <w:highlight w:val="none"/>
        </w:rPr>
        <w:t>为响应党中央、国务院关于治理政府采购领域商业贿赂行为的号召，我公司在此庄严承诺：</w:t>
      </w:r>
    </w:p>
    <w:p w14:paraId="60513EC2">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1、</w:t>
      </w:r>
      <w:r>
        <w:rPr>
          <w:rFonts w:hint="eastAsia" w:cs="华文仿宋"/>
          <w:color w:val="auto"/>
          <w:highlight w:val="none"/>
        </w:rPr>
        <w:t>在参与政府采购活动中遵纪守法、诚信经营、公平竞标。</w:t>
      </w:r>
    </w:p>
    <w:p w14:paraId="214CC84A">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2、</w:t>
      </w:r>
      <w:r>
        <w:rPr>
          <w:rFonts w:hint="eastAsia" w:cs="华文仿宋"/>
          <w:color w:val="auto"/>
          <w:highlight w:val="none"/>
        </w:rPr>
        <w:t>不向政府采购人、采购代理机构和政府采购评审专家进行任何形式的商业贿赂以谋取交易机会。</w:t>
      </w:r>
    </w:p>
    <w:p w14:paraId="1E61F110">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3、</w:t>
      </w:r>
      <w:r>
        <w:rPr>
          <w:rFonts w:hint="eastAsia" w:cs="华文仿宋"/>
          <w:color w:val="auto"/>
          <w:highlight w:val="none"/>
        </w:rPr>
        <w:t>不向政府采购代理机构和采购人提供虚假资质文件或采用虚假应标方式参与政府采购市场竞争并谋取中标、成交。</w:t>
      </w:r>
    </w:p>
    <w:p w14:paraId="6DC714D8">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4、</w:t>
      </w:r>
      <w:r>
        <w:rPr>
          <w:rFonts w:hint="eastAsia" w:cs="华文仿宋"/>
          <w:color w:val="auto"/>
          <w:highlight w:val="none"/>
        </w:rPr>
        <w:t>不采取“围标、陪标”等商业欺诈手段获得政府采购定单。</w:t>
      </w:r>
    </w:p>
    <w:p w14:paraId="4F8AA518">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5、</w:t>
      </w:r>
      <w:r>
        <w:rPr>
          <w:rFonts w:hint="eastAsia" w:cs="华文仿宋"/>
          <w:color w:val="auto"/>
          <w:highlight w:val="none"/>
        </w:rPr>
        <w:t>不采取不正当手段诋毁、排挤其他</w:t>
      </w:r>
      <w:r>
        <w:rPr>
          <w:rFonts w:hint="eastAsia" w:cs="华文仿宋"/>
          <w:color w:val="auto"/>
          <w:highlight w:val="none"/>
          <w:lang w:eastAsia="zh-CN"/>
        </w:rPr>
        <w:t>投标人</w:t>
      </w:r>
      <w:r>
        <w:rPr>
          <w:rFonts w:hint="eastAsia" w:cs="华文仿宋"/>
          <w:color w:val="auto"/>
          <w:highlight w:val="none"/>
        </w:rPr>
        <w:t>。</w:t>
      </w:r>
    </w:p>
    <w:p w14:paraId="2EC29484">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6、</w:t>
      </w:r>
      <w:r>
        <w:rPr>
          <w:rFonts w:hint="eastAsia" w:cs="华文仿宋"/>
          <w:color w:val="auto"/>
          <w:highlight w:val="none"/>
        </w:rPr>
        <w:t>不在提供商品和服务时“偷梁换柱、以次充好”损害采购人的合法权益。</w:t>
      </w:r>
    </w:p>
    <w:p w14:paraId="64CFD5B7">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7、</w:t>
      </w:r>
      <w:r>
        <w:rPr>
          <w:rFonts w:hint="eastAsia" w:cs="华文仿宋"/>
          <w:color w:val="auto"/>
          <w:highlight w:val="none"/>
        </w:rPr>
        <w:t>不与采购人、采购代理机构政府采购评审专家或其它</w:t>
      </w:r>
      <w:r>
        <w:rPr>
          <w:rFonts w:hint="eastAsia" w:cs="华文仿宋"/>
          <w:color w:val="auto"/>
          <w:highlight w:val="none"/>
          <w:lang w:eastAsia="zh-CN"/>
        </w:rPr>
        <w:t>投标人</w:t>
      </w:r>
      <w:r>
        <w:rPr>
          <w:rFonts w:hint="eastAsia" w:cs="华文仿宋"/>
          <w:color w:val="auto"/>
          <w:highlight w:val="none"/>
        </w:rPr>
        <w:t>恶意串通，进行质疑和投诉，维护政府采购市场秩序。</w:t>
      </w:r>
    </w:p>
    <w:p w14:paraId="3C065412">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8、</w:t>
      </w:r>
      <w:r>
        <w:rPr>
          <w:rFonts w:hint="eastAsia" w:cs="华文仿宋"/>
          <w:color w:val="auto"/>
          <w:highlight w:val="none"/>
        </w:rPr>
        <w:t>尊重和接受政府采购监督管理部门的监督和政府采购代理机构招标采购要求，承担因违约行为给采购人造成的损失。</w:t>
      </w:r>
    </w:p>
    <w:p w14:paraId="595537F8">
      <w:pPr>
        <w:spacing w:line="500" w:lineRule="exact"/>
        <w:ind w:firstLine="566" w:firstLineChars="200"/>
        <w:rPr>
          <w:rFonts w:cs="Times New Roman"/>
          <w:color w:val="auto"/>
          <w:highlight w:val="none"/>
        </w:rPr>
      </w:pPr>
      <w:r>
        <w:rPr>
          <w:rFonts w:hint="eastAsia" w:ascii="仿宋" w:hAnsi="仿宋" w:eastAsia="仿宋" w:cs="仿宋"/>
          <w:color w:val="auto"/>
          <w:highlight w:val="none"/>
        </w:rPr>
        <w:t>9、</w:t>
      </w:r>
      <w:r>
        <w:rPr>
          <w:rFonts w:hint="eastAsia" w:cs="华文仿宋"/>
          <w:color w:val="auto"/>
          <w:highlight w:val="none"/>
        </w:rPr>
        <w:t>不发生其他有悖于政府采购公开、公平、公正和诚信原则的行为。</w:t>
      </w:r>
    </w:p>
    <w:p w14:paraId="1C5CA08E">
      <w:pPr>
        <w:spacing w:line="500" w:lineRule="exact"/>
        <w:rPr>
          <w:rFonts w:cs="Times New Roman"/>
          <w:color w:val="auto"/>
          <w:highlight w:val="none"/>
        </w:rPr>
      </w:pPr>
    </w:p>
    <w:p w14:paraId="5FB0BBBE">
      <w:pPr>
        <w:spacing w:line="500" w:lineRule="exact"/>
        <w:ind w:firstLine="5094" w:firstLineChars="1800"/>
        <w:rPr>
          <w:rFonts w:cs="Times New Roman"/>
          <w:color w:val="auto"/>
          <w:highlight w:val="none"/>
        </w:rPr>
      </w:pPr>
      <w:r>
        <w:rPr>
          <w:rFonts w:hint="eastAsia" w:cs="华文仿宋"/>
          <w:color w:val="auto"/>
          <w:highlight w:val="none"/>
        </w:rPr>
        <w:t>投标人：</w:t>
      </w:r>
      <w:r>
        <w:rPr>
          <w:rFonts w:hint="eastAsia" w:cs="华文仿宋"/>
          <w:color w:val="auto"/>
          <w:highlight w:val="none"/>
          <w:u w:val="single"/>
        </w:rPr>
        <w:t>名称</w:t>
      </w:r>
      <w:r>
        <w:rPr>
          <w:rFonts w:hint="eastAsia" w:cs="华文仿宋"/>
          <w:color w:val="auto"/>
          <w:highlight w:val="none"/>
        </w:rPr>
        <w:t>（加盖公章）</w:t>
      </w:r>
    </w:p>
    <w:p w14:paraId="29B84FD7">
      <w:pPr>
        <w:spacing w:line="500" w:lineRule="exact"/>
        <w:ind w:firstLine="5377" w:firstLineChars="1900"/>
        <w:rPr>
          <w:rFonts w:cs="Times New Roman"/>
          <w:color w:val="auto"/>
          <w:highlight w:val="none"/>
        </w:rPr>
      </w:pPr>
      <w:r>
        <w:rPr>
          <w:rFonts w:hint="eastAsia" w:cs="华文仿宋"/>
          <w:color w:val="auto"/>
          <w:highlight w:val="none"/>
        </w:rPr>
        <w:t>日期：　年　月　日</w:t>
      </w:r>
    </w:p>
    <w:p w14:paraId="78AA8A11">
      <w:pPr>
        <w:pStyle w:val="50"/>
        <w:spacing w:line="500" w:lineRule="exact"/>
        <w:ind w:firstLine="646" w:firstLineChars="200"/>
        <w:outlineLvl w:val="1"/>
        <w:rPr>
          <w:rFonts w:ascii="仿宋" w:hAnsi="仿宋" w:eastAsia="仿宋"/>
          <w:b/>
          <w:color w:val="auto"/>
          <w:sz w:val="32"/>
          <w:szCs w:val="32"/>
          <w:highlight w:val="none"/>
        </w:rPr>
      </w:pPr>
      <w:r>
        <w:rPr>
          <w:rFonts w:cs="Times New Roman"/>
          <w:color w:val="auto"/>
          <w:highlight w:val="none"/>
        </w:rPr>
        <w:br w:type="page"/>
      </w:r>
      <w:bookmarkStart w:id="594" w:name="_Toc27212"/>
      <w:r>
        <w:rPr>
          <w:rFonts w:hint="eastAsia" w:ascii="仿宋" w:hAnsi="仿宋" w:eastAsia="仿宋" w:cs="仿宋"/>
          <w:b/>
          <w:bCs/>
          <w:color w:val="auto"/>
          <w:sz w:val="30"/>
          <w:szCs w:val="30"/>
          <w:highlight w:val="none"/>
        </w:rPr>
        <w:t>四、</w:t>
      </w:r>
      <w:r>
        <w:rPr>
          <w:rFonts w:hint="eastAsia" w:ascii="仿宋" w:hAnsi="仿宋" w:eastAsia="仿宋" w:cs="仿宋"/>
          <w:b/>
          <w:color w:val="auto"/>
          <w:sz w:val="30"/>
          <w:szCs w:val="30"/>
          <w:highlight w:val="none"/>
        </w:rPr>
        <w:t>实质性条款响应</w:t>
      </w:r>
      <w:bookmarkEnd w:id="594"/>
    </w:p>
    <w:p w14:paraId="7613D36D">
      <w:pPr>
        <w:pStyle w:val="54"/>
        <w:spacing w:line="500" w:lineRule="exact"/>
        <w:ind w:firstLine="566"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（一）按照招标文件第四章“采购内容及采购要求”中“★”内容要求，如须提供相关承诺函，投标人将承诺函附至此处。</w:t>
      </w:r>
    </w:p>
    <w:p w14:paraId="3AF38BD2">
      <w:pPr>
        <w:pStyle w:val="54"/>
        <w:spacing w:line="500" w:lineRule="exact"/>
        <w:ind w:firstLine="566" w:firstLineChars="200"/>
        <w:rPr>
          <w:rFonts w:ascii="仿宋" w:hAnsi="仿宋" w:eastAsia="仿宋" w:cs="仿宋"/>
          <w:b/>
          <w:bCs/>
          <w:color w:val="auto"/>
          <w:sz w:val="28"/>
          <w:szCs w:val="28"/>
          <w:highlight w:val="none"/>
        </w:rPr>
      </w:pPr>
    </w:p>
    <w:p w14:paraId="2E2225F8">
      <w:pPr>
        <w:pStyle w:val="54"/>
        <w:spacing w:line="500" w:lineRule="exact"/>
        <w:ind w:firstLine="566" w:firstLineChars="200"/>
        <w:rPr>
          <w:rFonts w:ascii="仿宋" w:hAnsi="仿宋" w:eastAsia="仿宋" w:cs="仿宋"/>
          <w:b/>
          <w:bCs/>
          <w:color w:val="auto"/>
          <w:sz w:val="28"/>
          <w:szCs w:val="28"/>
          <w:highlight w:val="none"/>
        </w:rPr>
      </w:pPr>
    </w:p>
    <w:p w14:paraId="795CA1E0">
      <w:pPr>
        <w:pStyle w:val="54"/>
        <w:spacing w:line="500" w:lineRule="exact"/>
        <w:ind w:firstLine="566" w:firstLineChars="200"/>
        <w:rPr>
          <w:rFonts w:ascii="仿宋" w:hAnsi="仿宋" w:eastAsia="仿宋" w:cs="仿宋"/>
          <w:b/>
          <w:bCs/>
          <w:color w:val="auto"/>
          <w:sz w:val="28"/>
          <w:szCs w:val="28"/>
          <w:highlight w:val="none"/>
        </w:rPr>
      </w:pPr>
    </w:p>
    <w:p w14:paraId="056DC6C7">
      <w:pPr>
        <w:pStyle w:val="54"/>
        <w:numPr>
          <w:ilvl w:val="0"/>
          <w:numId w:val="0"/>
        </w:numPr>
        <w:spacing w:line="500" w:lineRule="exact"/>
        <w:ind w:firstLine="566"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（二）按照招标文件第四章“采购内容及采购要求”中“★”内容要求，如须提供证书复印件等相关证明材料，投标人将证明材料附至此处。。</w:t>
      </w:r>
    </w:p>
    <w:p w14:paraId="0A933A4E">
      <w:pPr>
        <w:pStyle w:val="54"/>
        <w:numPr>
          <w:ilvl w:val="0"/>
          <w:numId w:val="0"/>
        </w:numPr>
        <w:spacing w:line="500" w:lineRule="exact"/>
        <w:rPr>
          <w:rFonts w:ascii="仿宋" w:hAnsi="仿宋" w:eastAsia="仿宋" w:cs="仿宋"/>
          <w:b/>
          <w:bCs/>
          <w:color w:val="auto"/>
          <w:sz w:val="28"/>
          <w:szCs w:val="28"/>
          <w:highlight w:val="none"/>
        </w:rPr>
      </w:pPr>
    </w:p>
    <w:p w14:paraId="3588C5E1">
      <w:pPr>
        <w:widowControl w:val="0"/>
        <w:ind w:firstLine="426" w:firstLineChars="200"/>
        <w:rPr>
          <w:rFonts w:hint="eastAsia" w:ascii="宋体" w:hAnsi="宋体" w:eastAsia="宋体" w:cs="宋体"/>
          <w:b/>
          <w:bCs/>
          <w:color w:val="auto"/>
          <w:sz w:val="21"/>
          <w:szCs w:val="21"/>
          <w:highlight w:val="none"/>
        </w:rPr>
      </w:pPr>
    </w:p>
    <w:p w14:paraId="2A5CFC52">
      <w:pPr>
        <w:widowControl w:val="0"/>
        <w:ind w:firstLine="426" w:firstLineChars="200"/>
        <w:rPr>
          <w:rFonts w:hint="eastAsia" w:ascii="宋体" w:hAnsi="宋体" w:eastAsia="宋体" w:cs="宋体"/>
          <w:b/>
          <w:bCs/>
          <w:color w:val="auto"/>
          <w:sz w:val="21"/>
          <w:szCs w:val="21"/>
          <w:highlight w:val="none"/>
        </w:rPr>
      </w:pPr>
    </w:p>
    <w:p w14:paraId="018451BB">
      <w:pPr>
        <w:widowControl w:val="0"/>
        <w:ind w:firstLine="426" w:firstLineChars="200"/>
        <w:rPr>
          <w:rFonts w:hint="eastAsia" w:ascii="宋体" w:hAnsi="宋体" w:eastAsia="宋体" w:cs="宋体"/>
          <w:b/>
          <w:bCs/>
          <w:color w:val="auto"/>
          <w:sz w:val="21"/>
          <w:szCs w:val="21"/>
          <w:highlight w:val="none"/>
        </w:rPr>
      </w:pPr>
    </w:p>
    <w:p w14:paraId="69DBD093">
      <w:pPr>
        <w:widowControl w:val="0"/>
        <w:ind w:firstLine="426"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备注：</w:t>
      </w:r>
    </w:p>
    <w:p w14:paraId="7701317D">
      <w:pPr>
        <w:ind w:firstLine="426" w:firstLineChars="20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1、投标人填写须以第四章“采购内容及采购要求”中“★”内容项为基本响应要求，须逐条响应，未逐条响应、有缺漏将被视为无效投标。</w:t>
      </w:r>
    </w:p>
    <w:p w14:paraId="616EE2F9">
      <w:pPr>
        <w:numPr>
          <w:ilvl w:val="0"/>
          <w:numId w:val="0"/>
        </w:numPr>
        <w:ind w:firstLine="426"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2、承诺函、证书复印件等相关证明材料均须加盖投标人公章</w:t>
      </w:r>
      <w:r>
        <w:rPr>
          <w:rFonts w:hint="eastAsia" w:ascii="宋体" w:hAnsi="宋体" w:eastAsia="宋体" w:cs="宋体"/>
          <w:b w:val="0"/>
          <w:bCs w:val="0"/>
          <w:color w:val="auto"/>
          <w:sz w:val="21"/>
          <w:szCs w:val="21"/>
          <w:highlight w:val="none"/>
          <w:lang w:eastAsia="zh-CN"/>
        </w:rPr>
        <w:t>。</w:t>
      </w:r>
    </w:p>
    <w:p w14:paraId="64E59F1B">
      <w:pPr>
        <w:spacing w:line="500" w:lineRule="exact"/>
        <w:rPr>
          <w:rFonts w:ascii="宋体" w:hAnsi="宋体" w:eastAsia="宋体" w:cs="宋体"/>
          <w:b/>
          <w:bCs/>
          <w:color w:val="auto"/>
          <w:sz w:val="21"/>
          <w:szCs w:val="21"/>
          <w:highlight w:val="none"/>
        </w:rPr>
      </w:pPr>
    </w:p>
    <w:p w14:paraId="5E2AE1E1">
      <w:pPr>
        <w:pStyle w:val="50"/>
        <w:spacing w:line="500" w:lineRule="exact"/>
        <w:ind w:firstLine="566" w:firstLineChars="200"/>
        <w:outlineLvl w:val="1"/>
        <w:rPr>
          <w:rFonts w:ascii="仿宋" w:hAnsi="仿宋" w:eastAsia="仿宋" w:cs="Times New Roman"/>
          <w:b/>
          <w:bCs/>
          <w:color w:val="auto"/>
          <w:sz w:val="30"/>
          <w:szCs w:val="30"/>
          <w:highlight w:val="none"/>
        </w:rPr>
      </w:pPr>
      <w:r>
        <w:rPr>
          <w:rFonts w:hint="default" w:ascii="Calibri Light" w:hAnsi="Calibri Light" w:eastAsia="华文仿宋" w:cs="Times New Roman"/>
          <w:b w:val="0"/>
          <w:bCs w:val="0"/>
          <w:color w:val="auto"/>
          <w:sz w:val="28"/>
          <w:szCs w:val="28"/>
          <w:highlight w:val="none"/>
        </w:rPr>
        <w:br w:type="page"/>
      </w:r>
      <w:r>
        <w:rPr>
          <w:rFonts w:hint="eastAsia" w:ascii="仿宋" w:hAnsi="仿宋" w:eastAsia="仿宋" w:cs="仿宋"/>
          <w:b/>
          <w:bCs/>
          <w:color w:val="auto"/>
          <w:sz w:val="30"/>
          <w:szCs w:val="30"/>
          <w:highlight w:val="none"/>
        </w:rPr>
        <w:t>五</w:t>
      </w:r>
      <w:r>
        <w:rPr>
          <w:rFonts w:hint="default" w:ascii="仿宋" w:hAnsi="仿宋" w:eastAsia="仿宋" w:cs="仿宋"/>
          <w:b/>
          <w:bCs/>
          <w:color w:val="auto"/>
          <w:sz w:val="30"/>
          <w:szCs w:val="30"/>
          <w:highlight w:val="none"/>
        </w:rPr>
        <w:t>、合同条款响应</w:t>
      </w:r>
    </w:p>
    <w:p w14:paraId="59F750E3">
      <w:pPr>
        <w:spacing w:line="500" w:lineRule="exact"/>
        <w:ind w:firstLine="566" w:firstLineChars="200"/>
        <w:rPr>
          <w:rFonts w:cs="Times New Roman"/>
          <w:color w:val="auto"/>
          <w:highlight w:val="none"/>
        </w:rPr>
      </w:pPr>
      <w:r>
        <w:rPr>
          <w:rFonts w:hint="eastAsia" w:cs="华文仿宋"/>
          <w:color w:val="auto"/>
          <w:highlight w:val="none"/>
        </w:rPr>
        <w:t>完全理解并接受招标文件中“合同基本条款”要求。</w:t>
      </w:r>
    </w:p>
    <w:p w14:paraId="64655E6D">
      <w:pPr>
        <w:spacing w:line="500" w:lineRule="exact"/>
        <w:ind w:firstLine="4811" w:firstLineChars="1700"/>
        <w:rPr>
          <w:rFonts w:ascii="仿宋" w:hAnsi="仿宋" w:eastAsia="仿宋" w:cs="Times New Roman"/>
          <w:color w:val="auto"/>
          <w:highlight w:val="none"/>
        </w:rPr>
      </w:pPr>
    </w:p>
    <w:p w14:paraId="2FC30B67">
      <w:pPr>
        <w:pStyle w:val="8"/>
        <w:spacing w:after="190"/>
        <w:rPr>
          <w:rFonts w:cs="Times New Roman"/>
          <w:color w:val="auto"/>
          <w:highlight w:val="none"/>
        </w:rPr>
      </w:pPr>
    </w:p>
    <w:p w14:paraId="7CD35927">
      <w:pPr>
        <w:pStyle w:val="8"/>
        <w:spacing w:afterLines="0" w:line="500" w:lineRule="exact"/>
        <w:ind w:firstLine="5377" w:firstLineChars="1900"/>
        <w:rPr>
          <w:rFonts w:ascii="仿宋" w:hAnsi="仿宋" w:eastAsia="仿宋" w:cs="Times New Roman"/>
          <w:color w:val="auto"/>
          <w:highlight w:val="none"/>
        </w:rPr>
      </w:pPr>
      <w:r>
        <w:rPr>
          <w:rFonts w:hint="eastAsia" w:ascii="华文仿宋" w:hAnsi="华文仿宋" w:cs="华文仿宋"/>
          <w:color w:val="auto"/>
          <w:sz w:val="28"/>
          <w:szCs w:val="28"/>
          <w:highlight w:val="none"/>
        </w:rPr>
        <w:t>投标人：</w:t>
      </w:r>
      <w:r>
        <w:rPr>
          <w:rFonts w:hint="eastAsia" w:ascii="华文仿宋" w:hAnsi="华文仿宋" w:cs="华文仿宋"/>
          <w:color w:val="auto"/>
          <w:sz w:val="28"/>
          <w:szCs w:val="28"/>
          <w:highlight w:val="none"/>
          <w:u w:val="single"/>
        </w:rPr>
        <w:t>名称</w:t>
      </w:r>
      <w:r>
        <w:rPr>
          <w:rFonts w:hint="eastAsia" w:ascii="华文仿宋" w:hAnsi="华文仿宋" w:cs="华文仿宋"/>
          <w:color w:val="auto"/>
          <w:sz w:val="28"/>
          <w:szCs w:val="28"/>
          <w:highlight w:val="none"/>
        </w:rPr>
        <w:t>（加盖公章）</w:t>
      </w:r>
      <w:r>
        <w:rPr>
          <w:rFonts w:ascii="仿宋" w:hAnsi="仿宋" w:eastAsia="仿宋" w:cs="Times New Roman"/>
          <w:color w:val="auto"/>
          <w:highlight w:val="none"/>
        </w:rPr>
        <w:tab/>
      </w:r>
    </w:p>
    <w:p w14:paraId="4FB3AF34">
      <w:pPr>
        <w:pStyle w:val="23"/>
        <w:spacing w:line="500" w:lineRule="exact"/>
        <w:ind w:firstLine="5660" w:firstLineChars="2000"/>
        <w:rPr>
          <w:rFonts w:ascii="华文仿宋"/>
          <w:color w:val="auto"/>
          <w:sz w:val="28"/>
          <w:szCs w:val="28"/>
          <w:highlight w:val="none"/>
        </w:rPr>
      </w:pPr>
      <w:r>
        <w:rPr>
          <w:rFonts w:hint="eastAsia" w:ascii="华文仿宋" w:hAnsi="华文仿宋" w:cs="华文仿宋"/>
          <w:color w:val="auto"/>
          <w:sz w:val="28"/>
          <w:szCs w:val="28"/>
          <w:highlight w:val="none"/>
        </w:rPr>
        <w:t>日期：　年　月　日</w:t>
      </w:r>
    </w:p>
    <w:p w14:paraId="1E993051">
      <w:pPr>
        <w:pStyle w:val="23"/>
        <w:ind w:firstLine="183"/>
        <w:rPr>
          <w:rFonts w:ascii="仿宋" w:hAnsi="仿宋" w:eastAsia="仿宋"/>
          <w:color w:val="auto"/>
          <w:highlight w:val="none"/>
        </w:rPr>
      </w:pPr>
    </w:p>
    <w:p w14:paraId="70A38C47">
      <w:pPr>
        <w:pStyle w:val="23"/>
        <w:ind w:firstLine="183"/>
        <w:rPr>
          <w:rFonts w:ascii="仿宋" w:hAnsi="仿宋" w:eastAsia="仿宋"/>
          <w:color w:val="auto"/>
          <w:highlight w:val="none"/>
        </w:rPr>
      </w:pPr>
    </w:p>
    <w:p w14:paraId="47237440">
      <w:pPr>
        <w:pStyle w:val="23"/>
        <w:ind w:firstLine="183"/>
        <w:rPr>
          <w:rFonts w:ascii="仿宋" w:hAnsi="仿宋" w:eastAsia="仿宋"/>
          <w:color w:val="auto"/>
          <w:highlight w:val="none"/>
        </w:rPr>
      </w:pPr>
    </w:p>
    <w:p w14:paraId="259C7D62">
      <w:pPr>
        <w:pStyle w:val="23"/>
        <w:ind w:firstLine="183"/>
        <w:rPr>
          <w:rFonts w:ascii="仿宋" w:hAnsi="仿宋" w:eastAsia="仿宋"/>
          <w:color w:val="auto"/>
          <w:highlight w:val="none"/>
        </w:rPr>
      </w:pPr>
    </w:p>
    <w:p w14:paraId="6F2F86F7">
      <w:pPr>
        <w:pStyle w:val="23"/>
        <w:ind w:firstLine="183"/>
        <w:rPr>
          <w:rFonts w:ascii="仿宋" w:hAnsi="仿宋" w:eastAsia="仿宋"/>
          <w:color w:val="auto"/>
          <w:highlight w:val="none"/>
        </w:rPr>
      </w:pPr>
    </w:p>
    <w:p w14:paraId="232BD442">
      <w:pPr>
        <w:pStyle w:val="23"/>
        <w:ind w:firstLine="183"/>
        <w:rPr>
          <w:rFonts w:ascii="仿宋" w:hAnsi="仿宋" w:eastAsia="仿宋"/>
          <w:color w:val="auto"/>
          <w:highlight w:val="none"/>
        </w:rPr>
      </w:pPr>
    </w:p>
    <w:p w14:paraId="70C9A7CC">
      <w:pPr>
        <w:pStyle w:val="23"/>
        <w:ind w:firstLine="183"/>
        <w:rPr>
          <w:rFonts w:ascii="仿宋" w:hAnsi="仿宋" w:eastAsia="仿宋"/>
          <w:color w:val="auto"/>
          <w:highlight w:val="none"/>
        </w:rPr>
      </w:pPr>
    </w:p>
    <w:p w14:paraId="32EFA268">
      <w:pPr>
        <w:pStyle w:val="23"/>
        <w:ind w:firstLine="183"/>
        <w:rPr>
          <w:rFonts w:ascii="仿宋" w:hAnsi="仿宋" w:eastAsia="仿宋"/>
          <w:color w:val="auto"/>
          <w:highlight w:val="none"/>
        </w:rPr>
      </w:pPr>
    </w:p>
    <w:p w14:paraId="3C8B287D">
      <w:pPr>
        <w:pStyle w:val="23"/>
        <w:ind w:firstLine="183"/>
        <w:rPr>
          <w:rFonts w:ascii="仿宋" w:hAnsi="仿宋" w:eastAsia="仿宋"/>
          <w:color w:val="auto"/>
          <w:highlight w:val="none"/>
        </w:rPr>
      </w:pPr>
    </w:p>
    <w:p w14:paraId="6EB3CE39">
      <w:pPr>
        <w:pStyle w:val="23"/>
        <w:ind w:firstLine="183"/>
        <w:rPr>
          <w:rFonts w:ascii="仿宋" w:hAnsi="仿宋" w:eastAsia="仿宋"/>
          <w:color w:val="auto"/>
          <w:highlight w:val="none"/>
        </w:rPr>
      </w:pPr>
    </w:p>
    <w:p w14:paraId="44CFA930">
      <w:pPr>
        <w:pStyle w:val="23"/>
        <w:ind w:firstLine="183"/>
        <w:rPr>
          <w:rFonts w:ascii="仿宋" w:hAnsi="仿宋" w:eastAsia="仿宋"/>
          <w:color w:val="auto"/>
          <w:highlight w:val="none"/>
        </w:rPr>
      </w:pPr>
    </w:p>
    <w:p w14:paraId="2416FEB3">
      <w:pPr>
        <w:pStyle w:val="23"/>
        <w:ind w:firstLine="183"/>
        <w:rPr>
          <w:rFonts w:ascii="仿宋" w:hAnsi="仿宋" w:eastAsia="仿宋"/>
          <w:color w:val="auto"/>
          <w:highlight w:val="none"/>
        </w:rPr>
      </w:pPr>
    </w:p>
    <w:p w14:paraId="1F5F8F4D">
      <w:pPr>
        <w:pStyle w:val="23"/>
        <w:ind w:firstLine="183"/>
        <w:rPr>
          <w:rFonts w:ascii="仿宋" w:hAnsi="仿宋" w:eastAsia="仿宋"/>
          <w:color w:val="auto"/>
          <w:highlight w:val="none"/>
        </w:rPr>
      </w:pPr>
    </w:p>
    <w:p w14:paraId="01E9DC67">
      <w:pPr>
        <w:pStyle w:val="23"/>
        <w:ind w:firstLine="183"/>
        <w:rPr>
          <w:rFonts w:ascii="仿宋" w:hAnsi="仿宋" w:eastAsia="仿宋"/>
          <w:color w:val="auto"/>
          <w:highlight w:val="none"/>
        </w:rPr>
      </w:pPr>
    </w:p>
    <w:p w14:paraId="1373ADA1">
      <w:pPr>
        <w:pStyle w:val="48"/>
        <w:ind w:firstLine="567"/>
        <w:rPr>
          <w:rFonts w:cs="Times New Roman"/>
          <w:color w:val="auto"/>
          <w:highlight w:val="none"/>
        </w:rPr>
      </w:pPr>
    </w:p>
    <w:p w14:paraId="5EF38833">
      <w:pPr>
        <w:pStyle w:val="48"/>
        <w:ind w:firstLine="567"/>
        <w:rPr>
          <w:rFonts w:cs="Times New Roman"/>
          <w:color w:val="auto"/>
          <w:highlight w:val="none"/>
        </w:rPr>
      </w:pPr>
    </w:p>
    <w:p w14:paraId="03C940C9">
      <w:pPr>
        <w:rPr>
          <w:rFonts w:ascii="黑体" w:hAnsi="黑体" w:eastAsia="黑体" w:cs="黑体"/>
          <w:color w:val="auto"/>
          <w:highlight w:val="none"/>
        </w:rPr>
      </w:pPr>
      <w:bookmarkStart w:id="595" w:name="_Toc13676"/>
      <w:bookmarkStart w:id="596" w:name="_Toc20524"/>
    </w:p>
    <w:p w14:paraId="0B7CCADF">
      <w:pPr>
        <w:pStyle w:val="49"/>
        <w:outlineLvl w:val="0"/>
        <w:rPr>
          <w:rFonts w:ascii="黑体" w:hAnsi="黑体" w:eastAsia="黑体" w:cs="Times New Roman"/>
          <w:b w:val="0"/>
          <w:bCs w:val="0"/>
          <w:color w:val="auto"/>
          <w:highlight w:val="none"/>
        </w:rPr>
      </w:pPr>
      <w:bookmarkStart w:id="597" w:name="_Toc28580"/>
      <w:r>
        <w:rPr>
          <w:rFonts w:hint="eastAsia" w:ascii="黑体" w:hAnsi="黑体" w:eastAsia="黑体" w:cs="黑体"/>
          <w:b w:val="0"/>
          <w:bCs w:val="0"/>
          <w:color w:val="auto"/>
          <w:highlight w:val="none"/>
        </w:rPr>
        <w:br w:type="page"/>
      </w:r>
      <w:r>
        <w:rPr>
          <w:rFonts w:hint="eastAsia" w:ascii="黑体" w:hAnsi="黑体" w:eastAsia="黑体" w:cs="黑体"/>
          <w:b w:val="0"/>
          <w:bCs w:val="0"/>
          <w:color w:val="auto"/>
          <w:highlight w:val="none"/>
        </w:rPr>
        <w:t>第三部分  投标方案</w:t>
      </w:r>
      <w:bookmarkEnd w:id="595"/>
      <w:bookmarkEnd w:id="596"/>
      <w:bookmarkEnd w:id="597"/>
    </w:p>
    <w:p w14:paraId="20B7EC1E">
      <w:pPr>
        <w:pStyle w:val="50"/>
        <w:spacing w:line="500" w:lineRule="exact"/>
        <w:ind w:firstLine="606" w:firstLineChars="200"/>
        <w:jc w:val="both"/>
        <w:rPr>
          <w:rFonts w:hint="eastAsia" w:ascii="仿宋" w:hAnsi="仿宋" w:eastAsia="仿宋" w:cs="仿宋"/>
          <w:color w:val="auto"/>
          <w:sz w:val="30"/>
          <w:szCs w:val="30"/>
          <w:highlight w:val="none"/>
        </w:rPr>
      </w:pPr>
      <w:bookmarkStart w:id="598" w:name="_Toc21184"/>
      <w:bookmarkStart w:id="599" w:name="_Toc32512"/>
      <w:bookmarkStart w:id="600" w:name="_Toc9535"/>
      <w:bookmarkStart w:id="601" w:name="_Toc22123"/>
      <w:bookmarkStart w:id="602" w:name="_Toc26478"/>
      <w:bookmarkStart w:id="603" w:name="_Toc31882"/>
      <w:bookmarkStart w:id="604" w:name="_Toc32337"/>
      <w:bookmarkStart w:id="605" w:name="_Toc4666"/>
      <w:bookmarkStart w:id="606" w:name="_Toc23944"/>
      <w:bookmarkStart w:id="607" w:name="_Toc7814"/>
      <w:bookmarkStart w:id="608" w:name="_Toc9795"/>
      <w:bookmarkStart w:id="609" w:name="_Toc59"/>
      <w:bookmarkStart w:id="610" w:name="_Toc30676"/>
      <w:bookmarkStart w:id="611" w:name="_Toc5596"/>
      <w:bookmarkStart w:id="612" w:name="_Toc11877"/>
      <w:bookmarkStart w:id="613" w:name="_Toc11480"/>
      <w:r>
        <w:rPr>
          <w:rFonts w:hint="eastAsia" w:ascii="仿宋" w:hAnsi="仿宋" w:eastAsia="仿宋" w:cs="仿宋"/>
          <w:color w:val="auto"/>
          <w:sz w:val="30"/>
          <w:szCs w:val="30"/>
          <w:highlight w:val="none"/>
        </w:rPr>
        <w:t>一、投标人概况</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1C221FBF">
      <w:pPr>
        <w:spacing w:line="500" w:lineRule="exact"/>
        <w:ind w:firstLine="566" w:firstLineChars="200"/>
        <w:jc w:val="left"/>
        <w:rPr>
          <w:rFonts w:cs="华文仿宋"/>
          <w:b/>
          <w:bCs/>
          <w:color w:val="auto"/>
          <w:highlight w:val="none"/>
        </w:rPr>
      </w:pPr>
      <w:bookmarkStart w:id="614" w:name="_Toc15509"/>
      <w:bookmarkStart w:id="615" w:name="_Toc1568"/>
      <w:bookmarkStart w:id="616" w:name="_Toc17436"/>
      <w:bookmarkStart w:id="617" w:name="_Toc6405"/>
      <w:bookmarkStart w:id="618" w:name="_Toc14867"/>
      <w:bookmarkStart w:id="619" w:name="_Toc17171"/>
      <w:bookmarkStart w:id="620" w:name="_Toc4085"/>
      <w:bookmarkStart w:id="621" w:name="_Toc24226"/>
      <w:bookmarkStart w:id="622" w:name="_Toc2826"/>
      <w:bookmarkStart w:id="623" w:name="_Toc9336"/>
      <w:bookmarkStart w:id="624" w:name="_Toc12342"/>
      <w:bookmarkStart w:id="625" w:name="_Toc26403"/>
      <w:bookmarkStart w:id="626" w:name="_Toc13373"/>
      <w:bookmarkStart w:id="627" w:name="_Toc4295"/>
      <w:bookmarkStart w:id="628" w:name="_Toc3411"/>
      <w:r>
        <w:rPr>
          <w:rFonts w:hint="eastAsia" w:cs="华文仿宋"/>
          <w:color w:val="auto"/>
          <w:highlight w:val="none"/>
        </w:rPr>
        <w:t>包括但不限于成立时间、经营范围、股权变更、总公司分公司分布及经营状况、管理制度、人员配备、用户评价、正在实施的项目，评优获奖情况</w:t>
      </w:r>
      <w:r>
        <w:rPr>
          <w:rFonts w:hint="eastAsia" w:cs="华文仿宋"/>
          <w:b/>
          <w:bCs/>
          <w:color w:val="auto"/>
          <w:highlight w:val="none"/>
        </w:rPr>
        <w:t>，</w:t>
      </w:r>
      <w:r>
        <w:rPr>
          <w:rFonts w:hint="eastAsia" w:cs="华文仿宋"/>
          <w:color w:val="auto"/>
          <w:highlight w:val="none"/>
        </w:rPr>
        <w:t>以及投标人认为有利于中标的其他情况说明。</w:t>
      </w:r>
    </w:p>
    <w:p w14:paraId="7F05FEF0">
      <w:pPr>
        <w:pStyle w:val="49"/>
        <w:spacing w:line="500" w:lineRule="exact"/>
        <w:ind w:firstLine="606" w:firstLineChars="200"/>
        <w:jc w:val="both"/>
        <w:rPr>
          <w:rFonts w:ascii="华文仿宋" w:cs="Times New Roman"/>
          <w:color w:val="auto"/>
          <w:highlight w:val="none"/>
        </w:rPr>
      </w:pPr>
      <w:r>
        <w:rPr>
          <w:rFonts w:hint="eastAsia" w:ascii="仿宋" w:hAnsi="仿宋" w:eastAsia="仿宋" w:cs="仿宋"/>
          <w:color w:val="auto"/>
          <w:sz w:val="30"/>
          <w:szCs w:val="30"/>
          <w:highlight w:val="none"/>
        </w:rPr>
        <w:br w:type="page"/>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Start w:id="629" w:name="_Toc14623"/>
      <w:r>
        <w:rPr>
          <w:rFonts w:hint="eastAsia" w:ascii="仿宋" w:hAnsi="仿宋" w:eastAsia="仿宋" w:cs="仿宋"/>
          <w:color w:val="auto"/>
          <w:sz w:val="30"/>
          <w:szCs w:val="30"/>
          <w:highlight w:val="none"/>
          <w:u w:val="none"/>
        </w:rPr>
        <w:t>二、</w:t>
      </w:r>
      <w:bookmarkStart w:id="630" w:name="_Toc13262"/>
      <w:r>
        <w:rPr>
          <w:rFonts w:hint="eastAsia" w:ascii="仿宋" w:hAnsi="仿宋" w:eastAsia="仿宋" w:cs="仿宋"/>
          <w:color w:val="auto"/>
          <w:sz w:val="30"/>
          <w:szCs w:val="30"/>
          <w:highlight w:val="none"/>
          <w:u w:val="none"/>
        </w:rPr>
        <w:t>投标方案</w:t>
      </w:r>
      <w:bookmarkEnd w:id="629"/>
      <w:bookmarkEnd w:id="630"/>
    </w:p>
    <w:p w14:paraId="3D4E7E37">
      <w:pPr>
        <w:pageBreakBefore w:val="0"/>
        <w:widowControl/>
        <w:kinsoku/>
        <w:wordWrap/>
        <w:overflowPunct/>
        <w:topLinePunct w:val="0"/>
        <w:autoSpaceDE/>
        <w:autoSpaceDN/>
        <w:bidi w:val="0"/>
        <w:adjustRightInd/>
        <w:snapToGrid/>
        <w:spacing w:line="500" w:lineRule="exact"/>
        <w:ind w:firstLine="566" w:firstLineChars="200"/>
        <w:textAlignment w:val="auto"/>
        <w:rPr>
          <w:rFonts w:cs="Times New Roman"/>
          <w:b/>
          <w:bCs/>
          <w:color w:val="auto"/>
          <w:highlight w:val="none"/>
        </w:rPr>
      </w:pPr>
      <w:r>
        <w:rPr>
          <w:rFonts w:hint="eastAsia" w:cs="华文仿宋"/>
          <w:color w:val="auto"/>
          <w:highlight w:val="none"/>
        </w:rPr>
        <w:t>参照招标文件第二章第八项《组织评标》各条款的要求，结合第四章《招标内容及采购要求》编制投标方案。</w:t>
      </w:r>
    </w:p>
    <w:p w14:paraId="4D8934AC">
      <w:pPr>
        <w:rPr>
          <w:rFonts w:ascii="华文仿宋" w:hAnsi="华文仿宋" w:cs="华文仿宋"/>
          <w:b/>
          <w:bCs/>
          <w:color w:val="auto"/>
          <w:sz w:val="32"/>
          <w:szCs w:val="32"/>
          <w:highlight w:val="none"/>
        </w:rPr>
      </w:pPr>
    </w:p>
    <w:p w14:paraId="4963BE20">
      <w:pPr>
        <w:pStyle w:val="49"/>
        <w:spacing w:line="500" w:lineRule="exact"/>
        <w:ind w:firstLine="426" w:firstLineChars="200"/>
        <w:jc w:val="both"/>
        <w:rPr>
          <w:rFonts w:hint="eastAsia" w:ascii="仿宋" w:hAnsi="仿宋" w:eastAsia="仿宋" w:cs="仿宋"/>
          <w:b/>
          <w:bCs/>
          <w:color w:val="auto"/>
          <w:sz w:val="30"/>
          <w:szCs w:val="30"/>
          <w:highlight w:val="none"/>
        </w:rPr>
      </w:pPr>
      <w:r>
        <w:rPr>
          <w:rFonts w:hint="eastAsia" w:ascii="宋体" w:hAnsi="宋体" w:eastAsia="宋体" w:cs="宋体"/>
          <w:color w:val="auto"/>
          <w:sz w:val="21"/>
          <w:szCs w:val="21"/>
          <w:highlight w:val="none"/>
        </w:rPr>
        <w:br w:type="page"/>
      </w:r>
      <w:r>
        <w:rPr>
          <w:rFonts w:hint="eastAsia" w:ascii="仿宋" w:hAnsi="仿宋" w:eastAsia="仿宋" w:cs="仿宋"/>
          <w:b/>
          <w:bCs/>
          <w:color w:val="auto"/>
          <w:sz w:val="30"/>
          <w:szCs w:val="30"/>
          <w:highlight w:val="none"/>
          <w:u w:val="none"/>
        </w:rPr>
        <w:t>三、参考样表</w:t>
      </w:r>
    </w:p>
    <w:p w14:paraId="1CDD8C5D">
      <w:pPr>
        <w:spacing w:line="500" w:lineRule="exact"/>
        <w:ind w:firstLine="566" w:firstLineChars="200"/>
        <w:jc w:val="center"/>
        <w:rPr>
          <w:rFonts w:ascii="华文仿宋" w:cs="Times New Roman"/>
          <w:b/>
          <w:bCs/>
          <w:color w:val="auto"/>
          <w:highlight w:val="none"/>
        </w:rPr>
      </w:pPr>
      <w:r>
        <w:rPr>
          <w:rFonts w:hint="eastAsia" w:ascii="华文仿宋" w:hAnsi="华文仿宋" w:cs="华文仿宋"/>
          <w:b/>
          <w:bCs/>
          <w:color w:val="auto"/>
          <w:highlight w:val="none"/>
        </w:rPr>
        <w:t>业绩合同样表</w:t>
      </w:r>
    </w:p>
    <w:tbl>
      <w:tblPr>
        <w:tblStyle w:val="25"/>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2449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14:paraId="15A7167F">
            <w:pPr>
              <w:widowControl w:val="0"/>
              <w:adjustRightInd w:val="0"/>
              <w:snapToGrid w:val="0"/>
              <w:spacing w:line="440" w:lineRule="exact"/>
              <w:jc w:val="center"/>
              <w:rPr>
                <w:rFonts w:ascii="宋体" w:cs="Times New Roman"/>
                <w:b/>
                <w:bCs/>
                <w:color w:val="auto"/>
                <w:sz w:val="24"/>
                <w:szCs w:val="24"/>
                <w:highlight w:val="none"/>
              </w:rPr>
            </w:pPr>
            <w:r>
              <w:rPr>
                <w:rFonts w:hint="eastAsia" w:ascii="宋体" w:cs="华文仿宋"/>
                <w:b/>
                <w:bCs/>
                <w:color w:val="auto"/>
                <w:sz w:val="24"/>
                <w:szCs w:val="24"/>
                <w:highlight w:val="none"/>
              </w:rPr>
              <w:t>序号</w:t>
            </w:r>
          </w:p>
        </w:tc>
        <w:tc>
          <w:tcPr>
            <w:tcW w:w="1736" w:type="dxa"/>
            <w:noWrap w:val="0"/>
            <w:vAlign w:val="center"/>
          </w:tcPr>
          <w:p w14:paraId="305B1431">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采购单位名称</w:t>
            </w:r>
          </w:p>
        </w:tc>
        <w:tc>
          <w:tcPr>
            <w:tcW w:w="1701" w:type="dxa"/>
            <w:noWrap w:val="0"/>
            <w:vAlign w:val="center"/>
          </w:tcPr>
          <w:p w14:paraId="7F76C8B2">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合同名称</w:t>
            </w:r>
          </w:p>
        </w:tc>
        <w:tc>
          <w:tcPr>
            <w:tcW w:w="2557" w:type="dxa"/>
            <w:noWrap w:val="0"/>
            <w:vAlign w:val="center"/>
          </w:tcPr>
          <w:p w14:paraId="3335D045">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合同起止时间</w:t>
            </w:r>
          </w:p>
        </w:tc>
        <w:tc>
          <w:tcPr>
            <w:tcW w:w="1984" w:type="dxa"/>
            <w:noWrap w:val="0"/>
            <w:vAlign w:val="center"/>
          </w:tcPr>
          <w:p w14:paraId="01D0A806">
            <w:pPr>
              <w:jc w:val="center"/>
              <w:rPr>
                <w:rFonts w:ascii="仿宋" w:hAnsi="仿宋" w:eastAsia="仿宋" w:cs="Times New Roman"/>
                <w:b/>
                <w:bCs/>
                <w:color w:val="auto"/>
                <w:sz w:val="24"/>
                <w:szCs w:val="24"/>
                <w:highlight w:val="none"/>
              </w:rPr>
            </w:pPr>
            <w:r>
              <w:rPr>
                <w:rFonts w:hint="eastAsia" w:ascii="仿宋" w:hAnsi="仿宋" w:eastAsia="仿宋" w:cs="仿宋"/>
                <w:b/>
                <w:bCs/>
                <w:color w:val="auto"/>
                <w:sz w:val="24"/>
                <w:szCs w:val="24"/>
                <w:highlight w:val="none"/>
              </w:rPr>
              <w:t>合同金额（万元）</w:t>
            </w:r>
          </w:p>
        </w:tc>
      </w:tr>
      <w:tr w14:paraId="0418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14:paraId="12ECAD08">
            <w:pPr>
              <w:widowControl w:val="0"/>
              <w:spacing w:line="440" w:lineRule="exact"/>
              <w:jc w:val="center"/>
              <w:rPr>
                <w:rFonts w:ascii="宋体" w:eastAsia="宋体" w:cs="Times New Roman"/>
                <w:color w:val="auto"/>
                <w:sz w:val="24"/>
                <w:szCs w:val="24"/>
                <w:highlight w:val="none"/>
              </w:rPr>
            </w:pPr>
            <w:r>
              <w:rPr>
                <w:rFonts w:hint="eastAsia" w:ascii="宋体" w:eastAsia="宋体" w:cs="Times New Roman"/>
                <w:color w:val="auto"/>
                <w:sz w:val="24"/>
                <w:szCs w:val="24"/>
                <w:highlight w:val="none"/>
              </w:rPr>
              <w:t>1</w:t>
            </w:r>
          </w:p>
        </w:tc>
        <w:tc>
          <w:tcPr>
            <w:tcW w:w="1736" w:type="dxa"/>
            <w:noWrap w:val="0"/>
            <w:vAlign w:val="center"/>
          </w:tcPr>
          <w:p w14:paraId="4599D64C">
            <w:pPr>
              <w:widowControl w:val="0"/>
              <w:spacing w:line="440" w:lineRule="exact"/>
              <w:jc w:val="center"/>
              <w:rPr>
                <w:rFonts w:ascii="宋体" w:eastAsia="宋体" w:cs="Times New Roman"/>
                <w:color w:val="auto"/>
                <w:sz w:val="24"/>
                <w:szCs w:val="24"/>
                <w:highlight w:val="none"/>
              </w:rPr>
            </w:pPr>
          </w:p>
        </w:tc>
        <w:tc>
          <w:tcPr>
            <w:tcW w:w="1701" w:type="dxa"/>
            <w:noWrap w:val="0"/>
            <w:vAlign w:val="center"/>
          </w:tcPr>
          <w:p w14:paraId="3673D337">
            <w:pPr>
              <w:widowControl w:val="0"/>
              <w:spacing w:line="440" w:lineRule="exact"/>
              <w:jc w:val="center"/>
              <w:rPr>
                <w:rFonts w:ascii="宋体" w:eastAsia="宋体" w:cs="Times New Roman"/>
                <w:color w:val="auto"/>
                <w:sz w:val="24"/>
                <w:szCs w:val="24"/>
                <w:highlight w:val="none"/>
              </w:rPr>
            </w:pPr>
          </w:p>
        </w:tc>
        <w:tc>
          <w:tcPr>
            <w:tcW w:w="2557" w:type="dxa"/>
            <w:noWrap w:val="0"/>
            <w:vAlign w:val="center"/>
          </w:tcPr>
          <w:p w14:paraId="456C76AB">
            <w:pPr>
              <w:widowControl w:val="0"/>
              <w:spacing w:line="440" w:lineRule="exact"/>
              <w:jc w:val="center"/>
              <w:rPr>
                <w:rFonts w:ascii="宋体" w:eastAsia="宋体" w:cs="Times New Roman"/>
                <w:color w:val="auto"/>
                <w:sz w:val="24"/>
                <w:szCs w:val="24"/>
                <w:highlight w:val="none"/>
              </w:rPr>
            </w:pPr>
          </w:p>
        </w:tc>
        <w:tc>
          <w:tcPr>
            <w:tcW w:w="1984" w:type="dxa"/>
            <w:noWrap w:val="0"/>
            <w:vAlign w:val="center"/>
          </w:tcPr>
          <w:p w14:paraId="0597B344">
            <w:pPr>
              <w:widowControl w:val="0"/>
              <w:spacing w:line="440" w:lineRule="exact"/>
              <w:jc w:val="center"/>
              <w:rPr>
                <w:rFonts w:ascii="宋体" w:eastAsia="宋体" w:cs="Times New Roman"/>
                <w:color w:val="auto"/>
                <w:sz w:val="24"/>
                <w:szCs w:val="24"/>
                <w:highlight w:val="none"/>
              </w:rPr>
            </w:pPr>
          </w:p>
        </w:tc>
      </w:tr>
      <w:tr w14:paraId="7148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noWrap w:val="0"/>
            <w:vAlign w:val="center"/>
          </w:tcPr>
          <w:p w14:paraId="1DB3E770">
            <w:pPr>
              <w:widowControl w:val="0"/>
              <w:spacing w:line="440" w:lineRule="exact"/>
              <w:jc w:val="center"/>
              <w:rPr>
                <w:rFonts w:ascii="宋体" w:eastAsia="宋体" w:cs="Times New Roman"/>
                <w:color w:val="auto"/>
                <w:sz w:val="24"/>
                <w:szCs w:val="24"/>
                <w:highlight w:val="none"/>
              </w:rPr>
            </w:pPr>
            <w:r>
              <w:rPr>
                <w:rFonts w:hint="eastAsia" w:ascii="宋体" w:eastAsia="宋体" w:cs="宋体"/>
                <w:color w:val="auto"/>
                <w:sz w:val="24"/>
                <w:szCs w:val="24"/>
                <w:highlight w:val="none"/>
              </w:rPr>
              <w:t>……</w:t>
            </w:r>
          </w:p>
        </w:tc>
        <w:tc>
          <w:tcPr>
            <w:tcW w:w="1736" w:type="dxa"/>
            <w:noWrap w:val="0"/>
            <w:vAlign w:val="center"/>
          </w:tcPr>
          <w:p w14:paraId="769BA584">
            <w:pPr>
              <w:widowControl w:val="0"/>
              <w:spacing w:line="440" w:lineRule="exact"/>
              <w:jc w:val="center"/>
              <w:rPr>
                <w:rFonts w:ascii="宋体" w:eastAsia="宋体" w:cs="Times New Roman"/>
                <w:color w:val="auto"/>
                <w:sz w:val="24"/>
                <w:szCs w:val="24"/>
                <w:highlight w:val="none"/>
              </w:rPr>
            </w:pPr>
          </w:p>
        </w:tc>
        <w:tc>
          <w:tcPr>
            <w:tcW w:w="1701" w:type="dxa"/>
            <w:noWrap w:val="0"/>
            <w:vAlign w:val="center"/>
          </w:tcPr>
          <w:p w14:paraId="56484F24">
            <w:pPr>
              <w:widowControl w:val="0"/>
              <w:spacing w:line="440" w:lineRule="exact"/>
              <w:jc w:val="center"/>
              <w:rPr>
                <w:rFonts w:ascii="宋体" w:eastAsia="宋体" w:cs="Times New Roman"/>
                <w:color w:val="auto"/>
                <w:sz w:val="24"/>
                <w:szCs w:val="24"/>
                <w:highlight w:val="none"/>
              </w:rPr>
            </w:pPr>
          </w:p>
        </w:tc>
        <w:tc>
          <w:tcPr>
            <w:tcW w:w="2557" w:type="dxa"/>
            <w:noWrap w:val="0"/>
            <w:vAlign w:val="center"/>
          </w:tcPr>
          <w:p w14:paraId="4F149540">
            <w:pPr>
              <w:widowControl w:val="0"/>
              <w:spacing w:line="440" w:lineRule="exact"/>
              <w:jc w:val="center"/>
              <w:rPr>
                <w:rFonts w:ascii="宋体" w:eastAsia="宋体" w:cs="Times New Roman"/>
                <w:color w:val="auto"/>
                <w:sz w:val="24"/>
                <w:szCs w:val="24"/>
                <w:highlight w:val="none"/>
              </w:rPr>
            </w:pPr>
          </w:p>
        </w:tc>
        <w:tc>
          <w:tcPr>
            <w:tcW w:w="1984" w:type="dxa"/>
            <w:noWrap w:val="0"/>
            <w:vAlign w:val="center"/>
          </w:tcPr>
          <w:p w14:paraId="51546EA0">
            <w:pPr>
              <w:widowControl w:val="0"/>
              <w:spacing w:line="440" w:lineRule="exact"/>
              <w:jc w:val="center"/>
              <w:rPr>
                <w:rFonts w:ascii="宋体" w:eastAsia="宋体" w:cs="Times New Roman"/>
                <w:color w:val="auto"/>
                <w:sz w:val="24"/>
                <w:szCs w:val="24"/>
                <w:highlight w:val="none"/>
              </w:rPr>
            </w:pPr>
          </w:p>
        </w:tc>
      </w:tr>
      <w:tr w14:paraId="5459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noWrap w:val="0"/>
            <w:vAlign w:val="center"/>
          </w:tcPr>
          <w:p w14:paraId="18DDCAE3">
            <w:pPr>
              <w:widowControl w:val="0"/>
              <w:spacing w:line="440" w:lineRule="exact"/>
              <w:jc w:val="left"/>
              <w:rPr>
                <w:rFonts w:ascii="宋体" w:eastAsia="宋体" w:cs="Times New Roman"/>
                <w:color w:val="auto"/>
                <w:sz w:val="24"/>
                <w:szCs w:val="24"/>
                <w:highlight w:val="none"/>
              </w:rPr>
            </w:pPr>
            <w:r>
              <w:rPr>
                <w:rFonts w:hint="eastAsia" w:ascii="仿宋" w:hAnsi="仿宋" w:eastAsia="仿宋" w:cs="仿宋"/>
                <w:b/>
                <w:bCs/>
                <w:color w:val="auto"/>
                <w:sz w:val="24"/>
                <w:szCs w:val="24"/>
                <w:highlight w:val="none"/>
              </w:rPr>
              <w:t>数量合计（个）</w:t>
            </w:r>
            <w:r>
              <w:rPr>
                <w:rFonts w:hint="eastAsia" w:ascii="宋体" w:hAnsi="宋体" w:cs="华文仿宋"/>
                <w:color w:val="auto"/>
                <w:sz w:val="24"/>
                <w:szCs w:val="24"/>
                <w:highlight w:val="none"/>
              </w:rPr>
              <w:t>：</w:t>
            </w:r>
          </w:p>
        </w:tc>
      </w:tr>
    </w:tbl>
    <w:p w14:paraId="52AA380F">
      <w:pPr>
        <w:rPr>
          <w:color w:val="auto"/>
          <w:highlight w:val="none"/>
        </w:rPr>
      </w:pPr>
    </w:p>
    <w:sectPr>
      <w:pgSz w:w="11906" w:h="16838"/>
      <w:pgMar w:top="1417" w:right="1418" w:bottom="1417" w:left="1418" w:header="851" w:footer="794" w:gutter="0"/>
      <w:pgNumType w:fmt="decimal" w:chapStyle="1"/>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4D444">
    <w:pPr>
      <w:pStyle w:val="14"/>
      <w:jc w:val="center"/>
      <w:rPr>
        <w:sz w:val="21"/>
        <w:szCs w:val="21"/>
      </w:rPr>
    </w:pPr>
  </w:p>
  <w:p w14:paraId="2831300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1CC8">
    <w:pPr>
      <w:pStyle w:val="14"/>
      <w:jc w:val="center"/>
      <w:rPr>
        <w:sz w:val="21"/>
        <w:szCs w:val="21"/>
      </w:rPr>
    </w:pPr>
  </w:p>
  <w:p w14:paraId="4E4204A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E5C4E">
    <w:pPr>
      <w:pStyle w:val="14"/>
      <w:tabs>
        <w:tab w:val="left" w:pos="5425"/>
        <w:tab w:val="right" w:pos="10489"/>
        <w:tab w:val="clear" w:pos="4153"/>
        <w:tab w:val="clear" w:pos="8306"/>
      </w:tabs>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8B3A17">
                          <w:pPr>
                            <w:pStyle w:val="14"/>
                          </w:pPr>
                          <w:r>
                            <w:t xml:space="preserve">第 </w:t>
                          </w:r>
                          <w:r>
                            <w:fldChar w:fldCharType="begin"/>
                          </w:r>
                          <w:r>
                            <w:instrText xml:space="preserve"> PAGE  \* MERGEFORMAT </w:instrText>
                          </w:r>
                          <w:r>
                            <w:fldChar w:fldCharType="separate"/>
                          </w:r>
                          <w:r>
                            <w:t>- 2 -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88B3A17">
                    <w:pPr>
                      <w:pStyle w:val="14"/>
                    </w:pPr>
                    <w:r>
                      <w:t xml:space="preserve">第 </w:t>
                    </w:r>
                    <w:r>
                      <w:fldChar w:fldCharType="begin"/>
                    </w:r>
                    <w:r>
                      <w:instrText xml:space="preserve"> PAGE  \* MERGEFORMAT </w:instrText>
                    </w:r>
                    <w:r>
                      <w:fldChar w:fldCharType="separate"/>
                    </w:r>
                    <w:r>
                      <w:t>- 2 -</w:t>
                    </w:r>
                    <w:r>
                      <w:fldChar w:fldCharType="end"/>
                    </w:r>
                    <w:r>
                      <w:t xml:space="preserve"> 页</w:t>
                    </w:r>
                  </w:p>
                </w:txbxContent>
              </v:textbox>
            </v:shape>
          </w:pict>
        </mc:Fallback>
      </mc:AlternateContent>
    </w:r>
    <w:r>
      <w:rPr>
        <w:rFonts w:hint="eastAsia" w:ascii="宋体"/>
      </w:rPr>
      <w:tab/>
    </w:r>
  </w:p>
  <w:p w14:paraId="2746FEC8">
    <w:pPr>
      <w:pStyle w:val="14"/>
      <w:tabs>
        <w:tab w:val="center" w:pos="7002"/>
        <w:tab w:val="right" w:pos="15421"/>
        <w:tab w:val="clear" w:pos="4153"/>
        <w:tab w:val="clear" w:pos="8306"/>
      </w:tabs>
      <w:ind w:right="-2"/>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00C0">
    <w:pPr>
      <w:spacing w:line="240" w:lineRule="auto"/>
      <w:rPr>
        <w:rFonts w:ascii="宋体" w:eastAsia="宋体"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CE267">
    <w:pPr>
      <w:pStyle w:val="15"/>
      <w:pBdr>
        <w:bottom w:val="none" w:color="auto" w:sz="0" w:space="1"/>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99E4D">
    <w:pPr>
      <w:pStyle w:val="15"/>
      <w:rPr>
        <w:sz w:val="21"/>
        <w:szCs w:val="21"/>
      </w:rPr>
    </w:pPr>
    <w:r>
      <w:rPr>
        <w:rFonts w:hint="eastAsia" w:ascii="仿宋" w:hAnsi="仿宋" w:eastAsia="仿宋" w:cs="仿宋"/>
        <w:sz w:val="21"/>
        <w:szCs w:val="21"/>
        <w:highlight w:val="none"/>
        <w:lang w:val="en-US" w:eastAsia="zh-CN"/>
      </w:rPr>
      <w:t>陕西交通职业技术学院2025年云数据中心升级扩容项目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F2284"/>
    <w:multiLevelType w:val="singleLevel"/>
    <w:tmpl w:val="9EFF2284"/>
    <w:lvl w:ilvl="0" w:tentative="0">
      <w:start w:val="1"/>
      <w:numFmt w:val="chineseCounting"/>
      <w:suff w:val="nothing"/>
      <w:lvlText w:val="%1、"/>
      <w:lvlJc w:val="left"/>
      <w:rPr>
        <w:rFonts w:hint="eastAsia"/>
      </w:rPr>
    </w:lvl>
  </w:abstractNum>
  <w:abstractNum w:abstractNumId="1">
    <w:nsid w:val="E1E5AEB2"/>
    <w:multiLevelType w:val="singleLevel"/>
    <w:tmpl w:val="E1E5AEB2"/>
    <w:lvl w:ilvl="0" w:tentative="0">
      <w:start w:val="2"/>
      <w:numFmt w:val="chineseCounting"/>
      <w:suff w:val="nothing"/>
      <w:lvlText w:val="%1、"/>
      <w:lvlJc w:val="left"/>
      <w:rPr>
        <w:rFonts w:hint="eastAsia"/>
      </w:rPr>
    </w:lvl>
  </w:abstractNum>
  <w:abstractNum w:abstractNumId="2">
    <w:nsid w:val="F1859649"/>
    <w:multiLevelType w:val="singleLevel"/>
    <w:tmpl w:val="F1859649"/>
    <w:lvl w:ilvl="0" w:tentative="0">
      <w:start w:val="1"/>
      <w:numFmt w:val="decimal"/>
      <w:suff w:val="nothing"/>
      <w:lvlText w:val="%1、"/>
      <w:lvlJc w:val="left"/>
    </w:lvl>
  </w:abstractNum>
  <w:abstractNum w:abstractNumId="3">
    <w:nsid w:val="49BBF4A3"/>
    <w:multiLevelType w:val="singleLevel"/>
    <w:tmpl w:val="49BBF4A3"/>
    <w:lvl w:ilvl="0" w:tentative="0">
      <w:start w:val="1"/>
      <w:numFmt w:val="chineseCounting"/>
      <w:suff w:val="nothing"/>
      <w:lvlText w:val="%1、"/>
      <w:lvlJc w:val="left"/>
      <w:rPr>
        <w:rFonts w:hint="eastAsia" w:ascii="华文仿宋" w:hAnsi="华文仿宋" w:eastAsia="华文仿宋" w:cs="华文仿宋"/>
        <w:b/>
        <w:bCs/>
        <w:sz w:val="28"/>
        <w:szCs w:val="28"/>
      </w:rPr>
    </w:lvl>
  </w:abstractNum>
  <w:abstractNum w:abstractNumId="4">
    <w:nsid w:val="5CC125A1"/>
    <w:multiLevelType w:val="singleLevel"/>
    <w:tmpl w:val="5CC125A1"/>
    <w:lvl w:ilvl="0" w:tentative="0">
      <w:start w:val="2"/>
      <w:numFmt w:val="decimal"/>
      <w:suff w:val="nothing"/>
      <w:lvlText w:val="%1、"/>
      <w:lvlJc w:val="left"/>
      <w:rPr>
        <w:rFonts w:hint="default" w:ascii="华文仿宋" w:hAnsi="华文仿宋" w:eastAsia="华文仿宋" w:cs="华文仿宋"/>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1NGU2NDc3OTk5ZTlkZjZmMWRiMTVkZTZhYmM0MGYifQ=="/>
    <w:docVar w:name="KSO_WPS_MARK_KEY" w:val="2608a838-6e94-44ac-b0f2-d5858154c981"/>
  </w:docVars>
  <w:rsids>
    <w:rsidRoot w:val="45630FF2"/>
    <w:rsid w:val="0000352D"/>
    <w:rsid w:val="000232A5"/>
    <w:rsid w:val="00046CA0"/>
    <w:rsid w:val="00060570"/>
    <w:rsid w:val="00084D2F"/>
    <w:rsid w:val="000A0519"/>
    <w:rsid w:val="000B2468"/>
    <w:rsid w:val="000C09A8"/>
    <w:rsid w:val="000D18D8"/>
    <w:rsid w:val="000D5D9B"/>
    <w:rsid w:val="000D7521"/>
    <w:rsid w:val="000D7DDD"/>
    <w:rsid w:val="000E0999"/>
    <w:rsid w:val="000E2529"/>
    <w:rsid w:val="000E43AC"/>
    <w:rsid w:val="001025F8"/>
    <w:rsid w:val="00103501"/>
    <w:rsid w:val="00117778"/>
    <w:rsid w:val="001278EF"/>
    <w:rsid w:val="001469A3"/>
    <w:rsid w:val="001513E9"/>
    <w:rsid w:val="001712B1"/>
    <w:rsid w:val="00177165"/>
    <w:rsid w:val="00197657"/>
    <w:rsid w:val="001C139C"/>
    <w:rsid w:val="001C77A2"/>
    <w:rsid w:val="001F1505"/>
    <w:rsid w:val="002047A7"/>
    <w:rsid w:val="00210015"/>
    <w:rsid w:val="0026503F"/>
    <w:rsid w:val="002F4D47"/>
    <w:rsid w:val="00304EDF"/>
    <w:rsid w:val="0035086C"/>
    <w:rsid w:val="003636E6"/>
    <w:rsid w:val="003A046F"/>
    <w:rsid w:val="003A55D1"/>
    <w:rsid w:val="003C1055"/>
    <w:rsid w:val="003C7A50"/>
    <w:rsid w:val="003F20D1"/>
    <w:rsid w:val="00415CB5"/>
    <w:rsid w:val="004256E8"/>
    <w:rsid w:val="00440E8B"/>
    <w:rsid w:val="00466C67"/>
    <w:rsid w:val="004705EC"/>
    <w:rsid w:val="0047501B"/>
    <w:rsid w:val="0047619D"/>
    <w:rsid w:val="004768D6"/>
    <w:rsid w:val="00484988"/>
    <w:rsid w:val="004853CA"/>
    <w:rsid w:val="004928D3"/>
    <w:rsid w:val="004F17D4"/>
    <w:rsid w:val="0051517F"/>
    <w:rsid w:val="00541AB1"/>
    <w:rsid w:val="005521F9"/>
    <w:rsid w:val="00556541"/>
    <w:rsid w:val="005601E5"/>
    <w:rsid w:val="0056066E"/>
    <w:rsid w:val="005B11C2"/>
    <w:rsid w:val="005B593A"/>
    <w:rsid w:val="005C537D"/>
    <w:rsid w:val="00600E8F"/>
    <w:rsid w:val="006105D3"/>
    <w:rsid w:val="006316B5"/>
    <w:rsid w:val="0064663A"/>
    <w:rsid w:val="00665565"/>
    <w:rsid w:val="00665651"/>
    <w:rsid w:val="00666695"/>
    <w:rsid w:val="0067088A"/>
    <w:rsid w:val="00671120"/>
    <w:rsid w:val="006A2083"/>
    <w:rsid w:val="006A2360"/>
    <w:rsid w:val="006C4344"/>
    <w:rsid w:val="006C549B"/>
    <w:rsid w:val="006D442D"/>
    <w:rsid w:val="00745ECA"/>
    <w:rsid w:val="007756C4"/>
    <w:rsid w:val="00777FF5"/>
    <w:rsid w:val="007845DE"/>
    <w:rsid w:val="007A147F"/>
    <w:rsid w:val="007D084C"/>
    <w:rsid w:val="00801710"/>
    <w:rsid w:val="0080595C"/>
    <w:rsid w:val="0081791A"/>
    <w:rsid w:val="008432B1"/>
    <w:rsid w:val="00843AAF"/>
    <w:rsid w:val="00847884"/>
    <w:rsid w:val="008624A6"/>
    <w:rsid w:val="0087167F"/>
    <w:rsid w:val="00885ED0"/>
    <w:rsid w:val="00887D71"/>
    <w:rsid w:val="008B04CB"/>
    <w:rsid w:val="008B6FD5"/>
    <w:rsid w:val="008D439D"/>
    <w:rsid w:val="008E64F1"/>
    <w:rsid w:val="008E668C"/>
    <w:rsid w:val="00900810"/>
    <w:rsid w:val="00900BB6"/>
    <w:rsid w:val="00911878"/>
    <w:rsid w:val="00920C48"/>
    <w:rsid w:val="00927A85"/>
    <w:rsid w:val="00927F41"/>
    <w:rsid w:val="00934626"/>
    <w:rsid w:val="00962C70"/>
    <w:rsid w:val="0096541C"/>
    <w:rsid w:val="009A6C3F"/>
    <w:rsid w:val="009B6933"/>
    <w:rsid w:val="009C118A"/>
    <w:rsid w:val="009D0291"/>
    <w:rsid w:val="009D6B6D"/>
    <w:rsid w:val="009E1FD1"/>
    <w:rsid w:val="00A12E52"/>
    <w:rsid w:val="00A25DAD"/>
    <w:rsid w:val="00A640A0"/>
    <w:rsid w:val="00A65899"/>
    <w:rsid w:val="00AB2999"/>
    <w:rsid w:val="00AF2231"/>
    <w:rsid w:val="00AF5303"/>
    <w:rsid w:val="00B01E5C"/>
    <w:rsid w:val="00B04192"/>
    <w:rsid w:val="00B1195B"/>
    <w:rsid w:val="00B16F2F"/>
    <w:rsid w:val="00B1731F"/>
    <w:rsid w:val="00B45E44"/>
    <w:rsid w:val="00B7342E"/>
    <w:rsid w:val="00B949B9"/>
    <w:rsid w:val="00BA278B"/>
    <w:rsid w:val="00BA7440"/>
    <w:rsid w:val="00BF1890"/>
    <w:rsid w:val="00BF1ACD"/>
    <w:rsid w:val="00BF3089"/>
    <w:rsid w:val="00C14192"/>
    <w:rsid w:val="00C2341E"/>
    <w:rsid w:val="00C4535F"/>
    <w:rsid w:val="00C77E4E"/>
    <w:rsid w:val="00C85505"/>
    <w:rsid w:val="00C96DA0"/>
    <w:rsid w:val="00CB41D7"/>
    <w:rsid w:val="00CD7428"/>
    <w:rsid w:val="00CF1EB8"/>
    <w:rsid w:val="00CF53AC"/>
    <w:rsid w:val="00CF5500"/>
    <w:rsid w:val="00D06358"/>
    <w:rsid w:val="00D622AE"/>
    <w:rsid w:val="00D71C57"/>
    <w:rsid w:val="00D9091A"/>
    <w:rsid w:val="00D979F8"/>
    <w:rsid w:val="00DE3B81"/>
    <w:rsid w:val="00DE568C"/>
    <w:rsid w:val="00DE7779"/>
    <w:rsid w:val="00DF36F3"/>
    <w:rsid w:val="00DF48C4"/>
    <w:rsid w:val="00E004A2"/>
    <w:rsid w:val="00E214A4"/>
    <w:rsid w:val="00E32F4F"/>
    <w:rsid w:val="00E436F1"/>
    <w:rsid w:val="00E62D54"/>
    <w:rsid w:val="00E67907"/>
    <w:rsid w:val="00E863D6"/>
    <w:rsid w:val="00E902DD"/>
    <w:rsid w:val="00E9634A"/>
    <w:rsid w:val="00EA1D88"/>
    <w:rsid w:val="00EA792D"/>
    <w:rsid w:val="00F06834"/>
    <w:rsid w:val="00F10BFE"/>
    <w:rsid w:val="00F16107"/>
    <w:rsid w:val="00F16813"/>
    <w:rsid w:val="00F4091F"/>
    <w:rsid w:val="00F40E8C"/>
    <w:rsid w:val="00F57A00"/>
    <w:rsid w:val="00F74A12"/>
    <w:rsid w:val="00F80D3C"/>
    <w:rsid w:val="00F900FB"/>
    <w:rsid w:val="00F907B6"/>
    <w:rsid w:val="00FA5ABF"/>
    <w:rsid w:val="00FB65D2"/>
    <w:rsid w:val="00FD4F80"/>
    <w:rsid w:val="01486C57"/>
    <w:rsid w:val="015058D0"/>
    <w:rsid w:val="017B7436"/>
    <w:rsid w:val="01CD7566"/>
    <w:rsid w:val="01E22787"/>
    <w:rsid w:val="01F14D29"/>
    <w:rsid w:val="021F0CFD"/>
    <w:rsid w:val="02816797"/>
    <w:rsid w:val="02F53218"/>
    <w:rsid w:val="03171BF9"/>
    <w:rsid w:val="03246B5E"/>
    <w:rsid w:val="033124A2"/>
    <w:rsid w:val="03496F3A"/>
    <w:rsid w:val="03523408"/>
    <w:rsid w:val="037759DB"/>
    <w:rsid w:val="038D20B9"/>
    <w:rsid w:val="0397607D"/>
    <w:rsid w:val="039F43AB"/>
    <w:rsid w:val="03A5079A"/>
    <w:rsid w:val="03C2759E"/>
    <w:rsid w:val="03CC5D27"/>
    <w:rsid w:val="03D66BA6"/>
    <w:rsid w:val="03F9626B"/>
    <w:rsid w:val="03FB3647"/>
    <w:rsid w:val="04137DFA"/>
    <w:rsid w:val="04412466"/>
    <w:rsid w:val="04510922"/>
    <w:rsid w:val="04553F6E"/>
    <w:rsid w:val="046B19E4"/>
    <w:rsid w:val="046F71FE"/>
    <w:rsid w:val="047C042F"/>
    <w:rsid w:val="047C2FE4"/>
    <w:rsid w:val="04CA256A"/>
    <w:rsid w:val="04D035F5"/>
    <w:rsid w:val="050937FD"/>
    <w:rsid w:val="050E50E5"/>
    <w:rsid w:val="05281683"/>
    <w:rsid w:val="05287AA7"/>
    <w:rsid w:val="054D1F65"/>
    <w:rsid w:val="054E09BE"/>
    <w:rsid w:val="05575AC4"/>
    <w:rsid w:val="05776166"/>
    <w:rsid w:val="057E6D28"/>
    <w:rsid w:val="05995791"/>
    <w:rsid w:val="059B00A7"/>
    <w:rsid w:val="05C02B2F"/>
    <w:rsid w:val="05F72E03"/>
    <w:rsid w:val="060A0D89"/>
    <w:rsid w:val="06244905"/>
    <w:rsid w:val="063576A3"/>
    <w:rsid w:val="063D5436"/>
    <w:rsid w:val="0647721E"/>
    <w:rsid w:val="06691F53"/>
    <w:rsid w:val="066A7A79"/>
    <w:rsid w:val="0670582D"/>
    <w:rsid w:val="0677127D"/>
    <w:rsid w:val="068C5C42"/>
    <w:rsid w:val="06C7082C"/>
    <w:rsid w:val="06D34BBE"/>
    <w:rsid w:val="06E51E4D"/>
    <w:rsid w:val="06FB5EE8"/>
    <w:rsid w:val="06FE58FA"/>
    <w:rsid w:val="07001AE7"/>
    <w:rsid w:val="07056CA4"/>
    <w:rsid w:val="07153728"/>
    <w:rsid w:val="0716337B"/>
    <w:rsid w:val="072D11D3"/>
    <w:rsid w:val="073E6F3C"/>
    <w:rsid w:val="07862AD3"/>
    <w:rsid w:val="07AC659B"/>
    <w:rsid w:val="07EF46DA"/>
    <w:rsid w:val="08060C49"/>
    <w:rsid w:val="080E0474"/>
    <w:rsid w:val="083B7C49"/>
    <w:rsid w:val="08735281"/>
    <w:rsid w:val="08795246"/>
    <w:rsid w:val="08903C00"/>
    <w:rsid w:val="08C00005"/>
    <w:rsid w:val="096B3CA2"/>
    <w:rsid w:val="09727371"/>
    <w:rsid w:val="09B14080"/>
    <w:rsid w:val="09E11DB2"/>
    <w:rsid w:val="09E54A69"/>
    <w:rsid w:val="0A050683"/>
    <w:rsid w:val="0A5371A2"/>
    <w:rsid w:val="0A683ECE"/>
    <w:rsid w:val="0A93759F"/>
    <w:rsid w:val="0AB15295"/>
    <w:rsid w:val="0ACC2AB1"/>
    <w:rsid w:val="0AD656DD"/>
    <w:rsid w:val="0AF570C1"/>
    <w:rsid w:val="0B02035E"/>
    <w:rsid w:val="0B022976"/>
    <w:rsid w:val="0B1306DF"/>
    <w:rsid w:val="0B224DC6"/>
    <w:rsid w:val="0B47194F"/>
    <w:rsid w:val="0B4B1C27"/>
    <w:rsid w:val="0B642CE9"/>
    <w:rsid w:val="0B8B3B61"/>
    <w:rsid w:val="0BBA0B5B"/>
    <w:rsid w:val="0BC11EE9"/>
    <w:rsid w:val="0BCD088E"/>
    <w:rsid w:val="0C061FF2"/>
    <w:rsid w:val="0C3167AF"/>
    <w:rsid w:val="0C541D12"/>
    <w:rsid w:val="0C732458"/>
    <w:rsid w:val="0CCF125E"/>
    <w:rsid w:val="0CE105CD"/>
    <w:rsid w:val="0CE42333"/>
    <w:rsid w:val="0CEF0CD8"/>
    <w:rsid w:val="0CF57B2C"/>
    <w:rsid w:val="0D06676A"/>
    <w:rsid w:val="0D297652"/>
    <w:rsid w:val="0D5B089B"/>
    <w:rsid w:val="0D927FE1"/>
    <w:rsid w:val="0D9A50E8"/>
    <w:rsid w:val="0D9C49BC"/>
    <w:rsid w:val="0DB00A08"/>
    <w:rsid w:val="0DE50931"/>
    <w:rsid w:val="0E245572"/>
    <w:rsid w:val="0E455435"/>
    <w:rsid w:val="0E497858"/>
    <w:rsid w:val="0E5E3816"/>
    <w:rsid w:val="0E6669A8"/>
    <w:rsid w:val="0E940E56"/>
    <w:rsid w:val="0EB977F0"/>
    <w:rsid w:val="0F0547E3"/>
    <w:rsid w:val="0F135152"/>
    <w:rsid w:val="0F2067EC"/>
    <w:rsid w:val="0F2A5FF8"/>
    <w:rsid w:val="0F340C24"/>
    <w:rsid w:val="0F474DFC"/>
    <w:rsid w:val="0FA94F15"/>
    <w:rsid w:val="0FAC4C5F"/>
    <w:rsid w:val="0FAE4E7B"/>
    <w:rsid w:val="0FE6364D"/>
    <w:rsid w:val="10190546"/>
    <w:rsid w:val="103466BC"/>
    <w:rsid w:val="104F3F68"/>
    <w:rsid w:val="105B2936"/>
    <w:rsid w:val="106317C1"/>
    <w:rsid w:val="109A0FCA"/>
    <w:rsid w:val="10A74D0F"/>
    <w:rsid w:val="10C06C14"/>
    <w:rsid w:val="10C717CF"/>
    <w:rsid w:val="10DC5B09"/>
    <w:rsid w:val="10E237BE"/>
    <w:rsid w:val="10ED1235"/>
    <w:rsid w:val="10F405C7"/>
    <w:rsid w:val="10FA66E8"/>
    <w:rsid w:val="11071E1E"/>
    <w:rsid w:val="11296B07"/>
    <w:rsid w:val="114A0BD3"/>
    <w:rsid w:val="114C4659"/>
    <w:rsid w:val="115D229C"/>
    <w:rsid w:val="116021A5"/>
    <w:rsid w:val="11894A30"/>
    <w:rsid w:val="11AB4336"/>
    <w:rsid w:val="11BE37D1"/>
    <w:rsid w:val="12244578"/>
    <w:rsid w:val="12762DA3"/>
    <w:rsid w:val="128F2D41"/>
    <w:rsid w:val="12AF7FE2"/>
    <w:rsid w:val="12B14F4D"/>
    <w:rsid w:val="12B4641B"/>
    <w:rsid w:val="12D12A20"/>
    <w:rsid w:val="12D41F2A"/>
    <w:rsid w:val="12E27315"/>
    <w:rsid w:val="12EB3CF0"/>
    <w:rsid w:val="12EC5841"/>
    <w:rsid w:val="12F15707"/>
    <w:rsid w:val="131D2345"/>
    <w:rsid w:val="131F124B"/>
    <w:rsid w:val="13637D2A"/>
    <w:rsid w:val="13685340"/>
    <w:rsid w:val="137A17C9"/>
    <w:rsid w:val="13884F01"/>
    <w:rsid w:val="13AE61DE"/>
    <w:rsid w:val="13C95FD9"/>
    <w:rsid w:val="13E62E35"/>
    <w:rsid w:val="14237BE5"/>
    <w:rsid w:val="14335D60"/>
    <w:rsid w:val="143A722A"/>
    <w:rsid w:val="145F62FF"/>
    <w:rsid w:val="14600CB6"/>
    <w:rsid w:val="14B940A6"/>
    <w:rsid w:val="150A6A06"/>
    <w:rsid w:val="15107A3E"/>
    <w:rsid w:val="152139F9"/>
    <w:rsid w:val="156D10F1"/>
    <w:rsid w:val="15785C8D"/>
    <w:rsid w:val="157955E3"/>
    <w:rsid w:val="1580336B"/>
    <w:rsid w:val="159B224A"/>
    <w:rsid w:val="15B4672E"/>
    <w:rsid w:val="15C40F54"/>
    <w:rsid w:val="160624E0"/>
    <w:rsid w:val="160B0E8E"/>
    <w:rsid w:val="16351E52"/>
    <w:rsid w:val="163E75D5"/>
    <w:rsid w:val="16571211"/>
    <w:rsid w:val="16571DC8"/>
    <w:rsid w:val="16772EE5"/>
    <w:rsid w:val="169E18A9"/>
    <w:rsid w:val="16A725A1"/>
    <w:rsid w:val="16B81E85"/>
    <w:rsid w:val="16C4798D"/>
    <w:rsid w:val="17033CFE"/>
    <w:rsid w:val="172E7785"/>
    <w:rsid w:val="17437BB2"/>
    <w:rsid w:val="17540657"/>
    <w:rsid w:val="18245AA2"/>
    <w:rsid w:val="182757CA"/>
    <w:rsid w:val="183D48DD"/>
    <w:rsid w:val="18511F7B"/>
    <w:rsid w:val="185A794E"/>
    <w:rsid w:val="187536B3"/>
    <w:rsid w:val="189A21EB"/>
    <w:rsid w:val="189F7A56"/>
    <w:rsid w:val="18B83CF9"/>
    <w:rsid w:val="18DD4CA7"/>
    <w:rsid w:val="18FD2962"/>
    <w:rsid w:val="18FF1500"/>
    <w:rsid w:val="19287A4C"/>
    <w:rsid w:val="192A5572"/>
    <w:rsid w:val="192D058E"/>
    <w:rsid w:val="19485C2E"/>
    <w:rsid w:val="19553EC4"/>
    <w:rsid w:val="19697D7B"/>
    <w:rsid w:val="197651FD"/>
    <w:rsid w:val="198527A8"/>
    <w:rsid w:val="19B412DF"/>
    <w:rsid w:val="19C21C4E"/>
    <w:rsid w:val="19EE6A72"/>
    <w:rsid w:val="1A0062D3"/>
    <w:rsid w:val="1A446DD4"/>
    <w:rsid w:val="1A7D3DC7"/>
    <w:rsid w:val="1AB570BD"/>
    <w:rsid w:val="1ACB276D"/>
    <w:rsid w:val="1ACB321B"/>
    <w:rsid w:val="1AE67CBE"/>
    <w:rsid w:val="1AF80434"/>
    <w:rsid w:val="1B0805B1"/>
    <w:rsid w:val="1B0D64AE"/>
    <w:rsid w:val="1B1C713C"/>
    <w:rsid w:val="1B252495"/>
    <w:rsid w:val="1B2D37F5"/>
    <w:rsid w:val="1B506DE6"/>
    <w:rsid w:val="1B542D7A"/>
    <w:rsid w:val="1B7F5A52"/>
    <w:rsid w:val="1BA84E74"/>
    <w:rsid w:val="1BBE6D5D"/>
    <w:rsid w:val="1BC05D1A"/>
    <w:rsid w:val="1C1C58A9"/>
    <w:rsid w:val="1C3E30E2"/>
    <w:rsid w:val="1C856F63"/>
    <w:rsid w:val="1CC649C5"/>
    <w:rsid w:val="1D303B33"/>
    <w:rsid w:val="1D497F91"/>
    <w:rsid w:val="1D4A6960"/>
    <w:rsid w:val="1D715330"/>
    <w:rsid w:val="1D970CFC"/>
    <w:rsid w:val="1DC256AB"/>
    <w:rsid w:val="1DDC0E05"/>
    <w:rsid w:val="1DF61EC7"/>
    <w:rsid w:val="1E114F52"/>
    <w:rsid w:val="1E154347"/>
    <w:rsid w:val="1E225C80"/>
    <w:rsid w:val="1E3E561C"/>
    <w:rsid w:val="1E5135A1"/>
    <w:rsid w:val="1E707ECB"/>
    <w:rsid w:val="1E9A6CF6"/>
    <w:rsid w:val="1EA9518B"/>
    <w:rsid w:val="1EB55AC1"/>
    <w:rsid w:val="1EED43FF"/>
    <w:rsid w:val="1EF87EC0"/>
    <w:rsid w:val="1F0B3750"/>
    <w:rsid w:val="1F1A0F1D"/>
    <w:rsid w:val="1F2962CC"/>
    <w:rsid w:val="1F5D2D2A"/>
    <w:rsid w:val="1F7C7944"/>
    <w:rsid w:val="1FB54BE3"/>
    <w:rsid w:val="1FB738D7"/>
    <w:rsid w:val="1FBA3323"/>
    <w:rsid w:val="1FD06747"/>
    <w:rsid w:val="1FD77AD6"/>
    <w:rsid w:val="1FF57927"/>
    <w:rsid w:val="1FFE1739"/>
    <w:rsid w:val="200563F1"/>
    <w:rsid w:val="20130C6E"/>
    <w:rsid w:val="20253D7C"/>
    <w:rsid w:val="202B0DB7"/>
    <w:rsid w:val="202C034B"/>
    <w:rsid w:val="203E243C"/>
    <w:rsid w:val="206016CD"/>
    <w:rsid w:val="206C6470"/>
    <w:rsid w:val="20A1281E"/>
    <w:rsid w:val="20A3611D"/>
    <w:rsid w:val="20A8332F"/>
    <w:rsid w:val="20C0327F"/>
    <w:rsid w:val="20D67D00"/>
    <w:rsid w:val="20E23090"/>
    <w:rsid w:val="20EA738C"/>
    <w:rsid w:val="20EC2E00"/>
    <w:rsid w:val="20F14BC7"/>
    <w:rsid w:val="211A5ECC"/>
    <w:rsid w:val="21354AB4"/>
    <w:rsid w:val="213B30D2"/>
    <w:rsid w:val="2148514E"/>
    <w:rsid w:val="215238B8"/>
    <w:rsid w:val="21543588"/>
    <w:rsid w:val="21676C37"/>
    <w:rsid w:val="216D6944"/>
    <w:rsid w:val="2172548B"/>
    <w:rsid w:val="21B74A10"/>
    <w:rsid w:val="220B18C2"/>
    <w:rsid w:val="220B3A67"/>
    <w:rsid w:val="221A1EFC"/>
    <w:rsid w:val="222708F4"/>
    <w:rsid w:val="22590531"/>
    <w:rsid w:val="22631733"/>
    <w:rsid w:val="228850B7"/>
    <w:rsid w:val="229B56E9"/>
    <w:rsid w:val="22A448F0"/>
    <w:rsid w:val="22A501F7"/>
    <w:rsid w:val="22DB168B"/>
    <w:rsid w:val="230961F8"/>
    <w:rsid w:val="230E179D"/>
    <w:rsid w:val="2319170C"/>
    <w:rsid w:val="23233D3D"/>
    <w:rsid w:val="2335523F"/>
    <w:rsid w:val="23E34C9B"/>
    <w:rsid w:val="24016FDB"/>
    <w:rsid w:val="24114E2F"/>
    <w:rsid w:val="241530FB"/>
    <w:rsid w:val="24164290"/>
    <w:rsid w:val="24782124"/>
    <w:rsid w:val="247830C1"/>
    <w:rsid w:val="24AC5717"/>
    <w:rsid w:val="24D32F62"/>
    <w:rsid w:val="251E3204"/>
    <w:rsid w:val="252F5FD2"/>
    <w:rsid w:val="25610D63"/>
    <w:rsid w:val="258732EE"/>
    <w:rsid w:val="2601765A"/>
    <w:rsid w:val="2617492B"/>
    <w:rsid w:val="26343598"/>
    <w:rsid w:val="26487037"/>
    <w:rsid w:val="266721C9"/>
    <w:rsid w:val="267A1703"/>
    <w:rsid w:val="268A58A2"/>
    <w:rsid w:val="268D3E19"/>
    <w:rsid w:val="26D93B30"/>
    <w:rsid w:val="26E36ECC"/>
    <w:rsid w:val="26FE3B9A"/>
    <w:rsid w:val="27347F40"/>
    <w:rsid w:val="273B2240"/>
    <w:rsid w:val="27604E10"/>
    <w:rsid w:val="278246D7"/>
    <w:rsid w:val="279D2B20"/>
    <w:rsid w:val="27A966A7"/>
    <w:rsid w:val="27D40FCD"/>
    <w:rsid w:val="27E87B9F"/>
    <w:rsid w:val="280B656E"/>
    <w:rsid w:val="28142623"/>
    <w:rsid w:val="283174BB"/>
    <w:rsid w:val="284E2A53"/>
    <w:rsid w:val="285105A8"/>
    <w:rsid w:val="287B7B98"/>
    <w:rsid w:val="287F6F5C"/>
    <w:rsid w:val="2899124E"/>
    <w:rsid w:val="28C51F48"/>
    <w:rsid w:val="28C826B1"/>
    <w:rsid w:val="28CA01D8"/>
    <w:rsid w:val="28D728F5"/>
    <w:rsid w:val="28FE60D3"/>
    <w:rsid w:val="294F439D"/>
    <w:rsid w:val="29542197"/>
    <w:rsid w:val="296048F6"/>
    <w:rsid w:val="296C7ED6"/>
    <w:rsid w:val="297665B1"/>
    <w:rsid w:val="297C4F65"/>
    <w:rsid w:val="298C3A7A"/>
    <w:rsid w:val="299310DD"/>
    <w:rsid w:val="29AB39CE"/>
    <w:rsid w:val="29E77867"/>
    <w:rsid w:val="29EE439A"/>
    <w:rsid w:val="2A186697"/>
    <w:rsid w:val="2A4970E6"/>
    <w:rsid w:val="2A497822"/>
    <w:rsid w:val="2A4E5C4D"/>
    <w:rsid w:val="2A5E7160"/>
    <w:rsid w:val="2A677CA8"/>
    <w:rsid w:val="2A745D1B"/>
    <w:rsid w:val="2A9D36CA"/>
    <w:rsid w:val="2AC05D36"/>
    <w:rsid w:val="2AD92E9F"/>
    <w:rsid w:val="2AEF2177"/>
    <w:rsid w:val="2AF27EBA"/>
    <w:rsid w:val="2B1C6CE5"/>
    <w:rsid w:val="2B2326EB"/>
    <w:rsid w:val="2B2C2131"/>
    <w:rsid w:val="2B384CDD"/>
    <w:rsid w:val="2B5D3585"/>
    <w:rsid w:val="2BAD6A91"/>
    <w:rsid w:val="2C177A25"/>
    <w:rsid w:val="2C21225D"/>
    <w:rsid w:val="2C3170D7"/>
    <w:rsid w:val="2C385DA0"/>
    <w:rsid w:val="2C574478"/>
    <w:rsid w:val="2C6721E1"/>
    <w:rsid w:val="2C6B2575"/>
    <w:rsid w:val="2C8B2374"/>
    <w:rsid w:val="2C8C48FA"/>
    <w:rsid w:val="2C9A6113"/>
    <w:rsid w:val="2CBF201D"/>
    <w:rsid w:val="2CED2E21"/>
    <w:rsid w:val="2CF87090"/>
    <w:rsid w:val="2D0143E4"/>
    <w:rsid w:val="2D036F7C"/>
    <w:rsid w:val="2D0E4090"/>
    <w:rsid w:val="2D1B1809"/>
    <w:rsid w:val="2D916A5C"/>
    <w:rsid w:val="2DBF46AE"/>
    <w:rsid w:val="2DD92044"/>
    <w:rsid w:val="2DE304F3"/>
    <w:rsid w:val="2DF0256E"/>
    <w:rsid w:val="2DFD4BAB"/>
    <w:rsid w:val="2E09788A"/>
    <w:rsid w:val="2E185E8C"/>
    <w:rsid w:val="2E1A4C75"/>
    <w:rsid w:val="2E497DF1"/>
    <w:rsid w:val="2E822762"/>
    <w:rsid w:val="2E876B6B"/>
    <w:rsid w:val="2F093098"/>
    <w:rsid w:val="2F0B154A"/>
    <w:rsid w:val="2F324D29"/>
    <w:rsid w:val="2F7346FD"/>
    <w:rsid w:val="2F805A94"/>
    <w:rsid w:val="2F8F45C3"/>
    <w:rsid w:val="2FAF1ED5"/>
    <w:rsid w:val="2FB13E9F"/>
    <w:rsid w:val="2FEB14EB"/>
    <w:rsid w:val="2FFE2E5D"/>
    <w:rsid w:val="300455EB"/>
    <w:rsid w:val="30201025"/>
    <w:rsid w:val="30231066"/>
    <w:rsid w:val="304E16EE"/>
    <w:rsid w:val="304E5E81"/>
    <w:rsid w:val="304F0004"/>
    <w:rsid w:val="305C17AB"/>
    <w:rsid w:val="30800185"/>
    <w:rsid w:val="30915A0A"/>
    <w:rsid w:val="30980BBB"/>
    <w:rsid w:val="30D2475E"/>
    <w:rsid w:val="310224D9"/>
    <w:rsid w:val="311D1515"/>
    <w:rsid w:val="318F36E0"/>
    <w:rsid w:val="319553BB"/>
    <w:rsid w:val="31991EC2"/>
    <w:rsid w:val="31A8405B"/>
    <w:rsid w:val="31EF0CAF"/>
    <w:rsid w:val="32107ED0"/>
    <w:rsid w:val="32132BEF"/>
    <w:rsid w:val="3239017C"/>
    <w:rsid w:val="329C2DB1"/>
    <w:rsid w:val="32A23F73"/>
    <w:rsid w:val="32A85AB8"/>
    <w:rsid w:val="32AE2918"/>
    <w:rsid w:val="32C35765"/>
    <w:rsid w:val="32C97752"/>
    <w:rsid w:val="32E7407C"/>
    <w:rsid w:val="32F333A8"/>
    <w:rsid w:val="32F941A2"/>
    <w:rsid w:val="332D7CE1"/>
    <w:rsid w:val="335A2AA0"/>
    <w:rsid w:val="335C4122"/>
    <w:rsid w:val="335E60E1"/>
    <w:rsid w:val="336903B3"/>
    <w:rsid w:val="339024A1"/>
    <w:rsid w:val="33CA24F7"/>
    <w:rsid w:val="33D22226"/>
    <w:rsid w:val="33F702EF"/>
    <w:rsid w:val="33FC19A6"/>
    <w:rsid w:val="340A6274"/>
    <w:rsid w:val="341555D7"/>
    <w:rsid w:val="341B277B"/>
    <w:rsid w:val="3437693D"/>
    <w:rsid w:val="344D6161"/>
    <w:rsid w:val="346F5725"/>
    <w:rsid w:val="347F596E"/>
    <w:rsid w:val="34A04A2B"/>
    <w:rsid w:val="34AE114B"/>
    <w:rsid w:val="35091073"/>
    <w:rsid w:val="350E3B42"/>
    <w:rsid w:val="35144FC5"/>
    <w:rsid w:val="352E6ECE"/>
    <w:rsid w:val="353B0249"/>
    <w:rsid w:val="35A10C62"/>
    <w:rsid w:val="35A818A1"/>
    <w:rsid w:val="35A85539"/>
    <w:rsid w:val="35B0680E"/>
    <w:rsid w:val="35F5085E"/>
    <w:rsid w:val="35F87607"/>
    <w:rsid w:val="36032F7B"/>
    <w:rsid w:val="36056CF3"/>
    <w:rsid w:val="365A6A27"/>
    <w:rsid w:val="366B23D6"/>
    <w:rsid w:val="36A97EF0"/>
    <w:rsid w:val="36B375C2"/>
    <w:rsid w:val="36F34DE4"/>
    <w:rsid w:val="36FA1536"/>
    <w:rsid w:val="371E3B7A"/>
    <w:rsid w:val="372431A9"/>
    <w:rsid w:val="37335AE2"/>
    <w:rsid w:val="373F6235"/>
    <w:rsid w:val="37856E75"/>
    <w:rsid w:val="37BF1155"/>
    <w:rsid w:val="37C24873"/>
    <w:rsid w:val="37C8622A"/>
    <w:rsid w:val="380A6843"/>
    <w:rsid w:val="38447DB9"/>
    <w:rsid w:val="387F1D9C"/>
    <w:rsid w:val="388303A3"/>
    <w:rsid w:val="388B3563"/>
    <w:rsid w:val="389959BB"/>
    <w:rsid w:val="38AD5420"/>
    <w:rsid w:val="38B60206"/>
    <w:rsid w:val="38D26C34"/>
    <w:rsid w:val="38E3713D"/>
    <w:rsid w:val="38EB6586"/>
    <w:rsid w:val="38FB6365"/>
    <w:rsid w:val="390A2872"/>
    <w:rsid w:val="39561B76"/>
    <w:rsid w:val="39663F4D"/>
    <w:rsid w:val="3AB26D1E"/>
    <w:rsid w:val="3ABD4AF6"/>
    <w:rsid w:val="3ADE5D64"/>
    <w:rsid w:val="3AE110D6"/>
    <w:rsid w:val="3B0A4DAB"/>
    <w:rsid w:val="3B0F4170"/>
    <w:rsid w:val="3B393CE6"/>
    <w:rsid w:val="3B620744"/>
    <w:rsid w:val="3B653D90"/>
    <w:rsid w:val="3BC62A80"/>
    <w:rsid w:val="3BC91D2A"/>
    <w:rsid w:val="3BD26548"/>
    <w:rsid w:val="3C17743E"/>
    <w:rsid w:val="3C374764"/>
    <w:rsid w:val="3C3A6FCB"/>
    <w:rsid w:val="3C3D6ABB"/>
    <w:rsid w:val="3C5067EE"/>
    <w:rsid w:val="3C564658"/>
    <w:rsid w:val="3C856160"/>
    <w:rsid w:val="3C860462"/>
    <w:rsid w:val="3C885F88"/>
    <w:rsid w:val="3C8B3CCA"/>
    <w:rsid w:val="3C9506A5"/>
    <w:rsid w:val="3CA73F05"/>
    <w:rsid w:val="3CC2593E"/>
    <w:rsid w:val="3CCE6CCC"/>
    <w:rsid w:val="3D220B82"/>
    <w:rsid w:val="3D3B749E"/>
    <w:rsid w:val="3D402D06"/>
    <w:rsid w:val="3D533132"/>
    <w:rsid w:val="3D5F318D"/>
    <w:rsid w:val="3D62319E"/>
    <w:rsid w:val="3D6A7D83"/>
    <w:rsid w:val="3D711406"/>
    <w:rsid w:val="3D913562"/>
    <w:rsid w:val="3DA07301"/>
    <w:rsid w:val="3DB32B44"/>
    <w:rsid w:val="3DCD4D1E"/>
    <w:rsid w:val="3DD43653"/>
    <w:rsid w:val="3DE235C1"/>
    <w:rsid w:val="3DFD29A6"/>
    <w:rsid w:val="3DFF04CC"/>
    <w:rsid w:val="3E25352C"/>
    <w:rsid w:val="3E52684D"/>
    <w:rsid w:val="3E54446B"/>
    <w:rsid w:val="3E901E60"/>
    <w:rsid w:val="3E9D2FC7"/>
    <w:rsid w:val="3EC93AEF"/>
    <w:rsid w:val="3EF3635C"/>
    <w:rsid w:val="3EFB7941"/>
    <w:rsid w:val="3EFF2411"/>
    <w:rsid w:val="3F022F2C"/>
    <w:rsid w:val="3F0C3283"/>
    <w:rsid w:val="3F0F0BE2"/>
    <w:rsid w:val="3F5916EF"/>
    <w:rsid w:val="3F9820D2"/>
    <w:rsid w:val="3FA94B93"/>
    <w:rsid w:val="3FCC4F7F"/>
    <w:rsid w:val="40043076"/>
    <w:rsid w:val="40105D5F"/>
    <w:rsid w:val="4016778B"/>
    <w:rsid w:val="40274D84"/>
    <w:rsid w:val="40300CEE"/>
    <w:rsid w:val="40364AE1"/>
    <w:rsid w:val="40583F95"/>
    <w:rsid w:val="407B6536"/>
    <w:rsid w:val="408353E4"/>
    <w:rsid w:val="40864ED4"/>
    <w:rsid w:val="40B25CC9"/>
    <w:rsid w:val="40CD0F99"/>
    <w:rsid w:val="412070D7"/>
    <w:rsid w:val="413D53F6"/>
    <w:rsid w:val="41502AFD"/>
    <w:rsid w:val="416B37AD"/>
    <w:rsid w:val="418E5A66"/>
    <w:rsid w:val="41BE244C"/>
    <w:rsid w:val="41E0267E"/>
    <w:rsid w:val="41E94465"/>
    <w:rsid w:val="421C5768"/>
    <w:rsid w:val="42434E9B"/>
    <w:rsid w:val="42552DB0"/>
    <w:rsid w:val="427E2307"/>
    <w:rsid w:val="429531AD"/>
    <w:rsid w:val="42AB40B9"/>
    <w:rsid w:val="42BD2098"/>
    <w:rsid w:val="42CA554C"/>
    <w:rsid w:val="42DA5063"/>
    <w:rsid w:val="42F36125"/>
    <w:rsid w:val="42F56341"/>
    <w:rsid w:val="43046F5B"/>
    <w:rsid w:val="431978BE"/>
    <w:rsid w:val="433724B6"/>
    <w:rsid w:val="434E5D94"/>
    <w:rsid w:val="43515DC2"/>
    <w:rsid w:val="43543068"/>
    <w:rsid w:val="439C5142"/>
    <w:rsid w:val="43BE2CCE"/>
    <w:rsid w:val="43E409E2"/>
    <w:rsid w:val="44285DD7"/>
    <w:rsid w:val="4439400C"/>
    <w:rsid w:val="4449473C"/>
    <w:rsid w:val="44511B27"/>
    <w:rsid w:val="44536B5D"/>
    <w:rsid w:val="446C0C40"/>
    <w:rsid w:val="447E236F"/>
    <w:rsid w:val="44950750"/>
    <w:rsid w:val="44A41DCD"/>
    <w:rsid w:val="44BA6EFA"/>
    <w:rsid w:val="44D77AAC"/>
    <w:rsid w:val="44DF1057"/>
    <w:rsid w:val="4533588E"/>
    <w:rsid w:val="45596713"/>
    <w:rsid w:val="45630FF2"/>
    <w:rsid w:val="457C4119"/>
    <w:rsid w:val="45B47DEE"/>
    <w:rsid w:val="45B61DB8"/>
    <w:rsid w:val="45C61662"/>
    <w:rsid w:val="45CF0CA6"/>
    <w:rsid w:val="45D07476"/>
    <w:rsid w:val="45ED3938"/>
    <w:rsid w:val="46115240"/>
    <w:rsid w:val="46284338"/>
    <w:rsid w:val="46386C71"/>
    <w:rsid w:val="46395943"/>
    <w:rsid w:val="463C4039"/>
    <w:rsid w:val="465E7D59"/>
    <w:rsid w:val="46646B06"/>
    <w:rsid w:val="467928F9"/>
    <w:rsid w:val="467B6B5D"/>
    <w:rsid w:val="469D6AD4"/>
    <w:rsid w:val="46A81EE5"/>
    <w:rsid w:val="46B92363"/>
    <w:rsid w:val="46CD08E8"/>
    <w:rsid w:val="46F65613"/>
    <w:rsid w:val="471F573B"/>
    <w:rsid w:val="47275F30"/>
    <w:rsid w:val="47431429"/>
    <w:rsid w:val="47743CD8"/>
    <w:rsid w:val="47772C18"/>
    <w:rsid w:val="477E06B3"/>
    <w:rsid w:val="477F417A"/>
    <w:rsid w:val="479B74B7"/>
    <w:rsid w:val="47A75CCD"/>
    <w:rsid w:val="48013998"/>
    <w:rsid w:val="481D66BC"/>
    <w:rsid w:val="48313978"/>
    <w:rsid w:val="48551ACC"/>
    <w:rsid w:val="48777EA5"/>
    <w:rsid w:val="487F2250"/>
    <w:rsid w:val="48A60CBE"/>
    <w:rsid w:val="48AE6D76"/>
    <w:rsid w:val="48AF6C3E"/>
    <w:rsid w:val="48B90A48"/>
    <w:rsid w:val="48CF7F7D"/>
    <w:rsid w:val="48D715F0"/>
    <w:rsid w:val="48F12142"/>
    <w:rsid w:val="49290E6F"/>
    <w:rsid w:val="4950607F"/>
    <w:rsid w:val="49777AB0"/>
    <w:rsid w:val="49804BB7"/>
    <w:rsid w:val="49861C7F"/>
    <w:rsid w:val="49A6020A"/>
    <w:rsid w:val="4A505255"/>
    <w:rsid w:val="4A575E93"/>
    <w:rsid w:val="4A835FE1"/>
    <w:rsid w:val="4AAA53B2"/>
    <w:rsid w:val="4AAC19DB"/>
    <w:rsid w:val="4AF55130"/>
    <w:rsid w:val="4B125855"/>
    <w:rsid w:val="4B205B4C"/>
    <w:rsid w:val="4B2E0642"/>
    <w:rsid w:val="4B6C4CC7"/>
    <w:rsid w:val="4B9A7A86"/>
    <w:rsid w:val="4BA44460"/>
    <w:rsid w:val="4BEB6533"/>
    <w:rsid w:val="4BF21B51"/>
    <w:rsid w:val="4BF531D8"/>
    <w:rsid w:val="4C1351EF"/>
    <w:rsid w:val="4C1D5390"/>
    <w:rsid w:val="4C3677AE"/>
    <w:rsid w:val="4C545E87"/>
    <w:rsid w:val="4C6D0CF6"/>
    <w:rsid w:val="4C9E633E"/>
    <w:rsid w:val="4CAF57B3"/>
    <w:rsid w:val="4CD34F92"/>
    <w:rsid w:val="4CEB7941"/>
    <w:rsid w:val="4D333DC4"/>
    <w:rsid w:val="4D4D636D"/>
    <w:rsid w:val="4D543671"/>
    <w:rsid w:val="4D6437B9"/>
    <w:rsid w:val="4D917F9C"/>
    <w:rsid w:val="4DB841F3"/>
    <w:rsid w:val="4DCD7C9F"/>
    <w:rsid w:val="4E1E04FA"/>
    <w:rsid w:val="4E450B49"/>
    <w:rsid w:val="4E563488"/>
    <w:rsid w:val="4E654842"/>
    <w:rsid w:val="4E656A0B"/>
    <w:rsid w:val="4E6D356C"/>
    <w:rsid w:val="4E837408"/>
    <w:rsid w:val="4EC62B98"/>
    <w:rsid w:val="4EF0039F"/>
    <w:rsid w:val="4EF50A0C"/>
    <w:rsid w:val="4F014FAE"/>
    <w:rsid w:val="4F310701"/>
    <w:rsid w:val="4F413D36"/>
    <w:rsid w:val="4F6C798B"/>
    <w:rsid w:val="4F781832"/>
    <w:rsid w:val="4FB04850"/>
    <w:rsid w:val="4FD73056"/>
    <w:rsid w:val="4FDB164E"/>
    <w:rsid w:val="4FE525A1"/>
    <w:rsid w:val="4FEE6A2B"/>
    <w:rsid w:val="4FF36AF6"/>
    <w:rsid w:val="504774A8"/>
    <w:rsid w:val="50755701"/>
    <w:rsid w:val="511B6EDE"/>
    <w:rsid w:val="5153670D"/>
    <w:rsid w:val="516E1798"/>
    <w:rsid w:val="518D5802"/>
    <w:rsid w:val="51B72B06"/>
    <w:rsid w:val="51BA678C"/>
    <w:rsid w:val="51CC4711"/>
    <w:rsid w:val="52074231"/>
    <w:rsid w:val="520B201A"/>
    <w:rsid w:val="521D0E97"/>
    <w:rsid w:val="52285DEB"/>
    <w:rsid w:val="522B0B43"/>
    <w:rsid w:val="52320A18"/>
    <w:rsid w:val="524B3888"/>
    <w:rsid w:val="52902828"/>
    <w:rsid w:val="52B25AAE"/>
    <w:rsid w:val="52B60DFC"/>
    <w:rsid w:val="52E23932"/>
    <w:rsid w:val="52E65D19"/>
    <w:rsid w:val="52FC4B82"/>
    <w:rsid w:val="52FD1026"/>
    <w:rsid w:val="53004672"/>
    <w:rsid w:val="532C1EF4"/>
    <w:rsid w:val="5358625C"/>
    <w:rsid w:val="535E6640"/>
    <w:rsid w:val="53602E5D"/>
    <w:rsid w:val="538C5F06"/>
    <w:rsid w:val="53A337F9"/>
    <w:rsid w:val="53B41CD5"/>
    <w:rsid w:val="53CD0F76"/>
    <w:rsid w:val="53D37FD9"/>
    <w:rsid w:val="53FC02D7"/>
    <w:rsid w:val="543A0058"/>
    <w:rsid w:val="543C3DD0"/>
    <w:rsid w:val="54703A7A"/>
    <w:rsid w:val="54A8564D"/>
    <w:rsid w:val="54AC3A76"/>
    <w:rsid w:val="54FB77E7"/>
    <w:rsid w:val="55110DB9"/>
    <w:rsid w:val="55187470"/>
    <w:rsid w:val="5564052A"/>
    <w:rsid w:val="557E5C11"/>
    <w:rsid w:val="55937A20"/>
    <w:rsid w:val="55DB3304"/>
    <w:rsid w:val="56123AFC"/>
    <w:rsid w:val="561F5757"/>
    <w:rsid w:val="5624337B"/>
    <w:rsid w:val="56283212"/>
    <w:rsid w:val="567315FF"/>
    <w:rsid w:val="567A298E"/>
    <w:rsid w:val="5683587B"/>
    <w:rsid w:val="56916F31"/>
    <w:rsid w:val="56AA3BDA"/>
    <w:rsid w:val="56F73FDE"/>
    <w:rsid w:val="570A5ABF"/>
    <w:rsid w:val="570B5891"/>
    <w:rsid w:val="5726190A"/>
    <w:rsid w:val="573E7E5F"/>
    <w:rsid w:val="57B12EFC"/>
    <w:rsid w:val="57E91B79"/>
    <w:rsid w:val="57F91A9F"/>
    <w:rsid w:val="581110D0"/>
    <w:rsid w:val="58202FA7"/>
    <w:rsid w:val="58442952"/>
    <w:rsid w:val="585F7853"/>
    <w:rsid w:val="586C497F"/>
    <w:rsid w:val="589E6E07"/>
    <w:rsid w:val="58CD3249"/>
    <w:rsid w:val="58D00F8B"/>
    <w:rsid w:val="58D376CA"/>
    <w:rsid w:val="59072A95"/>
    <w:rsid w:val="593B28A8"/>
    <w:rsid w:val="5967369D"/>
    <w:rsid w:val="59777658"/>
    <w:rsid w:val="59912AF5"/>
    <w:rsid w:val="59AC7302"/>
    <w:rsid w:val="59C12681"/>
    <w:rsid w:val="59C52A6B"/>
    <w:rsid w:val="59CC3500"/>
    <w:rsid w:val="59D95C1D"/>
    <w:rsid w:val="5A010F16"/>
    <w:rsid w:val="5A105AE3"/>
    <w:rsid w:val="5A2A6479"/>
    <w:rsid w:val="5A3D37FB"/>
    <w:rsid w:val="5A47702B"/>
    <w:rsid w:val="5A6445DD"/>
    <w:rsid w:val="5A7D2A4C"/>
    <w:rsid w:val="5AB62945"/>
    <w:rsid w:val="5ACD45C6"/>
    <w:rsid w:val="5AD14B46"/>
    <w:rsid w:val="5AFC52F4"/>
    <w:rsid w:val="5B070568"/>
    <w:rsid w:val="5B231846"/>
    <w:rsid w:val="5B286418"/>
    <w:rsid w:val="5B351708"/>
    <w:rsid w:val="5B3E21DC"/>
    <w:rsid w:val="5B70435F"/>
    <w:rsid w:val="5BB72520"/>
    <w:rsid w:val="5BED775E"/>
    <w:rsid w:val="5BF9066C"/>
    <w:rsid w:val="5C196B98"/>
    <w:rsid w:val="5C4528D4"/>
    <w:rsid w:val="5C461721"/>
    <w:rsid w:val="5C65539E"/>
    <w:rsid w:val="5C82434A"/>
    <w:rsid w:val="5C9B540C"/>
    <w:rsid w:val="5CAC6231"/>
    <w:rsid w:val="5CCF4F6C"/>
    <w:rsid w:val="5CD52CC1"/>
    <w:rsid w:val="5D017965"/>
    <w:rsid w:val="5D192F00"/>
    <w:rsid w:val="5D513680"/>
    <w:rsid w:val="5D523809"/>
    <w:rsid w:val="5D8F4F70"/>
    <w:rsid w:val="5D924A61"/>
    <w:rsid w:val="5D9F2CDA"/>
    <w:rsid w:val="5DC1446B"/>
    <w:rsid w:val="5DEB4C7D"/>
    <w:rsid w:val="5DF66D9E"/>
    <w:rsid w:val="5E0474D0"/>
    <w:rsid w:val="5E6230C6"/>
    <w:rsid w:val="5E6A1358"/>
    <w:rsid w:val="5E872826"/>
    <w:rsid w:val="5EAA024B"/>
    <w:rsid w:val="5EC65064"/>
    <w:rsid w:val="5ECB022A"/>
    <w:rsid w:val="5EE66E12"/>
    <w:rsid w:val="5EF20DB1"/>
    <w:rsid w:val="5EF519D2"/>
    <w:rsid w:val="5F0B2935"/>
    <w:rsid w:val="5F2B1B6F"/>
    <w:rsid w:val="5F3B6A32"/>
    <w:rsid w:val="5F4B3119"/>
    <w:rsid w:val="5F4E3A27"/>
    <w:rsid w:val="5F552D6C"/>
    <w:rsid w:val="5F580396"/>
    <w:rsid w:val="5F593570"/>
    <w:rsid w:val="5F5B7A6F"/>
    <w:rsid w:val="5F7D4740"/>
    <w:rsid w:val="5F944AC0"/>
    <w:rsid w:val="5FB53132"/>
    <w:rsid w:val="5FC22B1F"/>
    <w:rsid w:val="5FFE63DD"/>
    <w:rsid w:val="606044F4"/>
    <w:rsid w:val="60773223"/>
    <w:rsid w:val="609D79A4"/>
    <w:rsid w:val="60AD746D"/>
    <w:rsid w:val="60B237FE"/>
    <w:rsid w:val="60E014D3"/>
    <w:rsid w:val="60E750C3"/>
    <w:rsid w:val="611534FE"/>
    <w:rsid w:val="612F2291"/>
    <w:rsid w:val="61363955"/>
    <w:rsid w:val="613D2F35"/>
    <w:rsid w:val="615F2625"/>
    <w:rsid w:val="61A9093A"/>
    <w:rsid w:val="61C12133"/>
    <w:rsid w:val="61CB0541"/>
    <w:rsid w:val="61CF5E9D"/>
    <w:rsid w:val="61E83157"/>
    <w:rsid w:val="61F305E9"/>
    <w:rsid w:val="62093608"/>
    <w:rsid w:val="62361E5F"/>
    <w:rsid w:val="626A7D5A"/>
    <w:rsid w:val="627666FF"/>
    <w:rsid w:val="628D3A49"/>
    <w:rsid w:val="628F4937"/>
    <w:rsid w:val="629E5C56"/>
    <w:rsid w:val="62BD05F9"/>
    <w:rsid w:val="62BE2A42"/>
    <w:rsid w:val="62D6719E"/>
    <w:rsid w:val="63043FB0"/>
    <w:rsid w:val="63091321"/>
    <w:rsid w:val="630B0875"/>
    <w:rsid w:val="63247F09"/>
    <w:rsid w:val="63251ED3"/>
    <w:rsid w:val="63260125"/>
    <w:rsid w:val="639636DA"/>
    <w:rsid w:val="63A578CC"/>
    <w:rsid w:val="63B35731"/>
    <w:rsid w:val="63FE3B73"/>
    <w:rsid w:val="63FF44D2"/>
    <w:rsid w:val="641C2C0B"/>
    <w:rsid w:val="641C48AD"/>
    <w:rsid w:val="64296839"/>
    <w:rsid w:val="64395C36"/>
    <w:rsid w:val="64490E62"/>
    <w:rsid w:val="644A1BF1"/>
    <w:rsid w:val="64513D0C"/>
    <w:rsid w:val="645F2839"/>
    <w:rsid w:val="646A2322"/>
    <w:rsid w:val="646F68CE"/>
    <w:rsid w:val="64872E45"/>
    <w:rsid w:val="64986E00"/>
    <w:rsid w:val="64A07A63"/>
    <w:rsid w:val="64B04B26"/>
    <w:rsid w:val="64C80D68"/>
    <w:rsid w:val="64FD3107"/>
    <w:rsid w:val="64FD4EB5"/>
    <w:rsid w:val="651F307E"/>
    <w:rsid w:val="6525669E"/>
    <w:rsid w:val="65510D5D"/>
    <w:rsid w:val="656C2CEE"/>
    <w:rsid w:val="656D5B73"/>
    <w:rsid w:val="65770A21"/>
    <w:rsid w:val="65A25A5D"/>
    <w:rsid w:val="65AE3FC8"/>
    <w:rsid w:val="65C40AAF"/>
    <w:rsid w:val="65CE23AE"/>
    <w:rsid w:val="65D66E85"/>
    <w:rsid w:val="65FA6AFE"/>
    <w:rsid w:val="66031C41"/>
    <w:rsid w:val="6613063D"/>
    <w:rsid w:val="662202E6"/>
    <w:rsid w:val="662C0F5F"/>
    <w:rsid w:val="664C0687"/>
    <w:rsid w:val="6661283B"/>
    <w:rsid w:val="66666A8A"/>
    <w:rsid w:val="66760DFA"/>
    <w:rsid w:val="66784A1E"/>
    <w:rsid w:val="667B22D2"/>
    <w:rsid w:val="668B78A8"/>
    <w:rsid w:val="66A06F7E"/>
    <w:rsid w:val="66BE2423"/>
    <w:rsid w:val="66F01B13"/>
    <w:rsid w:val="672C3830"/>
    <w:rsid w:val="674F5770"/>
    <w:rsid w:val="6753700F"/>
    <w:rsid w:val="676A6106"/>
    <w:rsid w:val="676C5425"/>
    <w:rsid w:val="676E209B"/>
    <w:rsid w:val="677E3A5B"/>
    <w:rsid w:val="6787315C"/>
    <w:rsid w:val="67987E26"/>
    <w:rsid w:val="67D83FDD"/>
    <w:rsid w:val="67E833FD"/>
    <w:rsid w:val="68155815"/>
    <w:rsid w:val="68391B61"/>
    <w:rsid w:val="6841330B"/>
    <w:rsid w:val="6894168D"/>
    <w:rsid w:val="68B332B2"/>
    <w:rsid w:val="68BD6728"/>
    <w:rsid w:val="68CD1043"/>
    <w:rsid w:val="68CF033D"/>
    <w:rsid w:val="68D93544"/>
    <w:rsid w:val="690305C1"/>
    <w:rsid w:val="69096354"/>
    <w:rsid w:val="69274D9D"/>
    <w:rsid w:val="693E7A83"/>
    <w:rsid w:val="695840F0"/>
    <w:rsid w:val="69726B13"/>
    <w:rsid w:val="6985191D"/>
    <w:rsid w:val="698F79E5"/>
    <w:rsid w:val="69AA1460"/>
    <w:rsid w:val="6A1514C7"/>
    <w:rsid w:val="6A1F142A"/>
    <w:rsid w:val="6A335E29"/>
    <w:rsid w:val="6A353B5A"/>
    <w:rsid w:val="6A4B48CF"/>
    <w:rsid w:val="6A604D57"/>
    <w:rsid w:val="6A8C411A"/>
    <w:rsid w:val="6A9132D4"/>
    <w:rsid w:val="6AA97307"/>
    <w:rsid w:val="6AAE27AE"/>
    <w:rsid w:val="6ABC4ECB"/>
    <w:rsid w:val="6AC56475"/>
    <w:rsid w:val="6AE744D0"/>
    <w:rsid w:val="6AFF68D3"/>
    <w:rsid w:val="6B044E16"/>
    <w:rsid w:val="6B4E0BF7"/>
    <w:rsid w:val="6B7925B5"/>
    <w:rsid w:val="6B7E7F32"/>
    <w:rsid w:val="6BB03646"/>
    <w:rsid w:val="6BB362CE"/>
    <w:rsid w:val="6C066615"/>
    <w:rsid w:val="6C345CCF"/>
    <w:rsid w:val="6C445535"/>
    <w:rsid w:val="6C4D5110"/>
    <w:rsid w:val="6C4E249B"/>
    <w:rsid w:val="6CA20D06"/>
    <w:rsid w:val="6D1C5220"/>
    <w:rsid w:val="6D342B2B"/>
    <w:rsid w:val="6D3D491E"/>
    <w:rsid w:val="6D3F715A"/>
    <w:rsid w:val="6D753652"/>
    <w:rsid w:val="6D8C3A01"/>
    <w:rsid w:val="6D8D0DA1"/>
    <w:rsid w:val="6D982472"/>
    <w:rsid w:val="6DC72D41"/>
    <w:rsid w:val="6DD62748"/>
    <w:rsid w:val="6DDA2238"/>
    <w:rsid w:val="6E1374F8"/>
    <w:rsid w:val="6E6A319B"/>
    <w:rsid w:val="6E7837FF"/>
    <w:rsid w:val="6EC52ECB"/>
    <w:rsid w:val="6ECC11EB"/>
    <w:rsid w:val="6ED33697"/>
    <w:rsid w:val="6ED806AC"/>
    <w:rsid w:val="6EDC3D8E"/>
    <w:rsid w:val="6EF07839"/>
    <w:rsid w:val="6EF24CBA"/>
    <w:rsid w:val="6F1277AF"/>
    <w:rsid w:val="6F1928EC"/>
    <w:rsid w:val="6F273651"/>
    <w:rsid w:val="6F495DE4"/>
    <w:rsid w:val="6F6A3147"/>
    <w:rsid w:val="6F6F35F8"/>
    <w:rsid w:val="6F7241F7"/>
    <w:rsid w:val="6F7527C3"/>
    <w:rsid w:val="6F782689"/>
    <w:rsid w:val="6F7C731F"/>
    <w:rsid w:val="6F951D5E"/>
    <w:rsid w:val="6FB41849"/>
    <w:rsid w:val="6FCB5B9B"/>
    <w:rsid w:val="6FCD1928"/>
    <w:rsid w:val="6FCE68B0"/>
    <w:rsid w:val="6FE41C21"/>
    <w:rsid w:val="6FF2313D"/>
    <w:rsid w:val="6FF810A7"/>
    <w:rsid w:val="700401C3"/>
    <w:rsid w:val="701B1699"/>
    <w:rsid w:val="70357A7F"/>
    <w:rsid w:val="703A7BF4"/>
    <w:rsid w:val="70455963"/>
    <w:rsid w:val="704564E5"/>
    <w:rsid w:val="70456E4B"/>
    <w:rsid w:val="70AB417D"/>
    <w:rsid w:val="70C20F82"/>
    <w:rsid w:val="70ED28F1"/>
    <w:rsid w:val="710D666D"/>
    <w:rsid w:val="71140F93"/>
    <w:rsid w:val="713B6A41"/>
    <w:rsid w:val="717209D9"/>
    <w:rsid w:val="71947413"/>
    <w:rsid w:val="71BC1C54"/>
    <w:rsid w:val="71C254BD"/>
    <w:rsid w:val="72086C48"/>
    <w:rsid w:val="720F38DB"/>
    <w:rsid w:val="721E2DA3"/>
    <w:rsid w:val="72897D89"/>
    <w:rsid w:val="728E7548"/>
    <w:rsid w:val="72936E59"/>
    <w:rsid w:val="72E256EB"/>
    <w:rsid w:val="72FB055A"/>
    <w:rsid w:val="73164A2A"/>
    <w:rsid w:val="732144AE"/>
    <w:rsid w:val="732C0AC5"/>
    <w:rsid w:val="73316CA7"/>
    <w:rsid w:val="73410E96"/>
    <w:rsid w:val="73A40BF2"/>
    <w:rsid w:val="73E3171A"/>
    <w:rsid w:val="73EF00BF"/>
    <w:rsid w:val="74066AEA"/>
    <w:rsid w:val="74251D33"/>
    <w:rsid w:val="743F5BF2"/>
    <w:rsid w:val="745B03E0"/>
    <w:rsid w:val="747E1443"/>
    <w:rsid w:val="74806F69"/>
    <w:rsid w:val="748A1C7C"/>
    <w:rsid w:val="748F540C"/>
    <w:rsid w:val="74B310ED"/>
    <w:rsid w:val="74CB5BC5"/>
    <w:rsid w:val="74D21F19"/>
    <w:rsid w:val="74DD77FD"/>
    <w:rsid w:val="74DE7E00"/>
    <w:rsid w:val="754B57C9"/>
    <w:rsid w:val="755F74C6"/>
    <w:rsid w:val="756B19C7"/>
    <w:rsid w:val="75821FEC"/>
    <w:rsid w:val="7585725F"/>
    <w:rsid w:val="75894543"/>
    <w:rsid w:val="75900067"/>
    <w:rsid w:val="7592129C"/>
    <w:rsid w:val="759D21DD"/>
    <w:rsid w:val="75A1363B"/>
    <w:rsid w:val="75B72E5F"/>
    <w:rsid w:val="75ED071E"/>
    <w:rsid w:val="75EE5991"/>
    <w:rsid w:val="762A3A6C"/>
    <w:rsid w:val="76401F90"/>
    <w:rsid w:val="76597CCA"/>
    <w:rsid w:val="766823AB"/>
    <w:rsid w:val="76802231"/>
    <w:rsid w:val="768C6099"/>
    <w:rsid w:val="769431A0"/>
    <w:rsid w:val="76B31878"/>
    <w:rsid w:val="76B64EC4"/>
    <w:rsid w:val="76BD44A5"/>
    <w:rsid w:val="76BE3C82"/>
    <w:rsid w:val="76F955EC"/>
    <w:rsid w:val="76FC66BF"/>
    <w:rsid w:val="77052BB3"/>
    <w:rsid w:val="77274014"/>
    <w:rsid w:val="77360014"/>
    <w:rsid w:val="77541898"/>
    <w:rsid w:val="7763329E"/>
    <w:rsid w:val="776E013B"/>
    <w:rsid w:val="777B7186"/>
    <w:rsid w:val="77C9122A"/>
    <w:rsid w:val="77CD6EBD"/>
    <w:rsid w:val="77F92B91"/>
    <w:rsid w:val="78216CB5"/>
    <w:rsid w:val="78234224"/>
    <w:rsid w:val="782D565A"/>
    <w:rsid w:val="789E7208"/>
    <w:rsid w:val="78EF290F"/>
    <w:rsid w:val="790F4D60"/>
    <w:rsid w:val="79270B02"/>
    <w:rsid w:val="797C1D3C"/>
    <w:rsid w:val="79882B74"/>
    <w:rsid w:val="7A0B78FF"/>
    <w:rsid w:val="7A1109A0"/>
    <w:rsid w:val="7A13262E"/>
    <w:rsid w:val="7A2844F7"/>
    <w:rsid w:val="7A684AAF"/>
    <w:rsid w:val="7A7430CC"/>
    <w:rsid w:val="7A7F18A6"/>
    <w:rsid w:val="7AA5597C"/>
    <w:rsid w:val="7ACA08E1"/>
    <w:rsid w:val="7ACD104A"/>
    <w:rsid w:val="7AF81F4F"/>
    <w:rsid w:val="7B002BB2"/>
    <w:rsid w:val="7B071B6E"/>
    <w:rsid w:val="7B170DD4"/>
    <w:rsid w:val="7B4D2812"/>
    <w:rsid w:val="7B590514"/>
    <w:rsid w:val="7B5F3D7C"/>
    <w:rsid w:val="7B786BDA"/>
    <w:rsid w:val="7B8F3F36"/>
    <w:rsid w:val="7B973637"/>
    <w:rsid w:val="7BE20509"/>
    <w:rsid w:val="7BEC31E9"/>
    <w:rsid w:val="7BF47D34"/>
    <w:rsid w:val="7BFA3A97"/>
    <w:rsid w:val="7C0109FF"/>
    <w:rsid w:val="7C05650B"/>
    <w:rsid w:val="7C1E0BA9"/>
    <w:rsid w:val="7C217284"/>
    <w:rsid w:val="7C431CB7"/>
    <w:rsid w:val="7C7A1CC2"/>
    <w:rsid w:val="7C7C095E"/>
    <w:rsid w:val="7C7E46D6"/>
    <w:rsid w:val="7C7E6484"/>
    <w:rsid w:val="7C887303"/>
    <w:rsid w:val="7C8C56A7"/>
    <w:rsid w:val="7CD10CAA"/>
    <w:rsid w:val="7CD12A58"/>
    <w:rsid w:val="7D1D5C9D"/>
    <w:rsid w:val="7D311748"/>
    <w:rsid w:val="7D5E0064"/>
    <w:rsid w:val="7D6C452F"/>
    <w:rsid w:val="7DC023A5"/>
    <w:rsid w:val="7DC223A1"/>
    <w:rsid w:val="7DC66747"/>
    <w:rsid w:val="7DD10836"/>
    <w:rsid w:val="7DE94995"/>
    <w:rsid w:val="7DEA4080"/>
    <w:rsid w:val="7DF369FE"/>
    <w:rsid w:val="7DFA5FDE"/>
    <w:rsid w:val="7E0425AA"/>
    <w:rsid w:val="7E0B3D48"/>
    <w:rsid w:val="7E42749F"/>
    <w:rsid w:val="7E4D137F"/>
    <w:rsid w:val="7E570D17"/>
    <w:rsid w:val="7E5F4093"/>
    <w:rsid w:val="7E6416AA"/>
    <w:rsid w:val="7E933D3D"/>
    <w:rsid w:val="7EA87F8D"/>
    <w:rsid w:val="7EAD3051"/>
    <w:rsid w:val="7F250E39"/>
    <w:rsid w:val="7F265C67"/>
    <w:rsid w:val="7F3C6183"/>
    <w:rsid w:val="7F9B734D"/>
    <w:rsid w:val="7FB416D8"/>
    <w:rsid w:val="7FF151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qFormat/>
    <w:uiPriority w:val="99"/>
    <w:pPr>
      <w:keepNext/>
      <w:keepLines/>
      <w:spacing w:line="240" w:lineRule="auto"/>
      <w:jc w:val="center"/>
      <w:outlineLvl w:val="0"/>
    </w:pPr>
    <w:rPr>
      <w:rFonts w:eastAsia="仿宋"/>
      <w:b/>
      <w:bCs/>
      <w:color w:val="000000"/>
      <w:kern w:val="44"/>
      <w:sz w:val="36"/>
      <w:szCs w:val="36"/>
    </w:rPr>
  </w:style>
  <w:style w:type="paragraph" w:styleId="3">
    <w:name w:val="heading 2"/>
    <w:basedOn w:val="1"/>
    <w:next w:val="1"/>
    <w:link w:val="41"/>
    <w:qFormat/>
    <w:uiPriority w:val="99"/>
    <w:pPr>
      <w:keepNext/>
      <w:keepLines/>
      <w:spacing w:line="240" w:lineRule="auto"/>
      <w:outlineLvl w:val="1"/>
    </w:pPr>
    <w:rPr>
      <w:rFonts w:ascii="Calibri" w:hAnsi="Calibri" w:cs="Calibri"/>
      <w:b/>
      <w:bCs/>
      <w:sz w:val="32"/>
      <w:szCs w:val="32"/>
    </w:rPr>
  </w:style>
  <w:style w:type="paragraph" w:styleId="4">
    <w:name w:val="heading 3"/>
    <w:basedOn w:val="1"/>
    <w:next w:val="1"/>
    <w:qFormat/>
    <w:uiPriority w:val="99"/>
    <w:pPr>
      <w:keepNext/>
      <w:keepLines/>
      <w:spacing w:line="400" w:lineRule="atLeast"/>
      <w:jc w:val="center"/>
      <w:outlineLvl w:val="2"/>
    </w:pPr>
    <w:rPr>
      <w:b/>
      <w:bCs/>
      <w:sz w:val="32"/>
      <w:szCs w:val="32"/>
      <w:u w:val="double"/>
    </w:rPr>
  </w:style>
  <w:style w:type="paragraph" w:styleId="5">
    <w:name w:val="heading 4"/>
    <w:basedOn w:val="1"/>
    <w:next w:val="1"/>
    <w:qFormat/>
    <w:uiPriority w:val="99"/>
    <w:pPr>
      <w:keepNext/>
      <w:keepLines/>
      <w:spacing w:before="280" w:after="290" w:line="376" w:lineRule="atLeast"/>
      <w:outlineLvl w:val="3"/>
    </w:pPr>
    <w:rPr>
      <w:rFonts w:ascii="Calibri" w:hAnsi="Calibri" w:cs="Calibri"/>
      <w:b/>
      <w:bCs/>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style>
  <w:style w:type="paragraph" w:styleId="7">
    <w:name w:val="annotation text"/>
    <w:basedOn w:val="1"/>
    <w:link w:val="42"/>
    <w:qFormat/>
    <w:uiPriority w:val="0"/>
    <w:pPr>
      <w:jc w:val="left"/>
    </w:pPr>
  </w:style>
  <w:style w:type="paragraph" w:styleId="8">
    <w:name w:val="Body Text"/>
    <w:basedOn w:val="1"/>
    <w:next w:val="1"/>
    <w:qFormat/>
    <w:uiPriority w:val="99"/>
    <w:pPr>
      <w:spacing w:afterLines="50" w:line="360" w:lineRule="auto"/>
    </w:pPr>
    <w:rPr>
      <w:rFonts w:ascii="宋体" w:hAnsi="宋体" w:cs="宋体"/>
      <w:color w:val="000000"/>
      <w:sz w:val="24"/>
      <w:szCs w:val="24"/>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0"/>
    <w:pPr>
      <w:snapToGrid w:val="0"/>
    </w:pPr>
    <w:rPr>
      <w:rFonts w:ascii="Arial" w:hAnsi="Arial"/>
    </w:rPr>
  </w:style>
  <w:style w:type="paragraph" w:styleId="11">
    <w:name w:val="toc 3"/>
    <w:basedOn w:val="1"/>
    <w:next w:val="1"/>
    <w:qFormat/>
    <w:uiPriority w:val="0"/>
    <w:pPr>
      <w:ind w:left="840" w:leftChars="400"/>
    </w:pPr>
  </w:style>
  <w:style w:type="paragraph" w:styleId="12">
    <w:name w:val="Plain Text"/>
    <w:basedOn w:val="1"/>
    <w:qFormat/>
    <w:uiPriority w:val="0"/>
    <w:pPr>
      <w:spacing w:line="324" w:lineRule="auto"/>
    </w:pPr>
    <w:rPr>
      <w:rFonts w:ascii="宋体" w:hAnsi="Courier New" w:cs="Times New Roman"/>
      <w:kern w:val="0"/>
      <w:sz w:val="20"/>
    </w:rPr>
  </w:style>
  <w:style w:type="paragraph" w:styleId="13">
    <w:name w:val="Balloon Text"/>
    <w:basedOn w:val="1"/>
    <w:link w:val="43"/>
    <w:qFormat/>
    <w:uiPriority w:val="0"/>
    <w:pPr>
      <w:spacing w:line="240" w:lineRule="auto"/>
    </w:pPr>
    <w:rPr>
      <w:sz w:val="18"/>
      <w:szCs w:val="18"/>
    </w:rPr>
  </w:style>
  <w:style w:type="paragraph" w:styleId="14">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15">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6">
    <w:name w:val="toc 1"/>
    <w:basedOn w:val="1"/>
    <w:next w:val="1"/>
    <w:semiHidden/>
    <w:qFormat/>
    <w:uiPriority w:val="99"/>
  </w:style>
  <w:style w:type="paragraph" w:styleId="17">
    <w:name w:val="toc 4"/>
    <w:basedOn w:val="1"/>
    <w:next w:val="1"/>
    <w:unhideWhenUsed/>
    <w:qFormat/>
    <w:uiPriority w:val="39"/>
    <w:pPr>
      <w:spacing w:line="240" w:lineRule="auto"/>
      <w:ind w:left="1260" w:leftChars="600"/>
    </w:pPr>
  </w:style>
  <w:style w:type="paragraph" w:styleId="18">
    <w:name w:val="toc 2"/>
    <w:basedOn w:val="1"/>
    <w:next w:val="1"/>
    <w:semiHidden/>
    <w:qFormat/>
    <w:uiPriority w:val="99"/>
    <w:pPr>
      <w:ind w:left="420" w:leftChars="200"/>
    </w:pPr>
  </w:style>
  <w:style w:type="paragraph" w:styleId="19">
    <w:name w:val="Body Text 2"/>
    <w:basedOn w:val="1"/>
    <w:qFormat/>
    <w:uiPriority w:val="0"/>
    <w:pPr>
      <w:spacing w:after="120" w:line="480" w:lineRule="auto"/>
    </w:pPr>
  </w:style>
  <w:style w:type="paragraph" w:styleId="20">
    <w:name w:val="HTML Preformatted"/>
    <w:basedOn w:val="1"/>
    <w:qFormat/>
    <w:uiPriority w:val="99"/>
    <w:pPr>
      <w:jc w:val="left"/>
    </w:pPr>
    <w:rPr>
      <w:rFonts w:ascii="Arial" w:hAnsi="Arial" w:cs="Arial"/>
      <w:kern w:val="0"/>
      <w:sz w:val="24"/>
    </w:rPr>
  </w:style>
  <w:style w:type="paragraph" w:styleId="21">
    <w:name w:val="Normal (Web)"/>
    <w:basedOn w:val="1"/>
    <w:qFormat/>
    <w:uiPriority w:val="99"/>
    <w:pPr>
      <w:spacing w:beforeAutospacing="1" w:afterAutospacing="1"/>
      <w:jc w:val="left"/>
    </w:pPr>
    <w:rPr>
      <w:kern w:val="0"/>
      <w:sz w:val="24"/>
      <w:szCs w:val="24"/>
    </w:rPr>
  </w:style>
  <w:style w:type="paragraph" w:styleId="22">
    <w:name w:val="annotation subject"/>
    <w:basedOn w:val="7"/>
    <w:next w:val="7"/>
    <w:link w:val="44"/>
    <w:qFormat/>
    <w:uiPriority w:val="0"/>
    <w:rPr>
      <w:b/>
      <w:bCs/>
    </w:rPr>
  </w:style>
  <w:style w:type="paragraph" w:styleId="23">
    <w:name w:val="Body Text First Indent"/>
    <w:basedOn w:val="8"/>
    <w:next w:val="24"/>
    <w:qFormat/>
    <w:uiPriority w:val="99"/>
    <w:pPr>
      <w:spacing w:afterLines="0" w:line="240" w:lineRule="auto"/>
      <w:ind w:firstLine="420" w:firstLineChars="100"/>
    </w:pPr>
    <w:rPr>
      <w:rFonts w:ascii="Times New Roman" w:hAnsi="Times New Roman" w:cs="Times New Roman"/>
      <w:color w:val="auto"/>
      <w:sz w:val="18"/>
      <w:szCs w:val="18"/>
    </w:rPr>
  </w:style>
  <w:style w:type="paragraph" w:styleId="24">
    <w:name w:val="Body Text First Indent 2"/>
    <w:basedOn w:val="9"/>
    <w:next w:val="1"/>
    <w:qFormat/>
    <w:uiPriority w:val="0"/>
    <w:pPr>
      <w:tabs>
        <w:tab w:val="left" w:pos="0"/>
      </w:tabs>
      <w:spacing w:line="240" w:lineRule="auto"/>
      <w:ind w:firstLine="420" w:firstLineChars="200"/>
    </w:pPr>
    <w:rPr>
      <w:rFonts w:eastAsia="楷体_GB2312"/>
      <w:b/>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FollowedHyperlink"/>
    <w:basedOn w:val="27"/>
    <w:qFormat/>
    <w:uiPriority w:val="0"/>
    <w:rPr>
      <w:color w:val="800080"/>
      <w:u w:val="none"/>
    </w:rPr>
  </w:style>
  <w:style w:type="character" w:styleId="30">
    <w:name w:val="Emphasis"/>
    <w:basedOn w:val="27"/>
    <w:qFormat/>
    <w:uiPriority w:val="0"/>
    <w:rPr>
      <w:b/>
      <w:bCs/>
    </w:rPr>
  </w:style>
  <w:style w:type="character" w:styleId="31">
    <w:name w:val="HTML Definition"/>
    <w:basedOn w:val="27"/>
    <w:qFormat/>
    <w:uiPriority w:val="0"/>
  </w:style>
  <w:style w:type="character" w:styleId="32">
    <w:name w:val="HTML Typewriter"/>
    <w:basedOn w:val="27"/>
    <w:qFormat/>
    <w:uiPriority w:val="0"/>
    <w:rPr>
      <w:rFonts w:hint="default" w:ascii="monospace" w:hAnsi="monospace" w:eastAsia="monospace" w:cs="monospace"/>
      <w:sz w:val="20"/>
    </w:rPr>
  </w:style>
  <w:style w:type="character" w:styleId="33">
    <w:name w:val="HTML Acronym"/>
    <w:basedOn w:val="27"/>
    <w:qFormat/>
    <w:uiPriority w:val="0"/>
  </w:style>
  <w:style w:type="character" w:styleId="34">
    <w:name w:val="HTML Variable"/>
    <w:basedOn w:val="27"/>
    <w:qFormat/>
    <w:uiPriority w:val="0"/>
  </w:style>
  <w:style w:type="character" w:styleId="35">
    <w:name w:val="Hyperlink"/>
    <w:basedOn w:val="27"/>
    <w:qFormat/>
    <w:uiPriority w:val="99"/>
    <w:rPr>
      <w:color w:val="000000"/>
      <w:sz w:val="18"/>
      <w:szCs w:val="18"/>
      <w:u w:val="none"/>
    </w:rPr>
  </w:style>
  <w:style w:type="character" w:styleId="36">
    <w:name w:val="HTML Code"/>
    <w:basedOn w:val="27"/>
    <w:qFormat/>
    <w:uiPriority w:val="0"/>
    <w:rPr>
      <w:rFonts w:ascii="monospace" w:hAnsi="monospace" w:eastAsia="monospace" w:cs="monospace"/>
      <w:sz w:val="20"/>
    </w:rPr>
  </w:style>
  <w:style w:type="character" w:styleId="37">
    <w:name w:val="annotation reference"/>
    <w:basedOn w:val="27"/>
    <w:qFormat/>
    <w:uiPriority w:val="0"/>
    <w:rPr>
      <w:sz w:val="21"/>
      <w:szCs w:val="21"/>
    </w:rPr>
  </w:style>
  <w:style w:type="character" w:styleId="38">
    <w:name w:val="HTML Cite"/>
    <w:basedOn w:val="27"/>
    <w:qFormat/>
    <w:uiPriority w:val="0"/>
  </w:style>
  <w:style w:type="character" w:styleId="39">
    <w:name w:val="HTML Keyboard"/>
    <w:basedOn w:val="27"/>
    <w:qFormat/>
    <w:uiPriority w:val="0"/>
    <w:rPr>
      <w:rFonts w:hint="default" w:ascii="monospace" w:hAnsi="monospace" w:eastAsia="monospace" w:cs="monospace"/>
      <w:sz w:val="20"/>
    </w:rPr>
  </w:style>
  <w:style w:type="character" w:styleId="40">
    <w:name w:val="HTML Sample"/>
    <w:basedOn w:val="27"/>
    <w:qFormat/>
    <w:uiPriority w:val="0"/>
    <w:rPr>
      <w:rFonts w:hint="default" w:ascii="monospace" w:hAnsi="monospace" w:eastAsia="monospace" w:cs="monospace"/>
    </w:rPr>
  </w:style>
  <w:style w:type="character" w:customStyle="1" w:styleId="41">
    <w:name w:val="标题 2 字符"/>
    <w:link w:val="3"/>
    <w:qFormat/>
    <w:uiPriority w:val="9"/>
    <w:rPr>
      <w:rFonts w:ascii="Calibri" w:hAnsi="Calibri" w:cs="Calibri"/>
      <w:b/>
      <w:bCs/>
      <w:sz w:val="32"/>
      <w:szCs w:val="32"/>
    </w:rPr>
  </w:style>
  <w:style w:type="character" w:customStyle="1" w:styleId="42">
    <w:name w:val="批注文字 字符"/>
    <w:basedOn w:val="27"/>
    <w:link w:val="7"/>
    <w:qFormat/>
    <w:uiPriority w:val="0"/>
    <w:rPr>
      <w:rFonts w:ascii="Calibri Light" w:hAnsi="Calibri Light" w:eastAsia="华文仿宋" w:cs="Calibri Light"/>
      <w:kern w:val="2"/>
      <w:sz w:val="28"/>
      <w:szCs w:val="28"/>
    </w:rPr>
  </w:style>
  <w:style w:type="character" w:customStyle="1" w:styleId="43">
    <w:name w:val="批注框文本 字符"/>
    <w:basedOn w:val="27"/>
    <w:link w:val="13"/>
    <w:qFormat/>
    <w:uiPriority w:val="0"/>
    <w:rPr>
      <w:rFonts w:ascii="Calibri Light" w:hAnsi="Calibri Light" w:eastAsia="华文仿宋" w:cs="Calibri Light"/>
      <w:kern w:val="2"/>
      <w:sz w:val="18"/>
      <w:szCs w:val="18"/>
    </w:rPr>
  </w:style>
  <w:style w:type="character" w:customStyle="1" w:styleId="44">
    <w:name w:val="批注主题 字符"/>
    <w:basedOn w:val="42"/>
    <w:link w:val="22"/>
    <w:qFormat/>
    <w:uiPriority w:val="0"/>
    <w:rPr>
      <w:rFonts w:ascii="Calibri Light" w:hAnsi="Calibri Light" w:eastAsia="华文仿宋" w:cs="Calibri Light"/>
      <w:b/>
      <w:bCs/>
      <w:kern w:val="2"/>
      <w:sz w:val="28"/>
      <w:szCs w:val="28"/>
    </w:rPr>
  </w:style>
  <w:style w:type="paragraph" w:customStyle="1" w:styleId="45">
    <w:name w:val="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6">
    <w:name w:val="正文（缩进 4 字符）"/>
    <w:basedOn w:val="1"/>
    <w:qFormat/>
    <w:uiPriority w:val="99"/>
    <w:pPr>
      <w:ind w:firstLine="1134" w:firstLineChars="400"/>
    </w:pPr>
  </w:style>
  <w:style w:type="paragraph" w:customStyle="1" w:styleId="47">
    <w:name w:val="无缩进格式"/>
    <w:basedOn w:val="1"/>
    <w:qFormat/>
    <w:uiPriority w:val="0"/>
    <w:pPr>
      <w:spacing w:line="360" w:lineRule="auto"/>
      <w:jc w:val="center"/>
    </w:pPr>
    <w:rPr>
      <w:sz w:val="24"/>
      <w:szCs w:val="24"/>
    </w:rPr>
  </w:style>
  <w:style w:type="paragraph" w:customStyle="1" w:styleId="48">
    <w:name w:val="正文（缩进 2 字符）"/>
    <w:basedOn w:val="1"/>
    <w:qFormat/>
    <w:uiPriority w:val="99"/>
    <w:pPr>
      <w:ind w:firstLine="200" w:firstLineChars="200"/>
    </w:pPr>
  </w:style>
  <w:style w:type="paragraph" w:customStyle="1" w:styleId="49">
    <w:name w:val="标题 2（投标文件）"/>
    <w:basedOn w:val="3"/>
    <w:qFormat/>
    <w:uiPriority w:val="99"/>
    <w:pPr>
      <w:jc w:val="center"/>
    </w:pPr>
  </w:style>
  <w:style w:type="paragraph" w:customStyle="1" w:styleId="50">
    <w:name w:val="标题 3（投标文件）"/>
    <w:basedOn w:val="4"/>
    <w:qFormat/>
    <w:uiPriority w:val="99"/>
    <w:pPr>
      <w:jc w:val="left"/>
    </w:pPr>
    <w:rPr>
      <w:u w:val="none"/>
    </w:rPr>
  </w:style>
  <w:style w:type="paragraph" w:customStyle="1" w:styleId="51">
    <w:name w:val="列表段落1"/>
    <w:basedOn w:val="1"/>
    <w:qFormat/>
    <w:uiPriority w:val="0"/>
    <w:pPr>
      <w:ind w:firstLine="420" w:firstLineChars="200"/>
    </w:pPr>
    <w:rPr>
      <w:rFonts w:ascii="Calibri" w:hAnsi="Calibri"/>
      <w:szCs w:val="22"/>
    </w:rPr>
  </w:style>
  <w:style w:type="paragraph" w:customStyle="1" w:styleId="52">
    <w:name w:val="修订1"/>
    <w:semiHidden/>
    <w:qFormat/>
    <w:uiPriority w:val="99"/>
    <w:rPr>
      <w:rFonts w:ascii="Calibri Light" w:hAnsi="Calibri Light" w:eastAsia="华文仿宋" w:cs="Calibri Light"/>
      <w:kern w:val="2"/>
      <w:sz w:val="28"/>
      <w:szCs w:val="28"/>
      <w:lang w:val="en-US" w:eastAsia="zh-CN" w:bidi="ar-SA"/>
    </w:rPr>
  </w:style>
  <w:style w:type="character" w:customStyle="1" w:styleId="53">
    <w:name w:val="font61"/>
    <w:basedOn w:val="27"/>
    <w:qFormat/>
    <w:uiPriority w:val="0"/>
    <w:rPr>
      <w:rFonts w:hint="eastAsia" w:ascii="宋体" w:hAnsi="宋体" w:eastAsia="宋体" w:cs="宋体"/>
      <w:color w:val="000000"/>
      <w:sz w:val="21"/>
      <w:szCs w:val="21"/>
      <w:u w:val="none"/>
    </w:rPr>
  </w:style>
  <w:style w:type="paragraph" w:customStyle="1" w:styleId="54">
    <w:name w:val="正文文本 31"/>
    <w:basedOn w:val="1"/>
    <w:qFormat/>
    <w:uiPriority w:val="0"/>
    <w:rPr>
      <w:sz w:val="16"/>
      <w:szCs w:val="16"/>
    </w:rPr>
  </w:style>
  <w:style w:type="paragraph" w:customStyle="1" w:styleId="55">
    <w:name w:val="列出段落1"/>
    <w:basedOn w:val="1"/>
    <w:qFormat/>
    <w:uiPriority w:val="0"/>
    <w:pPr>
      <w:ind w:firstLine="420" w:firstLineChars="200"/>
    </w:pPr>
    <w:rPr>
      <w:rFonts w:ascii="Calibri" w:hAnsi="Calibri"/>
      <w:szCs w:val="22"/>
    </w:rPr>
  </w:style>
  <w:style w:type="paragraph" w:customStyle="1" w:styleId="56">
    <w:name w:val="样式3"/>
    <w:basedOn w:val="12"/>
    <w:qFormat/>
    <w:uiPriority w:val="0"/>
    <w:pPr>
      <w:spacing w:line="640" w:lineRule="exact"/>
      <w:jc w:val="center"/>
      <w:outlineLvl w:val="0"/>
    </w:pPr>
    <w:rPr>
      <w:rFonts w:hAnsi="宋体" w:eastAsia="宋体"/>
      <w:b/>
      <w:sz w:val="36"/>
    </w:rPr>
  </w:style>
  <w:style w:type="paragraph" w:customStyle="1" w:styleId="57">
    <w:name w:val="BodyText1I"/>
    <w:basedOn w:val="58"/>
    <w:next w:val="59"/>
    <w:qFormat/>
    <w:uiPriority w:val="0"/>
    <w:pPr>
      <w:spacing w:line="240" w:lineRule="auto"/>
      <w:ind w:firstLine="420" w:firstLineChars="100"/>
    </w:pPr>
    <w:rPr>
      <w:rFonts w:ascii="Times New Roman" w:hAnsi="Times New Roman"/>
      <w:sz w:val="18"/>
      <w:szCs w:val="18"/>
    </w:rPr>
  </w:style>
  <w:style w:type="paragraph" w:customStyle="1" w:styleId="58">
    <w:name w:val="BodyText"/>
    <w:basedOn w:val="1"/>
    <w:next w:val="1"/>
    <w:qFormat/>
    <w:uiPriority w:val="0"/>
    <w:pPr>
      <w:spacing w:after="156" w:line="360" w:lineRule="auto"/>
      <w:textAlignment w:val="baseline"/>
    </w:pPr>
    <w:rPr>
      <w:rFonts w:ascii="宋体" w:hAnsi="宋体"/>
      <w:color w:val="000000"/>
      <w:sz w:val="24"/>
    </w:rPr>
  </w:style>
  <w:style w:type="paragraph" w:customStyle="1" w:styleId="59">
    <w:name w:val="BodyText1I2"/>
    <w:basedOn w:val="60"/>
    <w:next w:val="1"/>
    <w:qFormat/>
    <w:uiPriority w:val="0"/>
    <w:pPr>
      <w:tabs>
        <w:tab w:val="left" w:pos="0"/>
      </w:tabs>
      <w:spacing w:line="240" w:lineRule="auto"/>
      <w:ind w:firstLine="420" w:firstLineChars="200"/>
    </w:pPr>
    <w:rPr>
      <w:rFonts w:eastAsia="楷体_GB2312"/>
      <w:b/>
      <w:szCs w:val="24"/>
    </w:rPr>
  </w:style>
  <w:style w:type="paragraph" w:customStyle="1" w:styleId="60">
    <w:name w:val="BodyTextIndent"/>
    <w:basedOn w:val="1"/>
    <w:qFormat/>
    <w:uiPriority w:val="0"/>
    <w:pPr>
      <w:spacing w:after="120"/>
      <w:ind w:left="420" w:leftChars="200"/>
      <w:textAlignment w:val="baseline"/>
    </w:pPr>
  </w:style>
  <w:style w:type="paragraph" w:customStyle="1" w:styleId="61">
    <w:name w:val="Other|1"/>
    <w:basedOn w:val="1"/>
    <w:qFormat/>
    <w:uiPriority w:val="0"/>
    <w:pPr>
      <w:widowControl w:val="0"/>
      <w:spacing w:line="384" w:lineRule="auto"/>
      <w:ind w:firstLine="400"/>
    </w:pPr>
    <w:rPr>
      <w:rFonts w:ascii="宋体" w:hAnsi="宋体" w:eastAsia="宋体" w:cs="宋体"/>
      <w:lang w:val="zh-TW" w:eastAsia="zh-TW" w:bidi="zh-TW"/>
    </w:rPr>
  </w:style>
  <w:style w:type="paragraph" w:customStyle="1" w:styleId="62">
    <w:name w:val="修订2"/>
    <w:semiHidden/>
    <w:qFormat/>
    <w:uiPriority w:val="99"/>
    <w:rPr>
      <w:rFonts w:ascii="Calibri Light" w:hAnsi="Calibri Light" w:eastAsia="华文仿宋" w:cs="Calibri Light"/>
      <w:kern w:val="2"/>
      <w:sz w:val="28"/>
      <w:szCs w:val="28"/>
      <w:lang w:val="en-US" w:eastAsia="zh-CN" w:bidi="ar-SA"/>
    </w:rPr>
  </w:style>
  <w:style w:type="character" w:customStyle="1" w:styleId="63">
    <w:name w:val="hover24"/>
    <w:basedOn w:val="27"/>
    <w:qFormat/>
    <w:uiPriority w:val="0"/>
  </w:style>
  <w:style w:type="character" w:customStyle="1" w:styleId="64">
    <w:name w:val="hover25"/>
    <w:basedOn w:val="27"/>
    <w:qFormat/>
    <w:uiPriority w:val="0"/>
    <w:rPr>
      <w:color w:val="315EFB"/>
    </w:rPr>
  </w:style>
  <w:style w:type="character" w:customStyle="1" w:styleId="65">
    <w:name w:val="hover26"/>
    <w:basedOn w:val="27"/>
    <w:qFormat/>
    <w:uiPriority w:val="0"/>
    <w:rPr>
      <w:color w:val="315EFB"/>
    </w:rPr>
  </w:style>
  <w:style w:type="character" w:customStyle="1" w:styleId="66">
    <w:name w:val="c-icon28"/>
    <w:basedOn w:val="27"/>
    <w:qFormat/>
    <w:uiPriority w:val="0"/>
  </w:style>
  <w:style w:type="character" w:customStyle="1" w:styleId="67">
    <w:name w:val="c-icon"/>
    <w:basedOn w:val="27"/>
    <w:qFormat/>
    <w:uiPriority w:val="0"/>
  </w:style>
  <w:style w:type="character" w:customStyle="1" w:styleId="68">
    <w:name w:val="hover23"/>
    <w:basedOn w:val="27"/>
    <w:qFormat/>
    <w:uiPriority w:val="0"/>
    <w:rPr>
      <w:color w:val="315EFB"/>
    </w:rPr>
  </w:style>
  <w:style w:type="character" w:customStyle="1" w:styleId="69">
    <w:name w:val="NormalCharacter"/>
    <w:qFormat/>
    <w:uiPriority w:val="0"/>
    <w:rPr>
      <w:rFonts w:ascii="Calibri Light" w:hAnsi="Calibri Light" w:eastAsia="华文仿宋" w:cs="Calibri Light"/>
      <w:kern w:val="2"/>
      <w:sz w:val="28"/>
      <w:szCs w:val="28"/>
      <w:lang w:val="en-US" w:eastAsia="zh-CN" w:bidi="ar-SA"/>
    </w:rPr>
  </w:style>
  <w:style w:type="paragraph" w:customStyle="1" w:styleId="70">
    <w:name w:val="修订3"/>
    <w:unhideWhenUsed/>
    <w:qFormat/>
    <w:uiPriority w:val="99"/>
    <w:rPr>
      <w:rFonts w:ascii="Calibri Light" w:hAnsi="Calibri Light" w:eastAsia="华文仿宋" w:cs="Calibri Light"/>
      <w:kern w:val="2"/>
      <w:sz w:val="28"/>
      <w:szCs w:val="28"/>
      <w:lang w:val="en-US" w:eastAsia="zh-CN" w:bidi="ar-SA"/>
    </w:rPr>
  </w:style>
  <w:style w:type="paragraph" w:styleId="71">
    <w:name w:val="List Paragraph"/>
    <w:basedOn w:val="1"/>
    <w:unhideWhenUsed/>
    <w:qFormat/>
    <w:uiPriority w:val="99"/>
    <w:pPr>
      <w:ind w:firstLine="420" w:firstLineChars="200"/>
    </w:pPr>
  </w:style>
  <w:style w:type="paragraph" w:customStyle="1" w:styleId="72">
    <w:name w:val="Revision"/>
    <w:unhideWhenUsed/>
    <w:qFormat/>
    <w:uiPriority w:val="99"/>
    <w:rPr>
      <w:rFonts w:ascii="Calibri Light" w:hAnsi="Calibri Light" w:eastAsia="华文仿宋" w:cs="Calibri Light"/>
      <w:kern w:val="2"/>
      <w:sz w:val="28"/>
      <w:szCs w:val="28"/>
      <w:lang w:val="en-US" w:eastAsia="zh-CN" w:bidi="ar-SA"/>
    </w:rPr>
  </w:style>
  <w:style w:type="character" w:customStyle="1" w:styleId="73">
    <w:name w:val="font51"/>
    <w:basedOn w:val="27"/>
    <w:qFormat/>
    <w:uiPriority w:val="0"/>
    <w:rPr>
      <w:rFonts w:hint="eastAsia" w:ascii="仿宋" w:hAnsi="仿宋" w:eastAsia="仿宋" w:cs="仿宋"/>
      <w:b/>
      <w:bCs/>
      <w:color w:val="000000"/>
      <w:sz w:val="30"/>
      <w:szCs w:val="30"/>
      <w:u w:val="none"/>
    </w:rPr>
  </w:style>
  <w:style w:type="character" w:customStyle="1" w:styleId="74">
    <w:name w:val="font21"/>
    <w:basedOn w:val="27"/>
    <w:qFormat/>
    <w:uiPriority w:val="0"/>
    <w:rPr>
      <w:rFonts w:hint="eastAsia" w:ascii="仿宋" w:hAnsi="仿宋" w:eastAsia="仿宋" w:cs="仿宋"/>
      <w:b/>
      <w:bCs/>
      <w:color w:val="000000"/>
      <w:sz w:val="30"/>
      <w:szCs w:val="30"/>
      <w:u w:val="single"/>
    </w:rPr>
  </w:style>
  <w:style w:type="paragraph" w:customStyle="1" w:styleId="75">
    <w:name w:val="Table Text"/>
    <w:basedOn w:val="1"/>
    <w:semiHidden/>
    <w:qFormat/>
    <w:uiPriority w:val="0"/>
    <w:rPr>
      <w:rFonts w:ascii="仿宋" w:hAnsi="仿宋" w:eastAsia="仿宋" w:cs="仿宋"/>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19283</Words>
  <Characters>20280</Characters>
  <Lines>303</Lines>
  <Paragraphs>85</Paragraphs>
  <TotalTime>174</TotalTime>
  <ScaleCrop>false</ScaleCrop>
  <LinksUpToDate>false</LinksUpToDate>
  <CharactersWithSpaces>20350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2024-07-08T00:59:00Z</dcterms:created>
  <dc:creator>一颗糖豆</dc:creator>
  <cp:lastModifiedBy>信仰 ぺ solar</cp:lastModifiedBy>
  <cp:lastPrinted>2023-04-26T09:19:00Z</cp:lastPrinted>
  <dcterms:modified xsi:type="dcterms:W3CDTF">2025-09-22T01:38:35Z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9CF0B04ACA16438FBFD67675953292A7_13</vt:lpwstr>
  </property>
  <property fmtid="{D5CDD505-2E9C-101B-9397-08002B2CF9AE}" pid="4" name="KSOTemplateDocerSaveRecord">
    <vt:lpwstr>eyJoZGlkIjoiMjZkMzRkN2IwMDgzZGEzY2E0NWJmOTMyZjZkMjhjNTAiLCJ1c2VySWQiOiIyMjk0OTcxMTYifQ==</vt:lpwstr>
  </property>
</Properties>
</file>