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sz w:val="32"/>
          <w:szCs w:val="32"/>
          <w:lang w:val="en-US" w:eastAsia="zh-CN"/>
        </w:rPr>
      </w:pPr>
      <w:bookmarkStart w:id="0" w:name="_Toc30000"/>
      <w:bookmarkStart w:id="1" w:name="_Toc302"/>
      <w:r>
        <w:rPr>
          <w:rFonts w:hint="eastAsia" w:ascii="宋体" w:hAnsi="宋体" w:eastAsia="宋体" w:cs="宋体"/>
          <w:b/>
          <w:bCs/>
          <w:sz w:val="32"/>
          <w:szCs w:val="32"/>
        </w:rPr>
        <w:t>采购项目编号：</w:t>
      </w:r>
      <w:bookmarkEnd w:id="0"/>
      <w:bookmarkEnd w:id="1"/>
      <w:r>
        <w:rPr>
          <w:rFonts w:hint="eastAsia" w:ascii="宋体" w:hAnsi="宋体" w:eastAsia="宋体" w:cs="宋体"/>
          <w:b/>
          <w:bCs/>
          <w:sz w:val="32"/>
          <w:szCs w:val="32"/>
          <w:lang w:eastAsia="zh-CN"/>
        </w:rPr>
        <w:t>ZYHCG20250928</w:t>
      </w:r>
    </w:p>
    <w:p w14:paraId="6247B7AC">
      <w:pPr>
        <w:rPr>
          <w:rFonts w:hint="eastAsia" w:ascii="宋体" w:hAnsi="宋体" w:eastAsia="宋体" w:cs="宋体"/>
          <w:b/>
          <w:bCs/>
          <w:sz w:val="32"/>
          <w:szCs w:val="32"/>
        </w:rPr>
      </w:pPr>
    </w:p>
    <w:p w14:paraId="5BD6C6C4">
      <w:pPr>
        <w:rPr>
          <w:rFonts w:hint="eastAsia" w:ascii="宋体" w:hAnsi="宋体" w:eastAsia="宋体" w:cs="宋体"/>
          <w:b/>
          <w:bCs/>
          <w:sz w:val="32"/>
          <w:szCs w:val="32"/>
        </w:rPr>
      </w:pPr>
    </w:p>
    <w:p w14:paraId="124D3193">
      <w:pPr>
        <w:rPr>
          <w:rFonts w:hint="eastAsia" w:ascii="宋体" w:hAnsi="宋体" w:eastAsia="宋体" w:cs="宋体"/>
        </w:rPr>
      </w:pPr>
    </w:p>
    <w:p w14:paraId="097B7486">
      <w:pPr>
        <w:rPr>
          <w:rFonts w:hint="eastAsia" w:ascii="宋体" w:hAnsi="宋体" w:eastAsia="宋体" w:cs="宋体"/>
          <w:b/>
          <w:bCs/>
          <w:sz w:val="32"/>
          <w:szCs w:val="32"/>
        </w:rPr>
      </w:pPr>
    </w:p>
    <w:p w14:paraId="7E5AD77A">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吴堡县农业农村局千村光伏项目水土保持工程</w:t>
      </w:r>
    </w:p>
    <w:p w14:paraId="2940AB6B">
      <w:pPr>
        <w:rPr>
          <w:rFonts w:hint="eastAsia" w:ascii="宋体" w:hAnsi="宋体" w:eastAsia="宋体" w:cs="宋体"/>
          <w:b/>
          <w:bCs/>
          <w:sz w:val="32"/>
          <w:szCs w:val="32"/>
        </w:rPr>
      </w:pPr>
    </w:p>
    <w:p w14:paraId="376A4DD6">
      <w:pPr>
        <w:rPr>
          <w:rFonts w:hint="eastAsia" w:ascii="宋体" w:hAnsi="宋体" w:eastAsia="宋体" w:cs="宋体"/>
          <w:b/>
          <w:bCs/>
          <w:sz w:val="32"/>
          <w:szCs w:val="32"/>
        </w:rPr>
      </w:pPr>
      <w:bookmarkStart w:id="612" w:name="_GoBack"/>
      <w:bookmarkEnd w:id="612"/>
    </w:p>
    <w:p w14:paraId="06661E86">
      <w:pPr>
        <w:rPr>
          <w:rFonts w:hint="eastAsia" w:ascii="宋体" w:hAnsi="宋体" w:eastAsia="宋体" w:cs="宋体"/>
          <w:b/>
          <w:bCs/>
          <w:sz w:val="32"/>
          <w:szCs w:val="32"/>
        </w:rPr>
      </w:pPr>
    </w:p>
    <w:p w14:paraId="29C42CA0">
      <w:pPr>
        <w:rPr>
          <w:rFonts w:hint="eastAsia" w:ascii="宋体" w:hAnsi="宋体" w:eastAsia="宋体" w:cs="宋体"/>
          <w:b/>
          <w:bCs/>
          <w:sz w:val="32"/>
          <w:szCs w:val="32"/>
        </w:rPr>
      </w:pPr>
    </w:p>
    <w:p w14:paraId="118EBCA7">
      <w:pPr>
        <w:rPr>
          <w:rFonts w:hint="eastAsia" w:ascii="宋体" w:hAnsi="宋体" w:eastAsia="宋体" w:cs="宋体"/>
          <w:b/>
          <w:bCs/>
          <w:sz w:val="32"/>
          <w:szCs w:val="32"/>
        </w:rPr>
      </w:pPr>
    </w:p>
    <w:p w14:paraId="7F0D6DF2">
      <w:pPr>
        <w:rPr>
          <w:rFonts w:hint="eastAsia" w:ascii="宋体" w:hAnsi="宋体" w:eastAsia="宋体" w:cs="宋体"/>
          <w:b/>
          <w:bCs/>
          <w:sz w:val="32"/>
          <w:szCs w:val="32"/>
        </w:rPr>
      </w:pPr>
    </w:p>
    <w:p w14:paraId="44E3556A">
      <w:pPr>
        <w:jc w:val="center"/>
        <w:rPr>
          <w:rFonts w:hint="eastAsia" w:ascii="宋体" w:hAnsi="宋体" w:eastAsia="宋体" w:cs="宋体"/>
          <w:b/>
          <w:bCs/>
          <w:sz w:val="84"/>
          <w:szCs w:val="84"/>
        </w:rPr>
      </w:pPr>
      <w:bookmarkStart w:id="2" w:name="_Toc25751"/>
      <w:bookmarkStart w:id="3" w:name="_Toc18066"/>
      <w:r>
        <w:rPr>
          <w:rFonts w:hint="eastAsia" w:ascii="宋体" w:hAnsi="宋体" w:eastAsia="宋体" w:cs="宋体"/>
          <w:b/>
          <w:bCs/>
          <w:sz w:val="84"/>
          <w:szCs w:val="84"/>
        </w:rPr>
        <w:t>竞争性磋商文件</w:t>
      </w:r>
      <w:bookmarkEnd w:id="2"/>
      <w:bookmarkEnd w:id="3"/>
    </w:p>
    <w:p w14:paraId="6F4F5516">
      <w:pPr>
        <w:rPr>
          <w:rFonts w:hint="eastAsia" w:ascii="宋体" w:hAnsi="宋体" w:eastAsia="宋体" w:cs="宋体"/>
          <w:b/>
          <w:bCs/>
          <w:sz w:val="32"/>
          <w:szCs w:val="32"/>
        </w:rPr>
      </w:pPr>
    </w:p>
    <w:p w14:paraId="13FE5E69">
      <w:pPr>
        <w:rPr>
          <w:rFonts w:hint="eastAsia" w:ascii="宋体" w:hAnsi="宋体" w:eastAsia="宋体" w:cs="宋体"/>
          <w:b/>
          <w:bCs/>
          <w:sz w:val="32"/>
          <w:szCs w:val="32"/>
        </w:rPr>
      </w:pPr>
    </w:p>
    <w:p w14:paraId="6359FF49">
      <w:pPr>
        <w:rPr>
          <w:rFonts w:hint="eastAsia" w:ascii="宋体" w:hAnsi="宋体" w:eastAsia="宋体" w:cs="宋体"/>
          <w:b/>
          <w:bCs/>
          <w:sz w:val="32"/>
          <w:szCs w:val="32"/>
        </w:rPr>
      </w:pPr>
    </w:p>
    <w:p w14:paraId="06E357B8">
      <w:pPr>
        <w:rPr>
          <w:rFonts w:hint="eastAsia" w:ascii="宋体" w:hAnsi="宋体" w:eastAsia="宋体" w:cs="宋体"/>
          <w:b/>
          <w:bCs/>
          <w:sz w:val="32"/>
          <w:szCs w:val="32"/>
        </w:rPr>
      </w:pPr>
    </w:p>
    <w:p w14:paraId="5621C57D">
      <w:pPr>
        <w:rPr>
          <w:rFonts w:hint="eastAsia" w:ascii="宋体" w:hAnsi="宋体" w:eastAsia="宋体" w:cs="宋体"/>
          <w:b/>
          <w:bCs/>
          <w:sz w:val="32"/>
          <w:szCs w:val="32"/>
        </w:rPr>
      </w:pPr>
    </w:p>
    <w:p w14:paraId="55FA4D59">
      <w:pPr>
        <w:rPr>
          <w:rFonts w:hint="eastAsia" w:ascii="宋体" w:hAnsi="宋体" w:eastAsia="宋体" w:cs="宋体"/>
          <w:b/>
          <w:bCs/>
          <w:sz w:val="32"/>
          <w:szCs w:val="32"/>
        </w:rPr>
      </w:pPr>
    </w:p>
    <w:p w14:paraId="5A04AF76">
      <w:pPr>
        <w:rPr>
          <w:rFonts w:hint="eastAsia" w:ascii="宋体" w:hAnsi="宋体" w:eastAsia="宋体" w:cs="宋体"/>
          <w:b/>
          <w:bCs/>
          <w:sz w:val="32"/>
          <w:szCs w:val="32"/>
        </w:rPr>
      </w:pPr>
    </w:p>
    <w:p w14:paraId="419EB1E5">
      <w:pPr>
        <w:rPr>
          <w:rFonts w:hint="eastAsia" w:ascii="宋体" w:hAnsi="宋体" w:eastAsia="宋体" w:cs="宋体"/>
          <w:b/>
          <w:bCs/>
          <w:sz w:val="32"/>
          <w:szCs w:val="32"/>
        </w:rPr>
      </w:pPr>
    </w:p>
    <w:p w14:paraId="31009EB5">
      <w:pPr>
        <w:rPr>
          <w:rFonts w:hint="eastAsia" w:ascii="宋体" w:hAnsi="宋体" w:eastAsia="宋体" w:cs="宋体"/>
          <w:b/>
          <w:bCs/>
          <w:sz w:val="32"/>
          <w:szCs w:val="32"/>
        </w:rPr>
      </w:pPr>
    </w:p>
    <w:p w14:paraId="69B05811">
      <w:pPr>
        <w:rPr>
          <w:rFonts w:hint="eastAsia" w:ascii="宋体" w:hAnsi="宋体" w:eastAsia="宋体" w:cs="宋体"/>
          <w:b/>
          <w:bCs/>
          <w:sz w:val="36"/>
          <w:szCs w:val="36"/>
          <w:lang w:eastAsia="zh-CN"/>
        </w:rPr>
      </w:pPr>
      <w:r>
        <w:rPr>
          <w:rFonts w:hint="eastAsia" w:ascii="宋体" w:hAnsi="宋体" w:eastAsia="宋体" w:cs="宋体"/>
          <w:b/>
          <w:bCs/>
          <w:sz w:val="36"/>
          <w:szCs w:val="36"/>
        </w:rPr>
        <w:t>采</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购</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人 ：</w:t>
      </w:r>
      <w:r>
        <w:rPr>
          <w:rFonts w:hint="eastAsia" w:ascii="宋体" w:hAnsi="宋体" w:eastAsia="宋体" w:cs="宋体"/>
          <w:b/>
          <w:bCs/>
          <w:sz w:val="36"/>
          <w:szCs w:val="36"/>
          <w:lang w:eastAsia="zh-CN"/>
        </w:rPr>
        <w:t>吴堡县农业农村局</w:t>
      </w:r>
    </w:p>
    <w:p w14:paraId="0CA1553A">
      <w:pPr>
        <w:rPr>
          <w:rFonts w:hint="eastAsia" w:ascii="宋体" w:hAnsi="宋体" w:eastAsia="宋体" w:cs="宋体"/>
          <w:b/>
          <w:bCs/>
          <w:sz w:val="36"/>
          <w:szCs w:val="36"/>
        </w:rPr>
      </w:pPr>
    </w:p>
    <w:p w14:paraId="4DF4AF7A">
      <w:pPr>
        <w:rPr>
          <w:rFonts w:hint="eastAsia" w:ascii="宋体" w:hAnsi="宋体" w:eastAsia="宋体" w:cs="宋体"/>
          <w:b/>
          <w:bCs/>
          <w:sz w:val="36"/>
          <w:szCs w:val="36"/>
        </w:rPr>
      </w:pPr>
    </w:p>
    <w:p w14:paraId="17096684">
      <w:pPr>
        <w:rPr>
          <w:rFonts w:hint="eastAsia" w:ascii="宋体" w:hAnsi="宋体" w:eastAsia="宋体" w:cs="宋体"/>
          <w:b/>
          <w:bCs/>
          <w:sz w:val="36"/>
          <w:szCs w:val="36"/>
          <w:lang w:eastAsia="zh-CN"/>
        </w:rPr>
      </w:pPr>
      <w:r>
        <w:rPr>
          <w:rFonts w:hint="eastAsia" w:ascii="宋体" w:hAnsi="宋体" w:eastAsia="宋体" w:cs="宋体"/>
          <w:b/>
          <w:bCs/>
          <w:sz w:val="36"/>
          <w:szCs w:val="36"/>
        </w:rPr>
        <w:t>采购代理机构：</w:t>
      </w:r>
      <w:r>
        <w:rPr>
          <w:rFonts w:hint="eastAsia" w:ascii="宋体" w:hAnsi="宋体" w:eastAsia="宋体" w:cs="宋体"/>
          <w:b/>
          <w:bCs/>
          <w:sz w:val="36"/>
          <w:szCs w:val="36"/>
          <w:lang w:eastAsia="zh-CN"/>
        </w:rPr>
        <w:t>榆林市正源恒项目管理有限公司</w:t>
      </w:r>
    </w:p>
    <w:p w14:paraId="3D709764">
      <w:pPr>
        <w:rPr>
          <w:rFonts w:hint="eastAsia" w:ascii="宋体" w:hAnsi="宋体" w:eastAsia="宋体" w:cs="宋体"/>
          <w:b/>
          <w:bCs/>
          <w:sz w:val="36"/>
          <w:szCs w:val="36"/>
          <w:lang w:val="en-US" w:eastAsia="zh-CN"/>
        </w:rPr>
      </w:pPr>
    </w:p>
    <w:p w14:paraId="1D93F98B">
      <w:pPr>
        <w:pStyle w:val="8"/>
        <w:rPr>
          <w:rFonts w:hint="eastAsia" w:ascii="宋体" w:hAnsi="宋体" w:eastAsia="宋体" w:cs="宋体"/>
          <w:lang w:val="en-US" w:eastAsia="zh-CN"/>
        </w:rPr>
      </w:pPr>
    </w:p>
    <w:p w14:paraId="1C060D59">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2025年10月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竞争性磋商公告</w:t>
          </w:r>
          <w:r>
            <w:rPr>
              <w:sz w:val="28"/>
              <w:szCs w:val="28"/>
            </w:rPr>
            <w:tab/>
          </w:r>
          <w:r>
            <w:rPr>
              <w:sz w:val="28"/>
              <w:szCs w:val="28"/>
            </w:rPr>
            <w:fldChar w:fldCharType="begin"/>
          </w:r>
          <w:r>
            <w:rPr>
              <w:sz w:val="28"/>
              <w:szCs w:val="28"/>
            </w:rPr>
            <w:instrText xml:space="preserve"> PAGEREF _Toc29744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_Toc19297 </w:instrText>
          </w:r>
          <w:r>
            <w:rPr>
              <w:rFonts w:hint="eastAsia" w:ascii="宋体" w:hAnsi="宋体" w:eastAsia="宋体" w:cs="宋体"/>
              <w:sz w:val="28"/>
              <w:szCs w:val="28"/>
            </w:rPr>
            <w:fldChar w:fldCharType="separate"/>
          </w:r>
          <w:r>
            <w:rPr>
              <w:rFonts w:hint="eastAsia" w:ascii="宋体" w:hAnsi="宋体" w:eastAsia="宋体" w:cs="宋体"/>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spacing w:val="10"/>
              <w:sz w:val="28"/>
              <w:szCs w:val="28"/>
            </w:rPr>
            <w:t xml:space="preserve"> </w:t>
          </w:r>
          <w:r>
            <w:rPr>
              <w:rFonts w:hint="eastAsia" w:ascii="宋体" w:hAnsi="宋体" w:eastAsia="宋体" w:cs="宋体"/>
              <w:spacing w:val="10"/>
              <w:sz w:val="28"/>
              <w:szCs w:val="28"/>
              <w14:textOutline w14:w="6537" w14:cap="sq" w14:cmpd="sng">
                <w14:solidFill>
                  <w14:srgbClr w14:val="000000"/>
                </w14:solidFill>
                <w14:prstDash w14:val="solid"/>
                <w14:bevel/>
              </w14:textOutline>
            </w:rPr>
            <w:t>供应商须知前附表及供应商须知</w:t>
          </w:r>
          <w:r>
            <w:rPr>
              <w:sz w:val="28"/>
              <w:szCs w:val="28"/>
            </w:rPr>
            <w:tab/>
          </w:r>
          <w:r>
            <w:rPr>
              <w:sz w:val="28"/>
              <w:szCs w:val="28"/>
            </w:rPr>
            <w:fldChar w:fldCharType="begin"/>
          </w:r>
          <w:r>
            <w:rPr>
              <w:sz w:val="28"/>
              <w:szCs w:val="28"/>
            </w:rPr>
            <w:instrText xml:space="preserve"> PAGEREF _Toc19297 \h </w:instrText>
          </w:r>
          <w:r>
            <w:rPr>
              <w:sz w:val="28"/>
              <w:szCs w:val="28"/>
            </w:rPr>
            <w:fldChar w:fldCharType="separate"/>
          </w:r>
          <w:r>
            <w:rPr>
              <w:sz w:val="28"/>
              <w:szCs w:val="28"/>
            </w:rPr>
            <w:t>6</w:t>
          </w:r>
          <w:r>
            <w:rPr>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_Toc561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14:textOutline w14:w="6537" w14:cap="sq" w14:cmpd="sng">
                <w14:solidFill>
                  <w14:srgbClr w14:val="000000"/>
                </w14:solidFill>
                <w14:prstDash w14:val="solid"/>
                <w14:bevel/>
              </w14:textOutline>
            </w:rPr>
            <w:t>评标方法</w:t>
          </w:r>
          <w:r>
            <w:rPr>
              <w:sz w:val="28"/>
              <w:szCs w:val="28"/>
            </w:rPr>
            <w:tab/>
          </w:r>
          <w:r>
            <w:rPr>
              <w:sz w:val="28"/>
              <w:szCs w:val="28"/>
            </w:rPr>
            <w:fldChar w:fldCharType="begin"/>
          </w:r>
          <w:r>
            <w:rPr>
              <w:sz w:val="28"/>
              <w:szCs w:val="28"/>
            </w:rPr>
            <w:instrText xml:space="preserve"> PAGEREF _Toc561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_Toc7755 </w:instrText>
          </w:r>
          <w:r>
            <w:rPr>
              <w:rFonts w:hint="eastAsia" w:ascii="宋体" w:hAnsi="宋体" w:eastAsia="宋体" w:cs="宋体"/>
              <w:sz w:val="28"/>
              <w:szCs w:val="28"/>
            </w:rPr>
            <w:fldChar w:fldCharType="separate"/>
          </w:r>
          <w:r>
            <w:rPr>
              <w:rFonts w:hint="eastAsia" w:ascii="宋体" w:hAnsi="宋体" w:eastAsia="宋体" w:cs="宋体"/>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spacing w:val="19"/>
              <w:sz w:val="28"/>
              <w:szCs w:val="28"/>
            </w:rPr>
            <w:t xml:space="preserve">  </w:t>
          </w:r>
          <w:r>
            <w:rPr>
              <w:rFonts w:hint="eastAsia" w:ascii="宋体" w:hAnsi="宋体" w:eastAsia="宋体" w:cs="宋体"/>
              <w:spacing w:val="5"/>
              <w:sz w:val="28"/>
              <w:szCs w:val="28"/>
              <w14:textOutline w14:w="6537" w14:cap="sq" w14:cmpd="sng">
                <w14:solidFill>
                  <w14:srgbClr w14:val="000000"/>
                </w14:solidFill>
                <w14:prstDash w14:val="solid"/>
                <w14:bevel/>
              </w14:textOutline>
            </w:rPr>
            <w:t>商务要求</w:t>
          </w:r>
          <w:r>
            <w:rPr>
              <w:sz w:val="28"/>
              <w:szCs w:val="28"/>
            </w:rPr>
            <w:tab/>
          </w:r>
          <w:r>
            <w:rPr>
              <w:sz w:val="28"/>
              <w:szCs w:val="28"/>
            </w:rPr>
            <w:fldChar w:fldCharType="begin"/>
          </w:r>
          <w:r>
            <w:rPr>
              <w:sz w:val="28"/>
              <w:szCs w:val="28"/>
            </w:rPr>
            <w:instrText xml:space="preserve"> PAGEREF _Toc7755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_Toc26444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政府采购合同（参考格式）</w:t>
          </w:r>
          <w:r>
            <w:rPr>
              <w:sz w:val="28"/>
              <w:szCs w:val="28"/>
            </w:rPr>
            <w:tab/>
          </w:r>
          <w:r>
            <w:rPr>
              <w:sz w:val="28"/>
              <w:szCs w:val="28"/>
            </w:rPr>
            <w:fldChar w:fldCharType="begin"/>
          </w:r>
          <w:r>
            <w:rPr>
              <w:sz w:val="28"/>
              <w:szCs w:val="28"/>
            </w:rPr>
            <w:instrText xml:space="preserve"> PAGEREF _Toc26444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_Toc22412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lang w:eastAsia="zh-CN"/>
              <w14:textOutline w14:w="6537" w14:cap="sq" w14:cmpd="sng">
                <w14:solidFill>
                  <w14:srgbClr w14:val="000000"/>
                </w14:solidFill>
                <w14:prstDash w14:val="solid"/>
                <w14:bevel/>
              </w14:textOutline>
            </w:rPr>
            <w:t>采购内容</w:t>
          </w:r>
          <w:r>
            <w:rPr>
              <w:sz w:val="28"/>
              <w:szCs w:val="28"/>
            </w:rPr>
            <w:tab/>
          </w:r>
          <w:r>
            <w:rPr>
              <w:sz w:val="28"/>
              <w:szCs w:val="28"/>
            </w:rPr>
            <w:fldChar w:fldCharType="begin"/>
          </w:r>
          <w:r>
            <w:rPr>
              <w:sz w:val="28"/>
              <w:szCs w:val="28"/>
            </w:rPr>
            <w:instrText xml:space="preserve"> PAGEREF _Toc22412 \h </w:instrText>
          </w:r>
          <w:r>
            <w:rPr>
              <w:sz w:val="28"/>
              <w:szCs w:val="28"/>
            </w:rPr>
            <w:fldChar w:fldCharType="separate"/>
          </w:r>
          <w:r>
            <w:rPr>
              <w:sz w:val="28"/>
              <w:szCs w:val="28"/>
            </w:rPr>
            <w:t>62</w:t>
          </w:r>
          <w:r>
            <w:rPr>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_Toc31603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竞争性磋商响应文件格式</w:t>
          </w:r>
          <w:r>
            <w:rPr>
              <w:sz w:val="28"/>
              <w:szCs w:val="28"/>
            </w:rPr>
            <w:tab/>
          </w:r>
          <w:r>
            <w:rPr>
              <w:sz w:val="28"/>
              <w:szCs w:val="28"/>
            </w:rPr>
            <w:fldChar w:fldCharType="begin"/>
          </w:r>
          <w:r>
            <w:rPr>
              <w:sz w:val="28"/>
              <w:szCs w:val="28"/>
            </w:rPr>
            <w:instrText xml:space="preserve"> PAGEREF _Toc31603 \h </w:instrText>
          </w:r>
          <w:r>
            <w:rPr>
              <w:sz w:val="28"/>
              <w:szCs w:val="28"/>
            </w:rPr>
            <w:fldChar w:fldCharType="separate"/>
          </w:r>
          <w:r>
            <w:rPr>
              <w:sz w:val="28"/>
              <w:szCs w:val="28"/>
            </w:rPr>
            <w:t>71</w:t>
          </w:r>
          <w:r>
            <w:rPr>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6666"/>
      <w:bookmarkStart w:id="6" w:name="_Toc29744"/>
      <w:bookmarkStart w:id="7" w:name="_Toc17839"/>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26D1FAE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rFonts w:hint="eastAsia" w:ascii="宋体" w:hAnsi="宋体" w:eastAsia="宋体" w:cs="宋体"/>
          <w:b w:val="0"/>
          <w:bCs w:val="0"/>
          <w:color w:val="auto"/>
          <w:sz w:val="24"/>
          <w:szCs w:val="24"/>
        </w:rPr>
      </w:pPr>
      <w:bookmarkStart w:id="9" w:name="_Toc11898"/>
      <w:bookmarkStart w:id="10" w:name="_Toc30563"/>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项目概况</w:t>
      </w:r>
    </w:p>
    <w:p w14:paraId="46EAF1F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千村光伏项目水土保持工程采购项目的潜在供应商应在全国公共资源交易中心平台（陕西省）使用CA锁报名后自行下载获取采购文件，并于 2025年10月20日 09时30分 （北京时间）前提交响应文件。</w:t>
      </w:r>
    </w:p>
    <w:p w14:paraId="7BF9E9A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一、项目基本情况</w:t>
      </w:r>
    </w:p>
    <w:p w14:paraId="3F1378C2">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项目编号：ZYHCG20250928</w:t>
      </w:r>
    </w:p>
    <w:p w14:paraId="01DB9863">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项目名称：千村光伏项目水土保持工程</w:t>
      </w:r>
    </w:p>
    <w:p w14:paraId="36E8A82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采购方式：竞争性磋商</w:t>
      </w:r>
    </w:p>
    <w:p w14:paraId="51A610DD">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预算金额：1,170,554.11元</w:t>
      </w:r>
    </w:p>
    <w:p w14:paraId="300C3387">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采购需求：</w:t>
      </w:r>
    </w:p>
    <w:p w14:paraId="30AC56E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合同包1(千村光伏项目水土保持工程):</w:t>
      </w:r>
    </w:p>
    <w:p w14:paraId="57C30F4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合同包预算金额：1,170,554.11元</w:t>
      </w:r>
    </w:p>
    <w:p w14:paraId="65B3FBC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合同包最高限价：1,170,554.11元</w:t>
      </w:r>
    </w:p>
    <w:tbl>
      <w:tblPr>
        <w:tblW w:w="100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53"/>
        <w:gridCol w:w="1868"/>
        <w:gridCol w:w="3565"/>
        <w:gridCol w:w="869"/>
        <w:gridCol w:w="1421"/>
        <w:gridCol w:w="1680"/>
      </w:tblGrid>
      <w:tr w14:paraId="05488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27" w:hRule="atLeast"/>
          <w:tblHeader/>
        </w:trPr>
        <w:tc>
          <w:tcPr>
            <w:tcW w:w="735"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8C3596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品目号</w:t>
            </w:r>
          </w:p>
        </w:tc>
        <w:tc>
          <w:tcPr>
            <w:tcW w:w="253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3AC76D54">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品目名称</w:t>
            </w:r>
          </w:p>
        </w:tc>
        <w:tc>
          <w:tcPr>
            <w:tcW w:w="2825"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7DADD2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采购标的</w:t>
            </w:r>
          </w:p>
        </w:tc>
        <w:tc>
          <w:tcPr>
            <w:tcW w:w="940"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E5AD26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数量（单位）</w:t>
            </w:r>
          </w:p>
        </w:tc>
        <w:tc>
          <w:tcPr>
            <w:tcW w:w="1756"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11D88D3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技术规格、参数及要求</w:t>
            </w:r>
          </w:p>
        </w:tc>
        <w:tc>
          <w:tcPr>
            <w:tcW w:w="1269"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8B5610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品目预算(元)</w:t>
            </w:r>
          </w:p>
        </w:tc>
      </w:tr>
      <w:tr w14:paraId="71120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4" w:hRule="atLeast"/>
        </w:trPr>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907F40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16DB5C9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土地绿化工程施工</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081551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吴堡县农业农村局千村光伏项目水土保持工程</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A45D22E">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A05C05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5C1A1A1">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vertAlign w:val="baseline"/>
                <w:lang w:val="en-US" w:eastAsia="zh-CN" w:bidi="ar"/>
              </w:rPr>
              <w:t>1,170,554.11</w:t>
            </w:r>
          </w:p>
        </w:tc>
      </w:tr>
    </w:tbl>
    <w:p w14:paraId="24B3A57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本合同包不接受联合体投标</w:t>
      </w:r>
    </w:p>
    <w:p w14:paraId="18F41F2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合同履行期限：90天</w:t>
      </w:r>
    </w:p>
    <w:p w14:paraId="3884829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二、申请人的资格要求：</w:t>
      </w:r>
    </w:p>
    <w:p w14:paraId="54D9E9F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1.满足《中华人民共和国政府采购法》第二十二条规定;</w:t>
      </w:r>
    </w:p>
    <w:p w14:paraId="1FD50A8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2.落实政府采购政策需满足的资格要求：</w:t>
      </w:r>
    </w:p>
    <w:p w14:paraId="1A5BFED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合同包1(千村光伏项目水土保持工程)落实政府采购政策需满足的资格要求如下:</w:t>
      </w:r>
    </w:p>
    <w:p w14:paraId="780D33D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4.根据《政府采购促进中小企业发展管理办法》（财库〔2020〕46号）的规定。</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11.《陕西省财政厅中国人民银行西安分行关于深人推进政府采购信用融资业务的通知》（陕财办采〔2023]5号）。</w:t>
      </w:r>
    </w:p>
    <w:p w14:paraId="26D7FAA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3.本项目的特定资格要求：</w:t>
      </w:r>
    </w:p>
    <w:p w14:paraId="3EE6B01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合同包1(千村光伏项目水土保持工程)特定资格要求如下:</w:t>
      </w:r>
    </w:p>
    <w:p w14:paraId="03B18D4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58CE9A4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三、获取采购文件</w:t>
      </w:r>
    </w:p>
    <w:p w14:paraId="227EAD6F">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时间： 2025年10月10日 至 2025年10月15日 ，每天上午 08:00:00 至 12:00:00 ，下午 12:00:00 至 18:00:00 （北京时间）</w:t>
      </w:r>
    </w:p>
    <w:p w14:paraId="753C04CE">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途径：全国公共资源交易中心平台（陕西省）使用CA锁报名后自行下载</w:t>
      </w:r>
    </w:p>
    <w:p w14:paraId="0EEA1A46">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方式：在线获取</w:t>
      </w:r>
    </w:p>
    <w:p w14:paraId="08FE540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售价： 0元</w:t>
      </w:r>
    </w:p>
    <w:p w14:paraId="7E4F0F5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四、响应文件提交</w:t>
      </w:r>
    </w:p>
    <w:p w14:paraId="26B033DE">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截止时间： 2025年10月20日 09时30分00秒 （北京时间）</w:t>
      </w:r>
    </w:p>
    <w:p w14:paraId="0FAEDC72">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地点：全国公共资源交易平台（陕西省·榆林市）网站进行提交</w:t>
      </w:r>
    </w:p>
    <w:p w14:paraId="70542C7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五、开启</w:t>
      </w:r>
    </w:p>
    <w:p w14:paraId="5204C2F7">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时间： 2025年10月20日 09时30分00秒 （北京时间）</w:t>
      </w:r>
    </w:p>
    <w:p w14:paraId="3504FEB0">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地点：全国公共资源交易平台（陕西省·榆林市）网站不见面开标系统</w:t>
      </w:r>
    </w:p>
    <w:p w14:paraId="73471C0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六、公告期限</w:t>
      </w:r>
    </w:p>
    <w:p w14:paraId="5DEAEA21">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自本公告发布之日起3个工作日。</w:t>
      </w:r>
    </w:p>
    <w:p w14:paraId="3CA129B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七、其他补充事宜</w:t>
      </w:r>
    </w:p>
    <w:p w14:paraId="4095896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3E74B4D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4923A56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19AC236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4、特别提醒：本项目采用电子化不见面开标方式，供应商使用数字认证证书(CA锁)对投标响应文件进行签章、加密、上传、签到、解密，具体操作步骤见采购文件须知。</w:t>
      </w:r>
    </w:p>
    <w:p w14:paraId="326FACF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八、对本次招标提出询问，请按以下方式联系。</w:t>
      </w:r>
    </w:p>
    <w:p w14:paraId="1745B29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1.采购人信息</w:t>
      </w:r>
    </w:p>
    <w:p w14:paraId="1F05E12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名称：吴堡县农业农村局</w:t>
      </w:r>
    </w:p>
    <w:p w14:paraId="3F87933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地址：吴堡县新建街155号</w:t>
      </w:r>
    </w:p>
    <w:p w14:paraId="287D8BD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联系方式：13409180998</w:t>
      </w:r>
    </w:p>
    <w:p w14:paraId="2641967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2.采购代理机构信息</w:t>
      </w:r>
    </w:p>
    <w:p w14:paraId="073D3D6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名称：榆林市正源恒项目管理有限公司</w:t>
      </w:r>
    </w:p>
    <w:p w14:paraId="6447FC6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地址：陕西省榆林市富康路塞上景苑2号楼2单元102室</w:t>
      </w:r>
    </w:p>
    <w:p w14:paraId="50C3531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联系方式：15591220311</w:t>
      </w:r>
    </w:p>
    <w:p w14:paraId="01946CC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3.项目联系方式</w:t>
      </w:r>
    </w:p>
    <w:p w14:paraId="1DCBB6A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项目联系人：刘利娥</w:t>
      </w:r>
    </w:p>
    <w:p w14:paraId="27F359E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电话：15591220311</w:t>
      </w:r>
    </w:p>
    <w:p w14:paraId="0222CCB4">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榆林市正源恒项目管理有限公司</w:t>
      </w:r>
    </w:p>
    <w:p w14:paraId="4BB177B4">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2025年10月09日</w:t>
      </w:r>
    </w:p>
    <w:p w14:paraId="11C46077">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738475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5643D4E">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7A68FC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67DDE1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8"/>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吴堡县农业农村局</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吴堡县新建街155号</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宋秦其</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话：13409180998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ascii="宋体" w:hAnsi="宋体" w:eastAsia="宋体"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吴堡县农业农村局千村光伏项目水土保持工程</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ind w:left="111" w:firstLine="476" w:firstLineChars="200"/>
              <w:rPr>
                <w:rFonts w:hint="eastAsia" w:ascii="宋体" w:hAnsi="宋体" w:eastAsia="宋体" w:cs="宋体"/>
                <w:color w:val="auto"/>
                <w:lang w:val="en-US" w:eastAsia="zh-CN"/>
              </w:rPr>
            </w:pPr>
            <w:r>
              <w:rPr>
                <w:rFonts w:hint="eastAsia" w:cs="宋体"/>
                <w:color w:val="auto"/>
                <w:spacing w:val="-1"/>
                <w:lang w:eastAsia="zh-CN"/>
              </w:rPr>
              <w:t>吴堡县农业农村局千村光伏项目水土保持工程，</w:t>
            </w:r>
            <w:r>
              <w:rPr>
                <w:rFonts w:hint="eastAsia" w:cs="宋体"/>
                <w:color w:val="auto"/>
                <w:spacing w:val="-1"/>
                <w:lang w:val="en-US" w:eastAsia="zh-CN"/>
              </w:rPr>
              <w:t>共设1个标段。建设内容包括：光伏防治区：水平沟1500米，编织袋土坎砌筑360m³,排水沟160米；建设100m³钢筋混凝土蓄水池一座，绿化工程等。</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¥1170554.11元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w:t>
            </w:r>
            <w:r>
              <w:rPr>
                <w:rFonts w:hint="eastAsia" w:cs="宋体"/>
                <w:b w:val="0"/>
                <w:bCs w:val="0"/>
                <w:color w:val="auto"/>
                <w:szCs w:val="21"/>
                <w:highlight w:val="none"/>
                <w:lang w:val="en-US" w:eastAsia="zh-CN"/>
              </w:rPr>
              <w:t>10</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20</w:t>
            </w:r>
            <w:r>
              <w:rPr>
                <w:rFonts w:hint="eastAsia" w:ascii="宋体" w:hAnsi="宋体" w:eastAsia="宋体" w:cs="宋体"/>
                <w:b w:val="0"/>
                <w:bCs w:val="0"/>
                <w:color w:val="auto"/>
                <w:szCs w:val="21"/>
                <w:highlight w:val="none"/>
                <w:lang w:val="en-US" w:eastAsia="zh-CN"/>
              </w:rPr>
              <w:t xml:space="preserve">  </w:t>
            </w:r>
            <w:r>
              <w:rPr>
                <w:rFonts w:hint="eastAsia" w:cs="宋体"/>
                <w:b w:val="0"/>
                <w:bCs w:val="0"/>
                <w:color w:val="auto"/>
                <w:szCs w:val="21"/>
                <w:highlight w:val="none"/>
                <w:lang w:val="en-US" w:eastAsia="zh-CN"/>
              </w:rPr>
              <w:t>09</w:t>
            </w:r>
            <w:r>
              <w:rPr>
                <w:rFonts w:hint="eastAsia" w:ascii="宋体" w:hAnsi="宋体" w:eastAsia="宋体" w:cs="宋体"/>
                <w:b w:val="0"/>
                <w:bCs w:val="0"/>
                <w:color w:val="auto"/>
                <w:szCs w:val="21"/>
                <w:highlight w:val="none"/>
                <w:lang w:val="en-US" w:eastAsia="zh-CN"/>
              </w:rPr>
              <w:t>:30:00。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2E49BE6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7A66C1D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20</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09:30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20</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09:30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spacing w:val="-2"/>
              </w:rPr>
              <w:t>采用</w:t>
            </w:r>
            <w:r>
              <w:rPr>
                <w:rFonts w:hint="eastAsia" w:ascii="宋体" w:hAnsi="宋体" w:eastAsia="宋体" w:cs="宋体"/>
              </w:rPr>
              <w:t xml:space="preserve"> </w:t>
            </w:r>
            <w:r>
              <w:rPr>
                <w:rFonts w:hint="eastAsia" w:ascii="宋体" w:hAnsi="宋体" w:eastAsia="宋体" w:cs="宋体"/>
                <w:spacing w:val="-5"/>
              </w:rPr>
              <w:t>“</w:t>
            </w:r>
            <w:r>
              <w:rPr>
                <w:rFonts w:hint="eastAsia" w:ascii="宋体" w:hAnsi="宋体" w:eastAsia="宋体" w:cs="宋体"/>
                <w:sz w:val="24"/>
                <w:szCs w:val="24"/>
                <w:lang w:eastAsia="zh-CN"/>
              </w:rPr>
              <w:t>投标信用(保证金）承诺书</w:t>
            </w:r>
            <w:r>
              <w:rPr>
                <w:rFonts w:hint="eastAsia" w:ascii="宋体" w:hAnsi="宋体" w:eastAsia="宋体" w:cs="宋体"/>
                <w:spacing w:val="-70"/>
              </w:rPr>
              <w:t xml:space="preserve"> </w:t>
            </w:r>
            <w:r>
              <w:rPr>
                <w:rFonts w:hint="eastAsia" w:ascii="宋体" w:hAnsi="宋体" w:eastAsia="宋体" w:cs="宋体"/>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90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ascii="宋体" w:hAnsi="宋体" w:eastAsia="宋体" w:cs="宋体"/>
                <w:color w:val="auto"/>
                <w:spacing w:val="-6"/>
                <w:lang w:eastAsia="zh-CN"/>
              </w:rPr>
              <w:t>合同签订开工后支付合同价的40%作为预付款，之后按工程进度付款，工程完工后支付至合同价款的80%，待工程竣工验收评审后，剩余工程款一次性付清（以最终评审审计价为准）。</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eastAsia="zh-CN"/>
              </w:rPr>
              <w:t>吴堡县</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26"/>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27"/>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28"/>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再结合吴堡县政府关于服务费的管理办法，最终乘以0.8</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ascii="宋体" w:hAnsi="宋体" w:eastAsia="宋体" w:cs="宋体"/>
                <w:spacing w:val="-1"/>
              </w:rPr>
              <w:t>成交供应商应在领取通知书的同时，向</w:t>
            </w:r>
            <w:r>
              <w:rPr>
                <w:rFonts w:hint="eastAsia" w:ascii="宋体" w:hAnsi="宋体" w:eastAsia="宋体" w:cs="宋体"/>
                <w:spacing w:val="-1"/>
                <w:lang w:val="en-US" w:eastAsia="zh-CN"/>
              </w:rPr>
              <w:t>代理机构</w:t>
            </w:r>
            <w:r>
              <w:rPr>
                <w:rFonts w:hint="eastAsia" w:ascii="宋体" w:hAnsi="宋体" w:eastAsia="宋体" w:cs="宋体"/>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1.承诺事项名称：选择《榆林市政府采购工程类/服务类/服务类项目供应商信用承诺书》；承诺事由：填写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auto"/>
                <w:sz w:val="24"/>
                <w:szCs w:val="24"/>
                <w:lang w:val="en-US" w:eastAsia="zh-CN"/>
              </w:rPr>
              <w:t>684 159 576</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8"/>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8"/>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除投标人对错处作必要修改外，</w:t>
      </w:r>
      <w:r>
        <w:rPr>
          <w:rFonts w:hint="eastAsia" w:ascii="宋体" w:hAnsi="宋体" w:eastAsia="宋体" w:cs="宋体"/>
          <w:sz w:val="24"/>
          <w:szCs w:val="24"/>
          <w:lang w:eastAsia="zh-CN"/>
        </w:rPr>
        <w:t>投标响应文件</w:t>
      </w:r>
      <w:r>
        <w:rPr>
          <w:rFonts w:hint="eastAsia" w:ascii="宋体" w:hAnsi="宋体" w:eastAsia="宋体" w:cs="宋体"/>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23.2 磋商时，各供应商在开标截止时间前至少提前一小时内登录“不见面 ”开标系统登录，供应商应按要求及时签到（</w:t>
      </w:r>
      <w:r>
        <w:rPr>
          <w:rFonts w:hint="eastAsia" w:ascii="宋体" w:hAnsi="宋体" w:eastAsia="宋体" w:cs="宋体"/>
          <w:b/>
          <w:bCs/>
          <w:sz w:val="24"/>
          <w:szCs w:val="24"/>
        </w:rPr>
        <w:t>签到时间为投标截止时间前 1 小时内，如果未签到将视为放弃投标资格</w:t>
      </w:r>
      <w:r>
        <w:rPr>
          <w:rFonts w:hint="eastAsia" w:ascii="宋体" w:hAnsi="宋体" w:eastAsia="宋体" w:cs="宋体"/>
          <w:sz w:val="24"/>
          <w:szCs w:val="24"/>
        </w:rPr>
        <w:t>），评审过程中，磋商小组可能会就某些问题要求供应商进行在线澄清，请供应商保持在线直到评审</w:t>
      </w:r>
      <w:r>
        <w:rPr>
          <w:rFonts w:hint="eastAsia" w:ascii="宋体" w:hAnsi="宋体" w:eastAsia="宋体" w:cs="宋体"/>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最终导入标书进入评审</w:t>
      </w:r>
      <w:r>
        <w:rPr>
          <w:rFonts w:hint="eastAsia" w:ascii="宋体" w:hAnsi="宋体" w:eastAsia="宋体" w:cs="宋体"/>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18109124089</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2" w:name="bookmark10"/>
      <w:bookmarkEnd w:id="12"/>
      <w:bookmarkStart w:id="13" w:name="bookmark3"/>
      <w:bookmarkEnd w:id="13"/>
      <w:bookmarkStart w:id="14" w:name="_Toc15998"/>
      <w:bookmarkStart w:id="15" w:name="_Toc561"/>
      <w:bookmarkStart w:id="16" w:name="_Toc21395"/>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2371648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526F9B40">
      <w:pPr>
        <w:pStyle w:val="8"/>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sz w:val="24"/>
                <w:szCs w:val="24"/>
              </w:rPr>
            </w:pPr>
            <w:r>
              <w:rPr>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sz w:val="24"/>
                <w:szCs w:val="24"/>
              </w:rPr>
            </w:pPr>
            <w:r>
              <w:rPr>
                <w:spacing w:val="-8"/>
                <w:sz w:val="24"/>
                <w:szCs w:val="24"/>
              </w:rPr>
              <w:t>序号</w:t>
            </w:r>
          </w:p>
        </w:tc>
        <w:tc>
          <w:tcPr>
            <w:tcW w:w="2240" w:type="dxa"/>
            <w:vAlign w:val="top"/>
          </w:tcPr>
          <w:p w14:paraId="7F377590">
            <w:pPr>
              <w:pStyle w:val="24"/>
              <w:spacing w:before="38" w:line="222" w:lineRule="auto"/>
              <w:ind w:left="772"/>
              <w:rPr>
                <w:sz w:val="24"/>
                <w:szCs w:val="24"/>
              </w:rPr>
            </w:pPr>
            <w:r>
              <w:rPr>
                <w:spacing w:val="-6"/>
                <w:sz w:val="24"/>
                <w:szCs w:val="24"/>
              </w:rPr>
              <w:t>评分项</w:t>
            </w:r>
          </w:p>
        </w:tc>
        <w:tc>
          <w:tcPr>
            <w:tcW w:w="6768" w:type="dxa"/>
            <w:vAlign w:val="top"/>
          </w:tcPr>
          <w:p w14:paraId="5B2478E1">
            <w:pPr>
              <w:pStyle w:val="24"/>
              <w:spacing w:before="38" w:line="222" w:lineRule="auto"/>
              <w:ind w:left="2916"/>
              <w:rPr>
                <w:sz w:val="24"/>
                <w:szCs w:val="24"/>
              </w:rPr>
            </w:pPr>
            <w:r>
              <w:rPr>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sz w:val="21"/>
              </w:rPr>
            </w:pPr>
          </w:p>
          <w:p w14:paraId="76BAFCCA">
            <w:pPr>
              <w:spacing w:line="243" w:lineRule="auto"/>
              <w:rPr>
                <w:rFonts w:ascii="Arial"/>
                <w:sz w:val="21"/>
              </w:rPr>
            </w:pPr>
          </w:p>
          <w:p w14:paraId="4A8C9751">
            <w:pPr>
              <w:spacing w:line="243" w:lineRule="auto"/>
              <w:rPr>
                <w:rFonts w:ascii="Arial"/>
                <w:sz w:val="21"/>
              </w:rPr>
            </w:pPr>
          </w:p>
          <w:p w14:paraId="40C40759">
            <w:pPr>
              <w:spacing w:line="243" w:lineRule="auto"/>
              <w:rPr>
                <w:rFonts w:ascii="Arial"/>
                <w:sz w:val="21"/>
              </w:rPr>
            </w:pPr>
          </w:p>
          <w:p w14:paraId="2CF23039">
            <w:pPr>
              <w:spacing w:line="243" w:lineRule="auto"/>
              <w:rPr>
                <w:rFonts w:ascii="Arial"/>
                <w:sz w:val="21"/>
              </w:rPr>
            </w:pPr>
          </w:p>
          <w:p w14:paraId="51FF5A61">
            <w:pPr>
              <w:spacing w:line="243" w:lineRule="auto"/>
              <w:rPr>
                <w:rFonts w:ascii="Arial"/>
                <w:sz w:val="21"/>
              </w:rPr>
            </w:pPr>
          </w:p>
          <w:p w14:paraId="255D7402">
            <w:pPr>
              <w:pStyle w:val="24"/>
              <w:spacing w:before="65" w:line="272" w:lineRule="exact"/>
              <w:ind w:left="345"/>
              <w:rPr>
                <w:sz w:val="20"/>
                <w:szCs w:val="20"/>
              </w:rPr>
            </w:pPr>
            <w:r>
              <w:rPr>
                <w:position w:val="1"/>
                <w:sz w:val="20"/>
                <w:szCs w:val="20"/>
              </w:rPr>
              <w:t>1</w:t>
            </w:r>
          </w:p>
        </w:tc>
        <w:tc>
          <w:tcPr>
            <w:tcW w:w="2240" w:type="dxa"/>
            <w:vAlign w:val="top"/>
          </w:tcPr>
          <w:p w14:paraId="16026876">
            <w:pPr>
              <w:spacing w:line="251" w:lineRule="auto"/>
              <w:rPr>
                <w:rFonts w:ascii="Arial"/>
                <w:sz w:val="21"/>
              </w:rPr>
            </w:pPr>
          </w:p>
          <w:p w14:paraId="3E79B9C7">
            <w:pPr>
              <w:spacing w:line="251" w:lineRule="auto"/>
              <w:rPr>
                <w:rFonts w:ascii="Arial"/>
                <w:sz w:val="21"/>
              </w:rPr>
            </w:pPr>
          </w:p>
          <w:p w14:paraId="4571E339">
            <w:pPr>
              <w:spacing w:line="252" w:lineRule="auto"/>
              <w:rPr>
                <w:rFonts w:ascii="Arial"/>
                <w:sz w:val="21"/>
              </w:rPr>
            </w:pPr>
          </w:p>
          <w:p w14:paraId="037F45E2">
            <w:pPr>
              <w:spacing w:line="252" w:lineRule="auto"/>
              <w:rPr>
                <w:rFonts w:ascii="Arial"/>
                <w:sz w:val="21"/>
              </w:rPr>
            </w:pPr>
          </w:p>
          <w:p w14:paraId="6D777A27">
            <w:pPr>
              <w:spacing w:line="252" w:lineRule="auto"/>
              <w:rPr>
                <w:rFonts w:ascii="Arial"/>
                <w:sz w:val="21"/>
              </w:rPr>
            </w:pPr>
          </w:p>
          <w:p w14:paraId="7DCF4D54">
            <w:pPr>
              <w:pStyle w:val="24"/>
              <w:spacing w:before="78" w:line="222" w:lineRule="auto"/>
              <w:ind w:left="650"/>
              <w:rPr>
                <w:sz w:val="24"/>
                <w:szCs w:val="24"/>
              </w:rPr>
            </w:pPr>
            <w:r>
              <w:rPr>
                <w:spacing w:val="-4"/>
                <w:sz w:val="24"/>
                <w:szCs w:val="24"/>
              </w:rPr>
              <w:t>投标报价</w:t>
            </w:r>
          </w:p>
          <w:p w14:paraId="623E70C9">
            <w:pPr>
              <w:pStyle w:val="24"/>
              <w:spacing w:before="149" w:line="224" w:lineRule="auto"/>
              <w:ind w:left="627"/>
              <w:rPr>
                <w:sz w:val="24"/>
                <w:szCs w:val="24"/>
              </w:rPr>
            </w:pPr>
            <w:r>
              <w:rPr>
                <w:spacing w:val="-8"/>
                <w:sz w:val="24"/>
                <w:szCs w:val="24"/>
              </w:rPr>
              <w:t>（30</w:t>
            </w:r>
            <w:r>
              <w:rPr>
                <w:spacing w:val="-42"/>
                <w:sz w:val="24"/>
                <w:szCs w:val="24"/>
              </w:rPr>
              <w:t xml:space="preserve"> </w:t>
            </w:r>
            <w:r>
              <w:rPr>
                <w:spacing w:val="-8"/>
                <w:sz w:val="24"/>
                <w:szCs w:val="24"/>
              </w:rPr>
              <w:t>分）</w:t>
            </w:r>
          </w:p>
        </w:tc>
        <w:tc>
          <w:tcPr>
            <w:tcW w:w="6768" w:type="dxa"/>
            <w:vAlign w:val="top"/>
          </w:tcPr>
          <w:p w14:paraId="1E75E8AC">
            <w:pPr>
              <w:pStyle w:val="24"/>
              <w:spacing w:before="113" w:line="350" w:lineRule="auto"/>
              <w:ind w:left="123" w:right="111"/>
              <w:jc w:val="both"/>
              <w:rPr>
                <w:sz w:val="24"/>
                <w:szCs w:val="24"/>
              </w:rPr>
            </w:pPr>
            <w:r>
              <w:rPr>
                <w:spacing w:val="1"/>
                <w:sz w:val="24"/>
                <w:szCs w:val="24"/>
              </w:rPr>
              <w:t>按照财政部《关于加强政府采购货物和服务项目价格评审管理</w:t>
            </w:r>
            <w:r>
              <w:rPr>
                <w:spacing w:val="15"/>
                <w:sz w:val="24"/>
                <w:szCs w:val="24"/>
              </w:rPr>
              <w:t xml:space="preserve"> </w:t>
            </w:r>
            <w:r>
              <w:rPr>
                <w:spacing w:val="-5"/>
                <w:sz w:val="24"/>
                <w:szCs w:val="24"/>
              </w:rPr>
              <w:t>的通知》（财库[2007]2</w:t>
            </w:r>
            <w:r>
              <w:rPr>
                <w:spacing w:val="-39"/>
                <w:sz w:val="24"/>
                <w:szCs w:val="24"/>
              </w:rPr>
              <w:t xml:space="preserve"> </w:t>
            </w:r>
            <w:r>
              <w:rPr>
                <w:spacing w:val="-5"/>
                <w:sz w:val="24"/>
                <w:szCs w:val="24"/>
              </w:rPr>
              <w:t>号）的有关规定：价格分采用低价优先</w:t>
            </w:r>
            <w:r>
              <w:rPr>
                <w:sz w:val="24"/>
                <w:szCs w:val="24"/>
              </w:rPr>
              <w:t xml:space="preserve"> </w:t>
            </w:r>
            <w:r>
              <w:rPr>
                <w:spacing w:val="1"/>
                <w:sz w:val="24"/>
                <w:szCs w:val="24"/>
              </w:rPr>
              <w:t>法计算，即满足招标文件要求且投标报价最低的投标报价为评</w:t>
            </w:r>
            <w:r>
              <w:rPr>
                <w:spacing w:val="16"/>
                <w:sz w:val="24"/>
                <w:szCs w:val="24"/>
              </w:rPr>
              <w:t xml:space="preserve"> </w:t>
            </w:r>
            <w:r>
              <w:rPr>
                <w:spacing w:val="1"/>
                <w:sz w:val="24"/>
                <w:szCs w:val="24"/>
              </w:rPr>
              <w:t>标基准价，其价格分为满分。其他投标单位的价格分统一按照</w:t>
            </w:r>
            <w:r>
              <w:rPr>
                <w:spacing w:val="16"/>
                <w:sz w:val="24"/>
                <w:szCs w:val="24"/>
              </w:rPr>
              <w:t xml:space="preserve"> </w:t>
            </w:r>
            <w:r>
              <w:rPr>
                <w:sz w:val="24"/>
                <w:szCs w:val="24"/>
              </w:rPr>
              <w:t>下列公式计算：投标报价=（评标基准价/投标报价）</w:t>
            </w:r>
            <w:r>
              <w:rPr>
                <w:spacing w:val="-70"/>
                <w:sz w:val="24"/>
                <w:szCs w:val="24"/>
              </w:rPr>
              <w:t xml:space="preserve"> </w:t>
            </w:r>
            <w:r>
              <w:rPr>
                <w:spacing w:val="-1"/>
                <w:sz w:val="24"/>
                <w:szCs w:val="24"/>
              </w:rPr>
              <w:t>×价格权</w:t>
            </w:r>
            <w:r>
              <w:rPr>
                <w:sz w:val="24"/>
                <w:szCs w:val="24"/>
              </w:rPr>
              <w:t xml:space="preserve"> </w:t>
            </w:r>
            <w:r>
              <w:rPr>
                <w:spacing w:val="-18"/>
                <w:sz w:val="24"/>
                <w:szCs w:val="24"/>
              </w:rPr>
              <w:t>值</w:t>
            </w:r>
            <w:r>
              <w:rPr>
                <w:spacing w:val="-73"/>
                <w:sz w:val="24"/>
                <w:szCs w:val="24"/>
              </w:rPr>
              <w:t xml:space="preserve"> </w:t>
            </w:r>
            <w:r>
              <w:rPr>
                <w:spacing w:val="-18"/>
                <w:sz w:val="24"/>
                <w:szCs w:val="24"/>
              </w:rPr>
              <w:t>×</w:t>
            </w:r>
            <w:r>
              <w:rPr>
                <w:spacing w:val="-94"/>
                <w:sz w:val="24"/>
                <w:szCs w:val="24"/>
              </w:rPr>
              <w:t xml:space="preserve"> </w:t>
            </w:r>
            <w:r>
              <w:rPr>
                <w:spacing w:val="-18"/>
                <w:sz w:val="24"/>
                <w:szCs w:val="24"/>
              </w:rPr>
              <w:t>100</w:t>
            </w:r>
          </w:p>
          <w:p w14:paraId="63BBE95E">
            <w:pPr>
              <w:pStyle w:val="24"/>
              <w:spacing w:before="1" w:line="220" w:lineRule="auto"/>
              <w:ind w:left="125"/>
              <w:rPr>
                <w:sz w:val="24"/>
                <w:szCs w:val="24"/>
              </w:rPr>
            </w:pPr>
            <w:r>
              <w:rPr>
                <w:spacing w:val="-1"/>
                <w:sz w:val="24"/>
                <w:szCs w:val="24"/>
              </w:rPr>
              <w:t>本项目专门面向</w:t>
            </w:r>
            <w:r>
              <w:rPr>
                <w:rFonts w:hint="eastAsia"/>
                <w:spacing w:val="-1"/>
                <w:sz w:val="24"/>
                <w:szCs w:val="24"/>
                <w:lang w:val="en-US" w:eastAsia="zh-CN"/>
              </w:rPr>
              <w:t>中小</w:t>
            </w:r>
            <w:r>
              <w:rPr>
                <w:spacing w:val="-1"/>
                <w:sz w:val="24"/>
                <w:szCs w:val="24"/>
              </w:rPr>
              <w:t>企业采购，故不再执行价格评审优惠</w:t>
            </w:r>
            <w:r>
              <w:rPr>
                <w:color w:val="0000FF"/>
                <w:spacing w:val="-1"/>
                <w:sz w:val="24"/>
                <w:szCs w:val="24"/>
              </w:rPr>
              <w:t>；</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sz w:val="21"/>
              </w:rPr>
            </w:pPr>
          </w:p>
          <w:p w14:paraId="23BBEA66">
            <w:pPr>
              <w:spacing w:line="245" w:lineRule="auto"/>
              <w:rPr>
                <w:rFonts w:ascii="Arial"/>
                <w:sz w:val="21"/>
              </w:rPr>
            </w:pPr>
          </w:p>
          <w:p w14:paraId="7C530FEE">
            <w:pPr>
              <w:spacing w:line="245" w:lineRule="auto"/>
              <w:rPr>
                <w:rFonts w:ascii="Arial"/>
                <w:sz w:val="21"/>
              </w:rPr>
            </w:pPr>
          </w:p>
          <w:p w14:paraId="0C77C40E">
            <w:pPr>
              <w:spacing w:line="246" w:lineRule="auto"/>
              <w:rPr>
                <w:rFonts w:ascii="Arial"/>
                <w:sz w:val="21"/>
              </w:rPr>
            </w:pPr>
          </w:p>
          <w:p w14:paraId="6873878D">
            <w:pPr>
              <w:spacing w:line="246" w:lineRule="auto"/>
              <w:rPr>
                <w:rFonts w:ascii="Arial"/>
                <w:sz w:val="21"/>
              </w:rPr>
            </w:pPr>
          </w:p>
          <w:p w14:paraId="2B75EC6A">
            <w:pPr>
              <w:pStyle w:val="24"/>
              <w:spacing w:before="65" w:line="272" w:lineRule="exact"/>
              <w:ind w:left="390"/>
              <w:rPr>
                <w:sz w:val="20"/>
                <w:szCs w:val="20"/>
              </w:rPr>
            </w:pPr>
            <w:r>
              <w:rPr>
                <w:position w:val="1"/>
                <w:sz w:val="20"/>
                <w:szCs w:val="20"/>
              </w:rPr>
              <w:t>2</w:t>
            </w:r>
          </w:p>
        </w:tc>
        <w:tc>
          <w:tcPr>
            <w:tcW w:w="2240" w:type="dxa"/>
            <w:vAlign w:val="top"/>
          </w:tcPr>
          <w:p w14:paraId="703D41F3">
            <w:pPr>
              <w:spacing w:line="256" w:lineRule="auto"/>
              <w:rPr>
                <w:rFonts w:ascii="Arial"/>
                <w:sz w:val="21"/>
              </w:rPr>
            </w:pPr>
          </w:p>
          <w:p w14:paraId="6F9F068C">
            <w:pPr>
              <w:spacing w:line="257" w:lineRule="auto"/>
              <w:rPr>
                <w:rFonts w:ascii="Arial"/>
                <w:sz w:val="21"/>
              </w:rPr>
            </w:pPr>
          </w:p>
          <w:p w14:paraId="7B5DF52A">
            <w:pPr>
              <w:spacing w:line="257" w:lineRule="auto"/>
              <w:rPr>
                <w:rFonts w:ascii="Arial"/>
                <w:sz w:val="21"/>
              </w:rPr>
            </w:pPr>
          </w:p>
          <w:p w14:paraId="5EBA9566">
            <w:pPr>
              <w:spacing w:line="257" w:lineRule="auto"/>
              <w:rPr>
                <w:rFonts w:ascii="Arial"/>
                <w:sz w:val="21"/>
              </w:rPr>
            </w:pPr>
          </w:p>
          <w:p w14:paraId="782E87D2">
            <w:pPr>
              <w:pStyle w:val="24"/>
              <w:spacing w:before="78" w:line="339" w:lineRule="auto"/>
              <w:ind w:left="262" w:right="159" w:hanging="85"/>
              <w:rPr>
                <w:sz w:val="24"/>
                <w:szCs w:val="24"/>
              </w:rPr>
            </w:pPr>
            <w:r>
              <w:rPr>
                <w:spacing w:val="-3"/>
                <w:sz w:val="24"/>
                <w:szCs w:val="24"/>
              </w:rPr>
              <w:t>主要施工方案与技</w:t>
            </w:r>
            <w:r>
              <w:rPr>
                <w:sz w:val="24"/>
                <w:szCs w:val="24"/>
              </w:rPr>
              <w:t xml:space="preserve"> </w:t>
            </w:r>
            <w:r>
              <w:rPr>
                <w:spacing w:val="-5"/>
                <w:sz w:val="24"/>
                <w:szCs w:val="24"/>
              </w:rPr>
              <w:t>术措施（15</w:t>
            </w:r>
            <w:r>
              <w:rPr>
                <w:spacing w:val="-38"/>
                <w:sz w:val="24"/>
                <w:szCs w:val="24"/>
              </w:rPr>
              <w:t xml:space="preserve"> </w:t>
            </w:r>
            <w:r>
              <w:rPr>
                <w:spacing w:val="-5"/>
                <w:sz w:val="24"/>
                <w:szCs w:val="24"/>
              </w:rPr>
              <w:t>分）</w:t>
            </w:r>
          </w:p>
        </w:tc>
        <w:tc>
          <w:tcPr>
            <w:tcW w:w="6768" w:type="dxa"/>
            <w:vAlign w:val="top"/>
          </w:tcPr>
          <w:p w14:paraId="129CF3BA">
            <w:pPr>
              <w:pStyle w:val="24"/>
              <w:spacing w:before="118" w:line="344" w:lineRule="auto"/>
              <w:ind w:left="126" w:right="91" w:hanging="1"/>
              <w:rPr>
                <w:sz w:val="24"/>
                <w:szCs w:val="24"/>
              </w:rPr>
            </w:pPr>
            <w:r>
              <w:rPr>
                <w:spacing w:val="1"/>
                <w:sz w:val="24"/>
                <w:szCs w:val="24"/>
              </w:rPr>
              <w:t>根据供应商提供的主要施工方案与技术措施进行评审，方案中</w:t>
            </w:r>
            <w:r>
              <w:rPr>
                <w:spacing w:val="17"/>
                <w:sz w:val="24"/>
                <w:szCs w:val="24"/>
              </w:rPr>
              <w:t xml:space="preserve"> </w:t>
            </w:r>
            <w:r>
              <w:rPr>
                <w:spacing w:val="-7"/>
                <w:sz w:val="24"/>
                <w:szCs w:val="24"/>
              </w:rPr>
              <w:t>存在缺陷的，每有</w:t>
            </w:r>
            <w:r>
              <w:rPr>
                <w:spacing w:val="-28"/>
                <w:sz w:val="24"/>
                <w:szCs w:val="24"/>
              </w:rPr>
              <w:t xml:space="preserve"> </w:t>
            </w:r>
            <w:r>
              <w:rPr>
                <w:spacing w:val="-7"/>
                <w:sz w:val="24"/>
                <w:szCs w:val="24"/>
              </w:rPr>
              <w:t>1</w:t>
            </w:r>
            <w:r>
              <w:rPr>
                <w:spacing w:val="-43"/>
                <w:sz w:val="24"/>
                <w:szCs w:val="24"/>
              </w:rPr>
              <w:t xml:space="preserve"> </w:t>
            </w:r>
            <w:r>
              <w:rPr>
                <w:spacing w:val="-7"/>
                <w:sz w:val="24"/>
                <w:szCs w:val="24"/>
              </w:rPr>
              <w:t>处扣</w:t>
            </w:r>
            <w:r>
              <w:rPr>
                <w:spacing w:val="-34"/>
                <w:sz w:val="24"/>
                <w:szCs w:val="24"/>
              </w:rPr>
              <w:t xml:space="preserve"> </w:t>
            </w:r>
            <w:r>
              <w:rPr>
                <w:spacing w:val="-7"/>
                <w:sz w:val="24"/>
                <w:szCs w:val="24"/>
              </w:rPr>
              <w:t>1</w:t>
            </w:r>
            <w:r>
              <w:rPr>
                <w:spacing w:val="-41"/>
                <w:sz w:val="24"/>
                <w:szCs w:val="24"/>
              </w:rPr>
              <w:t xml:space="preserve"> </w:t>
            </w:r>
            <w:r>
              <w:rPr>
                <w:spacing w:val="-7"/>
                <w:sz w:val="24"/>
                <w:szCs w:val="24"/>
              </w:rPr>
              <w:t>分，每项最多扣</w:t>
            </w:r>
            <w:r>
              <w:rPr>
                <w:spacing w:val="-34"/>
                <w:sz w:val="24"/>
                <w:szCs w:val="24"/>
              </w:rPr>
              <w:t xml:space="preserve"> </w:t>
            </w:r>
            <w:r>
              <w:rPr>
                <w:spacing w:val="-7"/>
                <w:sz w:val="24"/>
                <w:szCs w:val="24"/>
              </w:rPr>
              <w:t>15</w:t>
            </w:r>
            <w:r>
              <w:rPr>
                <w:spacing w:val="-41"/>
                <w:sz w:val="24"/>
                <w:szCs w:val="24"/>
              </w:rPr>
              <w:t xml:space="preserve"> </w:t>
            </w:r>
            <w:r>
              <w:rPr>
                <w:spacing w:val="-7"/>
                <w:sz w:val="24"/>
                <w:szCs w:val="24"/>
              </w:rPr>
              <w:t>分，扣完为止。</w:t>
            </w:r>
            <w:r>
              <w:rPr>
                <w:sz w:val="24"/>
                <w:szCs w:val="24"/>
              </w:rPr>
              <w:t xml:space="preserve"> </w:t>
            </w:r>
            <w:r>
              <w:rPr>
                <w:spacing w:val="2"/>
                <w:sz w:val="24"/>
                <w:szCs w:val="24"/>
              </w:rPr>
              <w:t>内容缺陷是指：非专门针对本项目或不适用项目特性的情形、</w:t>
            </w:r>
            <w:r>
              <w:rPr>
                <w:spacing w:val="9"/>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sz w:val="21"/>
              </w:rPr>
            </w:pPr>
          </w:p>
          <w:p w14:paraId="3652C0EE">
            <w:pPr>
              <w:spacing w:line="245" w:lineRule="auto"/>
              <w:rPr>
                <w:rFonts w:ascii="Arial"/>
                <w:sz w:val="21"/>
              </w:rPr>
            </w:pPr>
          </w:p>
          <w:p w14:paraId="4D829BD3">
            <w:pPr>
              <w:spacing w:line="246" w:lineRule="auto"/>
              <w:rPr>
                <w:rFonts w:ascii="Arial"/>
                <w:sz w:val="21"/>
              </w:rPr>
            </w:pPr>
          </w:p>
          <w:p w14:paraId="53146170">
            <w:pPr>
              <w:spacing w:line="246" w:lineRule="auto"/>
              <w:rPr>
                <w:rFonts w:ascii="Arial"/>
                <w:sz w:val="21"/>
              </w:rPr>
            </w:pPr>
          </w:p>
          <w:p w14:paraId="2477DA8F">
            <w:pPr>
              <w:spacing w:line="246" w:lineRule="auto"/>
              <w:rPr>
                <w:rFonts w:ascii="Arial"/>
                <w:sz w:val="21"/>
              </w:rPr>
            </w:pPr>
          </w:p>
          <w:p w14:paraId="5B6C1A01">
            <w:pPr>
              <w:pStyle w:val="24"/>
              <w:spacing w:before="65" w:line="270" w:lineRule="exact"/>
              <w:ind w:left="391"/>
              <w:rPr>
                <w:sz w:val="20"/>
                <w:szCs w:val="20"/>
              </w:rPr>
            </w:pPr>
            <w:r>
              <w:rPr>
                <w:position w:val="1"/>
                <w:sz w:val="20"/>
                <w:szCs w:val="20"/>
              </w:rPr>
              <w:t>3</w:t>
            </w:r>
          </w:p>
        </w:tc>
        <w:tc>
          <w:tcPr>
            <w:tcW w:w="2240" w:type="dxa"/>
            <w:vAlign w:val="top"/>
          </w:tcPr>
          <w:p w14:paraId="58D10988">
            <w:pPr>
              <w:spacing w:line="257" w:lineRule="auto"/>
              <w:rPr>
                <w:rFonts w:ascii="Arial"/>
                <w:sz w:val="21"/>
              </w:rPr>
            </w:pPr>
          </w:p>
          <w:p w14:paraId="6C84602F">
            <w:pPr>
              <w:spacing w:line="257" w:lineRule="auto"/>
              <w:rPr>
                <w:rFonts w:ascii="Arial"/>
                <w:sz w:val="21"/>
              </w:rPr>
            </w:pPr>
          </w:p>
          <w:p w14:paraId="2D366A65">
            <w:pPr>
              <w:spacing w:line="257" w:lineRule="auto"/>
              <w:rPr>
                <w:rFonts w:ascii="Arial"/>
                <w:sz w:val="21"/>
              </w:rPr>
            </w:pPr>
          </w:p>
          <w:p w14:paraId="1EF57C06">
            <w:pPr>
              <w:spacing w:line="257" w:lineRule="auto"/>
              <w:rPr>
                <w:rFonts w:ascii="Arial"/>
                <w:sz w:val="21"/>
              </w:rPr>
            </w:pPr>
          </w:p>
          <w:p w14:paraId="5B3608B9">
            <w:pPr>
              <w:pStyle w:val="24"/>
              <w:spacing w:before="78" w:line="221" w:lineRule="auto"/>
              <w:ind w:left="176"/>
              <w:rPr>
                <w:sz w:val="24"/>
                <w:szCs w:val="24"/>
              </w:rPr>
            </w:pPr>
            <w:r>
              <w:rPr>
                <w:spacing w:val="-3"/>
                <w:sz w:val="24"/>
                <w:szCs w:val="24"/>
              </w:rPr>
              <w:t>质量保证体系及措</w:t>
            </w:r>
          </w:p>
          <w:p w14:paraId="5CA1C909">
            <w:pPr>
              <w:pStyle w:val="24"/>
              <w:spacing w:before="151" w:line="224" w:lineRule="auto"/>
              <w:ind w:left="561"/>
              <w:rPr>
                <w:sz w:val="24"/>
                <w:szCs w:val="24"/>
              </w:rPr>
            </w:pPr>
            <w:r>
              <w:rPr>
                <w:spacing w:val="-7"/>
                <w:sz w:val="24"/>
                <w:szCs w:val="24"/>
              </w:rPr>
              <w:t>施（6</w:t>
            </w:r>
            <w:r>
              <w:rPr>
                <w:spacing w:val="-42"/>
                <w:sz w:val="24"/>
                <w:szCs w:val="24"/>
              </w:rPr>
              <w:t xml:space="preserve"> </w:t>
            </w:r>
            <w:r>
              <w:rPr>
                <w:spacing w:val="-7"/>
                <w:sz w:val="24"/>
                <w:szCs w:val="24"/>
              </w:rPr>
              <w:t>分）</w:t>
            </w:r>
          </w:p>
        </w:tc>
        <w:tc>
          <w:tcPr>
            <w:tcW w:w="6768" w:type="dxa"/>
            <w:vAlign w:val="top"/>
          </w:tcPr>
          <w:p w14:paraId="7539CF60">
            <w:pPr>
              <w:pStyle w:val="24"/>
              <w:spacing w:before="118" w:line="344" w:lineRule="auto"/>
              <w:ind w:left="122" w:right="111" w:firstLine="2"/>
              <w:rPr>
                <w:sz w:val="24"/>
                <w:szCs w:val="24"/>
              </w:rPr>
            </w:pPr>
            <w:r>
              <w:rPr>
                <w:spacing w:val="1"/>
                <w:sz w:val="24"/>
                <w:szCs w:val="24"/>
              </w:rPr>
              <w:t>根据供应商提供的质量保证体系及措施进行评审，方案中存在</w:t>
            </w:r>
            <w:r>
              <w:rPr>
                <w:spacing w:val="17"/>
                <w:sz w:val="24"/>
                <w:szCs w:val="24"/>
              </w:rPr>
              <w:t xml:space="preserve"> </w:t>
            </w:r>
            <w:r>
              <w:rPr>
                <w:spacing w:val="-3"/>
                <w:sz w:val="24"/>
                <w:szCs w:val="24"/>
              </w:rPr>
              <w:t>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w:t>
            </w:r>
            <w:r>
              <w:rPr>
                <w:sz w:val="24"/>
                <w:szCs w:val="24"/>
              </w:rPr>
              <w:t xml:space="preserve"> </w:t>
            </w:r>
            <w:r>
              <w:rPr>
                <w:spacing w:val="1"/>
                <w:sz w:val="24"/>
                <w:szCs w:val="24"/>
              </w:rPr>
              <w:t>缺陷是指：非专门针对本项目或不适用项目特性的情形、内容</w:t>
            </w:r>
            <w:r>
              <w:rPr>
                <w:spacing w:val="17"/>
                <w:sz w:val="24"/>
                <w:szCs w:val="24"/>
              </w:rPr>
              <w:t xml:space="preserve"> </w:t>
            </w:r>
            <w:r>
              <w:rPr>
                <w:spacing w:val="2"/>
                <w:sz w:val="24"/>
                <w:szCs w:val="24"/>
              </w:rPr>
              <w:t>不完整或缺少关键节点、套用其他项目方案、</w:t>
            </w:r>
            <w:r>
              <w:rPr>
                <w:spacing w:val="1"/>
                <w:sz w:val="24"/>
                <w:szCs w:val="24"/>
              </w:rPr>
              <w:t>内容前后矛盾、</w:t>
            </w:r>
            <w:r>
              <w:rPr>
                <w:sz w:val="24"/>
                <w:szCs w:val="24"/>
              </w:rPr>
              <w:t xml:space="preserve"> </w:t>
            </w:r>
            <w:r>
              <w:rPr>
                <w:spacing w:val="1"/>
                <w:sz w:val="24"/>
                <w:szCs w:val="24"/>
              </w:rPr>
              <w:t>涉及的规范或标准错误、不利于项目实施、不可能实现的情形</w:t>
            </w:r>
            <w:r>
              <w:rPr>
                <w:spacing w:val="17"/>
                <w:sz w:val="24"/>
                <w:szCs w:val="24"/>
              </w:rPr>
              <w:t xml:space="preserve"> </w:t>
            </w:r>
            <w:r>
              <w:rPr>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sz w:val="21"/>
              </w:rPr>
            </w:pPr>
          </w:p>
          <w:p w14:paraId="4610FDB3">
            <w:pPr>
              <w:spacing w:line="245" w:lineRule="auto"/>
              <w:rPr>
                <w:rFonts w:ascii="Arial"/>
                <w:sz w:val="21"/>
              </w:rPr>
            </w:pPr>
          </w:p>
          <w:p w14:paraId="1F72145D">
            <w:pPr>
              <w:spacing w:line="246" w:lineRule="auto"/>
              <w:rPr>
                <w:rFonts w:ascii="Arial"/>
                <w:sz w:val="21"/>
              </w:rPr>
            </w:pPr>
          </w:p>
          <w:p w14:paraId="66DA696E">
            <w:pPr>
              <w:spacing w:line="246" w:lineRule="auto"/>
              <w:rPr>
                <w:rFonts w:ascii="Arial"/>
                <w:sz w:val="21"/>
              </w:rPr>
            </w:pPr>
          </w:p>
          <w:p w14:paraId="1ADBD3BA">
            <w:pPr>
              <w:spacing w:line="246" w:lineRule="auto"/>
              <w:rPr>
                <w:rFonts w:ascii="Arial"/>
                <w:sz w:val="21"/>
              </w:rPr>
            </w:pPr>
          </w:p>
          <w:p w14:paraId="5B700114">
            <w:pPr>
              <w:pStyle w:val="24"/>
              <w:spacing w:before="65" w:line="272" w:lineRule="exact"/>
              <w:ind w:left="386"/>
              <w:rPr>
                <w:sz w:val="20"/>
                <w:szCs w:val="20"/>
              </w:rPr>
            </w:pPr>
            <w:r>
              <w:rPr>
                <w:position w:val="1"/>
                <w:sz w:val="20"/>
                <w:szCs w:val="20"/>
              </w:rPr>
              <w:t>4</w:t>
            </w:r>
          </w:p>
        </w:tc>
        <w:tc>
          <w:tcPr>
            <w:tcW w:w="2240" w:type="dxa"/>
            <w:vAlign w:val="top"/>
          </w:tcPr>
          <w:p w14:paraId="42EF509C">
            <w:pPr>
              <w:spacing w:line="257" w:lineRule="auto"/>
              <w:rPr>
                <w:rFonts w:ascii="Arial"/>
                <w:sz w:val="21"/>
              </w:rPr>
            </w:pPr>
          </w:p>
          <w:p w14:paraId="2BC5402D">
            <w:pPr>
              <w:spacing w:line="257" w:lineRule="auto"/>
              <w:rPr>
                <w:rFonts w:ascii="Arial"/>
                <w:sz w:val="21"/>
              </w:rPr>
            </w:pPr>
          </w:p>
          <w:p w14:paraId="4F18983B">
            <w:pPr>
              <w:spacing w:line="257" w:lineRule="auto"/>
              <w:rPr>
                <w:rFonts w:ascii="Arial"/>
                <w:sz w:val="21"/>
              </w:rPr>
            </w:pPr>
          </w:p>
          <w:p w14:paraId="203C52C9">
            <w:pPr>
              <w:spacing w:line="258" w:lineRule="auto"/>
              <w:rPr>
                <w:rFonts w:ascii="Arial"/>
                <w:sz w:val="21"/>
              </w:rPr>
            </w:pPr>
          </w:p>
          <w:p w14:paraId="0AA54086">
            <w:pPr>
              <w:pStyle w:val="24"/>
              <w:spacing w:before="78" w:line="221" w:lineRule="auto"/>
              <w:ind w:left="173"/>
              <w:rPr>
                <w:sz w:val="24"/>
                <w:szCs w:val="24"/>
              </w:rPr>
            </w:pPr>
            <w:r>
              <w:rPr>
                <w:spacing w:val="-3"/>
                <w:sz w:val="24"/>
                <w:szCs w:val="24"/>
              </w:rPr>
              <w:t>安全生产保证措施</w:t>
            </w:r>
          </w:p>
          <w:p w14:paraId="1E41DD7C">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4A512B75">
            <w:pPr>
              <w:pStyle w:val="24"/>
              <w:spacing w:before="120" w:line="344" w:lineRule="auto"/>
              <w:ind w:left="124" w:right="111"/>
              <w:jc w:val="both"/>
              <w:rPr>
                <w:sz w:val="24"/>
                <w:szCs w:val="24"/>
              </w:rPr>
            </w:pPr>
            <w:r>
              <w:rPr>
                <w:spacing w:val="1"/>
                <w:sz w:val="24"/>
                <w:szCs w:val="24"/>
              </w:rPr>
              <w:t>根据供应商提供的安全生产保证措施进行评审，方案中存在缺</w:t>
            </w:r>
            <w:r>
              <w:rPr>
                <w:spacing w:val="17"/>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3FA7E3B5">
            <w:pPr>
              <w:spacing w:line="246" w:lineRule="auto"/>
              <w:rPr>
                <w:rFonts w:ascii="Arial"/>
                <w:sz w:val="21"/>
              </w:rPr>
            </w:pPr>
          </w:p>
          <w:p w14:paraId="4EB1DC4E">
            <w:pPr>
              <w:spacing w:line="246" w:lineRule="auto"/>
              <w:rPr>
                <w:rFonts w:ascii="Arial"/>
                <w:sz w:val="21"/>
              </w:rPr>
            </w:pPr>
          </w:p>
          <w:p w14:paraId="58D76A3C">
            <w:pPr>
              <w:spacing w:line="246" w:lineRule="auto"/>
              <w:rPr>
                <w:rFonts w:ascii="Arial"/>
                <w:sz w:val="21"/>
              </w:rPr>
            </w:pPr>
          </w:p>
          <w:p w14:paraId="7366D9A5">
            <w:pPr>
              <w:spacing w:line="247" w:lineRule="auto"/>
              <w:rPr>
                <w:rFonts w:ascii="Arial"/>
                <w:sz w:val="21"/>
              </w:rPr>
            </w:pPr>
          </w:p>
          <w:p w14:paraId="06130FB6">
            <w:pPr>
              <w:spacing w:line="247" w:lineRule="auto"/>
              <w:rPr>
                <w:rFonts w:ascii="Arial"/>
                <w:sz w:val="21"/>
              </w:rPr>
            </w:pPr>
          </w:p>
          <w:p w14:paraId="59044BEF">
            <w:pPr>
              <w:pStyle w:val="24"/>
              <w:spacing w:before="65" w:line="270" w:lineRule="exact"/>
              <w:ind w:left="391"/>
              <w:rPr>
                <w:sz w:val="20"/>
                <w:szCs w:val="20"/>
              </w:rPr>
            </w:pPr>
            <w:r>
              <w:rPr>
                <w:position w:val="2"/>
                <w:sz w:val="20"/>
                <w:szCs w:val="20"/>
              </w:rPr>
              <w:t>5</w:t>
            </w:r>
          </w:p>
        </w:tc>
        <w:tc>
          <w:tcPr>
            <w:tcW w:w="2240" w:type="dxa"/>
            <w:vAlign w:val="top"/>
          </w:tcPr>
          <w:p w14:paraId="509D174F">
            <w:pPr>
              <w:spacing w:line="271" w:lineRule="auto"/>
              <w:rPr>
                <w:rFonts w:ascii="Arial"/>
                <w:sz w:val="21"/>
              </w:rPr>
            </w:pPr>
          </w:p>
          <w:p w14:paraId="35514E2E">
            <w:pPr>
              <w:spacing w:line="271" w:lineRule="auto"/>
              <w:rPr>
                <w:rFonts w:ascii="Arial"/>
                <w:sz w:val="21"/>
              </w:rPr>
            </w:pPr>
          </w:p>
          <w:p w14:paraId="72091597">
            <w:pPr>
              <w:spacing w:line="271" w:lineRule="auto"/>
              <w:rPr>
                <w:rFonts w:ascii="Arial"/>
                <w:sz w:val="21"/>
              </w:rPr>
            </w:pPr>
          </w:p>
          <w:p w14:paraId="3AE6F798">
            <w:pPr>
              <w:pStyle w:val="24"/>
              <w:spacing w:before="78" w:line="221" w:lineRule="auto"/>
              <w:ind w:left="171"/>
              <w:rPr>
                <w:sz w:val="24"/>
                <w:szCs w:val="24"/>
              </w:rPr>
            </w:pPr>
            <w:r>
              <w:rPr>
                <w:spacing w:val="-1"/>
                <w:sz w:val="24"/>
                <w:szCs w:val="24"/>
              </w:rPr>
              <w:t>确保文明施工、环</w:t>
            </w:r>
          </w:p>
          <w:p w14:paraId="38535A7C">
            <w:pPr>
              <w:pStyle w:val="24"/>
              <w:spacing w:before="151" w:line="221" w:lineRule="auto"/>
              <w:ind w:left="173"/>
              <w:rPr>
                <w:sz w:val="24"/>
                <w:szCs w:val="24"/>
              </w:rPr>
            </w:pPr>
            <w:r>
              <w:rPr>
                <w:spacing w:val="-3"/>
                <w:sz w:val="24"/>
                <w:szCs w:val="24"/>
              </w:rPr>
              <w:t>境保护的组织措施</w:t>
            </w:r>
          </w:p>
          <w:p w14:paraId="05ABA16A">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3479EA35">
            <w:pPr>
              <w:pStyle w:val="24"/>
              <w:spacing w:before="114" w:line="345" w:lineRule="auto"/>
              <w:ind w:left="127" w:right="111" w:hanging="2"/>
              <w:rPr>
                <w:sz w:val="24"/>
                <w:szCs w:val="24"/>
              </w:rPr>
            </w:pPr>
            <w:r>
              <w:rPr>
                <w:spacing w:val="1"/>
                <w:sz w:val="24"/>
                <w:szCs w:val="24"/>
              </w:rPr>
              <w:t>根据供应商提供的确保文明施工、环境保护的组织措施进行评</w:t>
            </w:r>
            <w:r>
              <w:rPr>
                <w:spacing w:val="17"/>
                <w:sz w:val="24"/>
                <w:szCs w:val="24"/>
              </w:rPr>
              <w:t xml:space="preserve"> </w:t>
            </w:r>
            <w:r>
              <w:rPr>
                <w:spacing w:val="-4"/>
                <w:sz w:val="24"/>
                <w:szCs w:val="24"/>
              </w:rPr>
              <w:t>审，方案中存在缺陷的，每有</w:t>
            </w:r>
            <w:r>
              <w:rPr>
                <w:spacing w:val="-14"/>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7"/>
                <w:sz w:val="24"/>
                <w:szCs w:val="24"/>
              </w:rPr>
              <w:t xml:space="preserve"> </w:t>
            </w:r>
            <w:r>
              <w:rPr>
                <w:spacing w:val="-4"/>
                <w:sz w:val="24"/>
                <w:szCs w:val="24"/>
              </w:rPr>
              <w:t>6</w:t>
            </w:r>
            <w:r>
              <w:rPr>
                <w:spacing w:val="-39"/>
                <w:sz w:val="24"/>
                <w:szCs w:val="24"/>
              </w:rPr>
              <w:t xml:space="preserve"> </w:t>
            </w:r>
            <w:r>
              <w:rPr>
                <w:spacing w:val="-4"/>
                <w:sz w:val="24"/>
                <w:szCs w:val="24"/>
              </w:rPr>
              <w:t>分，</w:t>
            </w:r>
            <w:r>
              <w:rPr>
                <w:sz w:val="24"/>
                <w:szCs w:val="24"/>
              </w:rPr>
              <w:t xml:space="preserve"> </w:t>
            </w:r>
            <w:r>
              <w:rPr>
                <w:spacing w:val="1"/>
                <w:sz w:val="24"/>
                <w:szCs w:val="24"/>
              </w:rPr>
              <w:t>扣完为止。内容缺陷是指：非专门针对本项目或不适用项目特</w:t>
            </w:r>
            <w:r>
              <w:rPr>
                <w:spacing w:val="12"/>
                <w:sz w:val="24"/>
                <w:szCs w:val="24"/>
              </w:rPr>
              <w:t xml:space="preserve"> </w:t>
            </w:r>
            <w:r>
              <w:rPr>
                <w:spacing w:val="1"/>
                <w:sz w:val="24"/>
                <w:szCs w:val="24"/>
              </w:rPr>
              <w:t>性的情形、内容不完整或缺少关键节点、套用其他项目方案、</w:t>
            </w:r>
            <w:r>
              <w:rPr>
                <w:spacing w:val="14"/>
                <w:sz w:val="24"/>
                <w:szCs w:val="24"/>
              </w:rPr>
              <w:t xml:space="preserve"> </w:t>
            </w:r>
            <w:r>
              <w:rPr>
                <w:spacing w:val="1"/>
                <w:sz w:val="24"/>
                <w:szCs w:val="24"/>
              </w:rPr>
              <w:t>内容前后矛盾、涉及的规范或标准错误、不利于项目实施、不</w:t>
            </w:r>
            <w:r>
              <w:rPr>
                <w:spacing w:val="12"/>
                <w:sz w:val="24"/>
                <w:szCs w:val="24"/>
              </w:rPr>
              <w:t xml:space="preserve"> </w:t>
            </w:r>
            <w:r>
              <w:rPr>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sz w:val="21"/>
              </w:rPr>
            </w:pPr>
          </w:p>
          <w:p w14:paraId="016DAC8E">
            <w:pPr>
              <w:spacing w:line="245" w:lineRule="auto"/>
              <w:rPr>
                <w:rFonts w:ascii="Arial"/>
                <w:sz w:val="21"/>
              </w:rPr>
            </w:pPr>
          </w:p>
          <w:p w14:paraId="7A5FDD03">
            <w:pPr>
              <w:spacing w:line="246" w:lineRule="auto"/>
              <w:rPr>
                <w:rFonts w:ascii="Arial"/>
                <w:sz w:val="21"/>
              </w:rPr>
            </w:pPr>
          </w:p>
          <w:p w14:paraId="34A37E22">
            <w:pPr>
              <w:spacing w:line="246" w:lineRule="auto"/>
              <w:rPr>
                <w:rFonts w:ascii="Arial"/>
                <w:sz w:val="21"/>
              </w:rPr>
            </w:pPr>
          </w:p>
          <w:p w14:paraId="77A46FFF">
            <w:pPr>
              <w:spacing w:line="246" w:lineRule="auto"/>
              <w:rPr>
                <w:rFonts w:ascii="Arial"/>
                <w:sz w:val="21"/>
              </w:rPr>
            </w:pPr>
          </w:p>
          <w:p w14:paraId="43902508">
            <w:pPr>
              <w:pStyle w:val="24"/>
              <w:spacing w:before="65" w:line="271" w:lineRule="exact"/>
              <w:ind w:left="389"/>
              <w:rPr>
                <w:sz w:val="20"/>
                <w:szCs w:val="20"/>
              </w:rPr>
            </w:pPr>
            <w:r>
              <w:rPr>
                <w:position w:val="1"/>
                <w:sz w:val="20"/>
                <w:szCs w:val="20"/>
              </w:rPr>
              <w:t>6</w:t>
            </w:r>
          </w:p>
        </w:tc>
        <w:tc>
          <w:tcPr>
            <w:tcW w:w="2240" w:type="dxa"/>
            <w:vAlign w:val="top"/>
          </w:tcPr>
          <w:p w14:paraId="163D5D3C">
            <w:pPr>
              <w:spacing w:line="257" w:lineRule="auto"/>
              <w:rPr>
                <w:rFonts w:ascii="Arial"/>
                <w:sz w:val="21"/>
              </w:rPr>
            </w:pPr>
          </w:p>
          <w:p w14:paraId="5621BB3B">
            <w:pPr>
              <w:spacing w:line="257" w:lineRule="auto"/>
              <w:rPr>
                <w:rFonts w:ascii="Arial"/>
                <w:sz w:val="21"/>
              </w:rPr>
            </w:pPr>
          </w:p>
          <w:p w14:paraId="1E55D0F5">
            <w:pPr>
              <w:spacing w:line="257" w:lineRule="auto"/>
              <w:rPr>
                <w:rFonts w:ascii="Arial"/>
                <w:sz w:val="21"/>
              </w:rPr>
            </w:pPr>
          </w:p>
          <w:p w14:paraId="6FCD16B2">
            <w:pPr>
              <w:spacing w:line="258" w:lineRule="auto"/>
              <w:rPr>
                <w:rFonts w:ascii="Arial"/>
                <w:sz w:val="21"/>
              </w:rPr>
            </w:pPr>
          </w:p>
          <w:p w14:paraId="6BB3505A">
            <w:pPr>
              <w:pStyle w:val="24"/>
              <w:spacing w:before="78" w:line="339" w:lineRule="auto"/>
              <w:ind w:left="321" w:right="159" w:hanging="151"/>
              <w:rPr>
                <w:sz w:val="24"/>
                <w:szCs w:val="24"/>
              </w:rPr>
            </w:pPr>
            <w:r>
              <w:rPr>
                <w:spacing w:val="-2"/>
                <w:sz w:val="24"/>
                <w:szCs w:val="24"/>
              </w:rPr>
              <w:t>施工进度计划及保</w:t>
            </w:r>
            <w:r>
              <w:rPr>
                <w:sz w:val="24"/>
                <w:szCs w:val="24"/>
              </w:rPr>
              <w:t xml:space="preserve"> </w:t>
            </w:r>
            <w:r>
              <w:rPr>
                <w:spacing w:val="-5"/>
                <w:sz w:val="24"/>
                <w:szCs w:val="24"/>
              </w:rPr>
              <w:t>证措施（5</w:t>
            </w:r>
            <w:r>
              <w:rPr>
                <w:spacing w:val="-42"/>
                <w:sz w:val="24"/>
                <w:szCs w:val="24"/>
              </w:rPr>
              <w:t xml:space="preserve"> </w:t>
            </w:r>
            <w:r>
              <w:rPr>
                <w:spacing w:val="-5"/>
                <w:sz w:val="24"/>
                <w:szCs w:val="24"/>
              </w:rPr>
              <w:t>分）</w:t>
            </w:r>
          </w:p>
        </w:tc>
        <w:tc>
          <w:tcPr>
            <w:tcW w:w="6768" w:type="dxa"/>
            <w:vAlign w:val="top"/>
          </w:tcPr>
          <w:p w14:paraId="56C9F45A">
            <w:pPr>
              <w:pStyle w:val="24"/>
              <w:spacing w:before="118" w:line="344" w:lineRule="auto"/>
              <w:ind w:left="126" w:right="111" w:hanging="1"/>
              <w:rPr>
                <w:sz w:val="24"/>
                <w:szCs w:val="24"/>
              </w:rPr>
            </w:pPr>
            <w:r>
              <w:rPr>
                <w:spacing w:val="1"/>
                <w:sz w:val="24"/>
                <w:szCs w:val="24"/>
              </w:rPr>
              <w:t>根据供应商提供的施工进度计划及保证措施进行评审，方案中</w:t>
            </w:r>
            <w:r>
              <w:rPr>
                <w:spacing w:val="17"/>
                <w:sz w:val="24"/>
                <w:szCs w:val="24"/>
              </w:rPr>
              <w:t xml:space="preserve"> </w:t>
            </w:r>
            <w:r>
              <w:rPr>
                <w:spacing w:val="-4"/>
                <w:sz w:val="24"/>
                <w:szCs w:val="24"/>
              </w:rPr>
              <w:t>存在缺陷的，每有</w:t>
            </w:r>
            <w:r>
              <w:rPr>
                <w:spacing w:val="-16"/>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分，扣完为止。</w:t>
            </w:r>
            <w:r>
              <w:rPr>
                <w:sz w:val="24"/>
                <w:szCs w:val="24"/>
              </w:rPr>
              <w:t xml:space="preserve"> </w:t>
            </w:r>
            <w:r>
              <w:rPr>
                <w:spacing w:val="1"/>
                <w:sz w:val="24"/>
                <w:szCs w:val="24"/>
              </w:rPr>
              <w:t>内容缺陷是指：非专门针对本项目或不适用项目特性的情形、</w:t>
            </w:r>
            <w:r>
              <w:rPr>
                <w:spacing w:val="15"/>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sz w:val="21"/>
              </w:rPr>
            </w:pPr>
          </w:p>
          <w:p w14:paraId="222B19AC">
            <w:pPr>
              <w:spacing w:line="246" w:lineRule="auto"/>
              <w:rPr>
                <w:rFonts w:ascii="Arial"/>
                <w:sz w:val="21"/>
              </w:rPr>
            </w:pPr>
          </w:p>
          <w:p w14:paraId="132FE8AB">
            <w:pPr>
              <w:spacing w:line="246" w:lineRule="auto"/>
              <w:rPr>
                <w:rFonts w:ascii="Arial"/>
                <w:sz w:val="21"/>
              </w:rPr>
            </w:pPr>
          </w:p>
          <w:p w14:paraId="2212181A">
            <w:pPr>
              <w:spacing w:line="246" w:lineRule="auto"/>
              <w:rPr>
                <w:rFonts w:ascii="Arial"/>
                <w:sz w:val="21"/>
              </w:rPr>
            </w:pPr>
          </w:p>
          <w:p w14:paraId="608C2F24">
            <w:pPr>
              <w:spacing w:line="246" w:lineRule="auto"/>
              <w:rPr>
                <w:rFonts w:ascii="Arial"/>
                <w:sz w:val="21"/>
              </w:rPr>
            </w:pPr>
          </w:p>
          <w:p w14:paraId="43955C7F">
            <w:pPr>
              <w:pStyle w:val="24"/>
              <w:spacing w:before="65" w:line="270" w:lineRule="exact"/>
              <w:ind w:left="392"/>
              <w:rPr>
                <w:sz w:val="20"/>
                <w:szCs w:val="20"/>
              </w:rPr>
            </w:pPr>
            <w:r>
              <w:rPr>
                <w:position w:val="2"/>
                <w:sz w:val="20"/>
                <w:szCs w:val="20"/>
              </w:rPr>
              <w:t>7</w:t>
            </w:r>
          </w:p>
        </w:tc>
        <w:tc>
          <w:tcPr>
            <w:tcW w:w="2240" w:type="dxa"/>
            <w:vAlign w:val="top"/>
          </w:tcPr>
          <w:p w14:paraId="327A3B1B">
            <w:pPr>
              <w:spacing w:line="257" w:lineRule="auto"/>
              <w:rPr>
                <w:rFonts w:ascii="Arial"/>
                <w:sz w:val="21"/>
              </w:rPr>
            </w:pPr>
          </w:p>
          <w:p w14:paraId="0441E10C">
            <w:pPr>
              <w:spacing w:line="257" w:lineRule="auto"/>
              <w:rPr>
                <w:rFonts w:ascii="Arial"/>
                <w:sz w:val="21"/>
              </w:rPr>
            </w:pPr>
          </w:p>
          <w:p w14:paraId="0D309A11">
            <w:pPr>
              <w:spacing w:line="257" w:lineRule="auto"/>
              <w:rPr>
                <w:rFonts w:ascii="Arial"/>
                <w:sz w:val="21"/>
              </w:rPr>
            </w:pPr>
          </w:p>
          <w:p w14:paraId="4D14EFB6">
            <w:pPr>
              <w:spacing w:line="258" w:lineRule="auto"/>
              <w:rPr>
                <w:rFonts w:ascii="Arial"/>
                <w:sz w:val="21"/>
              </w:rPr>
            </w:pPr>
          </w:p>
          <w:p w14:paraId="208A3E2E">
            <w:pPr>
              <w:pStyle w:val="24"/>
              <w:spacing w:before="78" w:line="339" w:lineRule="auto"/>
              <w:ind w:left="205" w:right="159" w:hanging="22"/>
              <w:rPr>
                <w:sz w:val="24"/>
                <w:szCs w:val="24"/>
              </w:rPr>
            </w:pPr>
            <w:r>
              <w:rPr>
                <w:spacing w:val="-4"/>
                <w:sz w:val="24"/>
                <w:szCs w:val="24"/>
              </w:rPr>
              <w:t>劳动力计划、设备</w:t>
            </w:r>
            <w:r>
              <w:rPr>
                <w:spacing w:val="2"/>
                <w:sz w:val="24"/>
                <w:szCs w:val="24"/>
              </w:rPr>
              <w:t xml:space="preserve"> </w:t>
            </w:r>
            <w:r>
              <w:rPr>
                <w:spacing w:val="-5"/>
                <w:sz w:val="24"/>
                <w:szCs w:val="24"/>
              </w:rPr>
              <w:t>配备情况（5</w:t>
            </w:r>
            <w:r>
              <w:rPr>
                <w:spacing w:val="-41"/>
                <w:sz w:val="24"/>
                <w:szCs w:val="24"/>
              </w:rPr>
              <w:t xml:space="preserve"> </w:t>
            </w:r>
            <w:r>
              <w:rPr>
                <w:spacing w:val="-5"/>
                <w:sz w:val="24"/>
                <w:szCs w:val="24"/>
              </w:rPr>
              <w:t>分）</w:t>
            </w:r>
          </w:p>
        </w:tc>
        <w:tc>
          <w:tcPr>
            <w:tcW w:w="6768" w:type="dxa"/>
            <w:vAlign w:val="top"/>
          </w:tcPr>
          <w:p w14:paraId="0F418426">
            <w:pPr>
              <w:pStyle w:val="24"/>
              <w:spacing w:before="118" w:line="344" w:lineRule="auto"/>
              <w:ind w:left="126" w:right="28" w:hanging="1"/>
              <w:rPr>
                <w:sz w:val="24"/>
                <w:szCs w:val="24"/>
              </w:rPr>
            </w:pPr>
            <w:r>
              <w:rPr>
                <w:spacing w:val="1"/>
                <w:sz w:val="24"/>
                <w:szCs w:val="24"/>
              </w:rPr>
              <w:t>根据供应商提供的劳动力计划、设备配备情况进行评审，方案</w:t>
            </w:r>
            <w:r>
              <w:rPr>
                <w:spacing w:val="17"/>
                <w:sz w:val="24"/>
                <w:szCs w:val="24"/>
              </w:rPr>
              <w:t xml:space="preserve"> </w:t>
            </w:r>
            <w:r>
              <w:rPr>
                <w:spacing w:val="-9"/>
                <w:sz w:val="24"/>
                <w:szCs w:val="24"/>
              </w:rPr>
              <w:t>中存在缺陷的，每有</w:t>
            </w:r>
            <w:r>
              <w:rPr>
                <w:spacing w:val="-16"/>
                <w:sz w:val="24"/>
                <w:szCs w:val="24"/>
              </w:rPr>
              <w:t xml:space="preserve"> </w:t>
            </w:r>
            <w:r>
              <w:rPr>
                <w:spacing w:val="-9"/>
                <w:sz w:val="24"/>
                <w:szCs w:val="24"/>
              </w:rPr>
              <w:t>1</w:t>
            </w:r>
            <w:r>
              <w:rPr>
                <w:spacing w:val="-44"/>
                <w:sz w:val="24"/>
                <w:szCs w:val="24"/>
              </w:rPr>
              <w:t xml:space="preserve"> </w:t>
            </w:r>
            <w:r>
              <w:rPr>
                <w:spacing w:val="-9"/>
                <w:sz w:val="24"/>
                <w:szCs w:val="24"/>
              </w:rPr>
              <w:t>处扣</w:t>
            </w:r>
            <w:r>
              <w:rPr>
                <w:spacing w:val="-33"/>
                <w:sz w:val="24"/>
                <w:szCs w:val="24"/>
              </w:rPr>
              <w:t xml:space="preserve"> </w:t>
            </w:r>
            <w:r>
              <w:rPr>
                <w:spacing w:val="-9"/>
                <w:sz w:val="24"/>
                <w:szCs w:val="24"/>
              </w:rPr>
              <w:t>1</w:t>
            </w:r>
            <w:r>
              <w:rPr>
                <w:spacing w:val="-42"/>
                <w:sz w:val="24"/>
                <w:szCs w:val="24"/>
              </w:rPr>
              <w:t xml:space="preserve"> </w:t>
            </w:r>
            <w:r>
              <w:rPr>
                <w:spacing w:val="-9"/>
                <w:sz w:val="24"/>
                <w:szCs w:val="24"/>
              </w:rPr>
              <w:t>分，每项最多扣</w:t>
            </w:r>
            <w:r>
              <w:rPr>
                <w:spacing w:val="-46"/>
                <w:sz w:val="24"/>
                <w:szCs w:val="24"/>
              </w:rPr>
              <w:t xml:space="preserve"> </w:t>
            </w:r>
            <w:r>
              <w:rPr>
                <w:spacing w:val="-9"/>
                <w:sz w:val="24"/>
                <w:szCs w:val="24"/>
              </w:rPr>
              <w:t>5</w:t>
            </w:r>
            <w:r>
              <w:rPr>
                <w:spacing w:val="-42"/>
                <w:sz w:val="24"/>
                <w:szCs w:val="24"/>
              </w:rPr>
              <w:t xml:space="preserve"> </w:t>
            </w:r>
            <w:r>
              <w:rPr>
                <w:spacing w:val="-9"/>
                <w:sz w:val="24"/>
                <w:szCs w:val="24"/>
              </w:rPr>
              <w:t>分，扣完为止。</w:t>
            </w:r>
            <w:r>
              <w:rPr>
                <w:sz w:val="24"/>
                <w:szCs w:val="24"/>
              </w:rPr>
              <w:t xml:space="preserve"> </w:t>
            </w:r>
            <w:r>
              <w:rPr>
                <w:spacing w:val="3"/>
                <w:sz w:val="24"/>
                <w:szCs w:val="24"/>
              </w:rPr>
              <w:t>内容缺陷是指：非专门针对本项目或不适用</w:t>
            </w:r>
            <w:r>
              <w:rPr>
                <w:spacing w:val="2"/>
                <w:sz w:val="24"/>
                <w:szCs w:val="24"/>
              </w:rPr>
              <w:t>项目特性的情形、</w:t>
            </w:r>
            <w:r>
              <w:rPr>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sz w:val="21"/>
              </w:rPr>
            </w:pPr>
          </w:p>
          <w:p w14:paraId="27417B31">
            <w:pPr>
              <w:spacing w:line="246" w:lineRule="auto"/>
              <w:rPr>
                <w:rFonts w:ascii="Arial"/>
                <w:sz w:val="21"/>
              </w:rPr>
            </w:pPr>
          </w:p>
          <w:p w14:paraId="44D523A8">
            <w:pPr>
              <w:spacing w:line="246" w:lineRule="auto"/>
              <w:rPr>
                <w:rFonts w:ascii="Arial"/>
                <w:sz w:val="21"/>
              </w:rPr>
            </w:pPr>
          </w:p>
          <w:p w14:paraId="15A99D26">
            <w:pPr>
              <w:spacing w:line="246" w:lineRule="auto"/>
              <w:rPr>
                <w:rFonts w:ascii="Arial"/>
                <w:sz w:val="21"/>
              </w:rPr>
            </w:pPr>
          </w:p>
          <w:p w14:paraId="08F31DD2">
            <w:pPr>
              <w:spacing w:line="246" w:lineRule="auto"/>
              <w:rPr>
                <w:rFonts w:ascii="Arial"/>
                <w:sz w:val="21"/>
              </w:rPr>
            </w:pPr>
          </w:p>
          <w:p w14:paraId="0D4635B6">
            <w:pPr>
              <w:pStyle w:val="24"/>
              <w:spacing w:before="65" w:line="271" w:lineRule="exact"/>
              <w:ind w:left="388"/>
              <w:rPr>
                <w:sz w:val="20"/>
                <w:szCs w:val="20"/>
              </w:rPr>
            </w:pPr>
            <w:r>
              <w:rPr>
                <w:position w:val="1"/>
                <w:sz w:val="20"/>
                <w:szCs w:val="20"/>
              </w:rPr>
              <w:t>8</w:t>
            </w:r>
          </w:p>
        </w:tc>
        <w:tc>
          <w:tcPr>
            <w:tcW w:w="2240" w:type="dxa"/>
            <w:vAlign w:val="top"/>
          </w:tcPr>
          <w:p w14:paraId="11E2386F">
            <w:pPr>
              <w:spacing w:line="257" w:lineRule="auto"/>
              <w:rPr>
                <w:rFonts w:ascii="Arial"/>
                <w:sz w:val="21"/>
              </w:rPr>
            </w:pPr>
          </w:p>
          <w:p w14:paraId="517006FB">
            <w:pPr>
              <w:spacing w:line="258" w:lineRule="auto"/>
              <w:rPr>
                <w:rFonts w:ascii="Arial"/>
                <w:sz w:val="21"/>
              </w:rPr>
            </w:pPr>
          </w:p>
          <w:p w14:paraId="4EED7125">
            <w:pPr>
              <w:spacing w:line="258" w:lineRule="auto"/>
              <w:rPr>
                <w:rFonts w:ascii="Arial"/>
                <w:sz w:val="21"/>
              </w:rPr>
            </w:pPr>
          </w:p>
          <w:p w14:paraId="1EAF5864">
            <w:pPr>
              <w:spacing w:line="258" w:lineRule="auto"/>
              <w:rPr>
                <w:rFonts w:ascii="Arial"/>
                <w:sz w:val="21"/>
              </w:rPr>
            </w:pPr>
          </w:p>
          <w:p w14:paraId="74E2CCAB">
            <w:pPr>
              <w:pStyle w:val="24"/>
              <w:spacing w:before="78" w:line="222" w:lineRule="auto"/>
              <w:ind w:left="177"/>
              <w:rPr>
                <w:sz w:val="24"/>
                <w:szCs w:val="24"/>
              </w:rPr>
            </w:pPr>
            <w:r>
              <w:rPr>
                <w:spacing w:val="-3"/>
                <w:sz w:val="24"/>
                <w:szCs w:val="24"/>
              </w:rPr>
              <w:t>紧急情况应对措施</w:t>
            </w:r>
          </w:p>
          <w:p w14:paraId="4CC4125B">
            <w:pPr>
              <w:pStyle w:val="24"/>
              <w:spacing w:before="149"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24D9AED">
            <w:pPr>
              <w:pStyle w:val="24"/>
              <w:spacing w:before="118" w:line="344" w:lineRule="auto"/>
              <w:ind w:left="124" w:right="111"/>
              <w:jc w:val="both"/>
              <w:rPr>
                <w:sz w:val="24"/>
                <w:szCs w:val="24"/>
              </w:rPr>
            </w:pPr>
            <w:r>
              <w:rPr>
                <w:spacing w:val="1"/>
                <w:sz w:val="24"/>
                <w:szCs w:val="24"/>
              </w:rPr>
              <w:t>根据供应商提供的紧急情况应对措施进行评审，方案中存在缺</w:t>
            </w:r>
            <w:r>
              <w:rPr>
                <w:spacing w:val="14"/>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0"/>
                <w:sz w:val="24"/>
                <w:szCs w:val="24"/>
              </w:rPr>
              <w:t xml:space="preserve"> </w:t>
            </w:r>
            <w:r>
              <w:rPr>
                <w:spacing w:val="-3"/>
                <w:sz w:val="24"/>
                <w:szCs w:val="24"/>
              </w:rPr>
              <w:t>处扣</w:t>
            </w:r>
            <w:r>
              <w:rPr>
                <w:spacing w:val="-32"/>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4"/>
                <w:sz w:val="24"/>
                <w:szCs w:val="24"/>
              </w:rPr>
              <w:t xml:space="preserve"> </w:t>
            </w:r>
            <w:r>
              <w:rPr>
                <w:spacing w:val="-3"/>
                <w:sz w:val="24"/>
                <w:szCs w:val="24"/>
              </w:rPr>
              <w:t>5</w:t>
            </w:r>
            <w:r>
              <w:rPr>
                <w:spacing w:val="-39"/>
                <w:sz w:val="24"/>
                <w:szCs w:val="24"/>
              </w:rPr>
              <w:t xml:space="preserve"> </w:t>
            </w:r>
            <w:r>
              <w:rPr>
                <w:spacing w:val="-3"/>
                <w:sz w:val="24"/>
                <w:szCs w:val="24"/>
              </w:rPr>
              <w:t>分，</w:t>
            </w:r>
            <w:r>
              <w:rPr>
                <w:spacing w:val="-4"/>
                <w:sz w:val="24"/>
                <w:szCs w:val="24"/>
              </w:rPr>
              <w:t>扣完为止。内容缺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sz w:val="21"/>
              </w:rPr>
            </w:pPr>
          </w:p>
          <w:p w14:paraId="33384565">
            <w:pPr>
              <w:spacing w:line="246" w:lineRule="auto"/>
              <w:rPr>
                <w:rFonts w:ascii="Arial"/>
                <w:sz w:val="21"/>
              </w:rPr>
            </w:pPr>
          </w:p>
          <w:p w14:paraId="6DBCE551">
            <w:pPr>
              <w:spacing w:line="246" w:lineRule="auto"/>
              <w:rPr>
                <w:rFonts w:ascii="Arial"/>
                <w:sz w:val="21"/>
              </w:rPr>
            </w:pPr>
          </w:p>
          <w:p w14:paraId="1D4602E5">
            <w:pPr>
              <w:spacing w:line="247" w:lineRule="auto"/>
              <w:rPr>
                <w:rFonts w:ascii="Arial"/>
                <w:sz w:val="21"/>
              </w:rPr>
            </w:pPr>
          </w:p>
          <w:p w14:paraId="38BBCE36">
            <w:pPr>
              <w:spacing w:line="247" w:lineRule="auto"/>
              <w:rPr>
                <w:rFonts w:ascii="Arial"/>
                <w:sz w:val="21"/>
              </w:rPr>
            </w:pPr>
          </w:p>
          <w:p w14:paraId="33280B9A">
            <w:pPr>
              <w:pStyle w:val="24"/>
              <w:spacing w:before="65" w:line="271" w:lineRule="exact"/>
              <w:ind w:left="388"/>
              <w:rPr>
                <w:sz w:val="20"/>
                <w:szCs w:val="20"/>
              </w:rPr>
            </w:pPr>
            <w:r>
              <w:rPr>
                <w:position w:val="1"/>
                <w:sz w:val="20"/>
                <w:szCs w:val="20"/>
              </w:rPr>
              <w:t>9</w:t>
            </w:r>
          </w:p>
        </w:tc>
        <w:tc>
          <w:tcPr>
            <w:tcW w:w="2240" w:type="dxa"/>
            <w:vAlign w:val="top"/>
          </w:tcPr>
          <w:p w14:paraId="6F536E41">
            <w:pPr>
              <w:spacing w:line="257" w:lineRule="auto"/>
              <w:rPr>
                <w:rFonts w:ascii="Arial"/>
                <w:sz w:val="21"/>
              </w:rPr>
            </w:pPr>
          </w:p>
          <w:p w14:paraId="1388403F">
            <w:pPr>
              <w:spacing w:line="257" w:lineRule="auto"/>
              <w:rPr>
                <w:rFonts w:ascii="Arial"/>
                <w:sz w:val="21"/>
              </w:rPr>
            </w:pPr>
          </w:p>
          <w:p w14:paraId="213DC6B6">
            <w:pPr>
              <w:spacing w:line="258" w:lineRule="auto"/>
              <w:rPr>
                <w:rFonts w:ascii="Arial"/>
                <w:sz w:val="21"/>
              </w:rPr>
            </w:pPr>
          </w:p>
          <w:p w14:paraId="053DA9AB">
            <w:pPr>
              <w:spacing w:line="258" w:lineRule="auto"/>
              <w:rPr>
                <w:rFonts w:ascii="Arial"/>
                <w:sz w:val="21"/>
              </w:rPr>
            </w:pPr>
          </w:p>
          <w:p w14:paraId="737BDC2A">
            <w:pPr>
              <w:pStyle w:val="24"/>
              <w:spacing w:before="78" w:line="339" w:lineRule="auto"/>
              <w:ind w:left="124" w:right="46" w:firstLine="50"/>
              <w:rPr>
                <w:sz w:val="24"/>
                <w:szCs w:val="24"/>
              </w:rPr>
            </w:pPr>
            <w:r>
              <w:rPr>
                <w:spacing w:val="-3"/>
                <w:sz w:val="24"/>
                <w:szCs w:val="24"/>
              </w:rPr>
              <w:t>成品保护和工程保</w:t>
            </w:r>
            <w:r>
              <w:rPr>
                <w:spacing w:val="1"/>
                <w:sz w:val="24"/>
                <w:szCs w:val="24"/>
              </w:rPr>
              <w:t xml:space="preserve">  </w:t>
            </w:r>
            <w:r>
              <w:rPr>
                <w:spacing w:val="-7"/>
                <w:sz w:val="24"/>
                <w:szCs w:val="24"/>
              </w:rPr>
              <w:t>修管理措施（5</w:t>
            </w:r>
            <w:r>
              <w:rPr>
                <w:spacing w:val="-34"/>
                <w:sz w:val="24"/>
                <w:szCs w:val="24"/>
              </w:rPr>
              <w:t xml:space="preserve"> </w:t>
            </w:r>
            <w:r>
              <w:rPr>
                <w:spacing w:val="-7"/>
                <w:sz w:val="24"/>
                <w:szCs w:val="24"/>
              </w:rPr>
              <w:t>分）</w:t>
            </w:r>
          </w:p>
        </w:tc>
        <w:tc>
          <w:tcPr>
            <w:tcW w:w="6768" w:type="dxa"/>
            <w:vAlign w:val="top"/>
          </w:tcPr>
          <w:p w14:paraId="107E9C7B">
            <w:pPr>
              <w:pStyle w:val="24"/>
              <w:spacing w:before="121" w:line="344" w:lineRule="auto"/>
              <w:ind w:left="123" w:right="111" w:firstLine="1"/>
              <w:jc w:val="both"/>
              <w:rPr>
                <w:sz w:val="24"/>
                <w:szCs w:val="24"/>
              </w:rPr>
            </w:pPr>
            <w:r>
              <w:rPr>
                <w:spacing w:val="1"/>
                <w:sz w:val="24"/>
                <w:szCs w:val="24"/>
              </w:rPr>
              <w:t>根据供应商提供的成品保护和工程保修管理措施进行评审，方</w:t>
            </w:r>
            <w:r>
              <w:rPr>
                <w:spacing w:val="15"/>
                <w:sz w:val="24"/>
                <w:szCs w:val="24"/>
              </w:rPr>
              <w:t xml:space="preserve"> </w:t>
            </w:r>
            <w:r>
              <w:rPr>
                <w:spacing w:val="-3"/>
                <w:sz w:val="24"/>
                <w:szCs w:val="24"/>
              </w:rPr>
              <w:t>案中存在缺陷的，每有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w:t>
            </w:r>
            <w:r>
              <w:rPr>
                <w:spacing w:val="-4"/>
                <w:sz w:val="24"/>
                <w:szCs w:val="24"/>
              </w:rPr>
              <w:t>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w:t>
            </w:r>
            <w:r>
              <w:rPr>
                <w:sz w:val="24"/>
                <w:szCs w:val="24"/>
              </w:rPr>
              <w:t xml:space="preserve"> </w:t>
            </w:r>
            <w:r>
              <w:rPr>
                <w:spacing w:val="1"/>
                <w:sz w:val="24"/>
                <w:szCs w:val="24"/>
              </w:rPr>
              <w:t>止。内容缺陷是指：非专门针对本项目或不适用项目特性的情</w:t>
            </w:r>
            <w:r>
              <w:rPr>
                <w:spacing w:val="16"/>
                <w:sz w:val="24"/>
                <w:szCs w:val="24"/>
              </w:rPr>
              <w:t xml:space="preserve"> </w:t>
            </w:r>
            <w:r>
              <w:rPr>
                <w:spacing w:val="1"/>
                <w:sz w:val="24"/>
                <w:szCs w:val="24"/>
              </w:rPr>
              <w:t>形、内容不完整或缺少关键节点、套用其他项目方案、内容前</w:t>
            </w:r>
            <w:r>
              <w:rPr>
                <w:spacing w:val="16"/>
                <w:sz w:val="24"/>
                <w:szCs w:val="24"/>
              </w:rPr>
              <w:t xml:space="preserve"> </w:t>
            </w:r>
            <w:r>
              <w:rPr>
                <w:spacing w:val="1"/>
                <w:sz w:val="24"/>
                <w:szCs w:val="24"/>
              </w:rPr>
              <w:t>后矛盾、涉及的规范或标准错误、不利于项目实施、不可能实</w:t>
            </w:r>
            <w:r>
              <w:rPr>
                <w:spacing w:val="16"/>
                <w:sz w:val="24"/>
                <w:szCs w:val="24"/>
              </w:rPr>
              <w:t xml:space="preserve"> </w:t>
            </w:r>
            <w:r>
              <w:rPr>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sz w:val="21"/>
              </w:rPr>
            </w:pPr>
          </w:p>
          <w:p w14:paraId="23E6A003">
            <w:pPr>
              <w:spacing w:line="246" w:lineRule="auto"/>
              <w:rPr>
                <w:rFonts w:ascii="Arial"/>
                <w:sz w:val="21"/>
              </w:rPr>
            </w:pPr>
          </w:p>
          <w:p w14:paraId="072E47BC">
            <w:pPr>
              <w:spacing w:line="246" w:lineRule="auto"/>
              <w:rPr>
                <w:rFonts w:ascii="Arial"/>
                <w:sz w:val="21"/>
              </w:rPr>
            </w:pPr>
          </w:p>
          <w:p w14:paraId="3068CC88">
            <w:pPr>
              <w:spacing w:line="247" w:lineRule="auto"/>
              <w:rPr>
                <w:rFonts w:ascii="Arial"/>
                <w:sz w:val="21"/>
              </w:rPr>
            </w:pPr>
          </w:p>
          <w:p w14:paraId="65EC2419">
            <w:pPr>
              <w:spacing w:line="247" w:lineRule="auto"/>
              <w:rPr>
                <w:rFonts w:ascii="Arial"/>
                <w:sz w:val="21"/>
              </w:rPr>
            </w:pPr>
          </w:p>
          <w:p w14:paraId="00589042">
            <w:pPr>
              <w:pStyle w:val="24"/>
              <w:spacing w:before="65" w:line="270" w:lineRule="exact"/>
              <w:ind w:left="352"/>
              <w:rPr>
                <w:sz w:val="20"/>
                <w:szCs w:val="20"/>
              </w:rPr>
            </w:pPr>
            <w:r>
              <w:rPr>
                <w:spacing w:val="-7"/>
                <w:position w:val="1"/>
                <w:sz w:val="20"/>
                <w:szCs w:val="20"/>
              </w:rPr>
              <w:t>10</w:t>
            </w:r>
          </w:p>
        </w:tc>
        <w:tc>
          <w:tcPr>
            <w:tcW w:w="2240" w:type="dxa"/>
            <w:vAlign w:val="top"/>
          </w:tcPr>
          <w:p w14:paraId="71D7535A">
            <w:pPr>
              <w:spacing w:line="271" w:lineRule="auto"/>
              <w:rPr>
                <w:rFonts w:ascii="Arial"/>
                <w:sz w:val="21"/>
              </w:rPr>
            </w:pPr>
          </w:p>
          <w:p w14:paraId="59B4C7AE">
            <w:pPr>
              <w:spacing w:line="271" w:lineRule="auto"/>
              <w:rPr>
                <w:rFonts w:ascii="Arial"/>
                <w:sz w:val="21"/>
              </w:rPr>
            </w:pPr>
          </w:p>
          <w:p w14:paraId="2A427929">
            <w:pPr>
              <w:spacing w:line="271" w:lineRule="auto"/>
              <w:rPr>
                <w:rFonts w:ascii="Arial"/>
                <w:sz w:val="21"/>
              </w:rPr>
            </w:pPr>
          </w:p>
          <w:p w14:paraId="2D73C0C2">
            <w:pPr>
              <w:pStyle w:val="24"/>
              <w:spacing w:before="78" w:line="222" w:lineRule="auto"/>
              <w:ind w:left="172"/>
              <w:rPr>
                <w:sz w:val="24"/>
                <w:szCs w:val="24"/>
              </w:rPr>
            </w:pPr>
            <w:r>
              <w:rPr>
                <w:spacing w:val="-3"/>
                <w:sz w:val="24"/>
                <w:szCs w:val="24"/>
              </w:rPr>
              <w:t>对本工程的重点难</w:t>
            </w:r>
          </w:p>
          <w:p w14:paraId="0BBB13AE">
            <w:pPr>
              <w:pStyle w:val="24"/>
              <w:spacing w:before="149" w:line="222" w:lineRule="auto"/>
              <w:ind w:left="244"/>
              <w:rPr>
                <w:sz w:val="24"/>
                <w:szCs w:val="24"/>
              </w:rPr>
            </w:pPr>
            <w:r>
              <w:rPr>
                <w:spacing w:val="-4"/>
                <w:sz w:val="24"/>
                <w:szCs w:val="24"/>
              </w:rPr>
              <w:t>点分析及对策（8</w:t>
            </w:r>
          </w:p>
          <w:p w14:paraId="2D3F348F">
            <w:pPr>
              <w:pStyle w:val="24"/>
              <w:spacing w:before="150" w:line="224" w:lineRule="auto"/>
              <w:ind w:left="893"/>
              <w:rPr>
                <w:sz w:val="24"/>
                <w:szCs w:val="24"/>
              </w:rPr>
            </w:pPr>
            <w:r>
              <w:rPr>
                <w:spacing w:val="-10"/>
                <w:sz w:val="24"/>
                <w:szCs w:val="24"/>
              </w:rPr>
              <w:t>分）</w:t>
            </w:r>
          </w:p>
        </w:tc>
        <w:tc>
          <w:tcPr>
            <w:tcW w:w="6768" w:type="dxa"/>
            <w:vAlign w:val="top"/>
          </w:tcPr>
          <w:p w14:paraId="6E329959">
            <w:pPr>
              <w:pStyle w:val="24"/>
              <w:spacing w:before="114" w:line="345" w:lineRule="auto"/>
              <w:ind w:left="126" w:right="114" w:hanging="1"/>
              <w:jc w:val="both"/>
              <w:rPr>
                <w:sz w:val="24"/>
                <w:szCs w:val="24"/>
              </w:rPr>
            </w:pPr>
            <w:r>
              <w:rPr>
                <w:spacing w:val="1"/>
                <w:sz w:val="24"/>
                <w:szCs w:val="24"/>
              </w:rPr>
              <w:t>根据供应商提供的对本工程的重点难点分析及对策进行评审，</w:t>
            </w:r>
            <w:r>
              <w:rPr>
                <w:spacing w:val="15"/>
                <w:sz w:val="24"/>
                <w:szCs w:val="24"/>
              </w:rPr>
              <w:t xml:space="preserve"> </w:t>
            </w:r>
            <w:r>
              <w:rPr>
                <w:spacing w:val="-1"/>
                <w:sz w:val="24"/>
                <w:szCs w:val="24"/>
              </w:rPr>
              <w:t>方案中存在缺陷的，每有</w:t>
            </w:r>
            <w:r>
              <w:rPr>
                <w:spacing w:val="-21"/>
                <w:sz w:val="24"/>
                <w:szCs w:val="24"/>
              </w:rPr>
              <w:t xml:space="preserve"> </w:t>
            </w:r>
            <w:r>
              <w:rPr>
                <w:spacing w:val="-1"/>
                <w:sz w:val="24"/>
                <w:szCs w:val="24"/>
              </w:rPr>
              <w:t>1</w:t>
            </w:r>
            <w:r>
              <w:rPr>
                <w:spacing w:val="-41"/>
                <w:sz w:val="24"/>
                <w:szCs w:val="24"/>
              </w:rPr>
              <w:t xml:space="preserve"> </w:t>
            </w:r>
            <w:r>
              <w:rPr>
                <w:spacing w:val="-1"/>
                <w:sz w:val="24"/>
                <w:szCs w:val="24"/>
              </w:rPr>
              <w:t>处扣</w:t>
            </w:r>
            <w:r>
              <w:rPr>
                <w:spacing w:val="-31"/>
                <w:sz w:val="24"/>
                <w:szCs w:val="24"/>
              </w:rPr>
              <w:t xml:space="preserve"> </w:t>
            </w:r>
            <w:r>
              <w:rPr>
                <w:spacing w:val="-1"/>
                <w:sz w:val="24"/>
                <w:szCs w:val="24"/>
              </w:rPr>
              <w:t>1</w:t>
            </w:r>
            <w:r>
              <w:rPr>
                <w:spacing w:val="-39"/>
                <w:sz w:val="24"/>
                <w:szCs w:val="24"/>
              </w:rPr>
              <w:t xml:space="preserve"> </w:t>
            </w:r>
            <w:r>
              <w:rPr>
                <w:spacing w:val="-1"/>
                <w:sz w:val="24"/>
                <w:szCs w:val="24"/>
              </w:rPr>
              <w:t>分，每项最多扣8</w:t>
            </w:r>
            <w:r>
              <w:rPr>
                <w:spacing w:val="-41"/>
                <w:sz w:val="24"/>
                <w:szCs w:val="24"/>
              </w:rPr>
              <w:t xml:space="preserve"> </w:t>
            </w:r>
            <w:r>
              <w:rPr>
                <w:spacing w:val="-1"/>
                <w:sz w:val="24"/>
                <w:szCs w:val="24"/>
              </w:rPr>
              <w:t>分，扣完</w:t>
            </w:r>
            <w:r>
              <w:rPr>
                <w:sz w:val="24"/>
                <w:szCs w:val="24"/>
              </w:rPr>
              <w:t xml:space="preserve"> </w:t>
            </w:r>
            <w:r>
              <w:rPr>
                <w:spacing w:val="1"/>
                <w:sz w:val="24"/>
                <w:szCs w:val="24"/>
              </w:rPr>
              <w:t>为止。内容缺陷是指：非专门针对本项目或不适用项目特性的</w:t>
            </w:r>
            <w:r>
              <w:rPr>
                <w:spacing w:val="13"/>
                <w:sz w:val="24"/>
                <w:szCs w:val="24"/>
              </w:rPr>
              <w:t xml:space="preserve"> </w:t>
            </w:r>
            <w:r>
              <w:rPr>
                <w:spacing w:val="1"/>
                <w:sz w:val="24"/>
                <w:szCs w:val="24"/>
              </w:rPr>
              <w:t>情形、内容不完整或缺少关键节点、套用其他项目方案、内容</w:t>
            </w:r>
            <w:r>
              <w:rPr>
                <w:spacing w:val="13"/>
                <w:sz w:val="24"/>
                <w:szCs w:val="24"/>
              </w:rPr>
              <w:t xml:space="preserve"> </w:t>
            </w:r>
            <w:r>
              <w:rPr>
                <w:spacing w:val="1"/>
                <w:sz w:val="24"/>
                <w:szCs w:val="24"/>
              </w:rPr>
              <w:t>前后矛盾、涉及的规范或标准错误、不利于项目实施、不可能</w:t>
            </w:r>
            <w:r>
              <w:rPr>
                <w:spacing w:val="13"/>
                <w:sz w:val="24"/>
                <w:szCs w:val="24"/>
              </w:rPr>
              <w:t xml:space="preserve"> </w:t>
            </w:r>
            <w:r>
              <w:rPr>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sz w:val="21"/>
              </w:rPr>
            </w:pPr>
          </w:p>
          <w:p w14:paraId="75310DD0">
            <w:pPr>
              <w:spacing w:line="245" w:lineRule="auto"/>
              <w:rPr>
                <w:rFonts w:ascii="Arial"/>
                <w:sz w:val="21"/>
              </w:rPr>
            </w:pPr>
          </w:p>
          <w:p w14:paraId="479DF65C">
            <w:pPr>
              <w:spacing w:line="246" w:lineRule="auto"/>
              <w:rPr>
                <w:rFonts w:ascii="Arial"/>
                <w:sz w:val="21"/>
              </w:rPr>
            </w:pPr>
          </w:p>
          <w:p w14:paraId="2484FFF0">
            <w:pPr>
              <w:spacing w:line="246" w:lineRule="auto"/>
              <w:rPr>
                <w:rFonts w:ascii="Arial"/>
                <w:sz w:val="21"/>
              </w:rPr>
            </w:pPr>
          </w:p>
          <w:p w14:paraId="6248E2E7">
            <w:pPr>
              <w:spacing w:line="246" w:lineRule="auto"/>
              <w:rPr>
                <w:rFonts w:ascii="Arial"/>
                <w:sz w:val="21"/>
              </w:rPr>
            </w:pPr>
          </w:p>
          <w:p w14:paraId="3F990F49">
            <w:pPr>
              <w:pStyle w:val="24"/>
              <w:spacing w:before="65" w:line="272" w:lineRule="exact"/>
              <w:ind w:left="352"/>
              <w:rPr>
                <w:sz w:val="20"/>
                <w:szCs w:val="20"/>
              </w:rPr>
            </w:pPr>
            <w:r>
              <w:rPr>
                <w:spacing w:val="-7"/>
                <w:position w:val="1"/>
                <w:sz w:val="20"/>
                <w:szCs w:val="20"/>
              </w:rPr>
              <w:t>11</w:t>
            </w:r>
          </w:p>
        </w:tc>
        <w:tc>
          <w:tcPr>
            <w:tcW w:w="2240" w:type="dxa"/>
            <w:vAlign w:val="top"/>
          </w:tcPr>
          <w:p w14:paraId="22C273F0">
            <w:pPr>
              <w:spacing w:line="270" w:lineRule="auto"/>
              <w:rPr>
                <w:rFonts w:ascii="Arial"/>
                <w:sz w:val="21"/>
              </w:rPr>
            </w:pPr>
          </w:p>
          <w:p w14:paraId="384C5C55">
            <w:pPr>
              <w:spacing w:line="270" w:lineRule="auto"/>
              <w:rPr>
                <w:rFonts w:ascii="Arial"/>
                <w:sz w:val="21"/>
              </w:rPr>
            </w:pPr>
          </w:p>
          <w:p w14:paraId="61044303">
            <w:pPr>
              <w:spacing w:line="270" w:lineRule="auto"/>
              <w:rPr>
                <w:rFonts w:ascii="Arial"/>
                <w:sz w:val="21"/>
              </w:rPr>
            </w:pPr>
          </w:p>
          <w:p w14:paraId="3CBE6EA0">
            <w:pPr>
              <w:pStyle w:val="24"/>
              <w:spacing w:before="78" w:line="222" w:lineRule="auto"/>
              <w:ind w:left="170"/>
              <w:rPr>
                <w:sz w:val="24"/>
                <w:szCs w:val="24"/>
              </w:rPr>
            </w:pPr>
            <w:r>
              <w:rPr>
                <w:spacing w:val="-2"/>
                <w:sz w:val="24"/>
                <w:szCs w:val="24"/>
              </w:rPr>
              <w:t>新技术、新产品、</w:t>
            </w:r>
          </w:p>
          <w:p w14:paraId="22B7A973">
            <w:pPr>
              <w:pStyle w:val="24"/>
              <w:spacing w:before="150" w:line="220" w:lineRule="auto"/>
              <w:ind w:left="170"/>
              <w:rPr>
                <w:sz w:val="24"/>
                <w:szCs w:val="24"/>
              </w:rPr>
            </w:pPr>
            <w:r>
              <w:rPr>
                <w:spacing w:val="-2"/>
                <w:sz w:val="24"/>
                <w:szCs w:val="24"/>
              </w:rPr>
              <w:t>新工艺、新材料应</w:t>
            </w:r>
          </w:p>
          <w:p w14:paraId="56D825D1">
            <w:pPr>
              <w:pStyle w:val="24"/>
              <w:spacing w:before="155" w:line="224" w:lineRule="auto"/>
              <w:ind w:left="562"/>
              <w:rPr>
                <w:sz w:val="24"/>
                <w:szCs w:val="24"/>
              </w:rPr>
            </w:pPr>
            <w:r>
              <w:rPr>
                <w:spacing w:val="-7"/>
                <w:sz w:val="24"/>
                <w:szCs w:val="24"/>
              </w:rPr>
              <w:t>用（4</w:t>
            </w:r>
            <w:r>
              <w:rPr>
                <w:spacing w:val="-42"/>
                <w:sz w:val="24"/>
                <w:szCs w:val="24"/>
              </w:rPr>
              <w:t xml:space="preserve"> </w:t>
            </w:r>
            <w:r>
              <w:rPr>
                <w:spacing w:val="-7"/>
                <w:sz w:val="24"/>
                <w:szCs w:val="24"/>
              </w:rPr>
              <w:t>分）</w:t>
            </w:r>
          </w:p>
        </w:tc>
        <w:tc>
          <w:tcPr>
            <w:tcW w:w="6768" w:type="dxa"/>
            <w:vAlign w:val="top"/>
          </w:tcPr>
          <w:p w14:paraId="151450E5">
            <w:pPr>
              <w:pStyle w:val="24"/>
              <w:spacing w:before="117" w:line="344" w:lineRule="auto"/>
              <w:ind w:left="125" w:right="46"/>
              <w:rPr>
                <w:sz w:val="24"/>
                <w:szCs w:val="24"/>
              </w:rPr>
            </w:pPr>
            <w:r>
              <w:rPr>
                <w:spacing w:val="1"/>
                <w:sz w:val="24"/>
                <w:szCs w:val="24"/>
              </w:rPr>
              <w:t>根据供应商提供的新技术、新产品、新工艺、新材料应用进行</w:t>
            </w:r>
            <w:r>
              <w:rPr>
                <w:spacing w:val="17"/>
                <w:sz w:val="24"/>
                <w:szCs w:val="24"/>
              </w:rPr>
              <w:t xml:space="preserve"> </w:t>
            </w:r>
            <w:r>
              <w:rPr>
                <w:spacing w:val="-6"/>
                <w:sz w:val="24"/>
                <w:szCs w:val="24"/>
              </w:rPr>
              <w:t>评审，方案中存在缺陷的，每有</w:t>
            </w:r>
            <w:r>
              <w:rPr>
                <w:spacing w:val="-34"/>
                <w:sz w:val="24"/>
                <w:szCs w:val="24"/>
              </w:rPr>
              <w:t xml:space="preserve"> </w:t>
            </w:r>
            <w:r>
              <w:rPr>
                <w:spacing w:val="-6"/>
                <w:sz w:val="24"/>
                <w:szCs w:val="24"/>
              </w:rPr>
              <w:t>1</w:t>
            </w:r>
            <w:r>
              <w:rPr>
                <w:spacing w:val="-43"/>
                <w:sz w:val="24"/>
                <w:szCs w:val="24"/>
              </w:rPr>
              <w:t xml:space="preserve"> </w:t>
            </w:r>
            <w:r>
              <w:rPr>
                <w:spacing w:val="-6"/>
                <w:sz w:val="24"/>
                <w:szCs w:val="24"/>
              </w:rPr>
              <w:t>处扣</w:t>
            </w:r>
            <w:r>
              <w:rPr>
                <w:spacing w:val="-34"/>
                <w:sz w:val="24"/>
                <w:szCs w:val="24"/>
              </w:rPr>
              <w:t xml:space="preserve"> </w:t>
            </w:r>
            <w:r>
              <w:rPr>
                <w:spacing w:val="-6"/>
                <w:sz w:val="24"/>
                <w:szCs w:val="24"/>
              </w:rPr>
              <w:t>1</w:t>
            </w:r>
            <w:r>
              <w:rPr>
                <w:spacing w:val="-41"/>
                <w:sz w:val="24"/>
                <w:szCs w:val="24"/>
              </w:rPr>
              <w:t xml:space="preserve"> </w:t>
            </w:r>
            <w:r>
              <w:rPr>
                <w:spacing w:val="-6"/>
                <w:sz w:val="24"/>
                <w:szCs w:val="24"/>
              </w:rPr>
              <w:t>分</w:t>
            </w:r>
            <w:r>
              <w:rPr>
                <w:spacing w:val="-7"/>
                <w:sz w:val="24"/>
                <w:szCs w:val="24"/>
              </w:rPr>
              <w:t>，每项最多扣4</w:t>
            </w:r>
            <w:r>
              <w:rPr>
                <w:spacing w:val="-42"/>
                <w:sz w:val="24"/>
                <w:szCs w:val="24"/>
              </w:rPr>
              <w:t xml:space="preserve"> </w:t>
            </w:r>
            <w:r>
              <w:rPr>
                <w:spacing w:val="-7"/>
                <w:sz w:val="24"/>
                <w:szCs w:val="24"/>
              </w:rPr>
              <w:t>分，</w:t>
            </w:r>
            <w:r>
              <w:rPr>
                <w:sz w:val="24"/>
                <w:szCs w:val="24"/>
              </w:rPr>
              <w:t xml:space="preserve"> </w:t>
            </w:r>
            <w:r>
              <w:rPr>
                <w:spacing w:val="1"/>
                <w:sz w:val="24"/>
                <w:szCs w:val="24"/>
              </w:rPr>
              <w:t>扣完为止。内容缺陷是指：非专门针对本项目或不适用项目特</w:t>
            </w:r>
            <w:r>
              <w:rPr>
                <w:spacing w:val="14"/>
                <w:sz w:val="24"/>
                <w:szCs w:val="24"/>
              </w:rPr>
              <w:t xml:space="preserve"> </w:t>
            </w:r>
            <w:r>
              <w:rPr>
                <w:spacing w:val="3"/>
                <w:sz w:val="24"/>
                <w:szCs w:val="24"/>
              </w:rPr>
              <w:t>性的情形、内容不完整或缺少关键节点、套用其</w:t>
            </w:r>
            <w:r>
              <w:rPr>
                <w:spacing w:val="2"/>
                <w:sz w:val="24"/>
                <w:szCs w:val="24"/>
              </w:rPr>
              <w:t>他项目方案、</w:t>
            </w:r>
            <w:r>
              <w:rPr>
                <w:sz w:val="24"/>
                <w:szCs w:val="24"/>
              </w:rPr>
              <w:t xml:space="preserve"> </w:t>
            </w:r>
            <w:r>
              <w:rPr>
                <w:spacing w:val="1"/>
                <w:sz w:val="24"/>
                <w:szCs w:val="24"/>
              </w:rPr>
              <w:t>内容前后矛盾、涉及的规范或标准错误、不利于项目实施、不</w:t>
            </w:r>
            <w:r>
              <w:rPr>
                <w:spacing w:val="14"/>
                <w:sz w:val="24"/>
                <w:szCs w:val="24"/>
              </w:rPr>
              <w:t xml:space="preserve"> </w:t>
            </w:r>
            <w:r>
              <w:rPr>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sz w:val="21"/>
              </w:rPr>
            </w:pPr>
          </w:p>
          <w:p w14:paraId="1BBAF190">
            <w:pPr>
              <w:spacing w:line="267" w:lineRule="auto"/>
              <w:rPr>
                <w:rFonts w:ascii="Arial"/>
                <w:sz w:val="21"/>
              </w:rPr>
            </w:pPr>
          </w:p>
          <w:p w14:paraId="4590D75B">
            <w:pPr>
              <w:pStyle w:val="24"/>
              <w:spacing w:before="65" w:line="272" w:lineRule="exact"/>
              <w:ind w:left="352"/>
              <w:rPr>
                <w:sz w:val="20"/>
                <w:szCs w:val="20"/>
              </w:rPr>
            </w:pPr>
            <w:r>
              <w:rPr>
                <w:spacing w:val="-7"/>
                <w:position w:val="1"/>
                <w:sz w:val="20"/>
                <w:szCs w:val="20"/>
              </w:rPr>
              <w:t>12</w:t>
            </w:r>
          </w:p>
        </w:tc>
        <w:tc>
          <w:tcPr>
            <w:tcW w:w="2240" w:type="dxa"/>
            <w:vAlign w:val="top"/>
          </w:tcPr>
          <w:p w14:paraId="0B305792">
            <w:pPr>
              <w:spacing w:line="351" w:lineRule="auto"/>
              <w:rPr>
                <w:rFonts w:ascii="Arial"/>
                <w:sz w:val="21"/>
              </w:rPr>
            </w:pPr>
          </w:p>
          <w:p w14:paraId="053E8920">
            <w:pPr>
              <w:pStyle w:val="24"/>
              <w:spacing w:before="78" w:line="223" w:lineRule="auto"/>
              <w:ind w:left="653"/>
              <w:rPr>
                <w:sz w:val="24"/>
                <w:szCs w:val="24"/>
              </w:rPr>
            </w:pPr>
            <w:r>
              <w:rPr>
                <w:spacing w:val="-5"/>
                <w:sz w:val="24"/>
                <w:szCs w:val="24"/>
              </w:rPr>
              <w:t>类似业绩</w:t>
            </w:r>
          </w:p>
          <w:p w14:paraId="3708695E">
            <w:pPr>
              <w:pStyle w:val="24"/>
              <w:spacing w:before="21"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756AFF3">
            <w:pPr>
              <w:pStyle w:val="24"/>
              <w:spacing w:before="118" w:line="329" w:lineRule="auto"/>
              <w:ind w:left="120" w:right="114" w:firstLine="9"/>
              <w:jc w:val="both"/>
              <w:rPr>
                <w:sz w:val="24"/>
                <w:szCs w:val="24"/>
              </w:rPr>
            </w:pPr>
            <w:r>
              <w:rPr>
                <w:spacing w:val="-5"/>
                <w:sz w:val="24"/>
                <w:szCs w:val="24"/>
              </w:rPr>
              <w:t>（2021</w:t>
            </w:r>
            <w:r>
              <w:rPr>
                <w:spacing w:val="-35"/>
                <w:sz w:val="24"/>
                <w:szCs w:val="24"/>
              </w:rPr>
              <w:t xml:space="preserve"> </w:t>
            </w:r>
            <w:r>
              <w:rPr>
                <w:spacing w:val="-5"/>
                <w:sz w:val="24"/>
                <w:szCs w:val="24"/>
              </w:rPr>
              <w:t>年</w:t>
            </w:r>
            <w:r>
              <w:rPr>
                <w:spacing w:val="-50"/>
                <w:sz w:val="24"/>
                <w:szCs w:val="24"/>
              </w:rPr>
              <w:t xml:space="preserve"> </w:t>
            </w:r>
            <w:r>
              <w:rPr>
                <w:spacing w:val="-5"/>
                <w:sz w:val="24"/>
                <w:szCs w:val="24"/>
              </w:rPr>
              <w:t>01</w:t>
            </w:r>
            <w:r>
              <w:rPr>
                <w:spacing w:val="-33"/>
                <w:sz w:val="24"/>
                <w:szCs w:val="24"/>
              </w:rPr>
              <w:t xml:space="preserve"> </w:t>
            </w:r>
            <w:r>
              <w:rPr>
                <w:spacing w:val="-5"/>
                <w:sz w:val="24"/>
                <w:szCs w:val="24"/>
              </w:rPr>
              <w:t>月</w:t>
            </w:r>
            <w:r>
              <w:rPr>
                <w:spacing w:val="-49"/>
                <w:sz w:val="24"/>
                <w:szCs w:val="24"/>
              </w:rPr>
              <w:t xml:space="preserve"> </w:t>
            </w:r>
            <w:r>
              <w:rPr>
                <w:spacing w:val="-5"/>
                <w:sz w:val="24"/>
                <w:szCs w:val="24"/>
              </w:rPr>
              <w:t>01 日至今）已完成的类似业绩。每提供一个得</w:t>
            </w:r>
            <w:r>
              <w:rPr>
                <w:sz w:val="24"/>
                <w:szCs w:val="24"/>
              </w:rPr>
              <w:t xml:space="preserve"> </w:t>
            </w:r>
            <w:r>
              <w:rPr>
                <w:spacing w:val="-2"/>
                <w:sz w:val="24"/>
                <w:szCs w:val="24"/>
              </w:rPr>
              <w:t>2.5</w:t>
            </w:r>
            <w:r>
              <w:rPr>
                <w:spacing w:val="-42"/>
                <w:sz w:val="24"/>
                <w:szCs w:val="24"/>
              </w:rPr>
              <w:t xml:space="preserve"> </w:t>
            </w:r>
            <w:r>
              <w:rPr>
                <w:spacing w:val="-2"/>
                <w:sz w:val="24"/>
                <w:szCs w:val="24"/>
              </w:rPr>
              <w:t>分，最高不超过</w:t>
            </w:r>
            <w:r>
              <w:rPr>
                <w:spacing w:val="-46"/>
                <w:sz w:val="24"/>
                <w:szCs w:val="24"/>
              </w:rPr>
              <w:t xml:space="preserve"> </w:t>
            </w:r>
            <w:r>
              <w:rPr>
                <w:spacing w:val="-2"/>
                <w:sz w:val="24"/>
                <w:szCs w:val="24"/>
              </w:rPr>
              <w:t>5</w:t>
            </w:r>
            <w:r>
              <w:rPr>
                <w:spacing w:val="-42"/>
                <w:sz w:val="24"/>
                <w:szCs w:val="24"/>
              </w:rPr>
              <w:t xml:space="preserve"> </w:t>
            </w:r>
            <w:r>
              <w:rPr>
                <w:spacing w:val="-2"/>
                <w:sz w:val="24"/>
                <w:szCs w:val="24"/>
              </w:rPr>
              <w:t>分。需提供合同签订的首页、</w:t>
            </w:r>
            <w:r>
              <w:rPr>
                <w:spacing w:val="-3"/>
                <w:sz w:val="24"/>
                <w:szCs w:val="24"/>
              </w:rPr>
              <w:t>合同 金额</w:t>
            </w:r>
            <w:r>
              <w:rPr>
                <w:sz w:val="24"/>
                <w:szCs w:val="24"/>
              </w:rPr>
              <w:t xml:space="preserve"> </w:t>
            </w:r>
            <w:r>
              <w:rPr>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7" w:name="_Toc755"/>
      <w:bookmarkStart w:id="18" w:name="_Toc20535"/>
      <w:bookmarkStart w:id="19" w:name="_Toc7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吴堡县农业农村局</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吴堡县新建街155号</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吴堡县农业农村局千村光伏项目水土保持工程</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合同签订开工后支付合同价的40%作为预付款，之后按工程进度付款，工程完工后支付至合同价款的80%，待工程竣工验收评审后，剩余工程款一次性付清（以最终评审审计价为准）。</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F7DB992">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147631C">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8FD11E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20" w:name="_Toc7408"/>
      <w:bookmarkStart w:id="21" w:name="_Toc264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5"/>
      <w:bookmarkEnd w:id="22"/>
      <w:bookmarkStart w:id="23" w:name="bookmark12"/>
      <w:bookmarkEnd w:id="23"/>
    </w:p>
    <w:p w14:paraId="7C9EF3A5">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5155E55D">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r>
        <w:rPr>
          <w:rFonts w:hint="eastAsia" w:ascii="宋体" w:hAnsi="宋体" w:eastAsia="宋体" w:cs="宋体"/>
          <w:b w:val="0"/>
          <w:bCs/>
          <w:sz w:val="52"/>
          <w:szCs w:val="52"/>
          <w:lang w:val="en-US" w:eastAsia="zh-CN"/>
        </w:rPr>
        <w:t>建设工程施工</w:t>
      </w:r>
      <w:r>
        <w:rPr>
          <w:rFonts w:hint="eastAsia" w:ascii="宋体" w:hAnsi="宋体" w:eastAsia="宋体" w:cs="宋体"/>
          <w:b w:val="0"/>
          <w:bCs/>
          <w:sz w:val="52"/>
          <w:szCs w:val="52"/>
        </w:rPr>
        <w:t>合同</w:t>
      </w:r>
    </w:p>
    <w:p w14:paraId="41D49513">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p>
    <w:p w14:paraId="2A695714">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2D5CC159">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3359A149">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36A0F0EE">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5D65BCBE">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5531204C">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2D10D889">
      <w:pPr>
        <w:keepNext w:val="0"/>
        <w:keepLines w:val="0"/>
        <w:pageBreakBefore w:val="0"/>
        <w:kinsoku/>
        <w:wordWrap w:val="0"/>
        <w:overflowPunct/>
        <w:topLinePunct/>
        <w:autoSpaceDE/>
        <w:autoSpaceDN/>
        <w:bidi w:val="0"/>
        <w:spacing w:line="720" w:lineRule="auto"/>
        <w:ind w:firstLine="1280" w:firstLineChars="400"/>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发包人：</w:t>
      </w:r>
    </w:p>
    <w:p w14:paraId="0B2C8562">
      <w:pPr>
        <w:keepNext w:val="0"/>
        <w:keepLines w:val="0"/>
        <w:pageBreakBefore w:val="0"/>
        <w:kinsoku/>
        <w:wordWrap w:val="0"/>
        <w:overflowPunct/>
        <w:topLinePunct/>
        <w:autoSpaceDE/>
        <w:autoSpaceDN/>
        <w:bidi w:val="0"/>
        <w:spacing w:line="720" w:lineRule="auto"/>
        <w:ind w:firstLine="1280" w:firstLineChars="400"/>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承包人：</w:t>
      </w:r>
    </w:p>
    <w:p w14:paraId="6CFE1889">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p>
    <w:p w14:paraId="1740BA68">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lang w:val="en-US" w:eastAsia="zh-CN"/>
        </w:rPr>
        <w:sectPr>
          <w:pgSz w:w="11906" w:h="16838"/>
          <w:pgMar w:top="1417" w:right="1417" w:bottom="1417" w:left="1417" w:header="851" w:footer="992" w:gutter="0"/>
          <w:pgNumType w:fmt="decimal"/>
          <w:cols w:space="720" w:num="1"/>
          <w:titlePg/>
          <w:rtlGutter w:val="0"/>
          <w:docGrid w:type="linesAndChars" w:linePitch="312" w:charSpace="0"/>
        </w:sectPr>
      </w:pPr>
      <w:r>
        <w:rPr>
          <w:rFonts w:hint="eastAsia" w:ascii="宋体" w:hAnsi="宋体" w:eastAsia="宋体" w:cs="宋体"/>
          <w:sz w:val="44"/>
          <w:szCs w:val="44"/>
          <w:lang w:val="en-US" w:eastAsia="zh-CN"/>
        </w:rPr>
        <w:t>年 月 日</w:t>
      </w:r>
    </w:p>
    <w:p w14:paraId="4E9A3BCB">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第一部分 合同协议书</w:t>
      </w:r>
    </w:p>
    <w:p w14:paraId="617CAEBE">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0"/>
          <w:szCs w:val="20"/>
        </w:rPr>
      </w:pPr>
      <w:bookmarkStart w:id="24" w:name="_Toc351203494"/>
    </w:p>
    <w:p w14:paraId="21A17E7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u w:val="single"/>
        </w:rPr>
      </w:pPr>
      <w:r>
        <w:rPr>
          <w:rFonts w:hint="eastAsia" w:ascii="宋体" w:hAnsi="宋体" w:eastAsia="宋体" w:cs="宋体"/>
          <w:b/>
          <w:color w:val="000000"/>
          <w:sz w:val="21"/>
          <w:szCs w:val="21"/>
        </w:rPr>
        <w:t>发包人（全称）：</w:t>
      </w:r>
      <w:r>
        <w:rPr>
          <w:rFonts w:hint="eastAsia" w:ascii="宋体" w:hAnsi="宋体" w:eastAsia="宋体" w:cs="宋体"/>
          <w:b/>
          <w:color w:val="000000"/>
          <w:sz w:val="21"/>
          <w:szCs w:val="21"/>
          <w:u w:val="single"/>
        </w:rPr>
        <w:t xml:space="preserve"> </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b/>
          <w:color w:val="000000"/>
          <w:sz w:val="21"/>
          <w:szCs w:val="21"/>
          <w:u w:val="single"/>
        </w:rPr>
        <w:t></w:t>
      </w:r>
    </w:p>
    <w:p w14:paraId="3E2C3DA2">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u w:val="single"/>
          <w:lang w:val="en-US" w:eastAsia="zh-CN"/>
        </w:rPr>
      </w:pPr>
      <w:r>
        <w:rPr>
          <w:rFonts w:hint="eastAsia" w:ascii="宋体" w:hAnsi="宋体" w:eastAsia="宋体" w:cs="宋体"/>
          <w:b/>
          <w:color w:val="000000"/>
          <w:sz w:val="21"/>
          <w:szCs w:val="21"/>
        </w:rPr>
        <w:t>承包人（全称）：</w:t>
      </w:r>
      <w:r>
        <w:rPr>
          <w:rFonts w:hint="eastAsia" w:ascii="宋体" w:hAnsi="宋体" w:eastAsia="宋体" w:cs="宋体"/>
          <w:b/>
          <w:color w:val="000000"/>
          <w:sz w:val="21"/>
          <w:szCs w:val="21"/>
          <w:u w:val="single"/>
        </w:rPr>
        <w:t xml:space="preserve">  </w:t>
      </w:r>
      <w:r>
        <w:rPr>
          <w:rFonts w:hint="eastAsia" w:ascii="宋体" w:hAnsi="宋体" w:eastAsia="宋体" w:cs="宋体"/>
          <w:b/>
          <w:color w:val="000000"/>
          <w:sz w:val="21"/>
          <w:szCs w:val="21"/>
          <w:u w:val="single"/>
          <w:lang w:val="en-US" w:eastAsia="zh-CN"/>
        </w:rPr>
        <w:t xml:space="preserve">                                    </w:t>
      </w:r>
    </w:p>
    <w:p w14:paraId="17732CCD">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根据《中华人民共和国民法典》、《中华人民共和国建筑法》及有关法律规定，遵循平等、自愿、公平和诚实信用的原则，双方就</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color w:val="000000"/>
          <w:sz w:val="21"/>
          <w:szCs w:val="21"/>
          <w:u w:val="single"/>
        </w:rPr>
        <w:t>项目</w:t>
      </w:r>
      <w:r>
        <w:rPr>
          <w:rFonts w:hint="eastAsia" w:ascii="宋体" w:hAnsi="宋体" w:eastAsia="宋体" w:cs="宋体"/>
          <w:color w:val="000000"/>
          <w:sz w:val="21"/>
          <w:szCs w:val="21"/>
        </w:rPr>
        <w:t>工程施工及有关事项协商一致，共同达成如下协议：</w:t>
      </w:r>
    </w:p>
    <w:p w14:paraId="3D6D2DB6">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5" w:name="_Toc14689"/>
      <w:r>
        <w:rPr>
          <w:rFonts w:hint="eastAsia" w:ascii="宋体" w:hAnsi="宋体" w:eastAsia="宋体" w:cs="宋体"/>
          <w:b/>
          <w:bCs w:val="0"/>
          <w:color w:val="000000"/>
          <w:kern w:val="2"/>
          <w:sz w:val="21"/>
          <w:szCs w:val="21"/>
          <w:lang w:val="en-US" w:eastAsia="zh-CN" w:bidi="ar-SA"/>
        </w:rPr>
        <w:t>一、工程概况</w:t>
      </w:r>
      <w:bookmarkEnd w:id="25"/>
    </w:p>
    <w:p w14:paraId="62182D91">
      <w:pPr>
        <w:keepNext w:val="0"/>
        <w:keepLines w:val="0"/>
        <w:pageBreakBefore w:val="0"/>
        <w:kinsoku/>
        <w:wordWrap w:val="0"/>
        <w:overflowPunct/>
        <w:topLinePunct/>
        <w:autoSpaceDE/>
        <w:autoSpaceDN/>
        <w:bidi w:val="0"/>
        <w:spacing w:line="360" w:lineRule="auto"/>
        <w:ind w:firstLine="411" w:firstLineChars="196"/>
        <w:outlineLvl w:val="9"/>
        <w:rPr>
          <w:rFonts w:hint="default" w:ascii="宋体" w:hAnsi="宋体" w:eastAsia="宋体" w:cs="宋体"/>
          <w:color w:val="000000"/>
          <w:sz w:val="21"/>
          <w:szCs w:val="21"/>
          <w:u w:val="single"/>
          <w:lang w:val="en-US" w:eastAsia="zh-CN"/>
        </w:rPr>
      </w:pPr>
      <w:r>
        <w:rPr>
          <w:rFonts w:hint="eastAsia" w:ascii="宋体" w:hAnsi="宋体" w:eastAsia="宋体" w:cs="宋体"/>
          <w:bCs/>
          <w:color w:val="000000"/>
          <w:sz w:val="21"/>
          <w:szCs w:val="21"/>
        </w:rPr>
        <w:t>1.工程名称</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lang w:val="en-US" w:eastAsia="zh-CN"/>
        </w:rPr>
        <w:t xml:space="preserve">                              </w:t>
      </w:r>
    </w:p>
    <w:p w14:paraId="7B6D5694">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2.工程地点：</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44F71F5C">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3.工程立项批准文号：</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bCs/>
          <w:color w:val="000000"/>
          <w:sz w:val="21"/>
          <w:szCs w:val="21"/>
        </w:rPr>
        <w:t>。</w:t>
      </w:r>
    </w:p>
    <w:p w14:paraId="33F4217F">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4.资金来源：</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财政资金</w:t>
      </w:r>
      <w:r>
        <w:rPr>
          <w:rFonts w:hint="eastAsia" w:ascii="宋体" w:hAnsi="宋体" w:eastAsia="宋体" w:cs="宋体"/>
          <w:color w:val="000000"/>
          <w:sz w:val="21"/>
          <w:szCs w:val="21"/>
          <w:u w:val="single"/>
        </w:rPr>
        <w:t xml:space="preserve"> </w:t>
      </w:r>
      <w:r>
        <w:rPr>
          <w:rFonts w:hint="eastAsia" w:ascii="宋体" w:hAnsi="宋体" w:eastAsia="宋体" w:cs="宋体"/>
          <w:bCs/>
          <w:color w:val="000000"/>
          <w:sz w:val="21"/>
          <w:szCs w:val="21"/>
        </w:rPr>
        <w:t>。</w:t>
      </w:r>
    </w:p>
    <w:p w14:paraId="27915518">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5.工程内容：</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bCs/>
          <w:color w:val="000000"/>
          <w:sz w:val="21"/>
          <w:szCs w:val="21"/>
        </w:rPr>
        <w:t>。</w:t>
      </w:r>
    </w:p>
    <w:p w14:paraId="4D6BCDA0">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6.工程承包范围：</w:t>
      </w:r>
    </w:p>
    <w:p w14:paraId="6DABAAA8">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u w:val="single"/>
        </w:rPr>
        <w:t></w:t>
      </w:r>
      <w:r>
        <w:rPr>
          <w:rFonts w:hint="eastAsia" w:ascii="宋体" w:hAnsi="宋体" w:eastAsia="宋体" w:cs="宋体"/>
          <w:kern w:val="0"/>
          <w:sz w:val="21"/>
          <w:szCs w:val="21"/>
          <w:u w:val="single"/>
        </w:rPr>
        <w:t>施工图设计、变更、工程量清单所包含的全部内容及发包文件规定和图纸审查纪要</w:t>
      </w:r>
      <w:r>
        <w:rPr>
          <w:rFonts w:hint="eastAsia" w:ascii="宋体" w:hAnsi="宋体" w:eastAsia="宋体" w:cs="宋体"/>
          <w:color w:val="000000"/>
          <w:sz w:val="21"/>
          <w:szCs w:val="21"/>
        </w:rPr>
        <w:t>。</w:t>
      </w:r>
    </w:p>
    <w:p w14:paraId="3DB7A5BF">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6" w:name="_Toc7659"/>
      <w:r>
        <w:rPr>
          <w:rFonts w:hint="eastAsia" w:ascii="宋体" w:hAnsi="宋体" w:eastAsia="宋体" w:cs="宋体"/>
          <w:b/>
          <w:bCs w:val="0"/>
          <w:color w:val="000000"/>
          <w:kern w:val="2"/>
          <w:sz w:val="21"/>
          <w:szCs w:val="21"/>
          <w:lang w:val="en-US" w:eastAsia="zh-CN" w:bidi="ar-SA"/>
        </w:rPr>
        <w:t>二、合同工期</w:t>
      </w:r>
      <w:bookmarkEnd w:id="26"/>
    </w:p>
    <w:p w14:paraId="14E6A72B">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auto"/>
          <w:sz w:val="21"/>
          <w:szCs w:val="21"/>
        </w:rPr>
      </w:pPr>
      <w:r>
        <w:rPr>
          <w:rFonts w:hint="eastAsia" w:ascii="宋体" w:hAnsi="宋体" w:eastAsia="宋体" w:cs="宋体"/>
          <w:color w:val="auto"/>
          <w:sz w:val="21"/>
          <w:szCs w:val="21"/>
        </w:rPr>
        <w:t>计划开工日期：</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日。</w:t>
      </w:r>
    </w:p>
    <w:p w14:paraId="68743CB4">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auto"/>
          <w:sz w:val="21"/>
          <w:szCs w:val="21"/>
        </w:rPr>
      </w:pPr>
      <w:r>
        <w:rPr>
          <w:rFonts w:hint="eastAsia" w:ascii="宋体" w:hAnsi="宋体" w:eastAsia="宋体" w:cs="宋体"/>
          <w:color w:val="auto"/>
          <w:sz w:val="21"/>
          <w:szCs w:val="21"/>
        </w:rPr>
        <w:t>计划竣工日期：</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日。</w:t>
      </w:r>
    </w:p>
    <w:p w14:paraId="6D478439">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工期总日历天数：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天。工期总日历天数与根据前述计划开竣工日期计算的工期天数不一致的，以工期总日历天数为准。</w:t>
      </w:r>
    </w:p>
    <w:p w14:paraId="67DBD793">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27" w:name="_Toc14571"/>
      <w:r>
        <w:rPr>
          <w:rFonts w:hint="eastAsia" w:ascii="宋体" w:hAnsi="宋体" w:eastAsia="宋体" w:cs="宋体"/>
          <w:b/>
          <w:bCs w:val="0"/>
          <w:color w:val="000000"/>
          <w:kern w:val="2"/>
          <w:sz w:val="21"/>
          <w:szCs w:val="21"/>
          <w:lang w:val="en-US" w:eastAsia="zh-CN" w:bidi="ar-SA"/>
        </w:rPr>
        <w:t>三、质量标准</w:t>
      </w:r>
      <w:bookmarkEnd w:id="27"/>
    </w:p>
    <w:p w14:paraId="2CC7F915">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工程质量符合</w:t>
      </w:r>
      <w:r>
        <w:rPr>
          <w:rFonts w:hint="eastAsia" w:ascii="宋体" w:hAnsi="宋体" w:eastAsia="宋体" w:cs="宋体"/>
          <w:color w:val="000000"/>
          <w:sz w:val="21"/>
          <w:szCs w:val="21"/>
          <w:u w:val="single"/>
        </w:rPr>
        <w:t>合格</w:t>
      </w:r>
      <w:r>
        <w:rPr>
          <w:rFonts w:hint="eastAsia" w:ascii="宋体" w:hAnsi="宋体" w:eastAsia="宋体" w:cs="宋体"/>
          <w:color w:val="000000"/>
          <w:sz w:val="21"/>
          <w:szCs w:val="21"/>
        </w:rPr>
        <w:t>标准。</w:t>
      </w:r>
    </w:p>
    <w:p w14:paraId="68A80AB9">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8" w:name="_Toc28933"/>
      <w:r>
        <w:rPr>
          <w:rFonts w:hint="eastAsia" w:ascii="宋体" w:hAnsi="宋体" w:eastAsia="宋体" w:cs="宋体"/>
          <w:b/>
          <w:bCs w:val="0"/>
          <w:color w:val="000000"/>
          <w:kern w:val="2"/>
          <w:sz w:val="21"/>
          <w:szCs w:val="21"/>
          <w:lang w:val="en-US" w:eastAsia="zh-CN" w:bidi="ar-SA"/>
        </w:rPr>
        <w:t>四、签约合同价与合同价格形式</w:t>
      </w:r>
      <w:bookmarkEnd w:id="28"/>
      <w:r>
        <w:rPr>
          <w:rFonts w:hint="eastAsia" w:ascii="宋体" w:hAnsi="宋体" w:eastAsia="宋体" w:cs="宋体"/>
          <w:b/>
          <w:bCs w:val="0"/>
          <w:color w:val="000000"/>
          <w:kern w:val="2"/>
          <w:sz w:val="21"/>
          <w:szCs w:val="21"/>
          <w:lang w:val="en-US" w:eastAsia="zh-CN" w:bidi="ar-SA"/>
        </w:rPr>
        <w:tab/>
      </w:r>
    </w:p>
    <w:p w14:paraId="3686DD3A">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1.签约合同价为：</w:t>
      </w:r>
    </w:p>
    <w:p w14:paraId="3BCA5AA3">
      <w:pPr>
        <w:keepNext w:val="0"/>
        <w:keepLines w:val="0"/>
        <w:pageBreakBefore w:val="0"/>
        <w:kinsoku/>
        <w:wordWrap w:val="0"/>
        <w:overflowPunct/>
        <w:topLinePunct/>
        <w:autoSpaceDE/>
        <w:autoSpaceDN/>
        <w:bidi w:val="0"/>
        <w:spacing w:line="360" w:lineRule="auto"/>
        <w:ind w:firstLine="420" w:firstLineChars="200"/>
        <w:jc w:val="left"/>
        <w:outlineLvl w:val="9"/>
        <w:rPr>
          <w:rFonts w:hint="eastAsia" w:ascii="宋体" w:hAnsi="宋体" w:eastAsia="宋体" w:cs="宋体"/>
          <w:sz w:val="21"/>
          <w:szCs w:val="21"/>
        </w:rPr>
      </w:pPr>
      <w:r>
        <w:rPr>
          <w:rFonts w:hint="eastAsia" w:ascii="宋体" w:hAnsi="宋体" w:eastAsia="宋体" w:cs="宋体"/>
          <w:sz w:val="21"/>
          <w:szCs w:val="21"/>
        </w:rPr>
        <w:t>人民币（大写)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b/>
          <w:bCs/>
          <w:sz w:val="21"/>
          <w:szCs w:val="21"/>
          <w:u w:val="single"/>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val="en-US" w:eastAsia="zh-CN"/>
        </w:rPr>
        <w:t>小写：</w:t>
      </w:r>
      <w:r>
        <w:rPr>
          <w:rFonts w:hint="eastAsia" w:ascii="宋体" w:hAnsi="宋体" w:eastAsia="宋体" w:cs="宋体"/>
          <w:b/>
          <w:bCs/>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u w:val="single"/>
          <w:lang w:val="en-US" w:eastAsia="zh-CN"/>
        </w:rPr>
        <w:t>XX</w:t>
      </w:r>
      <w:r>
        <w:rPr>
          <w:rFonts w:hint="eastAsia" w:ascii="宋体" w:hAnsi="宋体" w:eastAsia="宋体" w:cs="宋体"/>
          <w:b/>
          <w:bCs/>
          <w:sz w:val="21"/>
          <w:szCs w:val="21"/>
        </w:rPr>
        <w:t>元</w:t>
      </w:r>
      <w:r>
        <w:rPr>
          <w:rFonts w:hint="eastAsia" w:ascii="宋体" w:hAnsi="宋体" w:eastAsia="宋体" w:cs="宋体"/>
          <w:sz w:val="21"/>
          <w:szCs w:val="21"/>
        </w:rPr>
        <w:t>）。</w:t>
      </w:r>
    </w:p>
    <w:p w14:paraId="3F916156">
      <w:pPr>
        <w:keepNext w:val="0"/>
        <w:keepLines w:val="0"/>
        <w:pageBreakBefore w:val="0"/>
        <w:kinsoku/>
        <w:wordWrap w:val="0"/>
        <w:overflowPunct/>
        <w:topLinePunct/>
        <w:autoSpaceDE/>
        <w:autoSpaceDN/>
        <w:bidi w:val="0"/>
        <w:spacing w:line="360" w:lineRule="auto"/>
        <w:ind w:firstLine="210" w:firstLineChars="1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（1）其中：安全文明施工费：人民币（大写）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14:paraId="407C6B74">
      <w:pPr>
        <w:keepNext w:val="0"/>
        <w:keepLines w:val="0"/>
        <w:pageBreakBefore w:val="0"/>
        <w:kinsoku/>
        <w:wordWrap w:val="0"/>
        <w:overflowPunct/>
        <w:topLinePunct/>
        <w:autoSpaceDE/>
        <w:autoSpaceDN/>
        <w:bidi w:val="0"/>
        <w:spacing w:line="360" w:lineRule="auto"/>
        <w:ind w:firstLine="210" w:firstLineChars="1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（2）暂列金额：人民币（大写）</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元)。</w:t>
      </w:r>
    </w:p>
    <w:p w14:paraId="71AF1AC2">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2.合同价格形式：</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00D7B916">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9" w:name="_Toc17555"/>
      <w:r>
        <w:rPr>
          <w:rFonts w:hint="eastAsia" w:ascii="宋体" w:hAnsi="宋体" w:eastAsia="宋体" w:cs="宋体"/>
          <w:b/>
          <w:bCs w:val="0"/>
          <w:color w:val="000000"/>
          <w:kern w:val="2"/>
          <w:sz w:val="21"/>
          <w:szCs w:val="21"/>
          <w:lang w:val="en-US" w:eastAsia="zh-CN" w:bidi="ar-SA"/>
        </w:rPr>
        <w:t>五、项目经理</w:t>
      </w:r>
      <w:bookmarkEnd w:id="29"/>
    </w:p>
    <w:p w14:paraId="6AA53B61">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承包人项目经理：</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，联系电话</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090C5FFC">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30" w:name="_Toc20679"/>
      <w:r>
        <w:rPr>
          <w:rFonts w:hint="eastAsia" w:ascii="宋体" w:hAnsi="宋体" w:eastAsia="宋体" w:cs="宋体"/>
          <w:b/>
          <w:bCs w:val="0"/>
          <w:color w:val="000000"/>
          <w:kern w:val="2"/>
          <w:sz w:val="21"/>
          <w:szCs w:val="21"/>
          <w:lang w:val="en-US" w:eastAsia="zh-CN" w:bidi="ar-SA"/>
        </w:rPr>
        <w:t>六、合同文件构成</w:t>
      </w:r>
      <w:bookmarkEnd w:id="30"/>
    </w:p>
    <w:p w14:paraId="17A85746">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本协议书与下列文件一起构成合同文件：</w:t>
      </w:r>
    </w:p>
    <w:p w14:paraId="36B68074">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（1）中标通知书（如果有）；</w:t>
      </w:r>
    </w:p>
    <w:p w14:paraId="5C57E7BB">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（2）投标函及其附录（如果有）； </w:t>
      </w:r>
    </w:p>
    <w:p w14:paraId="6C73AD99">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（3）专用合同条款及其附件；</w:t>
      </w:r>
    </w:p>
    <w:p w14:paraId="04046798">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（4）通用合同条款；</w:t>
      </w:r>
    </w:p>
    <w:p w14:paraId="4B65E3CD">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（5）技术标准和要求；</w:t>
      </w:r>
    </w:p>
    <w:p w14:paraId="6F686F52">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（6）图纸；</w:t>
      </w:r>
    </w:p>
    <w:p w14:paraId="53CA0A4C">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（7）已标价工程量清单或预算书；</w:t>
      </w:r>
    </w:p>
    <w:p w14:paraId="4C26A31E">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（8）其他合同文件。</w:t>
      </w:r>
    </w:p>
    <w:p w14:paraId="3DFD94BF">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在合同订立及履行过程中形成的与合同有关的文件均构成合同文件组成部分。</w:t>
      </w:r>
    </w:p>
    <w:p w14:paraId="44251001">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上述各项合同文件包括合同当事人就该项合同文件所作出的补充和修改，属于同一类内容的文件，应以最新签署的为准。专用合同条款及其附件须经合同当事人签字或盖章。</w:t>
      </w:r>
    </w:p>
    <w:p w14:paraId="4B3236F4">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 xml:space="preserve">    </w:t>
      </w:r>
      <w:bookmarkStart w:id="31" w:name="_Toc26693"/>
      <w:r>
        <w:rPr>
          <w:rFonts w:hint="eastAsia" w:ascii="宋体" w:hAnsi="宋体" w:eastAsia="宋体" w:cs="宋体"/>
          <w:b/>
          <w:color w:val="000000"/>
          <w:sz w:val="21"/>
          <w:szCs w:val="21"/>
        </w:rPr>
        <w:t>七、承诺</w:t>
      </w:r>
      <w:bookmarkEnd w:id="31"/>
    </w:p>
    <w:p w14:paraId="008F9EC0">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1.发包人承诺按照法律规定履行项目审批手续、筹集工程建设资金并按照合同约定的期限和方式支付合同价款。</w:t>
      </w:r>
    </w:p>
    <w:p w14:paraId="16C969E1">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2.承包人承诺按照法律规定及合同约定组织完成工程施工，确保工程质量和安全，不进行转包及违法分包，并在缺陷责任期及保修期内承担相应的工程维修责任。</w:t>
      </w:r>
    </w:p>
    <w:p w14:paraId="74398E3F">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3.发包人和承包人通过招投标形式签订合同的，双方理解并承诺不再就同一工程另行签订与合同实质性内容相背离的协议。</w:t>
      </w:r>
    </w:p>
    <w:p w14:paraId="75200D1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Cs/>
          <w:color w:val="000000"/>
          <w:sz w:val="21"/>
          <w:szCs w:val="21"/>
        </w:rPr>
      </w:pPr>
      <w:r>
        <w:rPr>
          <w:rFonts w:hint="eastAsia" w:ascii="宋体" w:hAnsi="宋体" w:eastAsia="宋体" w:cs="宋体"/>
          <w:b/>
          <w:color w:val="000000"/>
          <w:sz w:val="21"/>
          <w:szCs w:val="21"/>
        </w:rPr>
        <w:t xml:space="preserve">    八、词语含义</w:t>
      </w:r>
    </w:p>
    <w:p w14:paraId="09F3E0F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本协议书中词语含义与第二部分通用合同条款中赋予的含义相同。</w:t>
      </w:r>
    </w:p>
    <w:p w14:paraId="6DD8D373">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sz w:val="21"/>
          <w:szCs w:val="21"/>
        </w:rPr>
        <w:t xml:space="preserve">  </w:t>
      </w:r>
      <w:bookmarkStart w:id="32" w:name="_Toc15212"/>
      <w:r>
        <w:rPr>
          <w:rFonts w:hint="eastAsia" w:ascii="宋体" w:hAnsi="宋体" w:eastAsia="宋体" w:cs="宋体"/>
          <w:b/>
          <w:bCs w:val="0"/>
          <w:color w:val="000000"/>
          <w:sz w:val="21"/>
          <w:szCs w:val="21"/>
        </w:rPr>
        <w:t>九、签订时间</w:t>
      </w:r>
      <w:bookmarkEnd w:id="32"/>
    </w:p>
    <w:p w14:paraId="32FA897A">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本合同于</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年</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月</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日签订。</w:t>
      </w:r>
    </w:p>
    <w:p w14:paraId="7B2E7435">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sz w:val="21"/>
          <w:szCs w:val="21"/>
        </w:rPr>
        <w:t xml:space="preserve">  </w:t>
      </w:r>
      <w:bookmarkStart w:id="33" w:name="_Toc19270"/>
      <w:r>
        <w:rPr>
          <w:rFonts w:hint="eastAsia" w:ascii="宋体" w:hAnsi="宋体" w:eastAsia="宋体" w:cs="宋体"/>
          <w:b/>
          <w:bCs w:val="0"/>
          <w:color w:val="000000"/>
          <w:sz w:val="21"/>
          <w:szCs w:val="21"/>
        </w:rPr>
        <w:t>十、签订地点</w:t>
      </w:r>
      <w:bookmarkEnd w:id="33"/>
    </w:p>
    <w:p w14:paraId="54E5BAE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本合同在</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kern w:val="0"/>
          <w:sz w:val="21"/>
          <w:szCs w:val="21"/>
          <w:u w:val="single"/>
        </w:rPr>
        <w:t xml:space="preserve"> </w:t>
      </w:r>
      <w:r>
        <w:rPr>
          <w:rFonts w:hint="eastAsia" w:ascii="宋体" w:hAnsi="宋体" w:eastAsia="宋体" w:cs="宋体"/>
          <w:bCs/>
          <w:color w:val="000000"/>
          <w:sz w:val="21"/>
          <w:szCs w:val="21"/>
        </w:rPr>
        <w:t>签订。</w:t>
      </w:r>
    </w:p>
    <w:p w14:paraId="07BA0B1F">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 xml:space="preserve">    </w:t>
      </w:r>
      <w:bookmarkStart w:id="34" w:name="_Toc15670"/>
      <w:r>
        <w:rPr>
          <w:rFonts w:hint="eastAsia" w:ascii="宋体" w:hAnsi="宋体" w:eastAsia="宋体" w:cs="宋体"/>
          <w:b/>
          <w:bCs w:val="0"/>
          <w:color w:val="000000"/>
          <w:sz w:val="21"/>
          <w:szCs w:val="21"/>
        </w:rPr>
        <w:t>十一、补充协议</w:t>
      </w:r>
      <w:bookmarkEnd w:id="34"/>
    </w:p>
    <w:p w14:paraId="635D34EB">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
          <w:bCs/>
          <w:color w:val="000000"/>
          <w:sz w:val="21"/>
          <w:szCs w:val="21"/>
        </w:rPr>
      </w:pPr>
      <w:r>
        <w:rPr>
          <w:rFonts w:hint="eastAsia" w:ascii="宋体" w:hAnsi="宋体" w:eastAsia="宋体" w:cs="宋体"/>
          <w:bCs/>
          <w:color w:val="000000"/>
          <w:sz w:val="21"/>
          <w:szCs w:val="21"/>
        </w:rPr>
        <w:t>合同未尽事宜，合同当事人另行签订补充协议，补充协议是合同的组成部分。</w:t>
      </w:r>
    </w:p>
    <w:p w14:paraId="3F6005EA">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35" w:name="_Toc2716"/>
      <w:r>
        <w:rPr>
          <w:rFonts w:hint="eastAsia" w:ascii="宋体" w:hAnsi="宋体" w:eastAsia="宋体" w:cs="宋体"/>
          <w:b/>
          <w:bCs w:val="0"/>
          <w:color w:val="000000"/>
          <w:kern w:val="2"/>
          <w:sz w:val="21"/>
          <w:szCs w:val="21"/>
          <w:lang w:val="en-US" w:eastAsia="zh-CN" w:bidi="ar-SA"/>
        </w:rPr>
        <w:t>十二、合同生效</w:t>
      </w:r>
      <w:bookmarkEnd w:id="35"/>
    </w:p>
    <w:p w14:paraId="797B0EF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本合同自</w:t>
      </w:r>
      <w:r>
        <w:rPr>
          <w:rFonts w:hint="eastAsia" w:ascii="宋体" w:hAnsi="宋体" w:eastAsia="宋体" w:cs="宋体"/>
          <w:bCs/>
          <w:color w:val="000000"/>
          <w:sz w:val="21"/>
          <w:szCs w:val="21"/>
          <w:u w:val="single"/>
        </w:rPr>
        <w:t xml:space="preserve">   </w:t>
      </w:r>
      <w:r>
        <w:rPr>
          <w:rFonts w:hint="eastAsia" w:ascii="宋体" w:hAnsi="宋体" w:eastAsia="宋体" w:cs="宋体"/>
          <w:kern w:val="0"/>
          <w:sz w:val="21"/>
          <w:szCs w:val="21"/>
          <w:u w:val="single"/>
        </w:rPr>
        <w:t>签字盖章</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生效。</w:t>
      </w:r>
    </w:p>
    <w:p w14:paraId="72AC4B27">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36" w:name="_Toc25018"/>
      <w:r>
        <w:rPr>
          <w:rFonts w:hint="eastAsia" w:ascii="宋体" w:hAnsi="宋体" w:eastAsia="宋体" w:cs="宋体"/>
          <w:b/>
          <w:bCs w:val="0"/>
          <w:color w:val="000000"/>
          <w:kern w:val="2"/>
          <w:sz w:val="21"/>
          <w:szCs w:val="21"/>
          <w:lang w:val="en-US" w:eastAsia="zh-CN" w:bidi="ar-SA"/>
        </w:rPr>
        <w:t>十三、合同份数</w:t>
      </w:r>
      <w:bookmarkEnd w:id="36"/>
    </w:p>
    <w:p w14:paraId="163CC577">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本合同一式</w:t>
      </w:r>
      <w:r>
        <w:rPr>
          <w:rFonts w:hint="eastAsia" w:ascii="宋体" w:hAnsi="宋体" w:eastAsia="宋体" w:cs="宋体"/>
          <w:bCs/>
          <w:color w:val="000000"/>
          <w:sz w:val="21"/>
          <w:szCs w:val="21"/>
          <w:u w:val="single"/>
        </w:rPr>
        <w:t xml:space="preserve"> 陆 </w:t>
      </w:r>
      <w:r>
        <w:rPr>
          <w:rFonts w:hint="eastAsia" w:ascii="宋体" w:hAnsi="宋体" w:eastAsia="宋体" w:cs="宋体"/>
          <w:bCs/>
          <w:color w:val="000000"/>
          <w:sz w:val="21"/>
          <w:szCs w:val="21"/>
        </w:rPr>
        <w:t>份，均具有同等法律效力，发包人执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eastAsia="zh-CN"/>
        </w:rPr>
        <w:t>肆</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份，承包人执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eastAsia="zh-CN"/>
        </w:rPr>
        <w:t>贰</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w:t>
      </w:r>
    </w:p>
    <w:p w14:paraId="38948DCE">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p>
    <w:p w14:paraId="37437702">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发包人：  (公章)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承包人：  (公章)</w:t>
      </w:r>
    </w:p>
    <w:p w14:paraId="3E2BAEF6">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p>
    <w:p w14:paraId="739F73B2">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 xml:space="preserve">法定代表人：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法定代表人</w:t>
      </w:r>
      <w:r>
        <w:rPr>
          <w:rFonts w:hint="eastAsia" w:ascii="宋体" w:hAnsi="宋体" w:eastAsia="宋体" w:cs="宋体"/>
          <w:color w:val="000000"/>
          <w:sz w:val="21"/>
          <w:szCs w:val="21"/>
          <w:lang w:eastAsia="zh-CN"/>
        </w:rPr>
        <w:t>：</w:t>
      </w:r>
    </w:p>
    <w:p w14:paraId="7203F53A">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 xml:space="preserve">项目负责人：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委托代理人：</w:t>
      </w:r>
    </w:p>
    <w:p w14:paraId="528389CC">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经办人：  </w:t>
      </w:r>
    </w:p>
    <w:p w14:paraId="2E2C5192">
      <w:pPr>
        <w:keepNext w:val="0"/>
        <w:keepLines w:val="0"/>
        <w:pageBreakBefore w:val="0"/>
        <w:kinsoku/>
        <w:wordWrap w:val="0"/>
        <w:overflowPunct/>
        <w:topLinePunct/>
        <w:autoSpaceDE/>
        <w:autoSpaceDN/>
        <w:bidi w:val="0"/>
        <w:spacing w:line="600" w:lineRule="auto"/>
        <w:ind w:left="5700" w:hanging="3990" w:hangingChars="1900"/>
        <w:outlineLvl w:val="9"/>
        <w:rPr>
          <w:rFonts w:hint="eastAsia" w:ascii="宋体" w:hAnsi="宋体" w:eastAsia="宋体" w:cs="宋体"/>
          <w:color w:val="000000"/>
          <w:sz w:val="21"/>
          <w:szCs w:val="21"/>
          <w:u w:val="single"/>
          <w:lang w:val="en-US" w:eastAsia="zh-CN"/>
        </w:rPr>
      </w:pPr>
      <w:r>
        <w:rPr>
          <w:rFonts w:hint="eastAsia" w:ascii="宋体" w:hAnsi="宋体" w:eastAsia="宋体" w:cs="宋体"/>
          <w:color w:val="000000"/>
          <w:sz w:val="21"/>
          <w:szCs w:val="21"/>
        </w:rPr>
        <w:t>地  址：</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地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址：</w:t>
      </w:r>
      <w:r>
        <w:rPr>
          <w:rFonts w:hint="eastAsia" w:ascii="宋体" w:hAnsi="宋体" w:eastAsia="宋体" w:cs="宋体"/>
          <w:kern w:val="0"/>
          <w:sz w:val="21"/>
          <w:szCs w:val="21"/>
          <w:u w:val="single"/>
          <w:lang w:val="en-US" w:eastAsia="zh-CN"/>
        </w:rPr>
        <w:t xml:space="preserve">       </w:t>
      </w:r>
    </w:p>
    <w:p w14:paraId="772B1FD3">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邮政编码：</w:t>
      </w:r>
      <w:r>
        <w:rPr>
          <w:rFonts w:hint="eastAsia" w:ascii="宋体" w:hAnsi="宋体" w:eastAsia="宋体" w:cs="宋体"/>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2A7A0F3A">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 xml:space="preserve">电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话：</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电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话：</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7A45B257">
      <w:pPr>
        <w:keepNext w:val="0"/>
        <w:keepLines w:val="0"/>
        <w:pageBreakBefore w:val="0"/>
        <w:kinsoku/>
        <w:wordWrap w:val="0"/>
        <w:overflowPunct/>
        <w:topLinePunct/>
        <w:autoSpaceDE/>
        <w:autoSpaceDN/>
        <w:bidi w:val="0"/>
        <w:spacing w:line="600" w:lineRule="auto"/>
        <w:ind w:left="6300" w:hanging="4410" w:hangingChars="2100"/>
        <w:outlineLvl w:val="9"/>
        <w:rPr>
          <w:rFonts w:hint="eastAsia" w:ascii="宋体" w:hAnsi="宋体" w:eastAsia="宋体" w:cs="宋体"/>
          <w:kern w:val="0"/>
          <w:sz w:val="21"/>
          <w:szCs w:val="21"/>
          <w:u w:val="single"/>
          <w:lang w:val="en-US" w:eastAsia="zh-CN"/>
        </w:rPr>
      </w:pPr>
      <w:r>
        <w:rPr>
          <w:rFonts w:hint="eastAsia" w:ascii="宋体" w:hAnsi="宋体" w:eastAsia="宋体" w:cs="宋体"/>
          <w:sz w:val="21"/>
          <w:szCs w:val="21"/>
        </w:rPr>
        <w:t>开户银行：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开户银行：</w:t>
      </w:r>
      <w:r>
        <w:rPr>
          <w:rFonts w:hint="eastAsia" w:ascii="宋体" w:hAnsi="宋体" w:eastAsia="宋体" w:cs="宋体"/>
          <w:sz w:val="21"/>
          <w:szCs w:val="21"/>
          <w:u w:val="single"/>
          <w:lang w:val="en-US" w:eastAsia="zh-CN"/>
        </w:rPr>
        <w:t xml:space="preserve">          </w:t>
      </w:r>
    </w:p>
    <w:p w14:paraId="4A3E2A03">
      <w:pPr>
        <w:keepNext w:val="0"/>
        <w:keepLines w:val="0"/>
        <w:pageBreakBefore w:val="0"/>
        <w:kinsoku/>
        <w:wordWrap w:val="0"/>
        <w:overflowPunct/>
        <w:topLinePunct/>
        <w:autoSpaceDE/>
        <w:autoSpaceDN/>
        <w:bidi w:val="0"/>
        <w:spacing w:line="600" w:lineRule="auto"/>
        <w:ind w:left="6300" w:hanging="4410" w:hangingChars="2100"/>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0CF9275E">
      <w:pPr>
        <w:keepNext w:val="0"/>
        <w:keepLines w:val="0"/>
        <w:pageBreakBefore w:val="0"/>
        <w:kinsoku/>
        <w:wordWrap w:val="0"/>
        <w:overflowPunct/>
        <w:topLinePunct/>
        <w:autoSpaceDE/>
        <w:autoSpaceDN/>
        <w:bidi w:val="0"/>
        <w:rPr>
          <w:rFonts w:hint="eastAsia" w:ascii="宋体" w:hAnsi="宋体" w:eastAsia="宋体" w:cs="宋体"/>
          <w:sz w:val="20"/>
          <w:szCs w:val="20"/>
        </w:rPr>
      </w:pPr>
      <w:r>
        <w:rPr>
          <w:rFonts w:hint="eastAsia" w:ascii="宋体" w:hAnsi="宋体" w:eastAsia="宋体" w:cs="宋体"/>
          <w:sz w:val="20"/>
          <w:szCs w:val="20"/>
        </w:rPr>
        <w:br w:type="page"/>
      </w:r>
    </w:p>
    <w:p w14:paraId="0C4DD305">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第二部分 通用合同条款</w:t>
      </w:r>
      <w:bookmarkEnd w:id="24"/>
      <w:bookmarkStart w:id="37" w:name="_Toc337558727"/>
    </w:p>
    <w:bookmarkEnd w:id="37"/>
    <w:p w14:paraId="080E1CD8">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val="0"/>
          <w:sz w:val="20"/>
          <w:szCs w:val="20"/>
        </w:rPr>
      </w:pPr>
      <w:bookmarkStart w:id="38" w:name="_Toc351203496"/>
      <w:bookmarkStart w:id="39" w:name="_Toc337558728"/>
      <w:bookmarkStart w:id="40" w:name="_Toc296346529"/>
      <w:bookmarkStart w:id="41" w:name="_Toc296503028"/>
    </w:p>
    <w:p w14:paraId="640AF1CD">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本合同专用条款未约定的执行通用条款</w:t>
      </w:r>
    </w:p>
    <w:bookmarkEnd w:id="38"/>
    <w:bookmarkEnd w:id="39"/>
    <w:bookmarkEnd w:id="40"/>
    <w:bookmarkEnd w:id="41"/>
    <w:p w14:paraId="69F9B6BE">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4"/>
          <w:szCs w:val="24"/>
          <w:lang w:val="en-US" w:eastAsia="zh-CN"/>
        </w:rPr>
      </w:pPr>
      <w:bookmarkStart w:id="42" w:name="_Toc351203652"/>
      <w:r>
        <w:rPr>
          <w:rFonts w:hint="eastAsia" w:ascii="宋体" w:hAnsi="宋体" w:eastAsia="宋体" w:cs="宋体"/>
          <w:b/>
          <w:bCs/>
          <w:sz w:val="24"/>
          <w:szCs w:val="24"/>
          <w:lang w:val="en-US" w:eastAsia="zh-CN"/>
        </w:rPr>
        <w:t xml:space="preserve">  </w:t>
      </w:r>
    </w:p>
    <w:p w14:paraId="1412A687">
      <w:pPr>
        <w:keepNext w:val="0"/>
        <w:keepLines w:val="0"/>
        <w:pageBreakBefore w:val="0"/>
        <w:kinsoku/>
        <w:wordWrap w:val="0"/>
        <w:overflowPunct/>
        <w:topLinePunct/>
        <w:autoSpaceDE/>
        <w:autoSpaceDN/>
        <w:bidi w:val="0"/>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br w:type="page"/>
      </w:r>
    </w:p>
    <w:p w14:paraId="6D8C1B7B">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rPr>
      </w:pPr>
      <w:r>
        <w:rPr>
          <w:rFonts w:hint="eastAsia" w:ascii="宋体" w:hAnsi="宋体" w:eastAsia="宋体" w:cs="宋体"/>
          <w:b/>
          <w:bCs/>
          <w:sz w:val="28"/>
          <w:szCs w:val="28"/>
        </w:rPr>
        <w:t>第三部分 专用合同条款</w:t>
      </w:r>
    </w:p>
    <w:p w14:paraId="0068FF61">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3" w:name="_Toc351203633"/>
      <w:r>
        <w:rPr>
          <w:rFonts w:hint="eastAsia" w:ascii="宋体" w:hAnsi="宋体" w:eastAsia="宋体" w:cs="宋体"/>
          <w:b/>
          <w:bCs w:val="0"/>
          <w:sz w:val="21"/>
          <w:szCs w:val="21"/>
        </w:rPr>
        <w:t>1</w:t>
      </w:r>
      <w:bookmarkStart w:id="44" w:name="_Toc296346657"/>
      <w:bookmarkStart w:id="45" w:name="_Toc296503156"/>
      <w:bookmarkStart w:id="46" w:name="_Toc292559866"/>
      <w:bookmarkStart w:id="47" w:name="_Toc296891196"/>
      <w:bookmarkStart w:id="48" w:name="_Toc292559361"/>
      <w:bookmarkStart w:id="49" w:name="_Toc297048342"/>
      <w:bookmarkStart w:id="50" w:name="_Toc296944495"/>
      <w:bookmarkStart w:id="51" w:name="_Toc296347155"/>
      <w:bookmarkStart w:id="52" w:name="_Toc296890984"/>
      <w:bookmarkStart w:id="53" w:name="_Toc297120456"/>
      <w:r>
        <w:rPr>
          <w:rFonts w:hint="eastAsia" w:ascii="宋体" w:hAnsi="宋体" w:eastAsia="宋体" w:cs="宋体"/>
          <w:b/>
          <w:bCs w:val="0"/>
          <w:sz w:val="21"/>
          <w:szCs w:val="21"/>
        </w:rPr>
        <w:t>. 一般约定</w:t>
      </w:r>
      <w:bookmarkEnd w:id="43"/>
    </w:p>
    <w:bookmarkEnd w:id="44"/>
    <w:bookmarkEnd w:id="45"/>
    <w:bookmarkEnd w:id="46"/>
    <w:bookmarkEnd w:id="47"/>
    <w:bookmarkEnd w:id="48"/>
    <w:bookmarkEnd w:id="49"/>
    <w:bookmarkEnd w:id="50"/>
    <w:bookmarkEnd w:id="51"/>
    <w:bookmarkEnd w:id="52"/>
    <w:bookmarkEnd w:id="53"/>
    <w:p w14:paraId="22DDF60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 词语定义</w:t>
      </w:r>
    </w:p>
    <w:p w14:paraId="4C9D11D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1.1.1合同</w:t>
      </w:r>
    </w:p>
    <w:p w14:paraId="78EEBCF5">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1.1.1.10其他合同文件包括：</w:t>
      </w:r>
      <w:r>
        <w:rPr>
          <w:rFonts w:hint="eastAsia" w:ascii="宋体" w:hAnsi="宋体" w:eastAsia="宋体" w:cs="宋体"/>
          <w:sz w:val="21"/>
          <w:szCs w:val="21"/>
          <w:u w:val="single"/>
        </w:rPr>
        <w:t>合同协议书、中标通知书、投标函 及其附录、专用合同条款及其附件、通用合同条款、技术标准和要 求、图纸、已标价工程量清单以及其他合同文件</w:t>
      </w:r>
      <w:r>
        <w:rPr>
          <w:rFonts w:hint="eastAsia" w:ascii="宋体" w:hAnsi="宋体" w:eastAsia="宋体" w:cs="宋体"/>
          <w:kern w:val="2"/>
          <w:sz w:val="21"/>
          <w:szCs w:val="21"/>
          <w:u w:val="single"/>
          <w:lang w:val="en-US" w:eastAsia="zh-CN"/>
        </w:rPr>
        <w:t>。</w:t>
      </w:r>
    </w:p>
    <w:p w14:paraId="4BFD44D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1.1.2 合同当事人及其他相关方</w:t>
      </w:r>
    </w:p>
    <w:p w14:paraId="00A3E4C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按发包人委托执行。</w:t>
      </w:r>
    </w:p>
    <w:p w14:paraId="6FDAE0C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1.3法律 </w:t>
      </w:r>
    </w:p>
    <w:p w14:paraId="0E87B52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7" w:firstLineChars="194"/>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适用于合同的其他规范性文</w:t>
      </w:r>
      <w:bookmarkStart w:id="54" w:name="_bookmark80"/>
      <w:bookmarkEnd w:id="54"/>
      <w:r>
        <w:rPr>
          <w:rFonts w:hint="eastAsia" w:ascii="宋体" w:hAnsi="宋体" w:eastAsia="宋体" w:cs="宋体"/>
          <w:sz w:val="21"/>
          <w:szCs w:val="21"/>
          <w:lang w:eastAsia="zh-CN"/>
        </w:rPr>
        <w:t>件</w:t>
      </w:r>
      <w:r>
        <w:rPr>
          <w:rFonts w:hint="eastAsia" w:ascii="宋体" w:hAnsi="宋体" w:eastAsia="宋体" w:cs="宋体"/>
          <w:sz w:val="21"/>
          <w:szCs w:val="21"/>
          <w:u w:val="single"/>
          <w:lang w:val="en-US" w:eastAsia="zh-CN"/>
        </w:rPr>
        <w:t xml:space="preserve">    无  </w:t>
      </w:r>
      <w:r>
        <w:rPr>
          <w:rFonts w:hint="eastAsia" w:ascii="宋体" w:hAnsi="宋体" w:eastAsia="宋体" w:cs="宋体"/>
          <w:sz w:val="21"/>
          <w:szCs w:val="21"/>
          <w:lang w:eastAsia="zh-CN"/>
        </w:rPr>
        <w:t>。</w:t>
      </w:r>
    </w:p>
    <w:p w14:paraId="3B4BFCC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 标准和规范</w:t>
      </w:r>
    </w:p>
    <w:p w14:paraId="10495DD4">
      <w:pPr>
        <w:keepNext w:val="0"/>
        <w:keepLines w:val="0"/>
        <w:pageBreakBefore w:val="0"/>
        <w:widowControl w:val="0"/>
        <w:kinsoku/>
        <w:wordWrap w:val="0"/>
        <w:overflowPunct/>
        <w:topLinePunct/>
        <w:autoSpaceDE/>
        <w:autoSpaceDN/>
        <w:bidi w:val="0"/>
        <w:adjustRightInd w:val="0"/>
        <w:snapToGrid w:val="0"/>
        <w:spacing w:line="360" w:lineRule="auto"/>
        <w:ind w:left="596" w:leftChars="284" w:firstLine="315" w:firstLineChars="15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适用于工程的标准规范包括：</w:t>
      </w:r>
      <w:r>
        <w:rPr>
          <w:rFonts w:hint="eastAsia" w:ascii="宋体" w:hAnsi="宋体" w:eastAsia="宋体" w:cs="宋体"/>
          <w:sz w:val="21"/>
          <w:szCs w:val="21"/>
          <w:u w:val="single"/>
        </w:rPr>
        <w:t>现行国家标准、规范；现行行业标准、规范；地方性有关技术规程、规定</w:t>
      </w:r>
      <w:r>
        <w:rPr>
          <w:rFonts w:hint="eastAsia" w:ascii="宋体" w:hAnsi="宋体" w:eastAsia="宋体" w:cs="宋体"/>
          <w:sz w:val="21"/>
          <w:szCs w:val="21"/>
        </w:rPr>
        <w:t>。</w:t>
      </w:r>
    </w:p>
    <w:p w14:paraId="54AABF7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 合同文件的优先顺序</w:t>
      </w:r>
    </w:p>
    <w:p w14:paraId="50228DE2">
      <w:pPr>
        <w:pStyle w:val="8"/>
        <w:keepNext w:val="0"/>
        <w:keepLines w:val="0"/>
        <w:pageBreakBefore w:val="0"/>
        <w:widowControl w:val="0"/>
        <w:tabs>
          <w:tab w:val="left" w:pos="6951"/>
        </w:tabs>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合同文件组成及优先顺序为：</w:t>
      </w:r>
      <w:r>
        <w:rPr>
          <w:rFonts w:hint="eastAsia" w:ascii="宋体" w:hAnsi="宋体" w:eastAsia="宋体" w:cs="宋体"/>
          <w:sz w:val="21"/>
          <w:szCs w:val="21"/>
          <w:u w:val="single"/>
        </w:rPr>
        <w:t>合同协议书、中标通知书、投标函及其附录、专用合同条款及其附件、通用合同条款、技术标准和要求、图纸、招标最高限价或预算书、其他合同文件。</w:t>
      </w:r>
    </w:p>
    <w:p w14:paraId="7AC2B34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 图纸和承包人文件</w:t>
      </w:r>
      <w:r>
        <w:rPr>
          <w:rFonts w:hint="eastAsia" w:ascii="宋体" w:hAnsi="宋体" w:eastAsia="宋体" w:cs="宋体"/>
          <w:sz w:val="21"/>
          <w:szCs w:val="21"/>
        </w:rPr>
        <w:tab/>
      </w:r>
    </w:p>
    <w:p w14:paraId="2FB6B46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1.6.1 图纸的提供</w:t>
      </w:r>
    </w:p>
    <w:p w14:paraId="33EE33C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发包人向承包人提供图纸的期限：</w:t>
      </w:r>
      <w:r>
        <w:rPr>
          <w:rFonts w:hint="eastAsia" w:ascii="宋体" w:hAnsi="宋体" w:eastAsia="宋体" w:cs="宋体"/>
          <w:sz w:val="21"/>
          <w:szCs w:val="21"/>
          <w:u w:val="single"/>
        </w:rPr>
        <w:t>合同签订后3日内</w:t>
      </w:r>
      <w:r>
        <w:rPr>
          <w:rFonts w:hint="eastAsia" w:ascii="宋体" w:hAnsi="宋体" w:eastAsia="宋体" w:cs="宋体"/>
          <w:sz w:val="21"/>
          <w:szCs w:val="21"/>
        </w:rPr>
        <w:t>；</w:t>
      </w:r>
    </w:p>
    <w:p w14:paraId="536800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发包人向承包人提供图纸的数量：</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2套  </w:t>
      </w:r>
      <w:r>
        <w:rPr>
          <w:rFonts w:hint="eastAsia" w:ascii="宋体" w:hAnsi="宋体" w:eastAsia="宋体" w:cs="宋体"/>
          <w:sz w:val="21"/>
          <w:szCs w:val="21"/>
        </w:rPr>
        <w:t>；</w:t>
      </w:r>
    </w:p>
    <w:p w14:paraId="702DB84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发包人向承包人提供图纸的内容：</w:t>
      </w:r>
      <w:r>
        <w:rPr>
          <w:rFonts w:hint="eastAsia" w:ascii="宋体" w:hAnsi="宋体" w:eastAsia="宋体" w:cs="宋体"/>
          <w:sz w:val="21"/>
          <w:szCs w:val="21"/>
          <w:u w:val="single"/>
        </w:rPr>
        <w:t>全部施工图纸</w:t>
      </w:r>
      <w:r>
        <w:rPr>
          <w:rFonts w:hint="eastAsia" w:ascii="宋体" w:hAnsi="宋体" w:eastAsia="宋体" w:cs="宋体"/>
          <w:sz w:val="21"/>
          <w:szCs w:val="21"/>
        </w:rPr>
        <w:t>。</w:t>
      </w:r>
    </w:p>
    <w:p w14:paraId="310C055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1.6.4 承包人文件</w:t>
      </w:r>
    </w:p>
    <w:p w14:paraId="087BE5C4">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需要由承包人提供的文件，包括：</w:t>
      </w:r>
      <w:r>
        <w:rPr>
          <w:rFonts w:hint="eastAsia" w:ascii="宋体" w:hAnsi="宋体" w:eastAsia="宋体" w:cs="宋体"/>
          <w:sz w:val="21"/>
          <w:szCs w:val="21"/>
          <w:u w:val="single"/>
        </w:rPr>
        <w:t>施工组织设计、开工报告及完整竣工决算资料</w:t>
      </w:r>
      <w:r>
        <w:rPr>
          <w:rFonts w:hint="eastAsia" w:ascii="宋体" w:hAnsi="宋体" w:eastAsia="宋体" w:cs="宋体"/>
          <w:sz w:val="21"/>
          <w:szCs w:val="21"/>
        </w:rPr>
        <w:t>；</w:t>
      </w:r>
    </w:p>
    <w:p w14:paraId="7FC37A7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承包人提供的文件的期限为：</w:t>
      </w:r>
      <w:r>
        <w:rPr>
          <w:rFonts w:hint="eastAsia" w:ascii="宋体" w:hAnsi="宋体" w:eastAsia="宋体" w:cs="宋体"/>
          <w:sz w:val="21"/>
          <w:szCs w:val="21"/>
          <w:u w:val="single"/>
        </w:rPr>
        <w:t xml:space="preserve">根据发包人要求   </w:t>
      </w:r>
      <w:r>
        <w:rPr>
          <w:rFonts w:hint="eastAsia" w:ascii="宋体" w:hAnsi="宋体" w:eastAsia="宋体" w:cs="宋体"/>
          <w:sz w:val="21"/>
          <w:szCs w:val="21"/>
        </w:rPr>
        <w:t>；</w:t>
      </w:r>
    </w:p>
    <w:p w14:paraId="01ECA5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承包人提供的文件的数量为：</w:t>
      </w:r>
      <w:r>
        <w:rPr>
          <w:rFonts w:hint="eastAsia" w:ascii="宋体" w:hAnsi="宋体" w:eastAsia="宋体" w:cs="宋体"/>
          <w:sz w:val="21"/>
          <w:szCs w:val="21"/>
          <w:u w:val="single"/>
        </w:rPr>
        <w:t xml:space="preserve">2套       </w:t>
      </w:r>
      <w:r>
        <w:rPr>
          <w:rFonts w:hint="eastAsia" w:ascii="宋体" w:hAnsi="宋体" w:eastAsia="宋体" w:cs="宋体"/>
          <w:sz w:val="21"/>
          <w:szCs w:val="21"/>
        </w:rPr>
        <w:t>；</w:t>
      </w:r>
    </w:p>
    <w:p w14:paraId="20F65E6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承包人提供的文件的形式为：</w:t>
      </w:r>
      <w:r>
        <w:rPr>
          <w:rFonts w:hint="eastAsia" w:ascii="宋体" w:hAnsi="宋体" w:eastAsia="宋体" w:cs="宋体"/>
          <w:sz w:val="21"/>
          <w:szCs w:val="21"/>
          <w:u w:val="single"/>
        </w:rPr>
        <w:t> 纸质版及电子版</w:t>
      </w:r>
      <w:r>
        <w:rPr>
          <w:rFonts w:hint="eastAsia" w:ascii="宋体" w:hAnsi="宋体" w:eastAsia="宋体" w:cs="宋体"/>
          <w:sz w:val="21"/>
          <w:szCs w:val="21"/>
        </w:rPr>
        <w:t>；</w:t>
      </w:r>
    </w:p>
    <w:p w14:paraId="245DEE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发包人审批承包人文件的期限：</w:t>
      </w:r>
      <w:r>
        <w:rPr>
          <w:rFonts w:hint="eastAsia" w:ascii="宋体" w:hAnsi="宋体" w:eastAsia="宋体" w:cs="宋体"/>
          <w:sz w:val="21"/>
          <w:szCs w:val="21"/>
          <w:u w:val="single"/>
        </w:rPr>
        <w:t xml:space="preserve"> 收到承包人提供的文件之日起7日内  </w:t>
      </w:r>
      <w:r>
        <w:rPr>
          <w:rFonts w:hint="eastAsia" w:ascii="宋体" w:hAnsi="宋体" w:eastAsia="宋体" w:cs="宋体"/>
          <w:sz w:val="21"/>
          <w:szCs w:val="21"/>
        </w:rPr>
        <w:t>。</w:t>
      </w:r>
    </w:p>
    <w:p w14:paraId="088BE0C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1.6.5 现场图纸准备</w:t>
      </w:r>
    </w:p>
    <w:p w14:paraId="19CC8C8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关于现场图纸准备的约定：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2089034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 联络</w:t>
      </w:r>
    </w:p>
    <w:p w14:paraId="73DE82F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1.7.1发包人和承包人应当在 </w:t>
      </w:r>
      <w:r>
        <w:rPr>
          <w:rFonts w:hint="eastAsia" w:ascii="宋体" w:hAnsi="宋体" w:eastAsia="宋体" w:cs="宋体"/>
          <w:kern w:val="0"/>
          <w:sz w:val="21"/>
          <w:szCs w:val="21"/>
          <w:u w:val="single"/>
        </w:rPr>
        <w:t xml:space="preserve">3 </w:t>
      </w:r>
      <w:r>
        <w:rPr>
          <w:rFonts w:hint="eastAsia" w:ascii="宋体" w:hAnsi="宋体" w:eastAsia="宋体" w:cs="宋体"/>
          <w:kern w:val="0"/>
          <w:sz w:val="21"/>
          <w:szCs w:val="21"/>
        </w:rPr>
        <w:t>天内将与合同有关的通知、批准、证明、证书、指示、指令、要求、请求、同意、意见、确定和决定等书面函件送达对方当事人。</w:t>
      </w:r>
    </w:p>
    <w:p w14:paraId="6E139F1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1.7.2 发包人接收文件的地点：</w:t>
      </w:r>
      <w:r>
        <w:rPr>
          <w:rFonts w:hint="eastAsia" w:ascii="宋体" w:hAnsi="宋体" w:eastAsia="宋体" w:cs="宋体"/>
          <w:kern w:val="0"/>
          <w:sz w:val="21"/>
          <w:szCs w:val="21"/>
          <w:u w:val="single"/>
        </w:rPr>
        <w:t xml:space="preserve"> / ；</w:t>
      </w:r>
    </w:p>
    <w:p w14:paraId="5ABF226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发包人指定的接收人为：</w:t>
      </w:r>
      <w:r>
        <w:rPr>
          <w:rFonts w:hint="eastAsia" w:ascii="宋体" w:hAnsi="宋体" w:eastAsia="宋体" w:cs="宋体"/>
          <w:sz w:val="21"/>
          <w:szCs w:val="21"/>
          <w:u w:val="single"/>
        </w:rPr>
        <w:t></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w:t>
      </w:r>
    </w:p>
    <w:p w14:paraId="50FCF1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auto"/>
          <w:kern w:val="0"/>
          <w:sz w:val="21"/>
          <w:szCs w:val="21"/>
        </w:rPr>
      </w:pPr>
      <w:r>
        <w:rPr>
          <w:rFonts w:hint="eastAsia" w:ascii="宋体" w:hAnsi="宋体" w:eastAsia="宋体" w:cs="宋体"/>
          <w:kern w:val="0"/>
          <w:sz w:val="21"/>
          <w:szCs w:val="21"/>
        </w:rPr>
        <w:t>承包人接收文件的地点：</w:t>
      </w:r>
      <w:r>
        <w:rPr>
          <w:rFonts w:hint="eastAsia" w:ascii="宋体" w:hAnsi="宋体" w:eastAsia="宋体" w:cs="宋体"/>
          <w:sz w:val="21"/>
          <w:szCs w:val="21"/>
          <w:u w:val="single"/>
        </w:rPr>
        <w:t> </w:t>
      </w:r>
      <w:r>
        <w:rPr>
          <w:rFonts w:hint="eastAsia" w:ascii="宋体" w:hAnsi="宋体" w:eastAsia="宋体" w:cs="宋体"/>
          <w:kern w:val="0"/>
          <w:sz w:val="21"/>
          <w:szCs w:val="21"/>
          <w:u w:val="single"/>
        </w:rPr>
        <w:t>/</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50E2965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承包人指定的接收人为：</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  </w:t>
      </w:r>
      <w:r>
        <w:rPr>
          <w:rFonts w:hint="eastAsia" w:ascii="宋体" w:hAnsi="宋体" w:eastAsia="宋体" w:cs="宋体"/>
          <w:color w:val="auto"/>
          <w:kern w:val="0"/>
          <w:sz w:val="21"/>
          <w:szCs w:val="21"/>
        </w:rPr>
        <w:t>。</w:t>
      </w:r>
    </w:p>
    <w:p w14:paraId="4424CEA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监理人接收文件的地点：</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420330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监理人指定的接收人为：</w:t>
      </w:r>
      <w:r>
        <w:rPr>
          <w:rFonts w:hint="eastAsia" w:ascii="宋体" w:hAnsi="宋体" w:eastAsia="宋体" w:cs="宋体"/>
          <w:sz w:val="21"/>
          <w:szCs w:val="21"/>
          <w:u w:val="single"/>
        </w:rPr>
        <w:t></w:t>
      </w:r>
      <w:r>
        <w:rPr>
          <w:rFonts w:hint="eastAsia" w:ascii="宋体" w:hAnsi="宋体" w:eastAsia="宋体" w:cs="宋体"/>
          <w:kern w:val="0"/>
          <w:sz w:val="21"/>
          <w:szCs w:val="21"/>
          <w:u w:val="single"/>
        </w:rPr>
        <w:tab/>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w:t>
      </w:r>
    </w:p>
    <w:p w14:paraId="2C5AFE4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1.10 交通运输</w:t>
      </w:r>
    </w:p>
    <w:p w14:paraId="341D0B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55" w:name="_Toc303539100"/>
      <w:bookmarkStart w:id="56" w:name="_Toc304295521"/>
      <w:bookmarkStart w:id="57" w:name="_Toc312677986"/>
      <w:bookmarkStart w:id="58" w:name="_Toc300934943"/>
      <w:bookmarkStart w:id="59" w:name="_Toc318581155"/>
      <w:r>
        <w:rPr>
          <w:rFonts w:hint="eastAsia" w:ascii="宋体" w:hAnsi="宋体" w:eastAsia="宋体" w:cs="宋体"/>
          <w:sz w:val="21"/>
          <w:szCs w:val="21"/>
        </w:rPr>
        <w:t>.10.1 出入现场的权利</w:t>
      </w:r>
    </w:p>
    <w:p w14:paraId="3F3A880F">
      <w:pPr>
        <w:keepNext w:val="0"/>
        <w:keepLines w:val="0"/>
        <w:pageBreakBefore w:val="0"/>
        <w:widowControl w:val="0"/>
        <w:kinsoku/>
        <w:wordWrap w:val="0"/>
        <w:overflowPunct/>
        <w:topLinePunct/>
        <w:autoSpaceDE/>
        <w:autoSpaceDN/>
        <w:bidi w:val="0"/>
        <w:adjustRightInd w:val="0"/>
        <w:snapToGrid w:val="0"/>
        <w:spacing w:line="360" w:lineRule="auto"/>
        <w:ind w:left="596" w:leftChars="284"/>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关于出入现场的权利的约定：</w:t>
      </w:r>
      <w:r>
        <w:rPr>
          <w:rFonts w:hint="eastAsia" w:ascii="宋体" w:hAnsi="宋体" w:eastAsia="宋体" w:cs="宋体"/>
          <w:kern w:val="0"/>
          <w:sz w:val="21"/>
          <w:szCs w:val="21"/>
          <w:u w:val="single"/>
        </w:rPr>
        <w:t>执行通用条款</w:t>
      </w:r>
      <w:r>
        <w:rPr>
          <w:rFonts w:hint="eastAsia" w:ascii="宋体" w:hAnsi="宋体" w:eastAsia="宋体" w:cs="宋体"/>
          <w:color w:val="000000"/>
          <w:kern w:val="0"/>
          <w:sz w:val="21"/>
          <w:szCs w:val="21"/>
          <w:u w:val="single"/>
        </w:rPr>
        <w:t>1.10.1</w:t>
      </w:r>
      <w:r>
        <w:rPr>
          <w:rFonts w:hint="eastAsia" w:ascii="宋体" w:hAnsi="宋体" w:eastAsia="宋体" w:cs="宋体"/>
          <w:kern w:val="0"/>
          <w:sz w:val="21"/>
          <w:szCs w:val="21"/>
          <w:u w:val="single"/>
        </w:rPr>
        <w:t></w:t>
      </w:r>
      <w:r>
        <w:rPr>
          <w:rFonts w:hint="eastAsia" w:ascii="宋体" w:hAnsi="宋体" w:eastAsia="宋体" w:cs="宋体"/>
          <w:sz w:val="21"/>
          <w:szCs w:val="21"/>
        </w:rPr>
        <w:t>。</w:t>
      </w:r>
    </w:p>
    <w:bookmarkEnd w:id="55"/>
    <w:bookmarkEnd w:id="56"/>
    <w:bookmarkEnd w:id="57"/>
    <w:bookmarkEnd w:id="58"/>
    <w:bookmarkEnd w:id="59"/>
    <w:p w14:paraId="32B8D1E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60" w:name="_Toc304295522"/>
      <w:bookmarkStart w:id="61" w:name="_Toc300934944"/>
      <w:bookmarkStart w:id="62" w:name="_Toc318581156"/>
      <w:bookmarkStart w:id="63" w:name="_Toc312677987"/>
      <w:bookmarkStart w:id="64" w:name="_Toc303539101"/>
      <w:r>
        <w:rPr>
          <w:rFonts w:hint="eastAsia" w:ascii="宋体" w:hAnsi="宋体" w:eastAsia="宋体" w:cs="宋体"/>
          <w:sz w:val="21"/>
          <w:szCs w:val="21"/>
        </w:rPr>
        <w:t>.10.3 场内交通</w:t>
      </w:r>
    </w:p>
    <w:p w14:paraId="2474F325">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关于场外交通和场内交通的边界的约定：</w:t>
      </w:r>
      <w:r>
        <w:rPr>
          <w:rFonts w:hint="eastAsia" w:ascii="宋体" w:hAnsi="宋体" w:eastAsia="宋体" w:cs="宋体"/>
          <w:sz w:val="21"/>
          <w:szCs w:val="21"/>
          <w:u w:val="single"/>
          <w:lang w:val="en-US" w:eastAsia="zh-CN"/>
        </w:rPr>
        <w:t>发包人根据施工需要,负责取得出入施工现场所需的批准手续和全部权利,承包人应协助发包人办理修建场内外道路以及其他基础设施的手续;场外道路若因承包人原因造成损坏,承包人应负责及时修复并承担相关费用。承包人负责修建、维修、养护和管理其他场内临时道路及其它设施。建设单位、代建单位和监理人可以为实现合同目的使用承包人修建的场内临时道路及其它设施。 关于发包人向承包人免费提供满足工程施工需要的场内道路和交通设施的约定:红线范围内施工道路均由承包人负责修建,若损坏应负责及时修复。承包人负责修建、维修、养护和管理施工现场所需的其他场内临时道路交通及其他设施</w:t>
      </w:r>
      <w:r>
        <w:rPr>
          <w:rFonts w:hint="eastAsia" w:ascii="宋体" w:hAnsi="宋体" w:eastAsia="宋体" w:cs="宋体"/>
          <w:sz w:val="21"/>
          <w:szCs w:val="21"/>
          <w:lang w:val="en-US" w:eastAsia="zh-CN"/>
        </w:rPr>
        <w:t>。</w:t>
      </w:r>
    </w:p>
    <w:p w14:paraId="534B4FEB">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关于发包人向承包人免费提供满足工程施工需要的场内道路和交通设施的约定</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          </w:t>
      </w:r>
      <w:r>
        <w:rPr>
          <w:rFonts w:hint="eastAsia" w:ascii="宋体" w:hAnsi="宋体" w:eastAsia="宋体" w:cs="宋体"/>
          <w:sz w:val="21"/>
          <w:szCs w:val="21"/>
          <w:lang w:val="en-US" w:eastAsia="zh-CN"/>
        </w:rPr>
        <w:t xml:space="preserve">。 </w:t>
      </w:r>
      <w:bookmarkEnd w:id="60"/>
      <w:bookmarkEnd w:id="61"/>
      <w:bookmarkEnd w:id="62"/>
      <w:bookmarkEnd w:id="63"/>
      <w:bookmarkEnd w:id="64"/>
      <w:bookmarkStart w:id="65" w:name="_Toc318581157"/>
    </w:p>
    <w:bookmarkEnd w:id="65"/>
    <w:p w14:paraId="54A2A7B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1.11 知识产权</w:t>
      </w:r>
    </w:p>
    <w:p w14:paraId="3E78488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sz w:val="21"/>
          <w:szCs w:val="21"/>
          <w:u w:val="single"/>
        </w:rPr>
        <w:t xml:space="preserve">执行通用条款1.11      </w:t>
      </w:r>
      <w:r>
        <w:rPr>
          <w:rFonts w:hint="eastAsia" w:ascii="宋体" w:hAnsi="宋体" w:eastAsia="宋体" w:cs="宋体"/>
          <w:sz w:val="21"/>
          <w:szCs w:val="21"/>
        </w:rPr>
        <w:t>。</w:t>
      </w:r>
    </w:p>
    <w:p w14:paraId="081834F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1.13工程量清单错误的修正</w:t>
      </w:r>
    </w:p>
    <w:p w14:paraId="639901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rPr>
        <w:t>出现工程量清单错误时，是否调整合同价格：</w:t>
      </w:r>
      <w:r>
        <w:rPr>
          <w:rFonts w:hint="eastAsia" w:ascii="宋体" w:hAnsi="宋体" w:eastAsia="宋体" w:cs="宋体"/>
          <w:sz w:val="21"/>
          <w:szCs w:val="21"/>
          <w:u w:val="single"/>
        </w:rPr>
        <w:t xml:space="preserve"> 发包人提供的工程量清单，应被认为是准确的和完整的。出现下列情形之一时，发包人应予以修正，并相应调整合同价格：</w:t>
      </w:r>
      <w:r>
        <w:rPr>
          <w:rFonts w:hint="eastAsia" w:ascii="宋体" w:hAnsi="宋体" w:eastAsia="宋体" w:cs="宋体"/>
          <w:color w:val="000000"/>
          <w:sz w:val="21"/>
          <w:szCs w:val="21"/>
          <w:u w:val="single"/>
        </w:rPr>
        <w:t xml:space="preserve"> </w:t>
      </w:r>
    </w:p>
    <w:p w14:paraId="0A6C5DE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（1）工程量清单存在缺项、漏项的；</w:t>
      </w:r>
    </w:p>
    <w:p w14:paraId="6EB371D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（2）工程量清单偏差超出专用合同条款约定的工程量偏差范围的；</w:t>
      </w:r>
    </w:p>
    <w:p w14:paraId="7E0304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u w:val="single"/>
        </w:rPr>
        <w:t>（3）未按照国家现行计量规范强制性规定计量的。</w:t>
      </w:r>
    </w:p>
    <w:p w14:paraId="21CFEABD">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允许调整合同价格的工程量偏差范围</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总工程量的10%  </w:t>
      </w:r>
      <w:r>
        <w:rPr>
          <w:rFonts w:hint="eastAsia" w:ascii="宋体" w:hAnsi="宋体" w:eastAsia="宋体" w:cs="宋体"/>
          <w:sz w:val="21"/>
          <w:szCs w:val="21"/>
          <w:lang w:eastAsia="zh-CN"/>
        </w:rPr>
        <w:t>。</w:t>
      </w:r>
    </w:p>
    <w:p w14:paraId="2F08A649">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66" w:name="_Toc351203634"/>
      <w:r>
        <w:rPr>
          <w:rFonts w:hint="eastAsia" w:ascii="宋体" w:hAnsi="宋体" w:eastAsia="宋体" w:cs="宋体"/>
          <w:b/>
          <w:bCs w:val="0"/>
          <w:sz w:val="21"/>
          <w:szCs w:val="21"/>
        </w:rPr>
        <w:t>2</w:t>
      </w:r>
      <w:bookmarkStart w:id="67" w:name="_Toc292559867"/>
      <w:bookmarkStart w:id="68" w:name="_Toc292559362"/>
      <w:bookmarkStart w:id="69" w:name="_Toc297048343"/>
      <w:bookmarkStart w:id="70" w:name="_Toc296891197"/>
      <w:bookmarkStart w:id="71" w:name="_Toc296944496"/>
      <w:bookmarkStart w:id="72" w:name="_Toc296347156"/>
      <w:bookmarkStart w:id="73" w:name="_Toc297120457"/>
      <w:bookmarkStart w:id="74" w:name="_Toc296346658"/>
      <w:bookmarkStart w:id="75" w:name="_Toc296890985"/>
      <w:bookmarkStart w:id="76" w:name="_Toc296503157"/>
      <w:r>
        <w:rPr>
          <w:rFonts w:hint="eastAsia" w:ascii="宋体" w:hAnsi="宋体" w:eastAsia="宋体" w:cs="宋体"/>
          <w:b/>
          <w:bCs w:val="0"/>
          <w:sz w:val="21"/>
          <w:szCs w:val="21"/>
        </w:rPr>
        <w:t>. 发包人</w:t>
      </w:r>
      <w:bookmarkEnd w:id="66"/>
    </w:p>
    <w:bookmarkEnd w:id="67"/>
    <w:bookmarkEnd w:id="68"/>
    <w:bookmarkEnd w:id="69"/>
    <w:bookmarkEnd w:id="70"/>
    <w:bookmarkEnd w:id="71"/>
    <w:bookmarkEnd w:id="72"/>
    <w:bookmarkEnd w:id="73"/>
    <w:bookmarkEnd w:id="74"/>
    <w:bookmarkEnd w:id="75"/>
    <w:bookmarkEnd w:id="76"/>
    <w:p w14:paraId="280F137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2.2 发包人代表</w:t>
      </w:r>
    </w:p>
    <w:p w14:paraId="785E398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发包人代表：</w:t>
      </w:r>
      <w:r>
        <w:rPr>
          <w:rFonts w:hint="eastAsia" w:ascii="宋体" w:hAnsi="宋体" w:eastAsia="宋体" w:cs="宋体"/>
          <w:sz w:val="21"/>
          <w:szCs w:val="21"/>
          <w:u w:val="single"/>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r>
        <w:rPr>
          <w:rFonts w:hint="eastAsia" w:ascii="宋体" w:hAnsi="宋体" w:eastAsia="宋体" w:cs="宋体"/>
          <w:sz w:val="21"/>
          <w:szCs w:val="21"/>
        </w:rPr>
        <w:t>；</w:t>
      </w:r>
    </w:p>
    <w:p w14:paraId="0AC9B030">
      <w:pPr>
        <w:pStyle w:val="30"/>
        <w:keepNext w:val="0"/>
        <w:keepLines w:val="0"/>
        <w:pageBreakBefore w:val="0"/>
        <w:widowControl w:val="0"/>
        <w:kinsoku/>
        <w:wordWrap w:val="0"/>
        <w:overflowPunct/>
        <w:topLinePunct/>
        <w:autoSpaceDE/>
        <w:autoSpaceDN/>
        <w:bidi w:val="0"/>
        <w:adjustRightInd w:val="0"/>
        <w:snapToGrid w:val="0"/>
        <w:spacing w:line="360" w:lineRule="auto"/>
        <w:ind w:left="0" w:right="0"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发包人对发包人代表的授权范围如下：</w:t>
      </w:r>
      <w:r>
        <w:rPr>
          <w:rFonts w:hint="eastAsia" w:ascii="宋体" w:hAnsi="宋体" w:eastAsia="宋体" w:cs="宋体"/>
          <w:sz w:val="21"/>
          <w:szCs w:val="21"/>
          <w:u w:val="single"/>
        </w:rPr>
        <w:t xml:space="preserve">①、现场工程质量、进度的签认权；②、现场变更量的认可权；③、工程进度付款的认可权；④、协调现场各方关系。 </w:t>
      </w:r>
    </w:p>
    <w:p w14:paraId="3FEE8E4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lang w:val="zh-CN"/>
        </w:rPr>
      </w:pPr>
      <w:r>
        <w:rPr>
          <w:rFonts w:hint="eastAsia" w:ascii="宋体" w:hAnsi="宋体" w:eastAsia="宋体" w:cs="宋体"/>
          <w:sz w:val="21"/>
          <w:szCs w:val="21"/>
          <w:u w:val="single"/>
        </w:rPr>
        <w:t>发包人派驻的工程师</w:t>
      </w:r>
      <w:r>
        <w:rPr>
          <w:rFonts w:hint="eastAsia" w:ascii="宋体" w:hAnsi="宋体" w:eastAsia="宋体" w:cs="宋体"/>
          <w:sz w:val="21"/>
          <w:szCs w:val="21"/>
          <w:u w:val="single"/>
          <w:lang w:val="zh-CN"/>
        </w:rPr>
        <w:t>按照以下要求，行使合同约定的权力，履行合同约定的职责：</w:t>
      </w:r>
    </w:p>
    <w:p w14:paraId="2C389FE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lang w:val="zh-CN"/>
        </w:rPr>
      </w:pPr>
      <w:r>
        <w:rPr>
          <w:rFonts w:hint="eastAsia" w:ascii="宋体" w:hAnsi="宋体" w:eastAsia="宋体" w:cs="宋体"/>
          <w:sz w:val="21"/>
          <w:szCs w:val="21"/>
          <w:u w:val="single"/>
          <w:lang w:val="zh-CN"/>
        </w:rPr>
        <w:t>发包人派驻工程师发现施工质量问题，可要求承包人暂停施工，并在提出要求后48小时内提出处理意见。承包人按发包人要求停止施工，妥善保护已完工程，实施发包人派驻工程师意见后向其提出复工要求，发包人派驻工程师同意后继续施工。</w:t>
      </w:r>
    </w:p>
    <w:p w14:paraId="3CB0C46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b/>
          <w:color w:val="000000"/>
          <w:sz w:val="21"/>
          <w:szCs w:val="21"/>
        </w:rPr>
      </w:pPr>
      <w:r>
        <w:rPr>
          <w:rFonts w:hint="eastAsia" w:ascii="宋体" w:hAnsi="宋体" w:eastAsia="宋体" w:cs="宋体"/>
          <w:sz w:val="21"/>
          <w:szCs w:val="21"/>
          <w:u w:val="single"/>
          <w:lang w:val="zh-CN"/>
        </w:rPr>
        <w:t>发包人派驻工程师在履行合同的过程中，发现承包人的管理人员、施工人员不称职或不能履行合同约定的义务时，有权书面向承包人提出要求撤换不称职的人员。承包人应在接到发包人通知后7天内撤换，否则应承担相应的责任。</w:t>
      </w:r>
    </w:p>
    <w:p w14:paraId="77D79BC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 施工现场、施工条件和基础资料的提供</w:t>
      </w:r>
    </w:p>
    <w:p w14:paraId="403CC0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2.4.1 提供施工现场</w:t>
      </w:r>
    </w:p>
    <w:p w14:paraId="12B0C53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sz w:val="21"/>
          <w:szCs w:val="21"/>
        </w:rPr>
        <w:t>关于发包人移交施工现场的期限要求：</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 xml:space="preserve">发包人应最迟于开工日期7天前向承包人移交施工现场  </w:t>
      </w:r>
      <w:r>
        <w:rPr>
          <w:rFonts w:hint="eastAsia" w:ascii="宋体" w:hAnsi="宋体" w:eastAsia="宋体" w:cs="宋体"/>
          <w:kern w:val="0"/>
          <w:sz w:val="21"/>
          <w:szCs w:val="21"/>
        </w:rPr>
        <w:t>。</w:t>
      </w:r>
    </w:p>
    <w:p w14:paraId="6D74397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2.4.2 提供施工条件</w:t>
      </w:r>
    </w:p>
    <w:p w14:paraId="3F110B0D">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关于发包人应负责提供施工所需要的条件，包括：</w:t>
      </w:r>
      <w:r>
        <w:rPr>
          <w:rFonts w:hint="eastAsia" w:ascii="宋体" w:hAnsi="宋体" w:eastAsia="宋体" w:cs="宋体"/>
          <w:sz w:val="21"/>
          <w:szCs w:val="21"/>
          <w:u w:val="single"/>
          <w:lang w:val="en-US" w:eastAsia="zh-CN"/>
        </w:rPr>
        <w:t xml:space="preserve"> 执行通用条款2.4.2 </w:t>
      </w:r>
      <w:r>
        <w:rPr>
          <w:rFonts w:hint="eastAsia" w:ascii="宋体" w:hAnsi="宋体" w:eastAsia="宋体" w:cs="宋体"/>
          <w:sz w:val="21"/>
          <w:szCs w:val="21"/>
          <w:lang w:val="en-US" w:eastAsia="zh-CN"/>
        </w:rPr>
        <w:t xml:space="preserve">。   </w:t>
      </w:r>
    </w:p>
    <w:p w14:paraId="74F31B54">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77" w:name="_Toc351203635"/>
      <w:r>
        <w:rPr>
          <w:rFonts w:hint="eastAsia" w:ascii="宋体" w:hAnsi="宋体" w:eastAsia="宋体" w:cs="宋体"/>
          <w:b/>
          <w:bCs w:val="0"/>
          <w:sz w:val="21"/>
          <w:szCs w:val="21"/>
        </w:rPr>
        <w:t>3</w:t>
      </w:r>
      <w:bookmarkStart w:id="78" w:name="_Toc296346659"/>
      <w:bookmarkStart w:id="79" w:name="_Toc296347157"/>
      <w:bookmarkStart w:id="80" w:name="_Toc296944497"/>
      <w:bookmarkStart w:id="81" w:name="_Toc296503158"/>
      <w:bookmarkStart w:id="82" w:name="_Toc292559868"/>
      <w:bookmarkStart w:id="83" w:name="_Toc297120458"/>
      <w:bookmarkStart w:id="84" w:name="_Toc297048344"/>
      <w:bookmarkStart w:id="85" w:name="_Toc292559363"/>
      <w:bookmarkStart w:id="86" w:name="_Toc296890986"/>
      <w:bookmarkStart w:id="87" w:name="_Toc296891198"/>
      <w:r>
        <w:rPr>
          <w:rFonts w:hint="eastAsia" w:ascii="宋体" w:hAnsi="宋体" w:eastAsia="宋体" w:cs="宋体"/>
          <w:b/>
          <w:bCs w:val="0"/>
          <w:sz w:val="21"/>
          <w:szCs w:val="21"/>
        </w:rPr>
        <w:t>. 承包人</w:t>
      </w:r>
      <w:bookmarkEnd w:id="77"/>
    </w:p>
    <w:bookmarkEnd w:id="78"/>
    <w:bookmarkEnd w:id="79"/>
    <w:bookmarkEnd w:id="80"/>
    <w:bookmarkEnd w:id="81"/>
    <w:bookmarkEnd w:id="82"/>
    <w:bookmarkEnd w:id="83"/>
    <w:bookmarkEnd w:id="84"/>
    <w:bookmarkEnd w:id="85"/>
    <w:bookmarkEnd w:id="86"/>
    <w:bookmarkEnd w:id="87"/>
    <w:p w14:paraId="5EAEC0D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3.1 承包人的一般义务</w:t>
      </w:r>
    </w:p>
    <w:p w14:paraId="2E43FC0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（1）</w:t>
      </w:r>
      <w:r>
        <w:rPr>
          <w:rFonts w:hint="eastAsia" w:ascii="宋体" w:hAnsi="宋体" w:eastAsia="宋体" w:cs="宋体"/>
          <w:sz w:val="21"/>
          <w:szCs w:val="21"/>
        </w:rPr>
        <w:t>承包人提交的竣工资料的内容：</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1、施工单位工程竣工报告；2、监理单位工程竣工质量评估报告；3、勘察单位勘察文件及实施情况检查报告；4、设计单位设计文件及实施情况检查报告；5、建设工程质量竣工验收意见书或单位（子单位）工程质量竣工验收记录；6、竣工验收存在问题整改通知书；7、竣工验收存在问题整改验收意见书；8、工程的具备竣工验收条件的通知及重新组织竣工验收通知书；9、单位（子单位）工程质量控制资料核查记录（质量保证资料审查记录）；10、单位（子单位）工程安全和功能检验资料核查及主要功能抽查记录；11、单位（子单位）工程观感质量检查记录（观感质量评定表）；12、工程质量保修合同（书）；13、建设工程竣工验收报告（由建设单位填写）；14、竣工图（包括智能建筑分部）。</w:t>
      </w:r>
      <w:r>
        <w:rPr>
          <w:rFonts w:hint="eastAsia" w:ascii="宋体" w:hAnsi="宋体" w:eastAsia="宋体" w:cs="宋体"/>
          <w:sz w:val="21"/>
          <w:szCs w:val="21"/>
        </w:rPr>
        <w:t xml:space="preserve">             </w:t>
      </w:r>
    </w:p>
    <w:p w14:paraId="0D25D45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承包人需要提交的竣工资料套数：</w:t>
      </w:r>
      <w:r>
        <w:rPr>
          <w:rFonts w:hint="eastAsia" w:ascii="宋体" w:hAnsi="宋体" w:eastAsia="宋体" w:cs="宋体"/>
          <w:sz w:val="21"/>
          <w:szCs w:val="21"/>
          <w:u w:val="single"/>
        </w:rPr>
        <w:t xml:space="preserve">    2套                     </w:t>
      </w:r>
      <w:r>
        <w:rPr>
          <w:rFonts w:hint="eastAsia" w:ascii="宋体" w:hAnsi="宋体" w:eastAsia="宋体" w:cs="宋体"/>
          <w:sz w:val="21"/>
          <w:szCs w:val="21"/>
        </w:rPr>
        <w:t>。</w:t>
      </w:r>
    </w:p>
    <w:p w14:paraId="7D5C03E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承包人提交的竣工资料的费用承担：</w:t>
      </w:r>
      <w:r>
        <w:rPr>
          <w:rFonts w:hint="eastAsia" w:ascii="宋体" w:hAnsi="宋体" w:eastAsia="宋体" w:cs="宋体"/>
          <w:sz w:val="21"/>
          <w:szCs w:val="21"/>
          <w:u w:val="single"/>
        </w:rPr>
        <w:t xml:space="preserve">   承包人承担        </w:t>
      </w:r>
      <w:r>
        <w:rPr>
          <w:rFonts w:hint="eastAsia" w:ascii="宋体" w:hAnsi="宋体" w:eastAsia="宋体" w:cs="宋体"/>
          <w:sz w:val="21"/>
          <w:szCs w:val="21"/>
        </w:rPr>
        <w:t>。</w:t>
      </w:r>
    </w:p>
    <w:p w14:paraId="67CE98B1">
      <w:pPr>
        <w:keepNext w:val="0"/>
        <w:keepLines w:val="0"/>
        <w:pageBreakBefore w:val="0"/>
        <w:widowControl w:val="0"/>
        <w:kinsoku/>
        <w:wordWrap w:val="0"/>
        <w:overflowPunct/>
        <w:topLinePunct/>
        <w:autoSpaceDE/>
        <w:autoSpaceDN/>
        <w:bidi w:val="0"/>
        <w:adjustRightInd w:val="0"/>
        <w:snapToGrid w:val="0"/>
        <w:spacing w:line="360" w:lineRule="auto"/>
        <w:ind w:left="638" w:leftChars="304"/>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承包人提交的竣工资料移交时间：</w:t>
      </w:r>
      <w:r>
        <w:rPr>
          <w:rFonts w:hint="eastAsia" w:ascii="宋体" w:hAnsi="宋体" w:eastAsia="宋体" w:cs="宋体"/>
          <w:sz w:val="21"/>
          <w:szCs w:val="21"/>
          <w:u w:val="single"/>
        </w:rPr>
        <w:t xml:space="preserve">     竣工验收后15日内  </w:t>
      </w:r>
      <w:r>
        <w:rPr>
          <w:rFonts w:hint="eastAsia" w:ascii="宋体" w:hAnsi="宋体" w:eastAsia="宋体" w:cs="宋体"/>
          <w:sz w:val="21"/>
          <w:szCs w:val="21"/>
        </w:rPr>
        <w:t>。</w:t>
      </w:r>
    </w:p>
    <w:p w14:paraId="7380068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承包人提交的竣工资料形式要求：</w:t>
      </w:r>
      <w:r>
        <w:rPr>
          <w:rFonts w:hint="eastAsia" w:ascii="宋体" w:hAnsi="宋体" w:eastAsia="宋体" w:cs="宋体"/>
          <w:sz w:val="21"/>
          <w:szCs w:val="21"/>
          <w:u w:val="single"/>
        </w:rPr>
        <w:t xml:space="preserve">  工程资料档案整理规定  </w:t>
      </w:r>
      <w:r>
        <w:rPr>
          <w:rFonts w:hint="eastAsia" w:ascii="宋体" w:hAnsi="宋体" w:eastAsia="宋体" w:cs="宋体"/>
          <w:sz w:val="21"/>
          <w:szCs w:val="21"/>
        </w:rPr>
        <w:t>。</w:t>
      </w:r>
    </w:p>
    <w:p w14:paraId="3C00822D">
      <w:pPr>
        <w:pStyle w:val="31"/>
        <w:keepNext w:val="0"/>
        <w:keepLines w:val="0"/>
        <w:pageBreakBefore w:val="0"/>
        <w:widowControl w:val="0"/>
        <w:tabs>
          <w:tab w:val="left" w:pos="1282"/>
        </w:tabs>
        <w:kinsoku/>
        <w:wordWrap w:val="0"/>
        <w:overflowPunct/>
        <w:topLinePunct/>
        <w:autoSpaceDE/>
        <w:autoSpaceDN/>
        <w:bidi w:val="0"/>
        <w:adjustRightInd w:val="0"/>
        <w:snapToGrid w:val="0"/>
        <w:spacing w:line="360" w:lineRule="auto"/>
        <w:ind w:left="420" w:leftChars="200" w:firstLine="0" w:firstLineChars="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（2）承包人应履行的其他义务：</w:t>
      </w:r>
      <w:r>
        <w:rPr>
          <w:rFonts w:hint="eastAsia" w:ascii="宋体" w:hAnsi="宋体" w:eastAsia="宋体" w:cs="宋体"/>
          <w:sz w:val="21"/>
          <w:szCs w:val="21"/>
          <w:u w:val="single"/>
        </w:rPr>
        <w:t>执行通用条款3.1</w:t>
      </w:r>
      <w:r>
        <w:rPr>
          <w:rFonts w:hint="eastAsia" w:ascii="宋体" w:hAnsi="宋体" w:eastAsia="宋体" w:cs="宋体"/>
          <w:sz w:val="21"/>
          <w:szCs w:val="21"/>
        </w:rPr>
        <w:t>。</w:t>
      </w:r>
    </w:p>
    <w:p w14:paraId="3C772E3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3.2 项目经理</w:t>
      </w:r>
    </w:p>
    <w:p w14:paraId="1449510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 xml:space="preserve">3.2.1 </w:t>
      </w:r>
      <w:r>
        <w:rPr>
          <w:rFonts w:hint="eastAsia" w:ascii="宋体" w:hAnsi="宋体" w:eastAsia="宋体" w:cs="宋体"/>
          <w:sz w:val="21"/>
          <w:szCs w:val="21"/>
        </w:rPr>
        <w:t>项目经理：</w:t>
      </w:r>
    </w:p>
    <w:p w14:paraId="57B80B3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姓    名：</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w:t>
      </w:r>
    </w:p>
    <w:p w14:paraId="10D6792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建造师执业资格等级：</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w:t>
      </w:r>
    </w:p>
    <w:p w14:paraId="70D59A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建造师注册证书号：</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12B5FF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承包人对项目经理的授权范围如下：</w:t>
      </w:r>
      <w:r>
        <w:rPr>
          <w:rFonts w:hint="eastAsia" w:ascii="宋体" w:hAnsi="宋体" w:eastAsia="宋体" w:cs="宋体"/>
          <w:color w:val="000000"/>
          <w:sz w:val="21"/>
          <w:szCs w:val="21"/>
          <w:u w:val="single"/>
        </w:rPr>
        <w:t xml:space="preserve"> 工程质量、进度、合同、安全和信息等管理 </w:t>
      </w:r>
      <w:r>
        <w:rPr>
          <w:rFonts w:hint="eastAsia" w:ascii="宋体" w:hAnsi="宋体" w:eastAsia="宋体" w:cs="宋体"/>
          <w:color w:val="000000"/>
          <w:sz w:val="21"/>
          <w:szCs w:val="21"/>
        </w:rPr>
        <w:t>。</w:t>
      </w:r>
    </w:p>
    <w:p w14:paraId="4AC3BE6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关于项目经理每月在施工现场的时间要求：</w:t>
      </w:r>
      <w:r>
        <w:rPr>
          <w:rFonts w:hint="eastAsia" w:ascii="宋体" w:hAnsi="宋体" w:eastAsia="宋体" w:cs="宋体"/>
          <w:sz w:val="21"/>
          <w:szCs w:val="21"/>
          <w:u w:val="single"/>
        </w:rPr>
        <w:t>确保每周在工地工作时间不得少于5天或无故缺失，否则发包人有权按日扣除违约金1000元</w:t>
      </w:r>
      <w:r>
        <w:rPr>
          <w:rFonts w:hint="eastAsia" w:ascii="宋体" w:hAnsi="宋体" w:eastAsia="宋体" w:cs="宋体"/>
          <w:sz w:val="21"/>
          <w:szCs w:val="21"/>
          <w:u w:val="single"/>
          <w:lang w:val="zh-CN"/>
        </w:rPr>
        <w:t>，外出3天以上必须取得发包人的许可。离开现场须向发包方现场代表或主管领导请假；擅自离开施工现场每天承担违约金1000元（人民币）。施工期间，未经发包人同意，项目经理不许更换</w:t>
      </w:r>
      <w:r>
        <w:rPr>
          <w:rFonts w:hint="eastAsia" w:ascii="宋体" w:hAnsi="宋体" w:eastAsia="宋体" w:cs="宋体"/>
          <w:sz w:val="21"/>
          <w:szCs w:val="21"/>
        </w:rPr>
        <w:t>。</w:t>
      </w:r>
    </w:p>
    <w:p w14:paraId="3AA361F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承包人未提交劳动合同，以及没有为项目经理缴纳社会保险证明的违约责任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u w:val="single"/>
          <w:lang w:val="en-US" w:eastAsia="zh-CN"/>
        </w:rPr>
        <w:t>执行通用条款3.2</w:t>
      </w:r>
      <w:r>
        <w:rPr>
          <w:rFonts w:hint="eastAsia" w:ascii="宋体" w:hAnsi="宋体" w:eastAsia="宋体" w:cs="宋体"/>
          <w:sz w:val="21"/>
          <w:szCs w:val="21"/>
        </w:rPr>
        <w:t>。</w:t>
      </w:r>
    </w:p>
    <w:p w14:paraId="39C86535">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kern w:val="0"/>
          <w:sz w:val="21"/>
          <w:szCs w:val="21"/>
          <w:u w:val="single"/>
        </w:rPr>
      </w:pPr>
      <w:r>
        <w:rPr>
          <w:rFonts w:hint="eastAsia" w:ascii="宋体" w:hAnsi="宋体" w:eastAsia="宋体" w:cs="宋体"/>
          <w:sz w:val="21"/>
          <w:szCs w:val="21"/>
        </w:rPr>
        <w:t>3.2.2 承包人擅自更换项目经理的违约责任：</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执行通用条款3.2</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3539874D">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0" w:firstLineChars="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   3.2.3承包人无正当理由拒绝更换项目经理的违约责任：</w:t>
      </w:r>
      <w:r>
        <w:rPr>
          <w:rFonts w:hint="eastAsia" w:ascii="宋体" w:hAnsi="宋体" w:eastAsia="宋体" w:cs="宋体"/>
          <w:sz w:val="21"/>
          <w:szCs w:val="21"/>
          <w:u w:val="single"/>
        </w:rPr>
        <w:t>执行通用条款3.2</w:t>
      </w:r>
      <w:r>
        <w:rPr>
          <w:rFonts w:hint="eastAsia" w:ascii="宋体" w:hAnsi="宋体" w:eastAsia="宋体" w:cs="宋体"/>
          <w:sz w:val="21"/>
          <w:szCs w:val="21"/>
        </w:rPr>
        <w:t>。</w:t>
      </w:r>
      <w:r>
        <w:rPr>
          <w:rFonts w:hint="eastAsia" w:ascii="宋体" w:hAnsi="宋体" w:eastAsia="宋体" w:cs="宋体"/>
          <w:kern w:val="0"/>
          <w:sz w:val="21"/>
          <w:szCs w:val="21"/>
        </w:rPr>
        <w:t xml:space="preserve">  </w:t>
      </w:r>
    </w:p>
    <w:p w14:paraId="50A0DF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3.3 承包人人员</w:t>
      </w:r>
    </w:p>
    <w:p w14:paraId="7EED4C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3.3.1 承包人提交项目管理机构及施工现场管理人员安排报告的期限：</w:t>
      </w:r>
      <w:r>
        <w:rPr>
          <w:rFonts w:hint="eastAsia" w:ascii="宋体" w:hAnsi="宋体" w:eastAsia="宋体" w:cs="宋体"/>
          <w:sz w:val="21"/>
          <w:szCs w:val="21"/>
          <w:u w:val="single"/>
        </w:rPr>
        <w:t xml:space="preserve">  执行通用条款3.3 。</w:t>
      </w:r>
    </w:p>
    <w:p w14:paraId="29A7BE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3.3.3 承包人无正当理由拒绝撤换主要施工管理人员的违约责任：</w:t>
      </w:r>
      <w:r>
        <w:rPr>
          <w:rFonts w:hint="eastAsia" w:ascii="宋体" w:hAnsi="宋体" w:eastAsia="宋体" w:cs="宋体"/>
          <w:sz w:val="21"/>
          <w:szCs w:val="21"/>
          <w:u w:val="single"/>
        </w:rPr>
        <w:t xml:space="preserve"> 执行通用条款3.3 </w:t>
      </w:r>
      <w:r>
        <w:rPr>
          <w:rFonts w:hint="eastAsia" w:ascii="宋体" w:hAnsi="宋体" w:eastAsia="宋体" w:cs="宋体"/>
          <w:sz w:val="21"/>
          <w:szCs w:val="21"/>
        </w:rPr>
        <w:t>。</w:t>
      </w:r>
    </w:p>
    <w:p w14:paraId="39F0B54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3.3.4 承包人主要施工管理人员离开施工现场的批准要求：   </w:t>
      </w:r>
      <w:r>
        <w:rPr>
          <w:rFonts w:hint="eastAsia" w:ascii="宋体" w:hAnsi="宋体" w:eastAsia="宋体" w:cs="宋体"/>
          <w:sz w:val="21"/>
          <w:szCs w:val="21"/>
          <w:u w:val="single"/>
        </w:rPr>
        <w:t xml:space="preserve">  执行通用条款3.3   </w:t>
      </w:r>
      <w:r>
        <w:rPr>
          <w:rFonts w:hint="eastAsia" w:ascii="宋体" w:hAnsi="宋体" w:eastAsia="宋体" w:cs="宋体"/>
          <w:sz w:val="21"/>
          <w:szCs w:val="21"/>
        </w:rPr>
        <w:t>。</w:t>
      </w:r>
    </w:p>
    <w:p w14:paraId="180C08B5">
      <w:pPr>
        <w:pStyle w:val="31"/>
        <w:keepNext w:val="0"/>
        <w:keepLines w:val="0"/>
        <w:pageBreakBefore w:val="0"/>
        <w:widowControl w:val="0"/>
        <w:tabs>
          <w:tab w:val="left" w:pos="1228"/>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3.3.5承包人擅自更换主要施工管理人员的违约责任：</w:t>
      </w:r>
      <w:r>
        <w:rPr>
          <w:rFonts w:hint="eastAsia" w:ascii="宋体" w:hAnsi="宋体" w:eastAsia="宋体" w:cs="宋体"/>
          <w:sz w:val="21"/>
          <w:szCs w:val="21"/>
          <w:u w:val="single"/>
        </w:rPr>
        <w:t xml:space="preserve">执行通用条款3.3 </w:t>
      </w:r>
      <w:r>
        <w:rPr>
          <w:rFonts w:hint="eastAsia" w:ascii="宋体" w:hAnsi="宋体" w:eastAsia="宋体" w:cs="宋体"/>
          <w:sz w:val="21"/>
          <w:szCs w:val="21"/>
        </w:rPr>
        <w:t>。</w:t>
      </w:r>
    </w:p>
    <w:p w14:paraId="39BF1F74">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w:t>
      </w:r>
      <w:r>
        <w:rPr>
          <w:rFonts w:hint="eastAsia" w:ascii="宋体" w:hAnsi="宋体" w:eastAsia="宋体" w:cs="宋体"/>
          <w:kern w:val="2"/>
          <w:sz w:val="21"/>
          <w:szCs w:val="21"/>
          <w:lang w:val="en-US" w:eastAsia="zh-CN"/>
        </w:rPr>
        <w:t>包人主要施工管理人员擅自离开施工现场的违约责任：</w:t>
      </w:r>
      <w:r>
        <w:rPr>
          <w:rFonts w:hint="eastAsia" w:ascii="宋体" w:hAnsi="宋体" w:eastAsia="宋体" w:cs="宋体"/>
          <w:sz w:val="21"/>
          <w:szCs w:val="21"/>
          <w:u w:val="single"/>
          <w:lang w:val="en-US" w:eastAsia="zh-CN"/>
        </w:rPr>
        <w:t xml:space="preserve">执行通用条款3.3 </w:t>
      </w:r>
      <w:r>
        <w:rPr>
          <w:rFonts w:hint="eastAsia" w:ascii="宋体" w:hAnsi="宋体" w:eastAsia="宋体" w:cs="宋体"/>
          <w:sz w:val="21"/>
          <w:szCs w:val="21"/>
          <w:lang w:val="en-US" w:eastAsia="zh-CN"/>
        </w:rPr>
        <w:t>。</w:t>
      </w:r>
    </w:p>
    <w:p w14:paraId="1E286B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bookmarkStart w:id="88" w:name="_Toc292559869"/>
      <w:bookmarkStart w:id="89" w:name="_Toc297216151"/>
      <w:bookmarkStart w:id="90" w:name="_Toc296347158"/>
      <w:bookmarkStart w:id="91" w:name="_Toc297120459"/>
      <w:bookmarkStart w:id="92" w:name="_Toc303539102"/>
      <w:bookmarkStart w:id="93" w:name="_Toc296503159"/>
      <w:bookmarkStart w:id="94" w:name="_Toc296891199"/>
      <w:bookmarkStart w:id="95" w:name="_Toc296346660"/>
      <w:bookmarkStart w:id="96" w:name="_Toc292559364"/>
      <w:bookmarkStart w:id="97" w:name="_Toc296890987"/>
      <w:bookmarkStart w:id="98" w:name="_Toc297048345"/>
      <w:bookmarkStart w:id="99" w:name="_Toc300934945"/>
      <w:bookmarkStart w:id="100" w:name="_Toc312677988"/>
      <w:bookmarkStart w:id="101" w:name="_Toc304295523"/>
      <w:bookmarkStart w:id="102" w:name="_Toc296944498"/>
      <w:bookmarkStart w:id="103" w:name="_Toc297123492"/>
      <w:r>
        <w:rPr>
          <w:rFonts w:hint="eastAsia" w:ascii="宋体" w:hAnsi="宋体" w:eastAsia="宋体" w:cs="宋体"/>
          <w:sz w:val="21"/>
          <w:szCs w:val="21"/>
        </w:rPr>
        <w:t>.5 分包</w:t>
      </w:r>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4827319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bookmarkStart w:id="104" w:name="_Toc296347159"/>
      <w:bookmarkStart w:id="105" w:name="_Toc303539103"/>
      <w:bookmarkStart w:id="106" w:name="_Toc297048346"/>
      <w:bookmarkStart w:id="107" w:name="_Toc292559870"/>
      <w:bookmarkStart w:id="108" w:name="_Toc296890988"/>
      <w:bookmarkStart w:id="109" w:name="_Toc296891200"/>
      <w:bookmarkStart w:id="110" w:name="_Toc304295524"/>
      <w:bookmarkStart w:id="111" w:name="_Toc296503160"/>
      <w:bookmarkStart w:id="112" w:name="_Toc297216152"/>
      <w:bookmarkStart w:id="113" w:name="_Toc300934946"/>
      <w:bookmarkStart w:id="114" w:name="_Toc297120460"/>
      <w:bookmarkStart w:id="115" w:name="_Toc296944499"/>
      <w:bookmarkStart w:id="116" w:name="_Toc297123493"/>
      <w:bookmarkStart w:id="117" w:name="_Toc292559365"/>
      <w:bookmarkStart w:id="118" w:name="_Toc296346661"/>
      <w:bookmarkStart w:id="119" w:name="_Toc312677989"/>
      <w:bookmarkStart w:id="120" w:name="_Toc318581158"/>
      <w:r>
        <w:rPr>
          <w:rFonts w:hint="eastAsia" w:ascii="宋体" w:hAnsi="宋体" w:eastAsia="宋体" w:cs="宋体"/>
          <w:sz w:val="21"/>
          <w:szCs w:val="21"/>
        </w:rPr>
        <w:t>.5.1 分包的一般约定</w:t>
      </w:r>
    </w:p>
    <w:p w14:paraId="7B892D6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禁止分包的工程包括：</w:t>
      </w:r>
      <w:r>
        <w:rPr>
          <w:rFonts w:hint="eastAsia" w:ascii="宋体" w:hAnsi="宋体" w:eastAsia="宋体" w:cs="宋体"/>
          <w:sz w:val="21"/>
          <w:szCs w:val="21"/>
          <w:u w:val="single"/>
        </w:rPr>
        <w:t>  主体结构、关键性工作</w:t>
      </w:r>
      <w:r>
        <w:rPr>
          <w:rFonts w:hint="eastAsia" w:ascii="宋体" w:hAnsi="宋体" w:eastAsia="宋体" w:cs="宋体"/>
          <w:sz w:val="21"/>
          <w:szCs w:val="21"/>
        </w:rP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Start w:id="121" w:name="_Toc304295525"/>
      <w:bookmarkStart w:id="122" w:name="_Toc296891201"/>
      <w:bookmarkStart w:id="123" w:name="_Toc300934947"/>
      <w:bookmarkStart w:id="124" w:name="_Toc297048347"/>
      <w:bookmarkStart w:id="125" w:name="_Toc296503161"/>
      <w:bookmarkStart w:id="126" w:name="_Toc303539104"/>
      <w:bookmarkStart w:id="127" w:name="_Toc296890989"/>
      <w:bookmarkStart w:id="128" w:name="_Toc297123494"/>
      <w:bookmarkStart w:id="129" w:name="_Toc297216153"/>
      <w:bookmarkStart w:id="130" w:name="_Toc296347160"/>
      <w:bookmarkStart w:id="131" w:name="_Toc296944500"/>
      <w:bookmarkStart w:id="132" w:name="_Toc296346662"/>
      <w:bookmarkStart w:id="133" w:name="_Toc297120461"/>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6EC61BCD">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    3</w:t>
      </w:r>
      <w:bookmarkStart w:id="134" w:name="_Toc318581159"/>
      <w:bookmarkStart w:id="135" w:name="_Toc312677990"/>
      <w:r>
        <w:rPr>
          <w:rFonts w:hint="eastAsia" w:ascii="宋体" w:hAnsi="宋体" w:eastAsia="宋体" w:cs="宋体"/>
          <w:sz w:val="21"/>
          <w:szCs w:val="21"/>
        </w:rPr>
        <w:t>.5.2分包的确定</w:t>
      </w:r>
    </w:p>
    <w:p w14:paraId="6A53064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允许分包的专业工程包括：</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536607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其他关于分包的约定：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B8753B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3.5.4 分包合同价款</w:t>
      </w:r>
    </w:p>
    <w:p w14:paraId="501AE43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关于分包合同价款支付的约定：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134"/>
    <w:bookmarkEnd w:id="135"/>
    <w:p w14:paraId="20993EC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3.6 工程照管与成品、半成品保护</w:t>
      </w:r>
    </w:p>
    <w:p w14:paraId="6D496A5B">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承包人负责照管工程及工程相关的材料、工程设备的起始时间：</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执行通用条款3.6</w:t>
      </w:r>
      <w:r>
        <w:rPr>
          <w:rFonts w:hint="eastAsia" w:ascii="宋体" w:hAnsi="宋体" w:eastAsia="宋体" w:cs="宋体"/>
          <w:sz w:val="21"/>
          <w:szCs w:val="21"/>
          <w:lang w:val="en-US" w:eastAsia="zh-CN"/>
        </w:rPr>
        <w:t>。</w:t>
      </w:r>
    </w:p>
    <w:p w14:paraId="09EC9073">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sz w:val="21"/>
          <w:szCs w:val="21"/>
        </w:rPr>
      </w:pPr>
      <w:r>
        <w:rPr>
          <w:rFonts w:hint="eastAsia" w:ascii="宋体" w:hAnsi="宋体" w:eastAsia="宋体" w:cs="宋体"/>
          <w:sz w:val="21"/>
          <w:szCs w:val="21"/>
        </w:rPr>
        <w:t>3.7 履约担保</w:t>
      </w:r>
    </w:p>
    <w:p w14:paraId="093792A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承包人是否提供履约担保：</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003A45C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承包人提供履约担保的形式、金额及期限的：</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0A310CA">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36" w:name="_Toc351203636"/>
      <w:r>
        <w:rPr>
          <w:rFonts w:hint="eastAsia" w:ascii="宋体" w:hAnsi="宋体" w:eastAsia="宋体" w:cs="宋体"/>
          <w:b/>
          <w:bCs w:val="0"/>
          <w:sz w:val="21"/>
          <w:szCs w:val="21"/>
        </w:rPr>
        <w:t>4</w:t>
      </w:r>
      <w:bookmarkStart w:id="137" w:name="_Toc296503162"/>
      <w:bookmarkStart w:id="138" w:name="_Toc267251413"/>
      <w:bookmarkStart w:id="139" w:name="_Toc296891202"/>
      <w:bookmarkStart w:id="140" w:name="_Toc296944501"/>
      <w:bookmarkStart w:id="141" w:name="_Toc296890990"/>
      <w:bookmarkStart w:id="142" w:name="_Toc292559871"/>
      <w:bookmarkStart w:id="143" w:name="_Toc297048348"/>
      <w:bookmarkStart w:id="144" w:name="_Toc296346663"/>
      <w:bookmarkStart w:id="145" w:name="_Toc297120462"/>
      <w:bookmarkStart w:id="146" w:name="_Toc292559366"/>
      <w:bookmarkStart w:id="147" w:name="_Toc296347161"/>
      <w:r>
        <w:rPr>
          <w:rFonts w:hint="eastAsia" w:ascii="宋体" w:hAnsi="宋体" w:eastAsia="宋体" w:cs="宋体"/>
          <w:b/>
          <w:bCs w:val="0"/>
          <w:sz w:val="21"/>
          <w:szCs w:val="21"/>
        </w:rPr>
        <w:t>. 监</w:t>
      </w:r>
      <w:bookmarkEnd w:id="137"/>
      <w:bookmarkEnd w:id="138"/>
      <w:bookmarkEnd w:id="139"/>
      <w:bookmarkEnd w:id="140"/>
      <w:bookmarkEnd w:id="141"/>
      <w:bookmarkEnd w:id="142"/>
      <w:bookmarkEnd w:id="143"/>
      <w:bookmarkEnd w:id="144"/>
      <w:bookmarkEnd w:id="145"/>
      <w:bookmarkEnd w:id="146"/>
      <w:bookmarkEnd w:id="147"/>
      <w:r>
        <w:rPr>
          <w:rFonts w:hint="eastAsia" w:ascii="宋体" w:hAnsi="宋体" w:eastAsia="宋体" w:cs="宋体"/>
          <w:b/>
          <w:bCs w:val="0"/>
          <w:sz w:val="21"/>
          <w:szCs w:val="21"/>
        </w:rPr>
        <w:t>理人</w:t>
      </w:r>
      <w:bookmarkEnd w:id="136"/>
    </w:p>
    <w:p w14:paraId="77336C9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4.1监理人的一般规定</w:t>
      </w:r>
    </w:p>
    <w:p w14:paraId="21CF04B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关于监理人的监理内容：</w:t>
      </w:r>
      <w:r>
        <w:rPr>
          <w:rFonts w:hint="eastAsia" w:ascii="宋体" w:hAnsi="宋体" w:eastAsia="宋体" w:cs="宋体"/>
          <w:sz w:val="21"/>
          <w:szCs w:val="21"/>
          <w:u w:val="single"/>
        </w:rPr>
        <w:t xml:space="preserve"> 执行通用条款4.1 </w:t>
      </w:r>
      <w:r>
        <w:rPr>
          <w:rFonts w:hint="eastAsia" w:ascii="宋体" w:hAnsi="宋体" w:eastAsia="宋体" w:cs="宋体"/>
          <w:sz w:val="21"/>
          <w:szCs w:val="21"/>
        </w:rPr>
        <w:t>。</w:t>
      </w:r>
    </w:p>
    <w:p w14:paraId="126646F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关于监理人的监理权限： </w:t>
      </w:r>
      <w:r>
        <w:rPr>
          <w:rFonts w:hint="eastAsia" w:ascii="宋体" w:hAnsi="宋体" w:eastAsia="宋体" w:cs="宋体"/>
          <w:sz w:val="21"/>
          <w:szCs w:val="21"/>
          <w:u w:val="single"/>
        </w:rPr>
        <w:t xml:space="preserve">执行通用条款4.1 </w:t>
      </w:r>
      <w:r>
        <w:rPr>
          <w:rFonts w:hint="eastAsia" w:ascii="宋体" w:hAnsi="宋体" w:eastAsia="宋体" w:cs="宋体"/>
          <w:sz w:val="21"/>
          <w:szCs w:val="21"/>
        </w:rPr>
        <w:t xml:space="preserve">。 </w:t>
      </w:r>
    </w:p>
    <w:p w14:paraId="45EBC6E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关于监理人在施工现场的办公场所、生活场所的提供和费用承担的约定：</w:t>
      </w:r>
      <w:r>
        <w:rPr>
          <w:rFonts w:hint="eastAsia" w:ascii="宋体" w:hAnsi="宋体" w:eastAsia="宋体" w:cs="宋体"/>
          <w:sz w:val="21"/>
          <w:szCs w:val="21"/>
          <w:u w:val="single"/>
        </w:rPr>
        <w:t xml:space="preserve">  由承包人提供并承担费用  </w:t>
      </w:r>
      <w:r>
        <w:rPr>
          <w:rFonts w:hint="eastAsia" w:ascii="宋体" w:hAnsi="宋体" w:eastAsia="宋体" w:cs="宋体"/>
          <w:sz w:val="21"/>
          <w:szCs w:val="21"/>
        </w:rPr>
        <w:t>。</w:t>
      </w:r>
    </w:p>
    <w:p w14:paraId="768752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4.2 监理人员</w:t>
      </w:r>
    </w:p>
    <w:p w14:paraId="02ADEE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关于监理人的约定</w:t>
      </w:r>
      <w:r>
        <w:rPr>
          <w:rFonts w:hint="eastAsia" w:ascii="宋体" w:hAnsi="宋体" w:eastAsia="宋体" w:cs="宋体"/>
          <w:sz w:val="21"/>
          <w:szCs w:val="21"/>
          <w:u w:val="single"/>
        </w:rPr>
        <w:t>：按监理规范要求</w:t>
      </w:r>
      <w:r>
        <w:rPr>
          <w:rFonts w:hint="eastAsia" w:ascii="宋体" w:hAnsi="宋体" w:eastAsia="宋体" w:cs="宋体"/>
          <w:color w:val="000000"/>
          <w:sz w:val="21"/>
          <w:szCs w:val="21"/>
          <w:u w:val="single"/>
        </w:rPr>
        <w:t>配备总监理工程师和土建、安装、环保、试验相关专业监理工程师或监理员 </w:t>
      </w:r>
      <w:r>
        <w:rPr>
          <w:rFonts w:hint="eastAsia" w:ascii="宋体" w:hAnsi="宋体" w:eastAsia="宋体" w:cs="宋体"/>
          <w:sz w:val="21"/>
          <w:szCs w:val="21"/>
        </w:rPr>
        <w:t>。</w:t>
      </w:r>
    </w:p>
    <w:p w14:paraId="2377C69E">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48" w:name="_Toc267251418"/>
      <w:bookmarkStart w:id="149" w:name="_Toc351203637"/>
      <w:r>
        <w:rPr>
          <w:rFonts w:hint="eastAsia" w:ascii="宋体" w:hAnsi="宋体" w:eastAsia="宋体" w:cs="宋体"/>
          <w:b/>
          <w:bCs w:val="0"/>
          <w:sz w:val="21"/>
          <w:szCs w:val="21"/>
        </w:rPr>
        <w:t>5</w:t>
      </w:r>
      <w:bookmarkEnd w:id="148"/>
      <w:bookmarkStart w:id="150" w:name="_Toc296346664"/>
      <w:bookmarkStart w:id="151" w:name="_Toc296891203"/>
      <w:bookmarkStart w:id="152" w:name="_Toc292559367"/>
      <w:bookmarkStart w:id="153" w:name="_Toc296347162"/>
      <w:bookmarkStart w:id="154" w:name="_Toc296890991"/>
      <w:bookmarkStart w:id="155" w:name="_Toc296944502"/>
      <w:bookmarkStart w:id="156" w:name="_Toc297048349"/>
      <w:bookmarkStart w:id="157" w:name="_Toc292559872"/>
      <w:bookmarkStart w:id="158" w:name="_Toc297120463"/>
      <w:bookmarkStart w:id="159" w:name="_Toc296503163"/>
      <w:r>
        <w:rPr>
          <w:rFonts w:hint="eastAsia" w:ascii="宋体" w:hAnsi="宋体" w:eastAsia="宋体" w:cs="宋体"/>
          <w:b/>
          <w:bCs w:val="0"/>
          <w:sz w:val="21"/>
          <w:szCs w:val="21"/>
        </w:rPr>
        <w:t>. 工程质量</w:t>
      </w:r>
      <w:bookmarkEnd w:id="149"/>
    </w:p>
    <w:p w14:paraId="79F9C72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5.1 质量要求</w:t>
      </w:r>
    </w:p>
    <w:p w14:paraId="13D0694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5</w:t>
      </w:r>
      <w:bookmarkStart w:id="160" w:name="_Toc304295527"/>
      <w:bookmarkStart w:id="161" w:name="_Toc297123496"/>
      <w:bookmarkStart w:id="162" w:name="_Toc300934949"/>
      <w:bookmarkStart w:id="163" w:name="_Toc297216155"/>
      <w:bookmarkStart w:id="164" w:name="_Toc318581164"/>
      <w:bookmarkStart w:id="165" w:name="_Toc303539106"/>
      <w:bookmarkStart w:id="166" w:name="_Toc312677997"/>
      <w:r>
        <w:rPr>
          <w:rFonts w:hint="eastAsia" w:ascii="宋体" w:hAnsi="宋体" w:eastAsia="宋体" w:cs="宋体"/>
          <w:sz w:val="21"/>
          <w:szCs w:val="21"/>
        </w:rPr>
        <w:t>.1.1 特殊质量标准和要求：</w:t>
      </w:r>
      <w:r>
        <w:rPr>
          <w:rFonts w:hint="eastAsia" w:ascii="宋体" w:hAnsi="宋体" w:eastAsia="宋体" w:cs="宋体"/>
          <w:kern w:val="2"/>
          <w:sz w:val="21"/>
          <w:szCs w:val="21"/>
          <w:u w:val="single"/>
          <w:lang w:val="en-US" w:eastAsia="zh-CN"/>
        </w:rPr>
        <w:t xml:space="preserve">工程质量必须达到有关标准的合格等级，按分项工程评定的合格率100％；若因承包人原因导致工程质量未达到合格标准，由承包人负责整改直至达到合格标准 </w:t>
      </w:r>
      <w:r>
        <w:rPr>
          <w:rFonts w:hint="eastAsia" w:ascii="宋体" w:hAnsi="宋体" w:eastAsia="宋体" w:cs="宋体"/>
          <w:kern w:val="2"/>
          <w:sz w:val="21"/>
          <w:szCs w:val="21"/>
          <w:lang w:val="en-US" w:eastAsia="zh-CN"/>
        </w:rPr>
        <w:t>。</w:t>
      </w:r>
    </w:p>
    <w:p w14:paraId="79E9554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关于工程奖项的约定：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14:paraId="28EC9E0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5.3 隐蔽工程检查</w:t>
      </w:r>
    </w:p>
    <w:p w14:paraId="6FFDBF3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5.3.2承包人提前通知监理人隐蔽工程检查的期限的约定：</w:t>
      </w:r>
      <w:r>
        <w:rPr>
          <w:rFonts w:hint="eastAsia" w:ascii="宋体" w:hAnsi="宋体" w:eastAsia="宋体" w:cs="宋体"/>
          <w:sz w:val="21"/>
          <w:szCs w:val="21"/>
          <w:u w:val="single"/>
        </w:rPr>
        <w:t xml:space="preserve"> 验槽、基础、主体等分部验收；专项验收、竣工验收 </w:t>
      </w:r>
      <w:r>
        <w:rPr>
          <w:rFonts w:hint="eastAsia" w:ascii="宋体" w:hAnsi="宋体" w:eastAsia="宋体" w:cs="宋体"/>
          <w:sz w:val="21"/>
          <w:szCs w:val="21"/>
        </w:rPr>
        <w:t>。</w:t>
      </w:r>
    </w:p>
    <w:p w14:paraId="4F9BDC39">
      <w:pPr>
        <w:keepNext w:val="0"/>
        <w:keepLines w:val="0"/>
        <w:pageBreakBefore w:val="0"/>
        <w:widowControl w:val="0"/>
        <w:kinsoku/>
        <w:wordWrap w:val="0"/>
        <w:overflowPunct/>
        <w:topLinePunct/>
        <w:autoSpaceDE/>
        <w:autoSpaceDN/>
        <w:bidi w:val="0"/>
        <w:adjustRightInd w:val="0"/>
        <w:snapToGrid w:val="0"/>
        <w:spacing w:line="360" w:lineRule="auto"/>
        <w:ind w:firstLine="315" w:firstLineChars="15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监理人不能按时进行检查时，应提前</w:t>
      </w:r>
      <w:r>
        <w:rPr>
          <w:rFonts w:hint="eastAsia" w:ascii="宋体" w:hAnsi="宋体" w:eastAsia="宋体" w:cs="宋体"/>
          <w:sz w:val="21"/>
          <w:szCs w:val="21"/>
          <w:u w:val="single"/>
        </w:rPr>
        <w:t xml:space="preserve">  24  </w:t>
      </w:r>
      <w:r>
        <w:rPr>
          <w:rFonts w:hint="eastAsia" w:ascii="宋体" w:hAnsi="宋体" w:eastAsia="宋体" w:cs="宋体"/>
          <w:sz w:val="21"/>
          <w:szCs w:val="21"/>
        </w:rPr>
        <w:t>小时提交书面延期要求，延期最长不得超过：</w:t>
      </w:r>
      <w:r>
        <w:rPr>
          <w:rFonts w:hint="eastAsia" w:ascii="宋体" w:hAnsi="宋体" w:eastAsia="宋体" w:cs="宋体"/>
          <w:sz w:val="21"/>
          <w:szCs w:val="21"/>
          <w:u w:val="single"/>
        </w:rPr>
        <w:t xml:space="preserve">    48  </w:t>
      </w:r>
      <w:r>
        <w:rPr>
          <w:rFonts w:hint="eastAsia" w:ascii="宋体" w:hAnsi="宋体" w:eastAsia="宋体" w:cs="宋体"/>
          <w:sz w:val="21"/>
          <w:szCs w:val="21"/>
        </w:rPr>
        <w:t>小时。</w:t>
      </w:r>
    </w:p>
    <w:p w14:paraId="0584629C">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67" w:name="_Toc351203638"/>
      <w:r>
        <w:rPr>
          <w:rFonts w:hint="eastAsia" w:ascii="宋体" w:hAnsi="宋体" w:eastAsia="宋体" w:cs="宋体"/>
          <w:b/>
          <w:bCs w:val="0"/>
          <w:sz w:val="21"/>
          <w:szCs w:val="21"/>
        </w:rPr>
        <w:t>6. 安全文明施工与环境保护</w:t>
      </w:r>
      <w:bookmarkEnd w:id="167"/>
    </w:p>
    <w:p w14:paraId="26A439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6.1安全文明施工</w:t>
      </w:r>
    </w:p>
    <w:p w14:paraId="7CE83E96">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rPr>
      </w:pPr>
      <w:r>
        <w:rPr>
          <w:rFonts w:hint="eastAsia" w:ascii="宋体" w:hAnsi="宋体" w:eastAsia="宋体" w:cs="宋体"/>
          <w:sz w:val="21"/>
          <w:szCs w:val="21"/>
        </w:rPr>
        <w:t>6.1.1 项目安全生产的达标目标及相应事项的约定：</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36DE3A3D">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6.1.4 关于治安保卫的特别约定： </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7D6192B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关于编制施工场地治安管理计划的约定：</w:t>
      </w:r>
      <w:r>
        <w:rPr>
          <w:rFonts w:hint="eastAsia" w:ascii="宋体" w:hAnsi="宋体" w:eastAsia="宋体" w:cs="宋体"/>
          <w:sz w:val="21"/>
          <w:szCs w:val="21"/>
          <w:u w:val="single"/>
        </w:rPr>
        <w:t xml:space="preserve">  执行通用条款6.1</w:t>
      </w:r>
      <w:r>
        <w:rPr>
          <w:rFonts w:hint="eastAsia" w:ascii="宋体" w:hAnsi="宋体" w:eastAsia="宋体" w:cs="宋体"/>
          <w:sz w:val="21"/>
          <w:szCs w:val="21"/>
        </w:rPr>
        <w:t>。</w:t>
      </w:r>
    </w:p>
    <w:p w14:paraId="3CE6DF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6.1.5 文明施工</w:t>
      </w:r>
    </w:p>
    <w:p w14:paraId="1403FE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合同当事人对文明施工的要求：</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3B8BA8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6.1.6 关于安全文明施工费支付比例和支付期限的约定：6.1.6 关于安全文明施工费支付比例和支付期限的约定：</w:t>
      </w:r>
      <w:r>
        <w:rPr>
          <w:rFonts w:hint="eastAsia" w:ascii="宋体" w:hAnsi="宋体" w:eastAsia="宋体" w:cs="宋体"/>
          <w:sz w:val="21"/>
          <w:szCs w:val="21"/>
          <w:u w:val="single"/>
        </w:rPr>
        <w:t xml:space="preserve">  100% 支付；发包人应当在承包人开工后7天内将安全文明施工费用拨付给承包人。</w:t>
      </w:r>
    </w:p>
    <w:bookmarkEnd w:id="160"/>
    <w:bookmarkEnd w:id="161"/>
    <w:bookmarkEnd w:id="162"/>
    <w:bookmarkEnd w:id="163"/>
    <w:bookmarkEnd w:id="164"/>
    <w:bookmarkEnd w:id="165"/>
    <w:bookmarkEnd w:id="166"/>
    <w:p w14:paraId="43FE96FA">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68" w:name="_Toc351203639"/>
      <w:r>
        <w:rPr>
          <w:rFonts w:hint="eastAsia" w:ascii="宋体" w:hAnsi="宋体" w:eastAsia="宋体" w:cs="宋体"/>
          <w:b/>
          <w:bCs w:val="0"/>
          <w:sz w:val="21"/>
          <w:szCs w:val="21"/>
        </w:rPr>
        <w:t>7. 工期和进度</w:t>
      </w:r>
      <w:bookmarkEnd w:id="168"/>
    </w:p>
    <w:p w14:paraId="146E23A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7.1 施工组织设计</w:t>
      </w:r>
    </w:p>
    <w:p w14:paraId="106C60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kern w:val="0"/>
          <w:sz w:val="21"/>
          <w:szCs w:val="21"/>
          <w:u w:val="single"/>
        </w:rPr>
      </w:pPr>
      <w:r>
        <w:rPr>
          <w:rFonts w:hint="eastAsia" w:ascii="宋体" w:hAnsi="宋体" w:eastAsia="宋体" w:cs="宋体"/>
          <w:sz w:val="21"/>
          <w:szCs w:val="21"/>
        </w:rPr>
        <w:t>7.1.1 合</w:t>
      </w:r>
      <w:r>
        <w:rPr>
          <w:rFonts w:hint="eastAsia" w:ascii="宋体" w:hAnsi="宋体" w:eastAsia="宋体" w:cs="宋体"/>
          <w:kern w:val="0"/>
          <w:sz w:val="21"/>
          <w:szCs w:val="21"/>
        </w:rPr>
        <w:t>同当事人约定的施工组织设计应包括的其他内容：</w:t>
      </w:r>
      <w:r>
        <w:rPr>
          <w:rFonts w:hint="eastAsia" w:ascii="宋体" w:hAnsi="宋体" w:eastAsia="宋体" w:cs="宋体"/>
          <w:color w:val="000000"/>
          <w:kern w:val="0"/>
          <w:sz w:val="21"/>
          <w:szCs w:val="21"/>
          <w:u w:val="single"/>
        </w:rPr>
        <w:t>（1）开工前3天承包人须向监理人及发包人提供施工组织设计壹式肆份。（2）每</w:t>
      </w:r>
      <w:r>
        <w:rPr>
          <w:rFonts w:hint="eastAsia" w:ascii="宋体" w:hAnsi="宋体" w:eastAsia="宋体" w:cs="宋体"/>
          <w:color w:val="000000"/>
          <w:kern w:val="0"/>
          <w:sz w:val="21"/>
          <w:szCs w:val="21"/>
          <w:u w:val="single"/>
          <w:lang w:eastAsia="zh-CN"/>
        </w:rPr>
        <w:t>周五</w:t>
      </w:r>
      <w:r>
        <w:rPr>
          <w:rFonts w:hint="eastAsia" w:ascii="宋体" w:hAnsi="宋体" w:eastAsia="宋体" w:cs="宋体"/>
          <w:color w:val="000000"/>
          <w:kern w:val="0"/>
          <w:sz w:val="21"/>
          <w:szCs w:val="21"/>
          <w:u w:val="single"/>
        </w:rPr>
        <w:t>，须提供下</w:t>
      </w:r>
      <w:r>
        <w:rPr>
          <w:rFonts w:hint="eastAsia" w:ascii="宋体" w:hAnsi="宋体" w:eastAsia="宋体" w:cs="宋体"/>
          <w:color w:val="000000"/>
          <w:kern w:val="0"/>
          <w:sz w:val="21"/>
          <w:szCs w:val="21"/>
          <w:u w:val="single"/>
          <w:lang w:eastAsia="zh-CN"/>
        </w:rPr>
        <w:t>周</w:t>
      </w:r>
      <w:r>
        <w:rPr>
          <w:rFonts w:hint="eastAsia" w:ascii="宋体" w:hAnsi="宋体" w:eastAsia="宋体" w:cs="宋体"/>
          <w:color w:val="000000"/>
          <w:kern w:val="0"/>
          <w:sz w:val="21"/>
          <w:szCs w:val="21"/>
          <w:u w:val="single"/>
        </w:rPr>
        <w:t>施工进度计划表壹式两份。</w:t>
      </w:r>
    </w:p>
    <w:p w14:paraId="653A4AE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color w:val="000000"/>
          <w:kern w:val="0"/>
          <w:sz w:val="21"/>
          <w:szCs w:val="21"/>
        </w:rPr>
        <w:t>工程师确认的时间</w:t>
      </w:r>
      <w:r>
        <w:rPr>
          <w:rFonts w:hint="eastAsia" w:ascii="宋体" w:hAnsi="宋体" w:eastAsia="宋体" w:cs="宋体"/>
          <w:color w:val="000000"/>
          <w:kern w:val="0"/>
          <w:sz w:val="21"/>
          <w:szCs w:val="21"/>
          <w:u w:val="single"/>
        </w:rPr>
        <w:t>：接到相关文件后七天内审定确认或提出修改意见</w:t>
      </w:r>
      <w:r>
        <w:rPr>
          <w:rFonts w:hint="eastAsia" w:ascii="宋体" w:hAnsi="宋体" w:eastAsia="宋体" w:cs="宋体"/>
          <w:sz w:val="21"/>
          <w:szCs w:val="21"/>
        </w:rPr>
        <w:t>。</w:t>
      </w:r>
    </w:p>
    <w:p w14:paraId="6DA89DE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 xml:space="preserve">7.1.2 </w:t>
      </w:r>
      <w:r>
        <w:rPr>
          <w:rFonts w:hint="eastAsia" w:ascii="宋体" w:hAnsi="宋体" w:eastAsia="宋体" w:cs="宋体"/>
          <w:kern w:val="0"/>
          <w:sz w:val="21"/>
          <w:szCs w:val="21"/>
        </w:rPr>
        <w:t>施工组织设计的提交和修改</w:t>
      </w:r>
    </w:p>
    <w:p w14:paraId="74A0B1EC">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承包人提交详细施工组织设计的期限的约定：</w:t>
      </w: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u w:val="single"/>
          <w:lang w:val="en-US" w:eastAsia="zh-CN"/>
        </w:rPr>
        <w:t xml:space="preserve">在工程开工14天前，承包人向发包人及监理提交符合工程实际情况的施工组织设计和工程进度计划，详细说明整个工程的总进度计划、劳动力计划、机械设备进场计划、材料计划、需配合的事项、可能遇到的不利因素及相应的措施等，承包人必须按监理工程师确认的进度计划组织施工，接受监理工程师对进度的检查和监督；在每月25日前提供当月进度统计报表和下月进度计划表，在施工过程中，因承包人的原因导致工程实际进度与经确认的施工组织设计和工程进度不符时，承包人应按现场监理工程师的要求提出改进措施，经监理工程师确认后执行，采取改进措施额外产生的费用由承包人承担 </w:t>
      </w:r>
      <w:r>
        <w:rPr>
          <w:rFonts w:hint="eastAsia" w:ascii="宋体" w:hAnsi="宋体" w:eastAsia="宋体" w:cs="宋体"/>
          <w:kern w:val="2"/>
          <w:sz w:val="21"/>
          <w:szCs w:val="21"/>
          <w:lang w:val="en-US" w:eastAsia="zh-CN"/>
        </w:rPr>
        <w:t>。</w:t>
      </w:r>
    </w:p>
    <w:p w14:paraId="6CC45BE6">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发包人和监理人在收到详细的施工组织设计后确认或提出修改意见的期限</w:t>
      </w:r>
      <w:r>
        <w:rPr>
          <w:rFonts w:hint="eastAsia" w:ascii="宋体" w:hAnsi="宋体" w:eastAsia="宋体" w:cs="宋体"/>
          <w:sz w:val="21"/>
          <w:szCs w:val="21"/>
          <w:lang w:eastAsia="zh-CN"/>
        </w:rPr>
        <w:t>：</w:t>
      </w:r>
      <w:r>
        <w:rPr>
          <w:rFonts w:hint="eastAsia" w:ascii="宋体" w:hAnsi="宋体" w:eastAsia="宋体" w:cs="宋体"/>
          <w:kern w:val="2"/>
          <w:sz w:val="21"/>
          <w:szCs w:val="21"/>
          <w:u w:val="single"/>
          <w:lang w:val="en-US" w:eastAsia="zh-CN"/>
        </w:rPr>
        <w:t xml:space="preserve">监理人应按协议条款约定的时间（7天内）予以批准或提出修改意见，逾期不批复，可视为该施工组织设计和进度计划已经批准 </w:t>
      </w:r>
      <w:r>
        <w:rPr>
          <w:rFonts w:hint="eastAsia" w:ascii="宋体" w:hAnsi="宋体" w:eastAsia="宋体" w:cs="宋体"/>
          <w:kern w:val="2"/>
          <w:sz w:val="21"/>
          <w:szCs w:val="21"/>
          <w:lang w:val="en-US" w:eastAsia="zh-CN"/>
        </w:rPr>
        <w:t>。</w:t>
      </w:r>
    </w:p>
    <w:p w14:paraId="7D68E0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69" w:name="_Toc303539123"/>
      <w:bookmarkStart w:id="170" w:name="_Toc297216173"/>
      <w:bookmarkStart w:id="171" w:name="_Toc312677479"/>
      <w:bookmarkStart w:id="172" w:name="_Toc312678005"/>
      <w:bookmarkStart w:id="173" w:name="_Toc300934966"/>
      <w:bookmarkStart w:id="174" w:name="_Toc304295541"/>
      <w:bookmarkStart w:id="175" w:name="_Toc297123514"/>
      <w:r>
        <w:rPr>
          <w:rFonts w:hint="eastAsia" w:ascii="宋体" w:hAnsi="宋体" w:eastAsia="宋体" w:cs="宋体"/>
          <w:sz w:val="21"/>
          <w:szCs w:val="21"/>
        </w:rPr>
        <w:t>.2 施工进度计划</w:t>
      </w:r>
    </w:p>
    <w:p w14:paraId="499E278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7.2.2 施工进度计划的修订</w:t>
      </w:r>
    </w:p>
    <w:p w14:paraId="50DF76A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发包人和监理人在收到修订的施工进度计划后确认或提出修改意见的期限：</w:t>
      </w:r>
      <w:r>
        <w:rPr>
          <w:rFonts w:hint="eastAsia" w:ascii="宋体" w:hAnsi="宋体" w:eastAsia="宋体" w:cs="宋体"/>
          <w:sz w:val="21"/>
          <w:szCs w:val="21"/>
          <w:u w:val="single"/>
        </w:rPr>
        <w:t xml:space="preserve">    执行通用条款7.2    </w:t>
      </w:r>
      <w:r>
        <w:rPr>
          <w:rFonts w:hint="eastAsia" w:ascii="宋体" w:hAnsi="宋体" w:eastAsia="宋体" w:cs="宋体"/>
          <w:sz w:val="21"/>
          <w:szCs w:val="21"/>
        </w:rPr>
        <w:t>。</w:t>
      </w:r>
    </w:p>
    <w:p w14:paraId="708F338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7.3 开工</w:t>
      </w:r>
    </w:p>
    <w:p w14:paraId="558232D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7.3.1 开工准备</w:t>
      </w:r>
    </w:p>
    <w:p w14:paraId="0D3C3915">
      <w:pPr>
        <w:keepNext w:val="0"/>
        <w:keepLines w:val="0"/>
        <w:pageBreakBefore w:val="0"/>
        <w:widowControl w:val="0"/>
        <w:kinsoku/>
        <w:wordWrap w:val="0"/>
        <w:overflowPunct/>
        <w:topLinePunct/>
        <w:autoSpaceDE/>
        <w:autoSpaceDN/>
        <w:bidi w:val="0"/>
        <w:adjustRightInd w:val="0"/>
        <w:snapToGrid w:val="0"/>
        <w:spacing w:line="360" w:lineRule="auto"/>
        <w:ind w:firstLine="645"/>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关于承包人提交</w:t>
      </w:r>
      <w:r>
        <w:rPr>
          <w:rFonts w:hint="eastAsia" w:ascii="宋体" w:hAnsi="宋体" w:eastAsia="宋体" w:cs="宋体"/>
          <w:kern w:val="0"/>
          <w:sz w:val="21"/>
          <w:szCs w:val="21"/>
        </w:rPr>
        <w:t>工程开工报审表的期限：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0096BB1C">
      <w:pPr>
        <w:keepNext w:val="0"/>
        <w:keepLines w:val="0"/>
        <w:pageBreakBefore w:val="0"/>
        <w:widowControl w:val="0"/>
        <w:kinsoku/>
        <w:wordWrap w:val="0"/>
        <w:overflowPunct/>
        <w:topLinePunct/>
        <w:autoSpaceDE/>
        <w:autoSpaceDN/>
        <w:bidi w:val="0"/>
        <w:adjustRightInd w:val="0"/>
        <w:snapToGrid w:val="0"/>
        <w:spacing w:line="360" w:lineRule="auto"/>
        <w:ind w:firstLine="64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关于发包人应完成的其他开工准备工作及期限：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6739126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关于承包人应完成的其他开工准备工作及期限： </w:t>
      </w:r>
      <w:r>
        <w:rPr>
          <w:rFonts w:hint="eastAsia" w:ascii="宋体" w:hAnsi="宋体" w:eastAsia="宋体" w:cs="宋体"/>
          <w:sz w:val="21"/>
          <w:szCs w:val="21"/>
          <w:u w:val="single"/>
        </w:rPr>
        <w:t xml:space="preserve"> 以监理人的通知为准 </w:t>
      </w:r>
      <w:r>
        <w:rPr>
          <w:rFonts w:hint="eastAsia" w:ascii="宋体" w:hAnsi="宋体" w:eastAsia="宋体" w:cs="宋体"/>
          <w:sz w:val="21"/>
          <w:szCs w:val="21"/>
        </w:rPr>
        <w:t>。</w:t>
      </w:r>
    </w:p>
    <w:bookmarkEnd w:id="169"/>
    <w:bookmarkEnd w:id="170"/>
    <w:bookmarkEnd w:id="171"/>
    <w:bookmarkEnd w:id="172"/>
    <w:bookmarkEnd w:id="173"/>
    <w:bookmarkEnd w:id="174"/>
    <w:bookmarkEnd w:id="175"/>
    <w:p w14:paraId="47B7C69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7.4 测量放线</w:t>
      </w:r>
    </w:p>
    <w:p w14:paraId="7C9F587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7.4.1发包人通过监理人向承包人提供测量基准点、基准线和水准点及其书面资料的期限：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091AB04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76" w:name="_Toc303539125"/>
      <w:bookmarkStart w:id="177" w:name="_Toc297216175"/>
      <w:bookmarkStart w:id="178" w:name="_Toc304295546"/>
      <w:bookmarkStart w:id="179" w:name="_Toc312677484"/>
      <w:bookmarkStart w:id="180" w:name="_Toc297123516"/>
      <w:bookmarkStart w:id="181" w:name="_Toc312678010"/>
      <w:bookmarkStart w:id="182" w:name="_Toc300934968"/>
      <w:r>
        <w:rPr>
          <w:rFonts w:hint="eastAsia" w:ascii="宋体" w:hAnsi="宋体" w:eastAsia="宋体" w:cs="宋体"/>
          <w:sz w:val="21"/>
          <w:szCs w:val="21"/>
        </w:rPr>
        <w:t>.5 工期延误</w:t>
      </w:r>
    </w:p>
    <w:bookmarkEnd w:id="176"/>
    <w:bookmarkEnd w:id="177"/>
    <w:bookmarkEnd w:id="178"/>
    <w:bookmarkEnd w:id="179"/>
    <w:bookmarkEnd w:id="180"/>
    <w:bookmarkEnd w:id="181"/>
    <w:bookmarkEnd w:id="182"/>
    <w:p w14:paraId="2C5B6D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7.5.1 因发包人原因导致工期延误</w:t>
      </w:r>
    </w:p>
    <w:p w14:paraId="72B168F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因发包人原因导致工期延误的其他情形：</w:t>
      </w:r>
      <w:r>
        <w:rPr>
          <w:rFonts w:hint="eastAsia" w:ascii="宋体" w:hAnsi="宋体" w:eastAsia="宋体" w:cs="宋体"/>
          <w:sz w:val="21"/>
          <w:szCs w:val="21"/>
          <w:u w:val="single"/>
        </w:rPr>
        <w:t>（1）工期不允许延误，若影响到发包人使用时应赔偿由此给发包人造成的损失。（2）在施工过程中因设计变更引起承包人不能正常施工，承包人应随时进行工种调整，不计取误工费，经</w:t>
      </w:r>
    </w:p>
    <w:p w14:paraId="40274CC4">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both"/>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u w:val="single"/>
        </w:rPr>
        <w:t>发包人和监理单位确认后工期顺延</w:t>
      </w:r>
      <w:r>
        <w:rPr>
          <w:rFonts w:hint="eastAsia" w:ascii="宋体" w:hAnsi="宋体" w:eastAsia="宋体" w:cs="宋体"/>
          <w:kern w:val="2"/>
          <w:sz w:val="21"/>
          <w:szCs w:val="21"/>
          <w:u w:val="single"/>
          <w:lang w:val="en-US" w:eastAsia="zh-CN"/>
        </w:rPr>
        <w:t>。</w:t>
      </w:r>
    </w:p>
    <w:p w14:paraId="25D1F7B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83" w:name="_Toc312678012"/>
      <w:bookmarkStart w:id="184" w:name="_Toc312677486"/>
      <w:bookmarkStart w:id="185" w:name="_Toc318581169"/>
      <w:bookmarkStart w:id="186" w:name="_Toc303539127"/>
      <w:bookmarkStart w:id="187" w:name="_Toc297216177"/>
      <w:bookmarkStart w:id="188" w:name="_Toc304295548"/>
      <w:bookmarkStart w:id="189" w:name="_Toc300934970"/>
      <w:bookmarkStart w:id="190" w:name="_Toc297123518"/>
      <w:r>
        <w:rPr>
          <w:rFonts w:hint="eastAsia" w:ascii="宋体" w:hAnsi="宋体" w:eastAsia="宋体" w:cs="宋体"/>
          <w:sz w:val="21"/>
          <w:szCs w:val="21"/>
        </w:rPr>
        <w:t>.5.2 因承包人原因导致工期延误</w:t>
      </w:r>
    </w:p>
    <w:bookmarkEnd w:id="183"/>
    <w:bookmarkEnd w:id="184"/>
    <w:bookmarkEnd w:id="185"/>
    <w:p w14:paraId="45268B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因</w:t>
      </w:r>
      <w:bookmarkStart w:id="191" w:name="_Toc312678013"/>
      <w:bookmarkStart w:id="192" w:name="_Toc312677487"/>
      <w:bookmarkStart w:id="193" w:name="_Toc318581170"/>
      <w:r>
        <w:rPr>
          <w:rFonts w:hint="eastAsia" w:ascii="宋体" w:hAnsi="宋体" w:eastAsia="宋体" w:cs="宋体"/>
          <w:sz w:val="21"/>
          <w:szCs w:val="21"/>
        </w:rPr>
        <w:t>承包人原因造成工期延误，逾期竣工违约金的计算方法为：</w:t>
      </w:r>
      <w:r>
        <w:rPr>
          <w:rFonts w:hint="eastAsia" w:ascii="宋体" w:hAnsi="宋体" w:eastAsia="宋体" w:cs="宋体"/>
          <w:sz w:val="21"/>
          <w:szCs w:val="21"/>
          <w:u w:val="single"/>
        </w:rPr>
        <w:t xml:space="preserve">以延误的日历日计算，每延误一天，承担违约金 3000 元  </w:t>
      </w:r>
      <w:r>
        <w:rPr>
          <w:rFonts w:hint="eastAsia" w:ascii="宋体" w:hAnsi="宋体" w:eastAsia="宋体" w:cs="宋体"/>
          <w:sz w:val="21"/>
          <w:szCs w:val="21"/>
        </w:rPr>
        <w:t>。</w:t>
      </w:r>
    </w:p>
    <w:bookmarkEnd w:id="186"/>
    <w:bookmarkEnd w:id="187"/>
    <w:bookmarkEnd w:id="188"/>
    <w:bookmarkEnd w:id="189"/>
    <w:bookmarkEnd w:id="190"/>
    <w:bookmarkEnd w:id="191"/>
    <w:bookmarkEnd w:id="192"/>
    <w:bookmarkEnd w:id="193"/>
    <w:p w14:paraId="6A8DA5F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因承包人原因造成工期延误，逾</w:t>
      </w:r>
      <w:bookmarkStart w:id="194" w:name="_Toc312678014"/>
      <w:bookmarkStart w:id="195" w:name="_Toc318581171"/>
      <w:r>
        <w:rPr>
          <w:rFonts w:hint="eastAsia" w:ascii="宋体" w:hAnsi="宋体" w:eastAsia="宋体" w:cs="宋体"/>
          <w:sz w:val="21"/>
          <w:szCs w:val="21"/>
        </w:rPr>
        <w:t>期竣工违约金的上限：</w:t>
      </w:r>
      <w:r>
        <w:rPr>
          <w:rFonts w:hint="eastAsia" w:ascii="宋体" w:hAnsi="宋体" w:eastAsia="宋体" w:cs="宋体"/>
          <w:sz w:val="21"/>
          <w:szCs w:val="21"/>
          <w:u w:val="single"/>
        </w:rPr>
        <w:t xml:space="preserve"> 延期违约赔偿金最高限额为合同价的5‰ </w:t>
      </w:r>
      <w:r>
        <w:rPr>
          <w:rFonts w:hint="eastAsia" w:ascii="宋体" w:hAnsi="宋体" w:eastAsia="宋体" w:cs="宋体"/>
          <w:sz w:val="21"/>
          <w:szCs w:val="21"/>
        </w:rPr>
        <w:t>。</w:t>
      </w:r>
    </w:p>
    <w:bookmarkEnd w:id="194"/>
    <w:bookmarkEnd w:id="195"/>
    <w:p w14:paraId="4A390E4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96" w:name="_Toc297216178"/>
      <w:bookmarkStart w:id="197" w:name="_Toc300934971"/>
      <w:bookmarkStart w:id="198" w:name="_Toc297123519"/>
      <w:bookmarkStart w:id="199" w:name="_Toc312678015"/>
      <w:bookmarkStart w:id="200" w:name="_Toc303539128"/>
      <w:bookmarkStart w:id="201" w:name="_Toc304295549"/>
      <w:r>
        <w:rPr>
          <w:rFonts w:hint="eastAsia" w:ascii="宋体" w:hAnsi="宋体" w:eastAsia="宋体" w:cs="宋体"/>
          <w:sz w:val="21"/>
          <w:szCs w:val="21"/>
        </w:rPr>
        <w:t>.6 不</w:t>
      </w:r>
      <w:bookmarkEnd w:id="196"/>
      <w:bookmarkEnd w:id="197"/>
      <w:bookmarkEnd w:id="198"/>
      <w:bookmarkEnd w:id="199"/>
      <w:bookmarkEnd w:id="200"/>
      <w:bookmarkEnd w:id="201"/>
      <w:r>
        <w:rPr>
          <w:rFonts w:hint="eastAsia" w:ascii="宋体" w:hAnsi="宋体" w:eastAsia="宋体" w:cs="宋体"/>
          <w:sz w:val="21"/>
          <w:szCs w:val="21"/>
        </w:rPr>
        <w:t>利物质条件</w:t>
      </w:r>
    </w:p>
    <w:p w14:paraId="2C7580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bookmarkStart w:id="202" w:name="_Toc297123520"/>
      <w:bookmarkStart w:id="203" w:name="_Toc297216179"/>
      <w:bookmarkStart w:id="204" w:name="_Toc312678016"/>
      <w:bookmarkStart w:id="205" w:name="_Toc304295550"/>
      <w:bookmarkStart w:id="206" w:name="_Toc318581172"/>
      <w:bookmarkStart w:id="207" w:name="_Toc300934972"/>
      <w:bookmarkStart w:id="208" w:name="_Toc303539129"/>
      <w:r>
        <w:rPr>
          <w:rFonts w:hint="eastAsia" w:ascii="宋体" w:hAnsi="宋体" w:eastAsia="宋体" w:cs="宋体"/>
          <w:sz w:val="21"/>
          <w:szCs w:val="21"/>
        </w:rPr>
        <w:t>不利物质条件的其他情形和有关约定：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202"/>
    <w:bookmarkEnd w:id="203"/>
    <w:bookmarkEnd w:id="204"/>
    <w:bookmarkEnd w:id="205"/>
    <w:bookmarkEnd w:id="206"/>
    <w:bookmarkEnd w:id="207"/>
    <w:bookmarkEnd w:id="208"/>
    <w:p w14:paraId="6136BFA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209" w:name="_Toc303539130"/>
      <w:bookmarkStart w:id="210" w:name="_Toc300934973"/>
      <w:bookmarkStart w:id="211" w:name="_Toc297123521"/>
      <w:bookmarkStart w:id="212" w:name="_Toc312678017"/>
      <w:bookmarkStart w:id="213" w:name="_Toc304295551"/>
      <w:bookmarkStart w:id="214" w:name="_Toc297216180"/>
      <w:r>
        <w:rPr>
          <w:rFonts w:hint="eastAsia" w:ascii="宋体" w:hAnsi="宋体" w:eastAsia="宋体" w:cs="宋体"/>
          <w:sz w:val="21"/>
          <w:szCs w:val="21"/>
        </w:rPr>
        <w:t>.7异常恶劣的气候条件</w:t>
      </w:r>
    </w:p>
    <w:bookmarkEnd w:id="209"/>
    <w:bookmarkEnd w:id="210"/>
    <w:bookmarkEnd w:id="211"/>
    <w:bookmarkEnd w:id="212"/>
    <w:bookmarkEnd w:id="213"/>
    <w:bookmarkEnd w:id="214"/>
    <w:p w14:paraId="0FFA2C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发包人和承包人同意以下情形视为异常恶劣的气候条件：</w:t>
      </w:r>
    </w:p>
    <w:p w14:paraId="36D463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u w:val="single"/>
        </w:rPr>
        <w:t xml:space="preserve"> 烈度为8度及以上的地震、战争、动乱、洪水、空中飞行物坠落或其它非发包人、承包人责任造成的爆炸火灾 </w:t>
      </w:r>
      <w:r>
        <w:rPr>
          <w:rFonts w:hint="eastAsia" w:ascii="宋体" w:hAnsi="宋体" w:eastAsia="宋体" w:cs="宋体"/>
          <w:sz w:val="21"/>
          <w:szCs w:val="21"/>
        </w:rPr>
        <w:t>；</w:t>
      </w:r>
    </w:p>
    <w:p w14:paraId="4066227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u w:val="single"/>
        </w:rPr>
        <w:t xml:space="preserve"> 八级及以上持续1天的大风 </w:t>
      </w:r>
      <w:r>
        <w:rPr>
          <w:rFonts w:hint="eastAsia" w:ascii="宋体" w:hAnsi="宋体" w:eastAsia="宋体" w:cs="宋体"/>
          <w:sz w:val="21"/>
          <w:szCs w:val="21"/>
        </w:rPr>
        <w:t>；</w:t>
      </w:r>
    </w:p>
    <w:p w14:paraId="63D4BF3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u w:val="single"/>
        </w:rPr>
        <w:t xml:space="preserve"> 持续降雨72小时以上，或24小时连续雨量达150mm以上的暴雨（以气象台发布的公告为准） </w:t>
      </w:r>
      <w:r>
        <w:rPr>
          <w:rFonts w:hint="eastAsia" w:ascii="宋体" w:hAnsi="宋体" w:eastAsia="宋体" w:cs="宋体"/>
          <w:sz w:val="21"/>
          <w:szCs w:val="21"/>
        </w:rPr>
        <w:t>。</w:t>
      </w:r>
    </w:p>
    <w:p w14:paraId="766D11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7.9 提前竣工的奖励</w:t>
      </w:r>
    </w:p>
    <w:p w14:paraId="15C7098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7.9.2提前竣工的奖励：</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9C4DBD5">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15" w:name="_Toc351203640"/>
      <w:r>
        <w:rPr>
          <w:rFonts w:hint="eastAsia" w:ascii="宋体" w:hAnsi="宋体" w:eastAsia="宋体" w:cs="宋体"/>
          <w:b/>
          <w:bCs w:val="0"/>
          <w:sz w:val="21"/>
          <w:szCs w:val="21"/>
        </w:rPr>
        <w:t>8. 材料与设备</w:t>
      </w:r>
      <w:bookmarkEnd w:id="215"/>
    </w:p>
    <w:bookmarkEnd w:id="150"/>
    <w:bookmarkEnd w:id="151"/>
    <w:bookmarkEnd w:id="152"/>
    <w:bookmarkEnd w:id="153"/>
    <w:bookmarkEnd w:id="154"/>
    <w:bookmarkEnd w:id="155"/>
    <w:bookmarkEnd w:id="156"/>
    <w:bookmarkEnd w:id="157"/>
    <w:bookmarkEnd w:id="158"/>
    <w:bookmarkEnd w:id="159"/>
    <w:p w14:paraId="70897DA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w:t>
      </w:r>
      <w:bookmarkStart w:id="216" w:name="_Toc300934979"/>
      <w:bookmarkStart w:id="217" w:name="_Toc296890995"/>
      <w:bookmarkStart w:id="218" w:name="_Toc292559372"/>
      <w:bookmarkStart w:id="219" w:name="_Toc297048353"/>
      <w:bookmarkStart w:id="220" w:name="_Toc297120467"/>
      <w:bookmarkStart w:id="221" w:name="_Toc304295556"/>
      <w:bookmarkStart w:id="222" w:name="_Toc296891207"/>
      <w:bookmarkStart w:id="223" w:name="_Toc296347166"/>
      <w:bookmarkStart w:id="224" w:name="_Toc312678019"/>
      <w:bookmarkStart w:id="225" w:name="_Toc303539136"/>
      <w:bookmarkStart w:id="226" w:name="_Toc280868654"/>
      <w:bookmarkStart w:id="227" w:name="_Toc296346668"/>
      <w:bookmarkStart w:id="228" w:name="_Toc312677493"/>
      <w:bookmarkStart w:id="229" w:name="_Toc292559877"/>
      <w:bookmarkStart w:id="230" w:name="_Toc296944506"/>
      <w:bookmarkStart w:id="231" w:name="_Toc297123527"/>
      <w:bookmarkStart w:id="232" w:name="_Toc296503167"/>
      <w:bookmarkStart w:id="233" w:name="_Toc297216186"/>
      <w:bookmarkStart w:id="234" w:name="_Toc280868656"/>
      <w:bookmarkStart w:id="235" w:name="_Toc267251424"/>
      <w:bookmarkStart w:id="236" w:name="_Toc280868655"/>
      <w:r>
        <w:rPr>
          <w:rFonts w:hint="eastAsia" w:ascii="宋体" w:hAnsi="宋体" w:eastAsia="宋体" w:cs="宋体"/>
          <w:sz w:val="21"/>
          <w:szCs w:val="21"/>
        </w:rPr>
        <w:t>.4材料与工程设备的保管与使用</w:t>
      </w:r>
    </w:p>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14:paraId="65BF449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8</w:t>
      </w:r>
      <w:bookmarkStart w:id="237" w:name="_Toc292559373"/>
      <w:bookmarkStart w:id="238" w:name="_Toc292559878"/>
      <w:bookmarkStart w:id="239" w:name="_Toc297216187"/>
      <w:bookmarkStart w:id="240" w:name="_Toc312678020"/>
      <w:bookmarkStart w:id="241" w:name="_Toc303539137"/>
      <w:bookmarkStart w:id="242" w:name="_Toc304295557"/>
      <w:bookmarkStart w:id="243" w:name="_Toc296347167"/>
      <w:bookmarkStart w:id="244" w:name="_Toc297123528"/>
      <w:bookmarkStart w:id="245" w:name="_Toc318581173"/>
      <w:bookmarkStart w:id="246" w:name="_Toc296891208"/>
      <w:bookmarkStart w:id="247" w:name="_Toc296944507"/>
      <w:bookmarkStart w:id="248" w:name="_Toc296890996"/>
      <w:bookmarkStart w:id="249" w:name="_Toc297120468"/>
      <w:bookmarkStart w:id="250" w:name="_Toc312677494"/>
      <w:bookmarkStart w:id="251" w:name="_Toc296503168"/>
      <w:bookmarkStart w:id="252" w:name="_Toc297048354"/>
      <w:bookmarkStart w:id="253" w:name="_Toc300934980"/>
      <w:bookmarkStart w:id="254" w:name="_Toc296346669"/>
      <w:r>
        <w:rPr>
          <w:rFonts w:hint="eastAsia" w:ascii="宋体" w:hAnsi="宋体" w:eastAsia="宋体" w:cs="宋体"/>
          <w:sz w:val="21"/>
          <w:szCs w:val="21"/>
        </w:rPr>
        <w:t>.4.1发包人供应的材料设备的保管费用的承担：</w:t>
      </w:r>
      <w:r>
        <w:rPr>
          <w:rFonts w:hint="eastAsia" w:ascii="宋体" w:hAnsi="宋体" w:eastAsia="宋体" w:cs="宋体"/>
          <w:sz w:val="21"/>
          <w:szCs w:val="21"/>
          <w:u w:val="single"/>
        </w:rPr>
        <w:t xml:space="preserve">     /      </w:t>
      </w:r>
      <w:r>
        <w:rPr>
          <w:rFonts w:hint="eastAsia" w:ascii="宋体" w:hAnsi="宋体" w:eastAsia="宋体" w:cs="宋体"/>
          <w:sz w:val="21"/>
          <w:szCs w:val="21"/>
        </w:rPr>
        <w:t>。</w:t>
      </w:r>
      <w:bookmarkEnd w:id="237"/>
      <w:bookmarkEnd w:id="238"/>
    </w:p>
    <w:p w14:paraId="5133F89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8.6 样品</w:t>
      </w:r>
    </w:p>
    <w:p w14:paraId="026080A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8.6.1</w:t>
      </w:r>
      <w:r>
        <w:rPr>
          <w:rFonts w:hint="eastAsia" w:ascii="宋体" w:hAnsi="宋体" w:eastAsia="宋体" w:cs="宋体"/>
          <w:kern w:val="0"/>
          <w:sz w:val="21"/>
          <w:szCs w:val="21"/>
        </w:rPr>
        <w:tab/>
      </w:r>
      <w:r>
        <w:rPr>
          <w:rFonts w:hint="eastAsia" w:ascii="宋体" w:hAnsi="宋体" w:eastAsia="宋体" w:cs="宋体"/>
          <w:kern w:val="0"/>
          <w:sz w:val="21"/>
          <w:szCs w:val="21"/>
        </w:rPr>
        <w:t>样品的报送与封存</w:t>
      </w:r>
    </w:p>
    <w:p w14:paraId="6C4C8048">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需要承包人报送样品的材料或工程设备，样品的种类、名称、规格、数量要求：</w:t>
      </w:r>
      <w:r>
        <w:rPr>
          <w:rFonts w:hint="eastAsia" w:ascii="宋体" w:hAnsi="宋体" w:eastAsia="宋体" w:cs="宋体"/>
          <w:sz w:val="21"/>
          <w:szCs w:val="21"/>
          <w:u w:val="single"/>
        </w:rPr>
        <w:t>承包人采购的所有材料、设备必须符合国家标准，并有必要的</w:t>
      </w:r>
      <w:r>
        <w:rPr>
          <w:rFonts w:hint="eastAsia" w:ascii="宋体" w:hAnsi="宋体" w:eastAsia="宋体" w:cs="宋体"/>
          <w:sz w:val="21"/>
          <w:szCs w:val="21"/>
          <w:u w:val="single"/>
          <w:lang w:eastAsia="zh-CN"/>
        </w:rPr>
        <w:t>相关</w:t>
      </w:r>
      <w:r>
        <w:rPr>
          <w:rFonts w:hint="eastAsia" w:ascii="宋体" w:hAnsi="宋体" w:eastAsia="宋体" w:cs="宋体"/>
          <w:sz w:val="21"/>
          <w:szCs w:val="21"/>
          <w:u w:val="single"/>
        </w:rPr>
        <w:t>证件</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材料进场必须经发包人和监理单位共同验收合格后方可使用，否则发包人有权要求承包人退货。如因材料、设备质量造成的工程损失由承包人负全部责任。 </w:t>
      </w:r>
    </w:p>
    <w:p w14:paraId="645176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8.8 施工设备和临时设施</w:t>
      </w:r>
    </w:p>
    <w:p w14:paraId="3337098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8.8.1 承包人提供的施工设备和临时设施</w:t>
      </w:r>
    </w:p>
    <w:p w14:paraId="5C60A75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关于修建临时设施费用承担的约定：</w:t>
      </w:r>
      <w:r>
        <w:rPr>
          <w:rFonts w:hint="eastAsia" w:ascii="宋体" w:hAnsi="宋体" w:eastAsia="宋体" w:cs="宋体"/>
          <w:sz w:val="21"/>
          <w:szCs w:val="21"/>
          <w:u w:val="single"/>
        </w:rPr>
        <w:t xml:space="preserve">由承包人承担费用   </w:t>
      </w:r>
      <w:r>
        <w:rPr>
          <w:rFonts w:hint="eastAsia" w:ascii="宋体" w:hAnsi="宋体" w:eastAsia="宋体" w:cs="宋体"/>
          <w:sz w:val="21"/>
          <w:szCs w:val="21"/>
        </w:rPr>
        <w:t>。</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14:paraId="106AC5A8">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55" w:name="_Toc351203641"/>
      <w:r>
        <w:rPr>
          <w:rFonts w:hint="eastAsia" w:ascii="宋体" w:hAnsi="宋体" w:eastAsia="宋体" w:cs="宋体"/>
          <w:b/>
          <w:bCs w:val="0"/>
          <w:sz w:val="21"/>
          <w:szCs w:val="21"/>
        </w:rPr>
        <w:t>9</w:t>
      </w:r>
      <w:bookmarkEnd w:id="234"/>
      <w:bookmarkEnd w:id="235"/>
      <w:bookmarkEnd w:id="236"/>
      <w:bookmarkStart w:id="256" w:name="_Toc304295559"/>
      <w:bookmarkStart w:id="257" w:name="_Toc312677495"/>
      <w:bookmarkStart w:id="258" w:name="_Toc300934982"/>
      <w:bookmarkStart w:id="259" w:name="_Toc303539139"/>
      <w:bookmarkStart w:id="260" w:name="_Toc297216192"/>
      <w:bookmarkStart w:id="261" w:name="_Toc312678021"/>
      <w:bookmarkStart w:id="262" w:name="_Toc297123533"/>
      <w:bookmarkStart w:id="263" w:name="_Toc296891001"/>
      <w:bookmarkStart w:id="264" w:name="_Toc267251428"/>
      <w:bookmarkStart w:id="265" w:name="_Toc296347172"/>
      <w:bookmarkStart w:id="266" w:name="_Toc296346674"/>
      <w:bookmarkStart w:id="267" w:name="_Toc296944512"/>
      <w:bookmarkStart w:id="268" w:name="_Toc297120473"/>
      <w:bookmarkStart w:id="269" w:name="_Toc296503173"/>
      <w:bookmarkStart w:id="270" w:name="_Toc296891213"/>
      <w:bookmarkStart w:id="271" w:name="_Toc292559378"/>
      <w:bookmarkStart w:id="272" w:name="_Toc267251427"/>
      <w:bookmarkStart w:id="273" w:name="_Toc297048359"/>
      <w:bookmarkStart w:id="274" w:name="_Toc292559883"/>
      <w:r>
        <w:rPr>
          <w:rFonts w:hint="eastAsia" w:ascii="宋体" w:hAnsi="宋体" w:eastAsia="宋体" w:cs="宋体"/>
          <w:b/>
          <w:bCs w:val="0"/>
          <w:sz w:val="21"/>
          <w:szCs w:val="21"/>
        </w:rPr>
        <w:t>. 试验与检验</w:t>
      </w:r>
      <w:bookmarkEnd w:id="255"/>
    </w:p>
    <w:bookmarkEnd w:id="256"/>
    <w:bookmarkEnd w:id="257"/>
    <w:bookmarkEnd w:id="258"/>
    <w:bookmarkEnd w:id="259"/>
    <w:bookmarkEnd w:id="260"/>
    <w:bookmarkEnd w:id="261"/>
    <w:bookmarkEnd w:id="262"/>
    <w:p w14:paraId="781CF47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9</w:t>
      </w:r>
      <w:bookmarkStart w:id="275" w:name="_Toc304295560"/>
      <w:bookmarkStart w:id="276" w:name="_Toc300934983"/>
      <w:bookmarkStart w:id="277" w:name="_Toc303539140"/>
      <w:bookmarkStart w:id="278" w:name="_Toc297216193"/>
      <w:bookmarkStart w:id="279" w:name="_Toc297123534"/>
      <w:bookmarkStart w:id="280" w:name="_Toc312678022"/>
      <w:bookmarkStart w:id="281" w:name="_Toc312677496"/>
      <w:r>
        <w:rPr>
          <w:rFonts w:hint="eastAsia" w:ascii="宋体" w:hAnsi="宋体" w:eastAsia="宋体" w:cs="宋体"/>
          <w:sz w:val="21"/>
          <w:szCs w:val="21"/>
        </w:rPr>
        <w:t>.1试验设备与试验人员</w:t>
      </w:r>
    </w:p>
    <w:bookmarkEnd w:id="275"/>
    <w:bookmarkEnd w:id="276"/>
    <w:bookmarkEnd w:id="277"/>
    <w:bookmarkEnd w:id="278"/>
    <w:bookmarkEnd w:id="279"/>
    <w:bookmarkEnd w:id="280"/>
    <w:bookmarkEnd w:id="281"/>
    <w:p w14:paraId="3078881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9</w:t>
      </w:r>
      <w:bookmarkStart w:id="282" w:name="_Toc312678023"/>
      <w:bookmarkStart w:id="283" w:name="_Toc297123535"/>
      <w:bookmarkStart w:id="284" w:name="_Toc297216194"/>
      <w:bookmarkStart w:id="285" w:name="_Toc304295561"/>
      <w:bookmarkStart w:id="286" w:name="_Toc312677497"/>
      <w:bookmarkStart w:id="287" w:name="_Toc300934984"/>
      <w:bookmarkStart w:id="288" w:name="_Toc303539141"/>
      <w:bookmarkStart w:id="289" w:name="_Toc318581174"/>
      <w:r>
        <w:rPr>
          <w:rFonts w:hint="eastAsia" w:ascii="宋体" w:hAnsi="宋体" w:eastAsia="宋体" w:cs="宋体"/>
          <w:sz w:val="21"/>
          <w:szCs w:val="21"/>
        </w:rPr>
        <w:t>.1.2 试验设备</w:t>
      </w:r>
    </w:p>
    <w:p w14:paraId="079580E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施工现场需要配置的试验场所：</w:t>
      </w:r>
      <w:bookmarkEnd w:id="282"/>
      <w:bookmarkEnd w:id="283"/>
      <w:bookmarkEnd w:id="284"/>
      <w:bookmarkEnd w:id="285"/>
      <w:bookmarkEnd w:id="286"/>
      <w:bookmarkEnd w:id="287"/>
      <w:bookmarkEnd w:id="288"/>
      <w:bookmarkStart w:id="290" w:name="_Toc297216195"/>
      <w:bookmarkStart w:id="291" w:name="_Toc300934985"/>
      <w:bookmarkStart w:id="292" w:name="_Toc312677498"/>
      <w:bookmarkStart w:id="293" w:name="_Toc304295562"/>
      <w:bookmarkStart w:id="294" w:name="_Toc303539142"/>
      <w:bookmarkStart w:id="295" w:name="_Toc312678024"/>
      <w:bookmarkStart w:id="296" w:name="_Toc297123536"/>
      <w:r>
        <w:rPr>
          <w:rFonts w:hint="eastAsia" w:ascii="宋体" w:hAnsi="宋体" w:eastAsia="宋体" w:cs="宋体"/>
          <w:sz w:val="21"/>
          <w:szCs w:val="21"/>
          <w:u w:val="single"/>
        </w:rPr>
        <w:t xml:space="preserve">要求承包人在施工组织设计中明确，在开工前报监理人认可 </w:t>
      </w:r>
      <w:r>
        <w:rPr>
          <w:rFonts w:hint="eastAsia" w:ascii="宋体" w:hAnsi="宋体" w:eastAsia="宋体" w:cs="宋体"/>
          <w:sz w:val="21"/>
          <w:szCs w:val="21"/>
        </w:rPr>
        <w:t>。</w:t>
      </w:r>
    </w:p>
    <w:p w14:paraId="54A27A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施工现场需要配备的试验设备：</w:t>
      </w:r>
      <w:r>
        <w:rPr>
          <w:rFonts w:hint="eastAsia" w:ascii="宋体" w:hAnsi="宋体" w:eastAsia="宋体" w:cs="宋体"/>
          <w:sz w:val="21"/>
          <w:szCs w:val="21"/>
          <w:u w:val="single"/>
        </w:rPr>
        <w:t xml:space="preserve">要求承包人在施工组织设计中明确，在开工前报监理人认可  </w:t>
      </w:r>
      <w:r>
        <w:rPr>
          <w:rFonts w:hint="eastAsia" w:ascii="宋体" w:hAnsi="宋体" w:eastAsia="宋体" w:cs="宋体"/>
          <w:sz w:val="21"/>
          <w:szCs w:val="21"/>
        </w:rPr>
        <w:t>。</w:t>
      </w:r>
    </w:p>
    <w:p w14:paraId="74A4381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施工现场需要具备的其他试验条件：</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996014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9.4 现场工艺试验 </w:t>
      </w:r>
    </w:p>
    <w:p w14:paraId="0C55A4E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现场工艺试验的有关约定：</w:t>
      </w:r>
      <w:r>
        <w:rPr>
          <w:rFonts w:hint="eastAsia" w:ascii="宋体" w:hAnsi="宋体" w:eastAsia="宋体" w:cs="宋体"/>
          <w:sz w:val="21"/>
          <w:szCs w:val="21"/>
          <w:u w:val="single"/>
        </w:rPr>
        <w:t xml:space="preserve">    执行通用条款9.4    </w:t>
      </w:r>
      <w:r>
        <w:rPr>
          <w:rFonts w:hint="eastAsia" w:ascii="宋体" w:hAnsi="宋体" w:eastAsia="宋体" w:cs="宋体"/>
          <w:sz w:val="21"/>
          <w:szCs w:val="21"/>
        </w:rPr>
        <w:t>。</w:t>
      </w:r>
    </w:p>
    <w:bookmarkEnd w:id="289"/>
    <w:bookmarkEnd w:id="290"/>
    <w:bookmarkEnd w:id="291"/>
    <w:bookmarkEnd w:id="292"/>
    <w:bookmarkEnd w:id="293"/>
    <w:bookmarkEnd w:id="294"/>
    <w:bookmarkEnd w:id="295"/>
    <w:bookmarkEnd w:id="296"/>
    <w:p w14:paraId="4C4E2BEE">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97" w:name="_Toc351203642"/>
      <w:r>
        <w:rPr>
          <w:rFonts w:hint="eastAsia" w:ascii="宋体" w:hAnsi="宋体" w:eastAsia="宋体" w:cs="宋体"/>
          <w:b/>
          <w:bCs w:val="0"/>
          <w:sz w:val="21"/>
          <w:szCs w:val="21"/>
        </w:rPr>
        <w:t>1</w:t>
      </w:r>
      <w:bookmarkEnd w:id="263"/>
      <w:bookmarkEnd w:id="264"/>
      <w:bookmarkEnd w:id="265"/>
      <w:bookmarkEnd w:id="266"/>
      <w:bookmarkEnd w:id="267"/>
      <w:bookmarkEnd w:id="268"/>
      <w:bookmarkEnd w:id="269"/>
      <w:bookmarkEnd w:id="270"/>
      <w:bookmarkEnd w:id="271"/>
      <w:bookmarkEnd w:id="272"/>
      <w:bookmarkEnd w:id="273"/>
      <w:bookmarkEnd w:id="274"/>
      <w:bookmarkStart w:id="298" w:name="_Toc303539146"/>
      <w:bookmarkStart w:id="299" w:name="_Toc296891021"/>
      <w:bookmarkStart w:id="300" w:name="_Toc300934989"/>
      <w:bookmarkStart w:id="301" w:name="_Toc296503193"/>
      <w:bookmarkStart w:id="302" w:name="_Toc296347192"/>
      <w:bookmarkStart w:id="303" w:name="_Toc297216199"/>
      <w:bookmarkStart w:id="304" w:name="_Toc292559903"/>
      <w:bookmarkStart w:id="305" w:name="_Toc296944532"/>
      <w:bookmarkStart w:id="306" w:name="_Toc297120493"/>
      <w:bookmarkStart w:id="307" w:name="_Toc296346694"/>
      <w:bookmarkStart w:id="308" w:name="_Toc304295566"/>
      <w:bookmarkStart w:id="309" w:name="_Toc296891233"/>
      <w:bookmarkStart w:id="310" w:name="_Toc292559398"/>
      <w:bookmarkStart w:id="311" w:name="_Toc297123540"/>
      <w:bookmarkStart w:id="312" w:name="_Toc297048379"/>
      <w:bookmarkStart w:id="313" w:name="_Toc312677499"/>
      <w:bookmarkStart w:id="314" w:name="_Toc312678025"/>
      <w:bookmarkStart w:id="315" w:name="_Toc267251437"/>
      <w:bookmarkStart w:id="316" w:name="_Toc267251440"/>
      <w:bookmarkStart w:id="317" w:name="_Toc267251435"/>
      <w:bookmarkStart w:id="318" w:name="_Toc267251439"/>
      <w:bookmarkStart w:id="319" w:name="_Toc267251441"/>
      <w:bookmarkStart w:id="320" w:name="_Toc267251433"/>
      <w:bookmarkStart w:id="321" w:name="_Toc267251442"/>
      <w:r>
        <w:rPr>
          <w:rFonts w:hint="eastAsia" w:ascii="宋体" w:hAnsi="宋体" w:eastAsia="宋体" w:cs="宋体"/>
          <w:b/>
          <w:bCs w:val="0"/>
          <w:sz w:val="21"/>
          <w:szCs w:val="21"/>
        </w:rPr>
        <w:t>0. 变更</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bookmarkEnd w:id="313"/>
    <w:bookmarkEnd w:id="314"/>
    <w:p w14:paraId="5F25FDB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322" w:name="_Toc296503194"/>
      <w:bookmarkStart w:id="323" w:name="_Toc296347193"/>
      <w:bookmarkStart w:id="324" w:name="_Toc296346695"/>
      <w:bookmarkStart w:id="325" w:name="_Toc292559904"/>
      <w:bookmarkStart w:id="326" w:name="_Toc304295567"/>
      <w:bookmarkStart w:id="327" w:name="_Toc297216200"/>
      <w:bookmarkStart w:id="328" w:name="_Toc297123541"/>
      <w:bookmarkStart w:id="329" w:name="_Toc296891022"/>
      <w:bookmarkStart w:id="330" w:name="_Toc292559399"/>
      <w:bookmarkStart w:id="331" w:name="_Toc312678026"/>
      <w:bookmarkStart w:id="332" w:name="_Toc300934990"/>
      <w:bookmarkStart w:id="333" w:name="_Toc297120494"/>
      <w:bookmarkStart w:id="334" w:name="_Toc303539147"/>
      <w:bookmarkStart w:id="335" w:name="_Toc312677500"/>
      <w:bookmarkStart w:id="336" w:name="_Toc296944533"/>
      <w:bookmarkStart w:id="337" w:name="_Toc296891234"/>
      <w:bookmarkStart w:id="338" w:name="_Toc297048380"/>
      <w:r>
        <w:rPr>
          <w:rFonts w:hint="eastAsia" w:ascii="宋体" w:hAnsi="宋体" w:eastAsia="宋体" w:cs="宋体"/>
          <w:sz w:val="21"/>
          <w:szCs w:val="21"/>
        </w:rPr>
        <w:t>0.1变更的范围</w:t>
      </w:r>
    </w:p>
    <w:p w14:paraId="5FEC7795">
      <w:pPr>
        <w:pStyle w:val="31"/>
        <w:keepNext w:val="0"/>
        <w:keepLines w:val="0"/>
        <w:pageBreakBefore w:val="0"/>
        <w:widowControl w:val="0"/>
        <w:tabs>
          <w:tab w:val="left" w:pos="1176"/>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关于变更的范围的约定：</w:t>
      </w:r>
      <w:r>
        <w:rPr>
          <w:rFonts w:hint="eastAsia" w:ascii="宋体" w:hAnsi="宋体" w:eastAsia="宋体" w:cs="宋体"/>
          <w:sz w:val="21"/>
          <w:szCs w:val="21"/>
          <w:u w:val="single"/>
        </w:rPr>
        <w:t>各项工程设计原则上不予变更。如因设计原因确需变更的，要上报发包人审批。经发包人和监理签证后方可施工</w:t>
      </w:r>
      <w:r>
        <w:rPr>
          <w:rFonts w:hint="eastAsia" w:ascii="宋体" w:hAnsi="宋体" w:eastAsia="宋体" w:cs="宋体"/>
          <w:sz w:val="21"/>
          <w:szCs w:val="21"/>
        </w:rPr>
        <w:t>。</w:t>
      </w:r>
    </w:p>
    <w:p w14:paraId="40CC20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10.4 变更估价</w:t>
      </w:r>
    </w:p>
    <w:p w14:paraId="3D9750B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10.4.1 变更估价原则</w:t>
      </w:r>
    </w:p>
    <w:p w14:paraId="049509D3">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关于变更估价的约定:</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color w:val="000000"/>
          <w:sz w:val="21"/>
          <w:szCs w:val="21"/>
          <w:u w:val="single"/>
        </w:rPr>
        <w:t xml:space="preserve"> 1、变更工作在工程量表中有同种</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"http://www.so.com/s?q=%E5%B7%A5%E4%BD%9C%E5%86%85%E5%AE%B9&amp;ie=utf-8&amp;src=internal_wenda_recommend_textn"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工作内容</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"http://www.so.com/s?q=%E5%8D%95%E4%BB%B7&amp;ie=utf-8&amp;src=internal_wenda_recommend_textn"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单价</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，应以该单价变更</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"http://www.so.com/s?q=%E5%B7%A5%E7%A8%8B%E8%B4%B9%E7%94%A8&amp;ie=utf-8&amp;src=internal_wenda_recommend_textn"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工程费用</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。2、工程量表中虽然列有同类工作的单价或价格，但对具体变更工作而言已不适用，则应在原单价和价格的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"http://www.so.com/s?q=%E5%9F%BA%E7%A1%80&amp;ie=utf-8&amp;src=internal_wenda_recommend_textn"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基础</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换算新单价或价格。3、变更工作的内容在工程量表中没有同类工作的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"http://www.so.com/s?q=%E8%B4%B9%E7%8E%87&amp;ie=utf-8&amp;src=internal_wenda_recommend_textn"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费率</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和价格，应按照</w:t>
      </w:r>
      <w:r>
        <w:rPr>
          <w:rFonts w:hint="eastAsia" w:ascii="宋体" w:hAnsi="宋体" w:eastAsia="宋体" w:cs="宋体"/>
          <w:color w:val="000000"/>
          <w:sz w:val="21"/>
          <w:szCs w:val="21"/>
          <w:u w:val="single"/>
          <w:lang w:eastAsia="zh-CN"/>
        </w:rPr>
        <w:t>当地市场信息价及相关文件委托有造价资询资质的第三方造价单位重新组合综合单价</w:t>
      </w:r>
      <w:r>
        <w:rPr>
          <w:rFonts w:hint="eastAsia" w:ascii="宋体" w:hAnsi="宋体" w:eastAsia="宋体" w:cs="宋体"/>
          <w:color w:val="000000"/>
          <w:sz w:val="21"/>
          <w:szCs w:val="21"/>
          <w:u w:val="single"/>
        </w:rPr>
        <w:t>，确定新的价格</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kern w:val="2"/>
          <w:sz w:val="21"/>
          <w:szCs w:val="21"/>
          <w:lang w:val="en-US" w:eastAsia="zh-CN"/>
        </w:rPr>
        <w:t>。</w:t>
      </w:r>
    </w:p>
    <w:p w14:paraId="195773F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Start w:id="339" w:name="_Toc300934993"/>
      <w:bookmarkStart w:id="340" w:name="_Toc292559402"/>
      <w:bookmarkStart w:id="341" w:name="_Toc296503197"/>
      <w:bookmarkStart w:id="342" w:name="_Toc297048383"/>
      <w:bookmarkStart w:id="343" w:name="_Toc303539150"/>
      <w:bookmarkStart w:id="344" w:name="_Toc297123544"/>
      <w:bookmarkStart w:id="345" w:name="_Toc296891025"/>
      <w:bookmarkStart w:id="346" w:name="_Toc296944536"/>
      <w:bookmarkStart w:id="347" w:name="_Toc297120497"/>
      <w:bookmarkStart w:id="348" w:name="_Toc296891237"/>
      <w:bookmarkStart w:id="349" w:name="_Toc296346698"/>
      <w:bookmarkStart w:id="350" w:name="_Toc292559907"/>
      <w:bookmarkStart w:id="351" w:name="_Toc297216203"/>
      <w:bookmarkStart w:id="352" w:name="_Toc296347196"/>
      <w:bookmarkStart w:id="353" w:name="_Toc312677503"/>
      <w:bookmarkStart w:id="354" w:name="_Toc304295570"/>
      <w:bookmarkStart w:id="355" w:name="_Toc312678029"/>
      <w:r>
        <w:rPr>
          <w:rFonts w:hint="eastAsia" w:ascii="宋体" w:hAnsi="宋体" w:eastAsia="宋体" w:cs="宋体"/>
          <w:sz w:val="21"/>
          <w:szCs w:val="21"/>
        </w:rPr>
        <w:t>0.5承</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Start w:id="356" w:name="_Toc303539151"/>
      <w:bookmarkStart w:id="357" w:name="_Toc296944542"/>
      <w:bookmarkStart w:id="358" w:name="_Toc296891243"/>
      <w:bookmarkStart w:id="359" w:name="_Toc296891031"/>
      <w:bookmarkStart w:id="360" w:name="_Toc292559408"/>
      <w:bookmarkStart w:id="361" w:name="_Toc297120503"/>
      <w:bookmarkStart w:id="362" w:name="_Toc297123545"/>
      <w:bookmarkStart w:id="363" w:name="_Toc297048389"/>
      <w:bookmarkStart w:id="364" w:name="_Toc296503203"/>
      <w:bookmarkStart w:id="365" w:name="_Toc300934994"/>
      <w:bookmarkStart w:id="366" w:name="_Toc296347202"/>
      <w:bookmarkStart w:id="367" w:name="_Toc292559913"/>
      <w:bookmarkStart w:id="368" w:name="_Toc297216204"/>
      <w:bookmarkStart w:id="369" w:name="_Toc296346704"/>
      <w:r>
        <w:rPr>
          <w:rFonts w:hint="eastAsia" w:ascii="宋体" w:hAnsi="宋体" w:eastAsia="宋体" w:cs="宋体"/>
          <w:sz w:val="21"/>
          <w:szCs w:val="21"/>
        </w:rPr>
        <w:t>包人的合理化建议</w:t>
      </w:r>
    </w:p>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14:paraId="39940A4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监理人审查承包人合理化建议的期限：</w:t>
      </w:r>
      <w:r>
        <w:rPr>
          <w:rFonts w:hint="eastAsia" w:ascii="宋体" w:hAnsi="宋体" w:eastAsia="宋体" w:cs="宋体"/>
          <w:sz w:val="21"/>
          <w:szCs w:val="21"/>
          <w:u w:val="single"/>
        </w:rPr>
        <w:t xml:space="preserve">       7天内       </w:t>
      </w:r>
      <w:r>
        <w:rPr>
          <w:rFonts w:hint="eastAsia" w:ascii="宋体" w:hAnsi="宋体" w:eastAsia="宋体" w:cs="宋体"/>
          <w:sz w:val="21"/>
          <w:szCs w:val="21"/>
        </w:rPr>
        <w:t>。</w:t>
      </w:r>
    </w:p>
    <w:p w14:paraId="403EFC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发包人审批承包人合理化建议的期限：</w:t>
      </w:r>
      <w:r>
        <w:rPr>
          <w:rFonts w:hint="eastAsia" w:ascii="宋体" w:hAnsi="宋体" w:eastAsia="宋体" w:cs="宋体"/>
          <w:sz w:val="21"/>
          <w:szCs w:val="21"/>
          <w:u w:val="single"/>
        </w:rPr>
        <w:t xml:space="preserve">      7天内        </w:t>
      </w:r>
      <w:r>
        <w:rPr>
          <w:rFonts w:hint="eastAsia" w:ascii="宋体" w:hAnsi="宋体" w:eastAsia="宋体" w:cs="宋体"/>
          <w:sz w:val="21"/>
          <w:szCs w:val="21"/>
        </w:rPr>
        <w:t>。</w:t>
      </w:r>
    </w:p>
    <w:p w14:paraId="5D3D168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w:t>
      </w:r>
      <w:bookmarkStart w:id="370" w:name="_Toc303539152"/>
      <w:bookmarkStart w:id="371" w:name="_Toc292559409"/>
      <w:bookmarkStart w:id="372" w:name="_Toc304295571"/>
      <w:bookmarkStart w:id="373" w:name="_Toc296891032"/>
      <w:bookmarkStart w:id="374" w:name="_Toc297048390"/>
      <w:bookmarkStart w:id="375" w:name="_Toc292559914"/>
      <w:bookmarkStart w:id="376" w:name="_Toc297216205"/>
      <w:bookmarkStart w:id="377" w:name="_Toc296891244"/>
      <w:bookmarkStart w:id="378" w:name="_Toc318581175"/>
      <w:bookmarkStart w:id="379" w:name="_Toc296503204"/>
      <w:bookmarkStart w:id="380" w:name="_Toc297123546"/>
      <w:bookmarkStart w:id="381" w:name="_Toc296346705"/>
      <w:bookmarkStart w:id="382" w:name="_Toc296944543"/>
      <w:bookmarkStart w:id="383" w:name="_Toc312677504"/>
      <w:bookmarkStart w:id="384" w:name="_Toc312678030"/>
      <w:bookmarkStart w:id="385" w:name="_Toc297120504"/>
      <w:bookmarkStart w:id="386" w:name="_Toc300934995"/>
      <w:bookmarkStart w:id="387" w:name="_Toc296347203"/>
      <w:r>
        <w:rPr>
          <w:rFonts w:hint="eastAsia" w:ascii="宋体" w:hAnsi="宋体" w:eastAsia="宋体" w:cs="宋体"/>
          <w:sz w:val="21"/>
          <w:szCs w:val="21"/>
        </w:rPr>
        <w:t>包人提出的合理化建议降低了合同价格或者提高了工程经济效益的奖励的方法和金额为：</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14:paraId="6AE235F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388" w:name="_Toc304295574"/>
      <w:bookmarkStart w:id="389" w:name="_Toc300934997"/>
      <w:bookmarkStart w:id="390" w:name="_Toc303539154"/>
      <w:bookmarkStart w:id="391" w:name="_Toc312677507"/>
      <w:bookmarkStart w:id="392" w:name="_Toc297216207"/>
      <w:bookmarkStart w:id="393" w:name="_Toc297048385"/>
      <w:bookmarkStart w:id="394" w:name="_Toc296346700"/>
      <w:bookmarkStart w:id="395" w:name="_Toc296503199"/>
      <w:bookmarkStart w:id="396" w:name="_Toc297120499"/>
      <w:bookmarkStart w:id="397" w:name="_Toc296944538"/>
      <w:bookmarkStart w:id="398" w:name="_Toc296891239"/>
      <w:bookmarkStart w:id="399" w:name="_Toc312678033"/>
      <w:bookmarkStart w:id="400" w:name="_Toc296347198"/>
      <w:bookmarkStart w:id="401" w:name="_Toc292559909"/>
      <w:bookmarkStart w:id="402" w:name="_Toc292559404"/>
      <w:bookmarkStart w:id="403" w:name="_Toc297123548"/>
      <w:bookmarkStart w:id="404" w:name="_Toc296891027"/>
      <w:r>
        <w:rPr>
          <w:rFonts w:hint="eastAsia" w:ascii="宋体" w:hAnsi="宋体" w:eastAsia="宋体" w:cs="宋体"/>
          <w:sz w:val="21"/>
          <w:szCs w:val="21"/>
        </w:rPr>
        <w:t>0.7 暂估价和暂定价</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14:paraId="49CE97E2">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10.7.1暂</w:t>
      </w:r>
      <w:bookmarkStart w:id="405" w:name="_Toc312678034"/>
      <w:bookmarkStart w:id="406" w:name="_Toc318581176"/>
      <w:bookmarkStart w:id="407" w:name="_Toc312677508"/>
      <w:r>
        <w:rPr>
          <w:rFonts w:hint="eastAsia" w:ascii="宋体" w:hAnsi="宋体" w:eastAsia="宋体" w:cs="宋体"/>
          <w:kern w:val="0"/>
          <w:sz w:val="21"/>
          <w:szCs w:val="21"/>
        </w:rPr>
        <w:t>估价材料和工程设备的明细详见</w:t>
      </w:r>
      <w:bookmarkEnd w:id="405"/>
      <w:bookmarkEnd w:id="406"/>
      <w:bookmarkEnd w:id="407"/>
      <w:r>
        <w:rPr>
          <w:rFonts w:hint="eastAsia" w:ascii="宋体" w:hAnsi="宋体" w:eastAsia="宋体" w:cs="宋体"/>
          <w:kern w:val="0"/>
          <w:sz w:val="21"/>
          <w:szCs w:val="21"/>
        </w:rPr>
        <w:t>：</w:t>
      </w:r>
      <w:r>
        <w:rPr>
          <w:rFonts w:hint="eastAsia" w:ascii="宋体" w:hAnsi="宋体" w:eastAsia="宋体" w:cs="宋体"/>
          <w:kern w:val="0"/>
          <w:sz w:val="21"/>
          <w:szCs w:val="21"/>
          <w:u w:val="single"/>
        </w:rPr>
        <w:t>工程量清单和发包文件</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kern w:val="0"/>
          <w:sz w:val="21"/>
          <w:szCs w:val="21"/>
        </w:rPr>
        <w:t xml:space="preserve">                                           </w:t>
      </w:r>
    </w:p>
    <w:p w14:paraId="73FA8F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10.7.2承包人直接实施的暂估价项目的约定：</w:t>
      </w:r>
      <w:r>
        <w:rPr>
          <w:rFonts w:hint="eastAsia" w:ascii="宋体" w:hAnsi="宋体" w:eastAsia="宋体" w:cs="宋体"/>
          <w:sz w:val="21"/>
          <w:szCs w:val="21"/>
          <w:u w:val="single"/>
        </w:rPr>
        <w:t xml:space="preserve"> 按实际工程量据实预算 </w:t>
      </w:r>
      <w:r>
        <w:rPr>
          <w:rFonts w:hint="eastAsia" w:ascii="宋体" w:hAnsi="宋体" w:eastAsia="宋体" w:cs="宋体"/>
          <w:sz w:val="21"/>
          <w:szCs w:val="21"/>
        </w:rPr>
        <w:t>。</w:t>
      </w:r>
    </w:p>
    <w:p w14:paraId="3716F71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lang w:eastAsia="zh-CN"/>
        </w:rPr>
      </w:pPr>
      <w:r>
        <w:rPr>
          <w:rFonts w:hint="eastAsia" w:ascii="宋体" w:hAnsi="宋体" w:eastAsia="宋体" w:cs="宋体"/>
          <w:sz w:val="21"/>
          <w:szCs w:val="21"/>
        </w:rPr>
        <w:t>10.7.3发包人和承包人约定定的暂定价材料：</w:t>
      </w:r>
      <w:r>
        <w:rPr>
          <w:rFonts w:hint="eastAsia" w:ascii="宋体" w:hAnsi="宋体" w:eastAsia="宋体" w:cs="宋体"/>
          <w:sz w:val="21"/>
          <w:szCs w:val="21"/>
          <w:u w:val="single"/>
          <w:lang w:eastAsia="zh-CN"/>
        </w:rPr>
        <w:t>工程项目采用固定总价合同</w:t>
      </w:r>
      <w:r>
        <w:rPr>
          <w:rFonts w:hint="eastAsia" w:ascii="宋体" w:hAnsi="宋体" w:eastAsia="宋体" w:cs="宋体"/>
          <w:sz w:val="21"/>
          <w:szCs w:val="21"/>
          <w:u w:val="single"/>
          <w:lang w:val="en-US" w:eastAsia="zh-CN"/>
        </w:rPr>
        <w:t>不予</w:t>
      </w:r>
      <w:r>
        <w:rPr>
          <w:rFonts w:hint="eastAsia" w:ascii="宋体" w:hAnsi="宋体" w:eastAsia="宋体" w:cs="宋体"/>
          <w:sz w:val="21"/>
          <w:szCs w:val="21"/>
          <w:u w:val="single"/>
        </w:rPr>
        <w:t>认质认价</w:t>
      </w:r>
      <w:r>
        <w:rPr>
          <w:rFonts w:hint="eastAsia" w:ascii="宋体" w:hAnsi="宋体" w:eastAsia="宋体" w:cs="宋体"/>
          <w:sz w:val="21"/>
          <w:szCs w:val="21"/>
          <w:u w:val="single"/>
          <w:lang w:eastAsia="zh-CN"/>
        </w:rPr>
        <w:t>。</w:t>
      </w:r>
    </w:p>
    <w:p w14:paraId="3C3697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10.8 暂列金额</w:t>
      </w:r>
    </w:p>
    <w:p w14:paraId="0506F8E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合同当事人关于暂列金额使用的约定：</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0125071B">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08" w:name="_Toc351203643"/>
      <w:r>
        <w:rPr>
          <w:rFonts w:hint="eastAsia" w:ascii="宋体" w:hAnsi="宋体" w:eastAsia="宋体" w:cs="宋体"/>
          <w:b/>
          <w:bCs w:val="0"/>
          <w:sz w:val="21"/>
          <w:szCs w:val="21"/>
        </w:rPr>
        <w:t>11. 价格调整</w:t>
      </w:r>
      <w:bookmarkEnd w:id="408"/>
    </w:p>
    <w:p w14:paraId="0BA987F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09" w:name="_Toc297216209"/>
      <w:bookmarkStart w:id="410" w:name="_Toc297123550"/>
      <w:bookmarkStart w:id="411" w:name="_Toc300935000"/>
      <w:bookmarkStart w:id="412" w:name="_Toc296503201"/>
      <w:bookmarkStart w:id="413" w:name="_Toc297120501"/>
      <w:bookmarkStart w:id="414" w:name="_Toc296944540"/>
      <w:bookmarkStart w:id="415" w:name="_Toc292559406"/>
      <w:bookmarkStart w:id="416" w:name="_Toc304295577"/>
      <w:bookmarkStart w:id="417" w:name="_Toc296347200"/>
      <w:bookmarkStart w:id="418" w:name="_Toc296346702"/>
      <w:bookmarkStart w:id="419" w:name="_Toc296891241"/>
      <w:bookmarkStart w:id="420" w:name="_Toc297048387"/>
      <w:bookmarkStart w:id="421" w:name="_Toc303539157"/>
      <w:bookmarkStart w:id="422" w:name="_Toc292559911"/>
      <w:bookmarkStart w:id="423" w:name="_Toc296891029"/>
      <w:bookmarkStart w:id="424" w:name="_Toc312678039"/>
      <w:r>
        <w:rPr>
          <w:rFonts w:hint="eastAsia" w:ascii="宋体" w:hAnsi="宋体" w:eastAsia="宋体" w:cs="宋体"/>
          <w:sz w:val="21"/>
          <w:szCs w:val="21"/>
        </w:rPr>
        <w:t>11.1 市场价格波动引起的调整</w:t>
      </w: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14:paraId="2885257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市场价格波动是否调整合同价格的约定：</w:t>
      </w:r>
      <w:r>
        <w:rPr>
          <w:rFonts w:hint="eastAsia" w:ascii="宋体" w:hAnsi="宋体" w:eastAsia="宋体" w:cs="宋体"/>
          <w:sz w:val="21"/>
          <w:szCs w:val="21"/>
          <w:u w:val="single"/>
          <w:lang w:val="en-US" w:eastAsia="zh-CN"/>
        </w:rPr>
        <w:t xml:space="preserve"> 本合同采用固定总价合同，主要材料价格不予调整， </w:t>
      </w:r>
      <w:r>
        <w:rPr>
          <w:rFonts w:hint="eastAsia" w:ascii="宋体" w:hAnsi="宋体" w:eastAsia="宋体" w:cs="宋体"/>
          <w:sz w:val="21"/>
          <w:szCs w:val="21"/>
          <w:lang w:eastAsia="zh-CN"/>
        </w:rPr>
        <w:t>。</w:t>
      </w:r>
    </w:p>
    <w:p w14:paraId="0DD16F51">
      <w:pPr>
        <w:keepNext w:val="0"/>
        <w:keepLines w:val="0"/>
        <w:pageBreakBefore w:val="0"/>
        <w:widowControl w:val="0"/>
        <w:kinsoku/>
        <w:wordWrap w:val="0"/>
        <w:overflowPunct/>
        <w:topLinePunct/>
        <w:autoSpaceDE/>
        <w:autoSpaceDN/>
        <w:bidi w:val="0"/>
        <w:adjustRightInd w:val="0"/>
        <w:snapToGrid w:val="0"/>
        <w:spacing w:line="360" w:lineRule="auto"/>
        <w:ind w:left="420" w:leftChars="200" w:firstLine="315" w:firstLineChars="15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关于基准价格的约定：</w:t>
      </w:r>
      <w:r>
        <w:rPr>
          <w:rFonts w:hint="eastAsia" w:ascii="宋体" w:hAnsi="宋体" w:eastAsia="宋体" w:cs="宋体"/>
          <w:sz w:val="21"/>
          <w:szCs w:val="21"/>
          <w:u w:val="single"/>
        </w:rPr>
        <w:t>以榆林市信息价计入预算的，以施工图预算编制</w:t>
      </w:r>
    </w:p>
    <w:p w14:paraId="47A1E6E4">
      <w:pPr>
        <w:keepNext w:val="0"/>
        <w:keepLines w:val="0"/>
        <w:pageBreakBefore w:val="0"/>
        <w:widowControl w:val="0"/>
        <w:kinsoku/>
        <w:wordWrap w:val="0"/>
        <w:overflowPunct/>
        <w:topLinePunct/>
        <w:autoSpaceDE/>
        <w:autoSpaceDN/>
        <w:bidi w:val="0"/>
        <w:adjustRightInd w:val="0"/>
        <w:snapToGrid w:val="0"/>
        <w:spacing w:line="360" w:lineRule="auto"/>
        <w:jc w:val="left"/>
        <w:textAlignment w:val="baseline"/>
        <w:outlineLvl w:val="9"/>
        <w:rPr>
          <w:rFonts w:hint="eastAsia" w:ascii="宋体" w:hAnsi="宋体" w:eastAsia="宋体" w:cs="宋体"/>
          <w:sz w:val="21"/>
          <w:szCs w:val="21"/>
          <w:highlight w:val="red"/>
          <w:u w:val="single"/>
        </w:rPr>
      </w:pPr>
      <w:r>
        <w:rPr>
          <w:rFonts w:hint="eastAsia" w:ascii="宋体" w:hAnsi="宋体" w:eastAsia="宋体" w:cs="宋体"/>
          <w:sz w:val="21"/>
          <w:szCs w:val="21"/>
          <w:u w:val="single"/>
        </w:rPr>
        <w:t xml:space="preserve">当期的材料价格信息价为基准价，与施工阶段当期发布材料信息价对比确定调整幅度。以市场价计入施工图预算的，以施工图预算编制市场价为基准价，与施工当期市场价对比确定调整幅度。榆林市信息价没有的材料，参照陕西省政府发布的材料信息价（施工图预算编制当期）的材料信息价 </w:t>
      </w:r>
      <w:r>
        <w:rPr>
          <w:rFonts w:hint="eastAsia" w:ascii="宋体" w:hAnsi="宋体" w:eastAsia="宋体" w:cs="宋体"/>
          <w:sz w:val="21"/>
          <w:szCs w:val="21"/>
        </w:rPr>
        <w:t>。</w:t>
      </w:r>
    </w:p>
    <w:bookmarkEnd w:id="315"/>
    <w:bookmarkEnd w:id="316"/>
    <w:bookmarkEnd w:id="317"/>
    <w:bookmarkEnd w:id="318"/>
    <w:bookmarkEnd w:id="319"/>
    <w:bookmarkEnd w:id="320"/>
    <w:p w14:paraId="44E317C9">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25" w:name="_Toc296346706"/>
      <w:bookmarkStart w:id="426" w:name="_Toc297048391"/>
      <w:bookmarkStart w:id="427" w:name="_Toc296891033"/>
      <w:bookmarkStart w:id="428" w:name="_Toc296347204"/>
      <w:bookmarkStart w:id="429" w:name="_Toc292559410"/>
      <w:bookmarkStart w:id="430" w:name="_Toc297120505"/>
      <w:bookmarkStart w:id="431" w:name="_Toc296944544"/>
      <w:bookmarkStart w:id="432" w:name="_Toc296891245"/>
      <w:bookmarkStart w:id="433" w:name="_Toc296503205"/>
      <w:bookmarkStart w:id="434" w:name="_Toc292559915"/>
      <w:bookmarkStart w:id="435" w:name="_Toc351203644"/>
      <w:bookmarkStart w:id="436" w:name="_Toc297216211"/>
      <w:bookmarkStart w:id="437" w:name="_Toc303539159"/>
      <w:bookmarkStart w:id="438" w:name="_Toc300935002"/>
      <w:bookmarkStart w:id="439" w:name="_Toc312678040"/>
      <w:bookmarkStart w:id="440" w:name="_Toc297123552"/>
      <w:bookmarkStart w:id="441" w:name="_Toc304295579"/>
      <w:r>
        <w:rPr>
          <w:rFonts w:hint="eastAsia" w:ascii="宋体" w:hAnsi="宋体" w:eastAsia="宋体" w:cs="宋体"/>
          <w:b/>
          <w:bCs w:val="0"/>
          <w:sz w:val="21"/>
          <w:szCs w:val="21"/>
        </w:rPr>
        <w:t xml:space="preserve">12. </w:t>
      </w:r>
      <w:bookmarkEnd w:id="425"/>
      <w:bookmarkEnd w:id="426"/>
      <w:bookmarkEnd w:id="427"/>
      <w:bookmarkEnd w:id="428"/>
      <w:bookmarkEnd w:id="429"/>
      <w:bookmarkEnd w:id="430"/>
      <w:bookmarkEnd w:id="431"/>
      <w:bookmarkEnd w:id="432"/>
      <w:bookmarkEnd w:id="433"/>
      <w:bookmarkEnd w:id="434"/>
      <w:r>
        <w:rPr>
          <w:rFonts w:hint="eastAsia" w:ascii="宋体" w:hAnsi="宋体" w:eastAsia="宋体" w:cs="宋体"/>
          <w:b/>
          <w:bCs w:val="0"/>
          <w:sz w:val="21"/>
          <w:szCs w:val="21"/>
        </w:rPr>
        <w:t>合同价格、计量与支付</w:t>
      </w:r>
      <w:bookmarkEnd w:id="435"/>
    </w:p>
    <w:bookmarkEnd w:id="436"/>
    <w:bookmarkEnd w:id="437"/>
    <w:bookmarkEnd w:id="438"/>
    <w:bookmarkEnd w:id="439"/>
    <w:bookmarkEnd w:id="440"/>
    <w:bookmarkEnd w:id="441"/>
    <w:p w14:paraId="4DE73A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42" w:name="_Toc292559411"/>
      <w:bookmarkStart w:id="443" w:name="_Toc267251461"/>
      <w:bookmarkStart w:id="444" w:name="_Toc292559916"/>
      <w:bookmarkStart w:id="445" w:name="_Toc296891034"/>
      <w:bookmarkStart w:id="446" w:name="_Toc296944545"/>
      <w:bookmarkStart w:id="447" w:name="_Toc296503206"/>
      <w:bookmarkStart w:id="448" w:name="_Toc296346707"/>
      <w:bookmarkStart w:id="449" w:name="_Toc296347205"/>
      <w:bookmarkStart w:id="450" w:name="_Toc297120506"/>
      <w:bookmarkStart w:id="451" w:name="_Toc297048392"/>
      <w:bookmarkStart w:id="452" w:name="_Toc296891246"/>
      <w:bookmarkStart w:id="453" w:name="_Toc300935003"/>
      <w:bookmarkStart w:id="454" w:name="_Toc312678041"/>
      <w:bookmarkStart w:id="455" w:name="_Toc297123553"/>
      <w:bookmarkStart w:id="456" w:name="_Toc304295580"/>
      <w:bookmarkStart w:id="457" w:name="_Toc303539160"/>
      <w:bookmarkStart w:id="458" w:name="_Toc297216212"/>
      <w:r>
        <w:rPr>
          <w:rFonts w:hint="eastAsia" w:ascii="宋体" w:hAnsi="宋体" w:eastAsia="宋体" w:cs="宋体"/>
          <w:sz w:val="21"/>
          <w:szCs w:val="21"/>
        </w:rPr>
        <w:t>12.1 合</w:t>
      </w:r>
      <w:bookmarkEnd w:id="442"/>
      <w:bookmarkEnd w:id="443"/>
      <w:bookmarkEnd w:id="444"/>
      <w:r>
        <w:rPr>
          <w:rFonts w:hint="eastAsia" w:ascii="宋体" w:hAnsi="宋体" w:eastAsia="宋体" w:cs="宋体"/>
          <w:sz w:val="21"/>
          <w:szCs w:val="21"/>
        </w:rPr>
        <w:t>同价</w:t>
      </w:r>
      <w:bookmarkEnd w:id="445"/>
      <w:bookmarkEnd w:id="446"/>
      <w:bookmarkEnd w:id="447"/>
      <w:bookmarkEnd w:id="448"/>
      <w:bookmarkEnd w:id="449"/>
      <w:bookmarkEnd w:id="450"/>
      <w:bookmarkEnd w:id="451"/>
      <w:bookmarkEnd w:id="452"/>
      <w:r>
        <w:rPr>
          <w:rFonts w:hint="eastAsia" w:ascii="宋体" w:hAnsi="宋体" w:eastAsia="宋体" w:cs="宋体"/>
          <w:sz w:val="21"/>
          <w:szCs w:val="21"/>
        </w:rPr>
        <w:t>格形式</w:t>
      </w:r>
    </w:p>
    <w:bookmarkEnd w:id="453"/>
    <w:bookmarkEnd w:id="454"/>
    <w:bookmarkEnd w:id="455"/>
    <w:bookmarkEnd w:id="456"/>
    <w:bookmarkEnd w:id="457"/>
    <w:bookmarkEnd w:id="458"/>
    <w:p w14:paraId="5416E9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固定总价</w:t>
      </w:r>
      <w:r>
        <w:rPr>
          <w:rFonts w:hint="eastAsia" w:ascii="宋体" w:hAnsi="宋体" w:eastAsia="宋体" w:cs="宋体"/>
          <w:sz w:val="21"/>
          <w:szCs w:val="21"/>
        </w:rPr>
        <w:t>合同。</w:t>
      </w:r>
    </w:p>
    <w:p w14:paraId="25BF0392">
      <w:pPr>
        <w:keepNext w:val="0"/>
        <w:keepLines w:val="0"/>
        <w:pageBreakBefore w:val="0"/>
        <w:widowControl w:val="0"/>
        <w:kinsoku/>
        <w:wordWrap w:val="0"/>
        <w:overflowPunct/>
        <w:topLinePunct/>
        <w:autoSpaceDE/>
        <w:autoSpaceDN/>
        <w:bidi w:val="0"/>
        <w:adjustRightInd w:val="0"/>
        <w:snapToGrid w:val="0"/>
        <w:spacing w:line="360" w:lineRule="auto"/>
        <w:ind w:firstLine="315" w:firstLineChars="15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综合单价包含的风险范围：</w:t>
      </w:r>
      <w:r>
        <w:rPr>
          <w:rFonts w:hint="eastAsia" w:ascii="宋体" w:hAnsi="宋体" w:eastAsia="宋体" w:cs="宋体"/>
          <w:color w:val="000000"/>
          <w:sz w:val="21"/>
          <w:szCs w:val="21"/>
          <w:u w:val="single"/>
        </w:rPr>
        <w:t>除自然灾害</w:t>
      </w:r>
      <w:r>
        <w:rPr>
          <w:rFonts w:hint="eastAsia" w:ascii="宋体" w:hAnsi="宋体" w:eastAsia="宋体" w:cs="宋体"/>
          <w:color w:val="000000"/>
          <w:sz w:val="21"/>
          <w:szCs w:val="21"/>
          <w:u w:val="single"/>
          <w:lang w:val="en-US" w:eastAsia="zh-CN"/>
        </w:rPr>
        <w:t>引起</w:t>
      </w:r>
      <w:r>
        <w:rPr>
          <w:rFonts w:hint="eastAsia" w:ascii="宋体" w:hAnsi="宋体" w:eastAsia="宋体" w:cs="宋体"/>
          <w:color w:val="000000"/>
          <w:sz w:val="21"/>
          <w:szCs w:val="21"/>
          <w:u w:val="single"/>
        </w:rPr>
        <w:t>主要材料</w:t>
      </w:r>
      <w:r>
        <w:rPr>
          <w:rFonts w:hint="eastAsia" w:ascii="宋体" w:hAnsi="宋体" w:eastAsia="宋体" w:cs="宋体"/>
          <w:color w:val="000000"/>
          <w:sz w:val="21"/>
          <w:szCs w:val="21"/>
          <w:u w:val="single"/>
          <w:lang w:val="en-US" w:eastAsia="zh-CN"/>
        </w:rPr>
        <w:t>价格变化外，所有</w:t>
      </w:r>
      <w:r>
        <w:rPr>
          <w:rFonts w:hint="eastAsia" w:ascii="宋体" w:hAnsi="宋体" w:eastAsia="宋体" w:cs="宋体"/>
          <w:color w:val="000000"/>
          <w:sz w:val="21"/>
          <w:szCs w:val="21"/>
          <w:u w:val="single"/>
        </w:rPr>
        <w:t>材料价格</w:t>
      </w:r>
      <w:r>
        <w:rPr>
          <w:rFonts w:hint="eastAsia" w:ascii="宋体" w:hAnsi="宋体" w:eastAsia="宋体" w:cs="宋体"/>
          <w:color w:val="000000"/>
          <w:sz w:val="21"/>
          <w:szCs w:val="21"/>
          <w:u w:val="single"/>
          <w:lang w:val="en-US" w:eastAsia="zh-CN"/>
        </w:rPr>
        <w:t>不给予调整</w:t>
      </w:r>
      <w:r>
        <w:rPr>
          <w:rFonts w:hint="eastAsia" w:ascii="宋体" w:hAnsi="宋体" w:eastAsia="宋体" w:cs="宋体"/>
          <w:color w:val="000000"/>
          <w:sz w:val="21"/>
          <w:szCs w:val="21"/>
        </w:rPr>
        <w:t>。</w:t>
      </w:r>
    </w:p>
    <w:p w14:paraId="1485321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风险费用的计算方法：</w:t>
      </w:r>
      <w:r>
        <w:rPr>
          <w:rFonts w:hint="eastAsia" w:ascii="宋体" w:hAnsi="宋体" w:eastAsia="宋体" w:cs="宋体"/>
          <w:sz w:val="21"/>
          <w:szCs w:val="21"/>
          <w:u w:val="single"/>
        </w:rPr>
        <w:t xml:space="preserve">  执行通用条款12.1    </w:t>
      </w:r>
      <w:r>
        <w:rPr>
          <w:rFonts w:hint="eastAsia" w:ascii="宋体" w:hAnsi="宋体" w:eastAsia="宋体" w:cs="宋体"/>
          <w:i/>
          <w:iCs/>
          <w:sz w:val="21"/>
          <w:szCs w:val="21"/>
        </w:rPr>
        <w:t>。</w:t>
      </w:r>
    </w:p>
    <w:p w14:paraId="796DF0E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风险范围以外合同价格的调整方法：</w:t>
      </w:r>
      <w:r>
        <w:rPr>
          <w:rFonts w:hint="eastAsia" w:ascii="宋体" w:hAnsi="宋体" w:eastAsia="宋体" w:cs="宋体"/>
          <w:sz w:val="21"/>
          <w:szCs w:val="21"/>
          <w:u w:val="single"/>
        </w:rPr>
        <w:t xml:space="preserve">（1）人工单价发生变化且 符合省级或行业建设主管部门发布的人工费调整规定，按省级或行 业建设主管部门或其授权的工程造价管理机构发布的人工费等文件 调整合同价格。（2）风险范围之外的价格变化，由发包人承担或受益；因承包人原因导致工期延误的，材料和设备价格上涨的风险由承包人承担。（3） 施工期间法律、行政法规和国家有关政策变化影响合同价款，本工程作相应调整 </w:t>
      </w:r>
      <w:r>
        <w:rPr>
          <w:rFonts w:hint="eastAsia" w:ascii="宋体" w:hAnsi="宋体" w:eastAsia="宋体" w:cs="宋体"/>
          <w:sz w:val="21"/>
          <w:szCs w:val="21"/>
        </w:rPr>
        <w:t xml:space="preserve">。                                              </w:t>
      </w:r>
    </w:p>
    <w:p w14:paraId="1FC3D3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59" w:name="_Toc300935004"/>
      <w:bookmarkStart w:id="460" w:name="_Toc297216213"/>
      <w:bookmarkStart w:id="461" w:name="_Toc304295581"/>
      <w:bookmarkStart w:id="462" w:name="_Toc303539161"/>
      <w:bookmarkStart w:id="463" w:name="_Toc312678042"/>
      <w:bookmarkStart w:id="464" w:name="_Toc297123554"/>
      <w:bookmarkStart w:id="465" w:name="_Toc296944546"/>
      <w:bookmarkStart w:id="466" w:name="_Toc296891247"/>
      <w:bookmarkStart w:id="467" w:name="_Toc296347206"/>
      <w:bookmarkStart w:id="468" w:name="_Toc296891035"/>
      <w:bookmarkStart w:id="469" w:name="_Toc296346708"/>
      <w:bookmarkStart w:id="470" w:name="_Toc292559412"/>
      <w:bookmarkStart w:id="471" w:name="_Toc297120507"/>
      <w:bookmarkStart w:id="472" w:name="_Toc292559917"/>
      <w:bookmarkStart w:id="473" w:name="_Toc297048393"/>
      <w:bookmarkStart w:id="474" w:name="_Toc296503207"/>
      <w:r>
        <w:rPr>
          <w:rFonts w:hint="eastAsia" w:ascii="宋体" w:hAnsi="宋体" w:eastAsia="宋体" w:cs="宋体"/>
          <w:sz w:val="21"/>
          <w:szCs w:val="21"/>
        </w:rPr>
        <w:t>12.2 预付款</w:t>
      </w:r>
    </w:p>
    <w:bookmarkEnd w:id="459"/>
    <w:bookmarkEnd w:id="460"/>
    <w:bookmarkEnd w:id="461"/>
    <w:bookmarkEnd w:id="462"/>
    <w:bookmarkEnd w:id="463"/>
    <w:bookmarkEnd w:id="464"/>
    <w:p w14:paraId="73C669F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12.2.1 预付款的支付</w:t>
      </w:r>
    </w:p>
    <w:p w14:paraId="7FD1161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 xml:space="preserve">预付款支付比例或金额：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p>
    <w:p w14:paraId="577195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FFFFFF" w:themeColor="background1"/>
          <w:sz w:val="21"/>
          <w:szCs w:val="21"/>
          <w:u w:val="single"/>
          <w14:textFill>
            <w14:solidFill>
              <w14:schemeClr w14:val="bg1"/>
            </w14:solidFill>
          </w14:textFill>
        </w:rPr>
      </w:pPr>
      <w:r>
        <w:rPr>
          <w:rFonts w:hint="eastAsia" w:ascii="宋体" w:hAnsi="宋体" w:eastAsia="宋体" w:cs="宋体"/>
          <w:sz w:val="21"/>
          <w:szCs w:val="21"/>
          <w:u w:val="single"/>
        </w:rPr>
        <w:t>预付款支付期限：</w:t>
      </w: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进场开工后7日内</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089EAE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预付款扣回的方式：</w:t>
      </w:r>
      <w:r>
        <w:rPr>
          <w:rFonts w:hint="eastAsia" w:ascii="宋体" w:hAnsi="宋体" w:eastAsia="宋体" w:cs="宋体"/>
          <w:sz w:val="21"/>
          <w:szCs w:val="21"/>
          <w:u w:val="single"/>
        </w:rPr>
        <w:t xml:space="preserve">    按工程进度款一次性扣回   </w:t>
      </w:r>
      <w:r>
        <w:rPr>
          <w:rFonts w:hint="eastAsia" w:ascii="宋体" w:hAnsi="宋体" w:eastAsia="宋体" w:cs="宋体"/>
          <w:sz w:val="21"/>
          <w:szCs w:val="21"/>
        </w:rPr>
        <w:t>。</w:t>
      </w:r>
    </w:p>
    <w:p w14:paraId="36B6BE3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12.2.2 预付款担保</w:t>
      </w:r>
    </w:p>
    <w:p w14:paraId="7A2669E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承包人提交预付款担保的期限：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3ECEC7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预付款担保的形式为：</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465"/>
    <w:bookmarkEnd w:id="466"/>
    <w:bookmarkEnd w:id="467"/>
    <w:bookmarkEnd w:id="468"/>
    <w:bookmarkEnd w:id="469"/>
    <w:bookmarkEnd w:id="470"/>
    <w:bookmarkEnd w:id="471"/>
    <w:bookmarkEnd w:id="472"/>
    <w:bookmarkEnd w:id="473"/>
    <w:bookmarkEnd w:id="474"/>
    <w:p w14:paraId="7437AF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12.3 计量</w:t>
      </w:r>
    </w:p>
    <w:p w14:paraId="2F2A00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12.3.1 计量原则</w:t>
      </w:r>
    </w:p>
    <w:p w14:paraId="61300F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工程量计算规则：</w:t>
      </w:r>
      <w:r>
        <w:rPr>
          <w:rFonts w:hint="eastAsia" w:ascii="宋体" w:hAnsi="宋体" w:eastAsia="宋体" w:cs="宋体"/>
          <w:sz w:val="21"/>
          <w:szCs w:val="21"/>
          <w:u w:val="single"/>
        </w:rPr>
        <w:t>承包人向工程师提交已完工程量报告的时间：承包人必须每</w:t>
      </w:r>
      <w:r>
        <w:rPr>
          <w:rFonts w:hint="eastAsia" w:ascii="宋体" w:hAnsi="宋体" w:eastAsia="宋体" w:cs="宋体"/>
          <w:sz w:val="21"/>
          <w:szCs w:val="21"/>
          <w:u w:val="single"/>
          <w:lang w:val="en-US" w:eastAsia="zh-CN"/>
        </w:rPr>
        <w:t>周5</w:t>
      </w:r>
      <w:r>
        <w:rPr>
          <w:rFonts w:hint="eastAsia" w:ascii="宋体" w:hAnsi="宋体" w:eastAsia="宋体" w:cs="宋体"/>
          <w:sz w:val="21"/>
          <w:szCs w:val="21"/>
          <w:u w:val="single"/>
        </w:rPr>
        <w:t xml:space="preserve">将当月实际完成的各部位的已完工程量报告送交监理工程师。监理工程师应于承包人递交已完工程量报告后7日内进行确认并完成发包人审核工作。 </w:t>
      </w:r>
      <w:r>
        <w:rPr>
          <w:rFonts w:hint="eastAsia" w:ascii="宋体" w:hAnsi="宋体" w:eastAsia="宋体" w:cs="宋体"/>
          <w:sz w:val="21"/>
          <w:szCs w:val="21"/>
        </w:rPr>
        <w:t>。</w:t>
      </w:r>
    </w:p>
    <w:p w14:paraId="4709786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12.3.2 计量周期</w:t>
      </w:r>
    </w:p>
    <w:p w14:paraId="09A9DB0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关于计量周期的约定：</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分部工程完成</w:t>
      </w:r>
      <w:r>
        <w:rPr>
          <w:rFonts w:hint="eastAsia" w:ascii="宋体" w:hAnsi="宋体" w:eastAsia="宋体" w:cs="宋体"/>
          <w:sz w:val="21"/>
          <w:szCs w:val="21"/>
          <w:u w:val="single"/>
        </w:rPr>
        <w:t xml:space="preserve">前   </w:t>
      </w:r>
      <w:r>
        <w:rPr>
          <w:rFonts w:hint="eastAsia" w:ascii="宋体" w:hAnsi="宋体" w:eastAsia="宋体" w:cs="宋体"/>
          <w:sz w:val="21"/>
          <w:szCs w:val="21"/>
        </w:rPr>
        <w:t>。</w:t>
      </w:r>
    </w:p>
    <w:p w14:paraId="6A7CCA0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12.3.3 单价合同的计量</w:t>
      </w:r>
    </w:p>
    <w:p w14:paraId="5817D3E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rPr>
        <w:t>关于单价合同计量的约定：</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 xml:space="preserve"> 承包人</w:t>
      </w:r>
      <w:r>
        <w:rPr>
          <w:rFonts w:hint="eastAsia" w:ascii="宋体" w:hAnsi="宋体" w:eastAsia="宋体" w:cs="宋体"/>
          <w:color w:val="000000"/>
          <w:sz w:val="21"/>
          <w:szCs w:val="21"/>
          <w:u w:val="single"/>
          <w:lang w:val="en-US" w:eastAsia="zh-CN"/>
        </w:rPr>
        <w:t>进场开工7日内、工程完工后、竣工验收合格后、竣工决算审计后、保修期满后</w:t>
      </w:r>
      <w:r>
        <w:rPr>
          <w:rFonts w:hint="eastAsia" w:ascii="宋体" w:hAnsi="宋体" w:eastAsia="宋体" w:cs="宋体"/>
          <w:color w:val="000000"/>
          <w:sz w:val="21"/>
          <w:szCs w:val="21"/>
          <w:u w:val="single"/>
        </w:rPr>
        <w:t>向监理人报送工程</w:t>
      </w:r>
      <w:r>
        <w:rPr>
          <w:rFonts w:hint="eastAsia" w:ascii="宋体" w:hAnsi="宋体" w:eastAsia="宋体" w:cs="宋体"/>
          <w:color w:val="000000"/>
          <w:sz w:val="21"/>
          <w:szCs w:val="21"/>
          <w:u w:val="single"/>
          <w:lang w:val="en-US" w:eastAsia="zh-CN"/>
        </w:rPr>
        <w:t>联系单</w:t>
      </w:r>
      <w:r>
        <w:rPr>
          <w:rFonts w:hint="eastAsia" w:ascii="宋体" w:hAnsi="宋体" w:eastAsia="宋体" w:cs="宋体"/>
          <w:color w:val="000000"/>
          <w:sz w:val="21"/>
          <w:szCs w:val="21"/>
          <w:u w:val="single"/>
        </w:rPr>
        <w:t>，并附具进度付款申请单、已完成工程量报表和有关资料。</w:t>
      </w:r>
    </w:p>
    <w:p w14:paraId="5DA3CDE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7DF62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（3）监理人未在收到承包人提交的工程量报表后的7天内完成审核的，承包人报送的工程量报告中的工程量视为承包人实际完成的工程量，据此计算工程价款。</w:t>
      </w:r>
    </w:p>
    <w:p w14:paraId="71B7207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12.4 工程进度款支付</w:t>
      </w:r>
    </w:p>
    <w:p w14:paraId="47D29F9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bookmarkStart w:id="475" w:name="_Toc300935006"/>
      <w:bookmarkStart w:id="476" w:name="_Toc297123556"/>
      <w:bookmarkStart w:id="477" w:name="_Toc297120511"/>
      <w:bookmarkStart w:id="478" w:name="_Toc292559416"/>
      <w:bookmarkStart w:id="479" w:name="_Toc297048397"/>
      <w:bookmarkStart w:id="480" w:name="_Toc296346712"/>
      <w:bookmarkStart w:id="481" w:name="_Toc296891039"/>
      <w:bookmarkStart w:id="482" w:name="_Toc296944550"/>
      <w:bookmarkStart w:id="483" w:name="_Toc297216215"/>
      <w:bookmarkStart w:id="484" w:name="_Toc292559921"/>
      <w:bookmarkStart w:id="485" w:name="_Toc296503211"/>
      <w:bookmarkStart w:id="486" w:name="_Toc303539163"/>
      <w:bookmarkStart w:id="487" w:name="_Toc296891251"/>
      <w:bookmarkStart w:id="488" w:name="_Toc296347210"/>
      <w:r>
        <w:rPr>
          <w:rFonts w:hint="eastAsia" w:ascii="宋体" w:hAnsi="宋体" w:eastAsia="宋体" w:cs="宋体"/>
          <w:color w:val="000000"/>
          <w:sz w:val="21"/>
          <w:szCs w:val="21"/>
          <w:u w:val="single"/>
        </w:rPr>
        <w:t>12.4.1 付款周期</w:t>
      </w:r>
    </w:p>
    <w:p w14:paraId="7239E36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关于付款周期的约定：</w:t>
      </w:r>
      <w:r>
        <w:rPr>
          <w:rFonts w:hint="eastAsia" w:ascii="宋体" w:hAnsi="宋体" w:eastAsia="宋体" w:cs="宋体"/>
          <w:color w:val="000000"/>
          <w:sz w:val="21"/>
          <w:szCs w:val="21"/>
          <w:u w:val="single"/>
          <w:lang w:val="en-US" w:eastAsia="zh-CN"/>
        </w:rPr>
        <w:t>签订合同开工后支付合同价40%的预付款，随后按工程进度约定分两期支付工程款，每期支付20%，不预留质保金，在项目决算评审、审计并竣工验收后，一次性付清剩余20%工程款</w:t>
      </w:r>
      <w:r>
        <w:rPr>
          <w:rFonts w:hint="eastAsia" w:ascii="宋体" w:hAnsi="宋体" w:eastAsia="宋体" w:cs="宋体"/>
          <w:color w:val="000000"/>
          <w:sz w:val="21"/>
          <w:szCs w:val="21"/>
          <w:u w:val="single"/>
        </w:rPr>
        <w:t>。保修期按国家规定执行。</w:t>
      </w:r>
    </w:p>
    <w:p w14:paraId="2FFDA2D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12.4.2 进度付款申请单的编制</w:t>
      </w:r>
    </w:p>
    <w:p w14:paraId="159B9D2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shd w:val="clear"/>
        </w:rPr>
        <w:t>关于进度付款申请单编制的约定</w:t>
      </w:r>
      <w:r>
        <w:rPr>
          <w:rFonts w:hint="eastAsia" w:ascii="宋体" w:hAnsi="宋体" w:eastAsia="宋体" w:cs="宋体"/>
          <w:sz w:val="21"/>
          <w:szCs w:val="21"/>
        </w:rPr>
        <w:t>：</w:t>
      </w:r>
      <w:r>
        <w:rPr>
          <w:rFonts w:hint="eastAsia" w:ascii="宋体" w:hAnsi="宋体" w:eastAsia="宋体" w:cs="宋体"/>
          <w:sz w:val="21"/>
          <w:szCs w:val="21"/>
          <w:u w:val="single"/>
        </w:rPr>
        <w:t>执行通用条款12.4</w:t>
      </w:r>
      <w:r>
        <w:rPr>
          <w:rFonts w:hint="eastAsia" w:ascii="宋体" w:hAnsi="宋体" w:eastAsia="宋体" w:cs="宋体"/>
          <w:sz w:val="21"/>
          <w:szCs w:val="21"/>
        </w:rPr>
        <w:t>。</w:t>
      </w:r>
    </w:p>
    <w:p w14:paraId="55E2EF3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rFonts w:hint="eastAsia" w:ascii="宋体" w:hAnsi="宋体" w:eastAsia="宋体" w:cs="宋体"/>
          <w:sz w:val="21"/>
          <w:szCs w:val="21"/>
        </w:rPr>
        <w:t>2.4.3 进度付款申请单的提交</w:t>
      </w:r>
    </w:p>
    <w:p w14:paraId="04A76483">
      <w:pPr>
        <w:pStyle w:val="31"/>
        <w:keepNext w:val="0"/>
        <w:keepLines w:val="0"/>
        <w:pageBreakBefore w:val="0"/>
        <w:widowControl w:val="0"/>
        <w:tabs>
          <w:tab w:val="left" w:pos="1176"/>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（1）单价合同进度付款申请单提交的约定：</w:t>
      </w:r>
    </w:p>
    <w:p w14:paraId="3D2185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（2）总价合同进度付款申请单提交的约定：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BC589A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（3）其他价格形式合同进度付款申请单提交的约定：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3A1ACA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12.4.4 进度款审核和支付</w:t>
      </w:r>
    </w:p>
    <w:p w14:paraId="204ED38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（1）监理人审查并报送发包人的期限：</w:t>
      </w:r>
      <w:r>
        <w:rPr>
          <w:rFonts w:hint="eastAsia" w:ascii="宋体" w:hAnsi="宋体" w:eastAsia="宋体" w:cs="宋体"/>
          <w:sz w:val="21"/>
          <w:szCs w:val="21"/>
          <w:u w:val="single"/>
        </w:rPr>
        <w:t xml:space="preserve">收到申请后三日内 </w:t>
      </w:r>
      <w:r>
        <w:rPr>
          <w:rFonts w:hint="eastAsia" w:ascii="宋体" w:hAnsi="宋体" w:eastAsia="宋体" w:cs="宋体"/>
          <w:sz w:val="21"/>
          <w:szCs w:val="21"/>
        </w:rPr>
        <w:t>。发包人完成审批并签发进度款支付证书的期限：</w:t>
      </w:r>
      <w:r>
        <w:rPr>
          <w:rFonts w:hint="eastAsia" w:ascii="宋体" w:hAnsi="宋体" w:eastAsia="宋体" w:cs="宋体"/>
          <w:sz w:val="21"/>
          <w:szCs w:val="21"/>
          <w:u w:val="single"/>
        </w:rPr>
        <w:t xml:space="preserve">收到申请后三日内 </w:t>
      </w:r>
      <w:r>
        <w:rPr>
          <w:rFonts w:hint="eastAsia" w:ascii="宋体" w:hAnsi="宋体" w:eastAsia="宋体" w:cs="宋体"/>
          <w:sz w:val="21"/>
          <w:szCs w:val="21"/>
        </w:rPr>
        <w:t>。</w:t>
      </w:r>
    </w:p>
    <w:p w14:paraId="1F230F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（2）发包人支付进度款的期限：</w:t>
      </w:r>
      <w:r>
        <w:rPr>
          <w:rFonts w:hint="eastAsia" w:ascii="宋体" w:hAnsi="宋体" w:eastAsia="宋体" w:cs="宋体"/>
          <w:sz w:val="21"/>
          <w:szCs w:val="21"/>
          <w:u w:val="single"/>
        </w:rPr>
        <w:t>原则</w:t>
      </w:r>
      <w:r>
        <w:rPr>
          <w:rFonts w:hint="eastAsia" w:ascii="宋体" w:hAnsi="宋体" w:eastAsia="宋体" w:cs="宋体"/>
          <w:sz w:val="21"/>
          <w:szCs w:val="21"/>
          <w:u w:val="single"/>
          <w:lang w:val="en-US" w:eastAsia="zh-CN"/>
        </w:rPr>
        <w:t>上按施工进度拨付工程款</w:t>
      </w:r>
      <w:r>
        <w:rPr>
          <w:rFonts w:hint="eastAsia" w:ascii="宋体" w:hAnsi="宋体" w:eastAsia="宋体" w:cs="宋体"/>
          <w:sz w:val="21"/>
          <w:szCs w:val="21"/>
          <w:u w:val="single"/>
        </w:rPr>
        <w:t xml:space="preserve">，当工程进度款因财政原因不能按实拨付到位时,承包人不得以此为由，影响工程正常施工进度 </w:t>
      </w:r>
      <w:r>
        <w:rPr>
          <w:rFonts w:hint="eastAsia" w:ascii="宋体" w:hAnsi="宋体" w:eastAsia="宋体" w:cs="宋体"/>
          <w:sz w:val="21"/>
          <w:szCs w:val="21"/>
        </w:rPr>
        <w:t>。</w:t>
      </w:r>
    </w:p>
    <w:bookmarkEnd w:id="321"/>
    <w:p w14:paraId="10BD4C72">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lang w:val="en-US" w:eastAsia="zh-CN"/>
        </w:rPr>
      </w:pPr>
      <w:bookmarkStart w:id="489" w:name="_Toc351203645"/>
      <w:bookmarkStart w:id="490" w:name="_Toc296891259"/>
      <w:bookmarkStart w:id="491" w:name="_Toc296944558"/>
      <w:bookmarkStart w:id="492" w:name="_Toc304295593"/>
      <w:bookmarkStart w:id="493" w:name="_Toc296346720"/>
      <w:bookmarkStart w:id="494" w:name="_Toc292559424"/>
      <w:bookmarkStart w:id="495" w:name="_Toc300935015"/>
      <w:bookmarkStart w:id="496" w:name="_Toc303539172"/>
      <w:bookmarkStart w:id="497" w:name="_Toc297123564"/>
      <w:bookmarkStart w:id="498" w:name="_Toc296347218"/>
      <w:bookmarkStart w:id="499" w:name="_Toc297120519"/>
      <w:bookmarkStart w:id="500" w:name="_Toc296891047"/>
      <w:bookmarkStart w:id="501" w:name="_Toc312678053"/>
      <w:bookmarkStart w:id="502" w:name="_Toc297048405"/>
      <w:bookmarkStart w:id="503" w:name="_Toc292559929"/>
      <w:bookmarkStart w:id="504" w:name="_Toc296503219"/>
      <w:bookmarkStart w:id="505" w:name="_Toc297216223"/>
      <w:r>
        <w:rPr>
          <w:rFonts w:hint="eastAsia" w:ascii="宋体" w:hAnsi="宋体" w:eastAsia="宋体" w:cs="宋体"/>
          <w:b/>
          <w:bCs w:val="0"/>
          <w:sz w:val="21"/>
          <w:szCs w:val="21"/>
        </w:rPr>
        <w:t>13. 验收和工程试</w:t>
      </w:r>
      <w:bookmarkEnd w:id="489"/>
      <w:r>
        <w:rPr>
          <w:rFonts w:hint="eastAsia" w:ascii="宋体" w:hAnsi="宋体" w:eastAsia="宋体" w:cs="宋体"/>
          <w:b/>
          <w:bCs w:val="0"/>
          <w:sz w:val="21"/>
          <w:szCs w:val="21"/>
          <w:lang w:val="en-US" w:eastAsia="zh-CN"/>
        </w:rPr>
        <w:t>运行</w:t>
      </w:r>
    </w:p>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14:paraId="5CF4402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13.1 分部分项工程验收</w:t>
      </w:r>
    </w:p>
    <w:p w14:paraId="4B97CB7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13.1.2监理人不能按时进行验收时，应提前</w:t>
      </w:r>
      <w:r>
        <w:rPr>
          <w:rFonts w:hint="eastAsia" w:ascii="宋体" w:hAnsi="宋体" w:eastAsia="宋体" w:cs="宋体"/>
          <w:sz w:val="21"/>
          <w:szCs w:val="21"/>
          <w:u w:val="single"/>
        </w:rPr>
        <w:t xml:space="preserve">    24   </w:t>
      </w:r>
      <w:r>
        <w:rPr>
          <w:rFonts w:hint="eastAsia" w:ascii="宋体" w:hAnsi="宋体" w:eastAsia="宋体" w:cs="宋体"/>
          <w:sz w:val="21"/>
          <w:szCs w:val="21"/>
        </w:rPr>
        <w:t>小时提交书面延期要求。</w:t>
      </w:r>
    </w:p>
    <w:p w14:paraId="6102CD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b/>
          <w:sz w:val="21"/>
          <w:szCs w:val="21"/>
        </w:rPr>
      </w:pPr>
      <w:r>
        <w:rPr>
          <w:rFonts w:hint="eastAsia" w:ascii="宋体" w:hAnsi="宋体" w:eastAsia="宋体" w:cs="宋体"/>
          <w:sz w:val="21"/>
          <w:szCs w:val="21"/>
        </w:rPr>
        <w:t>关于延期最长不得超过：</w:t>
      </w:r>
      <w:r>
        <w:rPr>
          <w:rFonts w:hint="eastAsia" w:ascii="宋体" w:hAnsi="宋体" w:eastAsia="宋体" w:cs="宋体"/>
          <w:sz w:val="21"/>
          <w:szCs w:val="21"/>
          <w:u w:val="single"/>
        </w:rPr>
        <w:t xml:space="preserve">    48   </w:t>
      </w:r>
      <w:r>
        <w:rPr>
          <w:rFonts w:hint="eastAsia" w:ascii="宋体" w:hAnsi="宋体" w:eastAsia="宋体" w:cs="宋体"/>
          <w:sz w:val="21"/>
          <w:szCs w:val="21"/>
        </w:rPr>
        <w:t>小时。</w:t>
      </w:r>
    </w:p>
    <w:p w14:paraId="5AE817F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506" w:name="_Toc297120523"/>
      <w:bookmarkStart w:id="507" w:name="_Toc297123565"/>
      <w:bookmarkStart w:id="508" w:name="_Toc300935016"/>
      <w:bookmarkStart w:id="509" w:name="_Toc296347222"/>
      <w:bookmarkStart w:id="510" w:name="_Toc296346724"/>
      <w:bookmarkStart w:id="511" w:name="_Toc296944562"/>
      <w:bookmarkStart w:id="512" w:name="_Toc292559933"/>
      <w:bookmarkStart w:id="513" w:name="_Toc304295596"/>
      <w:bookmarkStart w:id="514" w:name="_Toc292559428"/>
      <w:bookmarkStart w:id="515" w:name="_Toc297216224"/>
      <w:bookmarkStart w:id="516" w:name="_Toc312678056"/>
      <w:bookmarkStart w:id="517" w:name="_Toc303539173"/>
      <w:bookmarkStart w:id="518" w:name="_Toc297048409"/>
      <w:bookmarkStart w:id="519" w:name="_Toc296503223"/>
      <w:bookmarkStart w:id="520" w:name="_Toc296891263"/>
      <w:bookmarkStart w:id="521" w:name="_Toc296891051"/>
      <w:bookmarkStart w:id="522" w:name="_Toc267251474"/>
      <w:bookmarkStart w:id="523" w:name="_Toc267251470"/>
      <w:bookmarkStart w:id="524" w:name="_Toc267251471"/>
      <w:bookmarkStart w:id="525" w:name="_Toc267251472"/>
      <w:bookmarkStart w:id="526" w:name="_Toc267251475"/>
      <w:bookmarkStart w:id="527" w:name="_Toc267251476"/>
      <w:bookmarkStart w:id="528" w:name="_Toc267251473"/>
      <w:r>
        <w:rPr>
          <w:rFonts w:hint="eastAsia" w:ascii="宋体" w:hAnsi="宋体" w:eastAsia="宋体" w:cs="宋体"/>
          <w:sz w:val="21"/>
          <w:szCs w:val="21"/>
        </w:rPr>
        <w:t>13.2 竣工验收</w:t>
      </w:r>
    </w:p>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2B118FA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bookmarkStart w:id="529" w:name="_Toc280868704"/>
      <w:bookmarkStart w:id="530" w:name="_Toc280868705"/>
      <w:bookmarkStart w:id="531" w:name="_Toc280868706"/>
      <w:bookmarkStart w:id="532" w:name="_Toc280868707"/>
      <w:bookmarkStart w:id="533" w:name="_Toc280868708"/>
      <w:bookmarkStart w:id="534" w:name="_Toc280868709"/>
      <w:r>
        <w:rPr>
          <w:rFonts w:hint="eastAsia" w:ascii="宋体" w:hAnsi="宋体" w:eastAsia="宋体" w:cs="宋体"/>
          <w:sz w:val="21"/>
          <w:szCs w:val="21"/>
        </w:rPr>
        <w:t>13.2.2竣工验收程序</w:t>
      </w:r>
    </w:p>
    <w:bookmarkEnd w:id="529"/>
    <w:p w14:paraId="13712F5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关于竣工验收程序的约定：</w:t>
      </w:r>
      <w:r>
        <w:rPr>
          <w:rFonts w:hint="eastAsia" w:ascii="宋体" w:hAnsi="宋体" w:eastAsia="宋体" w:cs="宋体"/>
          <w:sz w:val="21"/>
          <w:szCs w:val="21"/>
          <w:u w:val="single"/>
        </w:rPr>
        <w:t xml:space="preserve">     执行通用条款13.2    </w:t>
      </w:r>
      <w:r>
        <w:rPr>
          <w:rFonts w:hint="eastAsia" w:ascii="宋体" w:hAnsi="宋体" w:eastAsia="宋体" w:cs="宋体"/>
          <w:sz w:val="21"/>
          <w:szCs w:val="21"/>
        </w:rPr>
        <w:t>。</w:t>
      </w:r>
    </w:p>
    <w:p w14:paraId="0B3ED45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发包人不按照本项约定组织竣工验收、颁发工程接收证书的违约金的计算方法：</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30"/>
    <w:p w14:paraId="45583E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13.2.5移交、接收全部与部分工程</w:t>
      </w:r>
    </w:p>
    <w:bookmarkEnd w:id="531"/>
    <w:p w14:paraId="7951894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承包人向发包人移交工程的期限：</w:t>
      </w:r>
      <w:r>
        <w:rPr>
          <w:rFonts w:hint="eastAsia" w:ascii="宋体" w:hAnsi="宋体" w:eastAsia="宋体" w:cs="宋体"/>
          <w:sz w:val="21"/>
          <w:szCs w:val="21"/>
          <w:u w:val="single"/>
        </w:rPr>
        <w:t>竣工验收合格之日起 7 日 内 。</w:t>
      </w:r>
    </w:p>
    <w:p w14:paraId="754C1B3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发包人未按本合同约定接收全部或部分工程的，违约金的计算方法为：</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执行通用条款13.2  </w:t>
      </w:r>
      <w:r>
        <w:rPr>
          <w:rFonts w:hint="eastAsia" w:ascii="宋体" w:hAnsi="宋体" w:eastAsia="宋体" w:cs="宋体"/>
          <w:sz w:val="21"/>
          <w:szCs w:val="21"/>
        </w:rPr>
        <w:t>。</w:t>
      </w:r>
    </w:p>
    <w:bookmarkEnd w:id="532"/>
    <w:p w14:paraId="20048DC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承包人未按时移交工程的，违约金的计算方法为：</w:t>
      </w:r>
      <w:r>
        <w:rPr>
          <w:rFonts w:hint="eastAsia" w:ascii="宋体" w:hAnsi="宋体" w:eastAsia="宋体" w:cs="宋体"/>
          <w:sz w:val="21"/>
          <w:szCs w:val="21"/>
          <w:u w:val="single"/>
        </w:rPr>
        <w:t xml:space="preserve"> 执行通用条款13.2  </w:t>
      </w:r>
      <w:r>
        <w:rPr>
          <w:rFonts w:hint="eastAsia" w:ascii="宋体" w:hAnsi="宋体" w:eastAsia="宋体" w:cs="宋体"/>
          <w:sz w:val="21"/>
          <w:szCs w:val="21"/>
        </w:rPr>
        <w:t>。</w:t>
      </w:r>
    </w:p>
    <w:p w14:paraId="5461037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13.3 工程试车</w:t>
      </w:r>
    </w:p>
    <w:bookmarkEnd w:id="533"/>
    <w:p w14:paraId="00C25A8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13.3.1 试车程序</w:t>
      </w:r>
    </w:p>
    <w:p w14:paraId="7A71BD6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工程试车内容：</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0E839C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（1）单机无负荷试车费用由</w:t>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承担；</w:t>
      </w:r>
    </w:p>
    <w:p w14:paraId="331F582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（2）无负荷联动试车费用由</w:t>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承担。</w:t>
      </w:r>
    </w:p>
    <w:p w14:paraId="2EAA929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13.3.3 投料试车</w:t>
      </w:r>
    </w:p>
    <w:p w14:paraId="235DBE9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关于投料试车相关事项的约定：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5F51D0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13.6 竣工退场</w:t>
      </w:r>
    </w:p>
    <w:p w14:paraId="081070C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13.6.1 竣工退场</w:t>
      </w:r>
    </w:p>
    <w:p w14:paraId="2CA074D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承包人完成竣工退场的期限：</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 xml:space="preserve"> 竣工验收后15天内 </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528BB1FD">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35" w:name="_Toc351203646"/>
      <w:r>
        <w:rPr>
          <w:rFonts w:hint="eastAsia" w:ascii="宋体" w:hAnsi="宋体" w:eastAsia="宋体" w:cs="宋体"/>
          <w:b/>
          <w:bCs w:val="0"/>
          <w:sz w:val="21"/>
          <w:szCs w:val="21"/>
        </w:rPr>
        <w:t>14. 竣工结算</w:t>
      </w:r>
      <w:bookmarkEnd w:id="535"/>
    </w:p>
    <w:p w14:paraId="1388A3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14.1 竣工结算申请</w:t>
      </w:r>
    </w:p>
    <w:p w14:paraId="7654B4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承包人提交竣工结算申请单的期限：</w:t>
      </w:r>
      <w:r>
        <w:rPr>
          <w:rFonts w:hint="eastAsia" w:ascii="宋体" w:hAnsi="宋体" w:eastAsia="宋体" w:cs="宋体"/>
          <w:sz w:val="21"/>
          <w:szCs w:val="21"/>
          <w:u w:val="single"/>
        </w:rPr>
        <w:t xml:space="preserve"> 工程完工，承包人在通过每项单项工程（或全部建设项目）竣工验收后30日内向发包人提交竣工结算报告及结算资料，发包人在收到后20日内审查完毕并确认或给出审查修改意见，并报送审计、财政部门审计（评审），收到审计（评审）报告后15日内向承包人支付工程竣工结算价款。</w:t>
      </w:r>
    </w:p>
    <w:p w14:paraId="5D812B7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竣工结算申请单应包括的内容：</w:t>
      </w:r>
      <w:r>
        <w:rPr>
          <w:rFonts w:hint="eastAsia" w:ascii="宋体" w:hAnsi="宋体" w:eastAsia="宋体" w:cs="宋体"/>
          <w:sz w:val="21"/>
          <w:szCs w:val="21"/>
          <w:u w:val="single"/>
        </w:rPr>
        <w:t xml:space="preserve">   （1）竣工结算报送价格；（2）发包人已支付承包人的款项；应扣留的质量保证金；（4）发包人应支付承包人的合同价款；（5）审计部门所需要的其它材料</w:t>
      </w:r>
      <w:r>
        <w:rPr>
          <w:rFonts w:hint="eastAsia" w:ascii="宋体" w:hAnsi="宋体" w:eastAsia="宋体" w:cs="宋体"/>
          <w:sz w:val="21"/>
          <w:szCs w:val="21"/>
        </w:rPr>
        <w:t xml:space="preserve">。 </w:t>
      </w:r>
    </w:p>
    <w:p w14:paraId="3BEB47B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14.2 竣工结算审核</w:t>
      </w:r>
    </w:p>
    <w:p w14:paraId="06A27B2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发包人审批竣工付款申请单的期限：</w:t>
      </w:r>
      <w:r>
        <w:rPr>
          <w:rFonts w:hint="eastAsia" w:ascii="宋体" w:hAnsi="宋体" w:eastAsia="宋体" w:cs="宋体"/>
          <w:sz w:val="21"/>
          <w:szCs w:val="21"/>
          <w:u w:val="single"/>
        </w:rPr>
        <w:t xml:space="preserve"> 监理工程师在收到承包人递交的竣工结算报告及完整的结算资料后30天内进行核实后由建设单位详细复核，报由审计局进行审查，审查完毕，给予审查意见，审查意见经发包人及承包人认可后，出具工程造价咨询审查报告，三方（发包人、承包人、审计单位）确认的审计决算结果作为最终结算的依据</w:t>
      </w:r>
      <w:r>
        <w:rPr>
          <w:rFonts w:hint="eastAsia" w:ascii="宋体" w:hAnsi="宋体" w:eastAsia="宋体" w:cs="宋体"/>
          <w:sz w:val="21"/>
          <w:szCs w:val="21"/>
        </w:rPr>
        <w:t>。</w:t>
      </w:r>
    </w:p>
    <w:p w14:paraId="1BD9C4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发包人完成竣工付款的期限：</w:t>
      </w:r>
      <w:r>
        <w:rPr>
          <w:rFonts w:hint="eastAsia" w:ascii="宋体" w:hAnsi="宋体" w:eastAsia="宋体" w:cs="宋体"/>
          <w:sz w:val="21"/>
          <w:szCs w:val="21"/>
          <w:u w:val="single"/>
        </w:rPr>
        <w:t>签发竣工付款申请单28天内</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59C76FD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关于竣工付款证书异议部分复核的方式和程序：</w:t>
      </w:r>
      <w:r>
        <w:rPr>
          <w:rFonts w:hint="eastAsia" w:ascii="宋体" w:hAnsi="宋体" w:eastAsia="宋体" w:cs="宋体"/>
          <w:sz w:val="21"/>
          <w:szCs w:val="21"/>
          <w:u w:val="single"/>
        </w:rPr>
        <w:t xml:space="preserve"> 执行通用条款   </w:t>
      </w:r>
      <w:r>
        <w:rPr>
          <w:rFonts w:hint="eastAsia" w:ascii="宋体" w:hAnsi="宋体" w:eastAsia="宋体" w:cs="宋体"/>
          <w:sz w:val="21"/>
          <w:szCs w:val="21"/>
        </w:rPr>
        <w:t>。</w:t>
      </w:r>
    </w:p>
    <w:p w14:paraId="7E8BC41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14.4 最终结清</w:t>
      </w:r>
    </w:p>
    <w:p w14:paraId="4322701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14.4.1 最终结清申请单</w:t>
      </w:r>
    </w:p>
    <w:p w14:paraId="690C14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承包人提交最终结清申请单的份数：</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  4份        </w:t>
      </w:r>
      <w:r>
        <w:rPr>
          <w:rFonts w:hint="eastAsia" w:ascii="宋体" w:hAnsi="宋体" w:eastAsia="宋体" w:cs="宋体"/>
          <w:sz w:val="21"/>
          <w:szCs w:val="21"/>
        </w:rPr>
        <w:t>。</w:t>
      </w:r>
    </w:p>
    <w:p w14:paraId="1433C35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承包人提交最终结算申请单的期限：</w:t>
      </w:r>
      <w:r>
        <w:rPr>
          <w:rFonts w:hint="eastAsia" w:ascii="宋体" w:hAnsi="宋体" w:eastAsia="宋体" w:cs="宋体"/>
          <w:kern w:val="0"/>
          <w:sz w:val="21"/>
          <w:szCs w:val="21"/>
          <w:u w:val="single"/>
        </w:rPr>
        <w:t xml:space="preserve"> 在缺陷责任期终止证书颁发后7天内 </w:t>
      </w:r>
      <w:r>
        <w:rPr>
          <w:rFonts w:hint="eastAsia" w:ascii="宋体" w:hAnsi="宋体" w:eastAsia="宋体" w:cs="宋体"/>
          <w:kern w:val="0"/>
          <w:sz w:val="21"/>
          <w:szCs w:val="21"/>
        </w:rPr>
        <w:t>。</w:t>
      </w:r>
    </w:p>
    <w:p w14:paraId="79C9F68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14.4.2 最终结清证书和支付</w:t>
      </w:r>
    </w:p>
    <w:p w14:paraId="0BC342D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（1）发包人完成最终结清申请单的审批并颁发最终结清证书的期限：</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收到承包人提交的最</w:t>
      </w:r>
      <w:bookmarkStart w:id="536" w:name="_bookmark94"/>
      <w:bookmarkEnd w:id="536"/>
      <w:r>
        <w:rPr>
          <w:rFonts w:hint="eastAsia" w:ascii="宋体" w:hAnsi="宋体" w:eastAsia="宋体" w:cs="宋体"/>
          <w:kern w:val="0"/>
          <w:sz w:val="21"/>
          <w:szCs w:val="21"/>
          <w:u w:val="single"/>
        </w:rPr>
        <w:t xml:space="preserve">终结清证书14天内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16DBB55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（2）发包人完成支付的期限：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22"/>
    <w:bookmarkEnd w:id="523"/>
    <w:bookmarkEnd w:id="524"/>
    <w:bookmarkEnd w:id="525"/>
    <w:bookmarkEnd w:id="526"/>
    <w:bookmarkEnd w:id="527"/>
    <w:bookmarkEnd w:id="528"/>
    <w:bookmarkEnd w:id="534"/>
    <w:p w14:paraId="3DBB9EE8">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37" w:name="_Toc351203647"/>
      <w:bookmarkStart w:id="538" w:name="_Toc267251483"/>
      <w:bookmarkStart w:id="539" w:name="_Toc267251484"/>
      <w:bookmarkStart w:id="540" w:name="_Toc267251482"/>
      <w:bookmarkStart w:id="541" w:name="_Toc267251485"/>
      <w:bookmarkStart w:id="542" w:name="_Toc267251486"/>
      <w:bookmarkStart w:id="543" w:name="_Toc267251490"/>
      <w:bookmarkStart w:id="544" w:name="_Toc267251488"/>
      <w:bookmarkStart w:id="545" w:name="_Toc267251489"/>
      <w:bookmarkStart w:id="546" w:name="_Toc267251498"/>
      <w:bookmarkStart w:id="547" w:name="_Toc267251501"/>
      <w:bookmarkStart w:id="548" w:name="_Toc267251493"/>
      <w:bookmarkStart w:id="549" w:name="_Toc267251492"/>
      <w:bookmarkStart w:id="550" w:name="_Toc267251496"/>
      <w:bookmarkStart w:id="551" w:name="_Toc267251491"/>
      <w:bookmarkStart w:id="552" w:name="_Toc267251495"/>
      <w:bookmarkStart w:id="553" w:name="_Toc267251494"/>
      <w:bookmarkStart w:id="554" w:name="_Toc267251502"/>
      <w:bookmarkStart w:id="555" w:name="_Toc267251499"/>
      <w:bookmarkStart w:id="556" w:name="_Toc267251497"/>
      <w:bookmarkStart w:id="557" w:name="_Toc267251503"/>
      <w:bookmarkStart w:id="558" w:name="_Toc267251506"/>
      <w:bookmarkStart w:id="559" w:name="_Toc267251504"/>
      <w:bookmarkStart w:id="560" w:name="_Toc267251507"/>
      <w:bookmarkStart w:id="561" w:name="_Toc267251508"/>
      <w:bookmarkStart w:id="562" w:name="_Toc267251515"/>
      <w:bookmarkStart w:id="563" w:name="_Toc267251513"/>
      <w:bookmarkStart w:id="564" w:name="_Toc267251511"/>
      <w:bookmarkStart w:id="565" w:name="_Toc267251510"/>
      <w:bookmarkStart w:id="566" w:name="_Toc267251509"/>
      <w:bookmarkStart w:id="567" w:name="_Toc267251514"/>
      <w:r>
        <w:rPr>
          <w:rFonts w:hint="eastAsia" w:ascii="宋体" w:hAnsi="宋体" w:eastAsia="宋体" w:cs="宋体"/>
          <w:b/>
          <w:bCs w:val="0"/>
          <w:sz w:val="21"/>
          <w:szCs w:val="21"/>
        </w:rPr>
        <w:t>15. 缺陷责任期与保修</w:t>
      </w:r>
      <w:bookmarkEnd w:id="537"/>
    </w:p>
    <w:p w14:paraId="693BC78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15.2缺陷责任期</w:t>
      </w:r>
      <w:bookmarkEnd w:id="538"/>
    </w:p>
    <w:p w14:paraId="2B9FBB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缺陷责任期的具体期限：</w:t>
      </w:r>
      <w:r>
        <w:rPr>
          <w:rFonts w:hint="eastAsia" w:ascii="宋体" w:hAnsi="宋体" w:eastAsia="宋体" w:cs="宋体"/>
          <w:sz w:val="21"/>
          <w:szCs w:val="21"/>
          <w:u w:val="single"/>
        </w:rPr>
        <w:t xml:space="preserve">缺陷责任期从工程通过竣工验收之日 起计算，期限为24个月 </w:t>
      </w:r>
      <w:r>
        <w:rPr>
          <w:rFonts w:hint="eastAsia" w:ascii="宋体" w:hAnsi="宋体" w:eastAsia="宋体" w:cs="宋体"/>
          <w:sz w:val="21"/>
          <w:szCs w:val="21"/>
        </w:rPr>
        <w:t>。</w:t>
      </w:r>
    </w:p>
    <w:p w14:paraId="7E528DD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15.3 质量保证金</w:t>
      </w:r>
    </w:p>
    <w:p w14:paraId="0849B80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关于是否扣留质量保证金的约定：</w:t>
      </w:r>
      <w:r>
        <w:rPr>
          <w:rFonts w:hint="eastAsia" w:ascii="宋体" w:hAnsi="宋体" w:eastAsia="宋体" w:cs="宋体"/>
          <w:kern w:val="0"/>
          <w:sz w:val="21"/>
          <w:szCs w:val="21"/>
          <w:u w:val="single"/>
        </w:rPr>
        <w:t>扣留最终审计结果的</w:t>
      </w:r>
      <w:r>
        <w:rPr>
          <w:rFonts w:hint="eastAsia" w:ascii="宋体" w:hAnsi="宋体" w:eastAsia="宋体" w:cs="宋体"/>
          <w:kern w:val="0"/>
          <w:sz w:val="21"/>
          <w:szCs w:val="21"/>
          <w:u w:val="single"/>
          <w:lang w:val="en-US" w:eastAsia="zh-CN"/>
        </w:rPr>
        <w:t>5</w:t>
      </w:r>
      <w:r>
        <w:rPr>
          <w:rFonts w:hint="eastAsia" w:ascii="宋体" w:hAnsi="宋体" w:eastAsia="宋体" w:cs="宋体"/>
          <w:kern w:val="0"/>
          <w:sz w:val="21"/>
          <w:szCs w:val="21"/>
          <w:u w:val="single"/>
        </w:rPr>
        <w:t>%</w:t>
      </w:r>
      <w:r>
        <w:rPr>
          <w:rFonts w:hint="eastAsia" w:ascii="宋体" w:hAnsi="宋体" w:eastAsia="宋体" w:cs="宋体"/>
          <w:sz w:val="21"/>
          <w:szCs w:val="21"/>
          <w:u w:val="single"/>
        </w:rPr>
        <w:t xml:space="preserve"> </w:t>
      </w:r>
      <w:r>
        <w:rPr>
          <w:rFonts w:hint="eastAsia" w:ascii="宋体" w:hAnsi="宋体" w:eastAsia="宋体" w:cs="宋体"/>
          <w:sz w:val="21"/>
          <w:szCs w:val="21"/>
        </w:rPr>
        <w:t>。在工程项目竣工前，承包人按专用合同条款第3.7条提供履约担保的，发包人不得同时预留工程质量保证金。</w:t>
      </w:r>
    </w:p>
    <w:p w14:paraId="3AFE6CB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15.3.1 承包人提供质量保证金的方式</w:t>
      </w:r>
    </w:p>
    <w:p w14:paraId="2CB9A5D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质量保证金采用以下第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w:t>
      </w:r>
    </w:p>
    <w:p w14:paraId="29179FB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（1）质量保证金保函，保证金额为：</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 xml:space="preserve">； </w:t>
      </w:r>
    </w:p>
    <w:p w14:paraId="015623E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%的工程款；</w:t>
      </w:r>
    </w:p>
    <w:p w14:paraId="64E086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（3）其他方式:</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647F937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15.3.2 质量保证金的扣留 </w:t>
      </w:r>
    </w:p>
    <w:p w14:paraId="54201BA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质量保证金的扣留采取以下第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w:t>
      </w:r>
    </w:p>
    <w:p w14:paraId="3AB0755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（1）在支付工程进度款时逐次扣留，在此情形下，质量保证金的计算基数不包括预付款的支付、扣回以及价格调整的金额；</w:t>
      </w:r>
    </w:p>
    <w:p w14:paraId="51B6901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（2）工程竣工结算时一次性扣留质量保证金；</w:t>
      </w:r>
    </w:p>
    <w:p w14:paraId="03427C5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（3）其他扣留方式:</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146E30E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关于质量保证金的补充约定：</w:t>
      </w:r>
      <w:r>
        <w:rPr>
          <w:rFonts w:hint="eastAsia" w:ascii="宋体" w:hAnsi="宋体" w:eastAsia="宋体" w:cs="宋体"/>
          <w:sz w:val="21"/>
          <w:szCs w:val="21"/>
          <w:u w:val="single"/>
        </w:rPr>
        <w:t>不计息</w:t>
      </w:r>
    </w:p>
    <w:bookmarkEnd w:id="539"/>
    <w:bookmarkEnd w:id="540"/>
    <w:p w14:paraId="25508C2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15.4保修</w:t>
      </w:r>
    </w:p>
    <w:bookmarkEnd w:id="541"/>
    <w:p w14:paraId="7BD09D64">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15.4.1 保修责任</w:t>
      </w:r>
    </w:p>
    <w:p w14:paraId="207E643E">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工程保修期为：</w:t>
      </w:r>
      <w:r>
        <w:rPr>
          <w:rFonts w:hint="eastAsia" w:ascii="宋体" w:hAnsi="宋体" w:eastAsia="宋体" w:cs="宋体"/>
          <w:sz w:val="21"/>
          <w:szCs w:val="21"/>
          <w:u w:val="single"/>
        </w:rPr>
        <w:t xml:space="preserve">法定最低保修年限  </w:t>
      </w:r>
      <w:r>
        <w:rPr>
          <w:rFonts w:hint="eastAsia" w:ascii="宋体" w:hAnsi="宋体" w:eastAsia="宋体" w:cs="宋体"/>
          <w:sz w:val="21"/>
          <w:szCs w:val="21"/>
        </w:rPr>
        <w:t>。</w:t>
      </w:r>
    </w:p>
    <w:p w14:paraId="1E45D359">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15.4.3 修复通知</w:t>
      </w:r>
    </w:p>
    <w:p w14:paraId="1364ABAE">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承包人收到保修通知并到达工程现场的合理时间：</w:t>
      </w:r>
      <w:r>
        <w:rPr>
          <w:rFonts w:hint="eastAsia" w:ascii="宋体" w:hAnsi="宋体" w:eastAsia="宋体" w:cs="宋体"/>
          <w:sz w:val="21"/>
          <w:szCs w:val="21"/>
          <w:u w:val="single"/>
          <w:lang w:val="en-US" w:eastAsia="zh-CN"/>
        </w:rPr>
        <w:t xml:space="preserve">24小时 </w:t>
      </w:r>
      <w:r>
        <w:rPr>
          <w:rFonts w:hint="eastAsia" w:ascii="宋体" w:hAnsi="宋体" w:eastAsia="宋体" w:cs="宋体"/>
          <w:sz w:val="21"/>
          <w:szCs w:val="21"/>
          <w:lang w:val="en-US" w:eastAsia="zh-CN"/>
        </w:rPr>
        <w:t>。</w:t>
      </w:r>
    </w:p>
    <w:bookmarkEnd w:id="542"/>
    <w:bookmarkEnd w:id="543"/>
    <w:bookmarkEnd w:id="544"/>
    <w:bookmarkEnd w:id="545"/>
    <w:p w14:paraId="0E86DA2B">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68" w:name="_Toc351203648"/>
      <w:bookmarkStart w:id="569" w:name="_Toc280868717"/>
      <w:bookmarkStart w:id="570" w:name="_Toc280868718"/>
      <w:r>
        <w:rPr>
          <w:rFonts w:hint="eastAsia" w:ascii="宋体" w:hAnsi="宋体" w:eastAsia="宋体" w:cs="宋体"/>
          <w:b/>
          <w:bCs w:val="0"/>
          <w:sz w:val="21"/>
          <w:szCs w:val="21"/>
        </w:rPr>
        <w:t>16. 违约</w:t>
      </w:r>
      <w:bookmarkEnd w:id="568"/>
    </w:p>
    <w:p w14:paraId="1B50EB5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16.1 发包人违约</w:t>
      </w:r>
    </w:p>
    <w:p w14:paraId="4DB3023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16.1.1发包人违约的情形</w:t>
      </w:r>
    </w:p>
    <w:p w14:paraId="74B7E29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发包人违约的其他情形：</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1711BB6D">
      <w:pPr>
        <w:keepNext w:val="0"/>
        <w:keepLines w:val="0"/>
        <w:pageBreakBefore w:val="0"/>
        <w:widowControl w:val="0"/>
        <w:kinsoku/>
        <w:wordWrap w:val="0"/>
        <w:overflowPunct/>
        <w:topLinePunct/>
        <w:autoSpaceDE/>
        <w:autoSpaceDN/>
        <w:bidi w:val="0"/>
        <w:adjustRightInd w:val="0"/>
        <w:snapToGrid w:val="0"/>
        <w:spacing w:line="360" w:lineRule="auto"/>
        <w:ind w:left="1500" w:hanging="1050" w:hangingChars="5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    16.1.2 发包人违约的责任</w:t>
      </w:r>
    </w:p>
    <w:p w14:paraId="3D550EB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发包人违约责任的承担方式和计算方法：</w:t>
      </w:r>
    </w:p>
    <w:p w14:paraId="535997B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（1）因发包人原因未能在计划开工日期前7天内下达开工通知的违约责任：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0B342F1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（2）因发包人原因未能按合同约定支付合同价款的违约责任：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663E93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（3）发包人违反第10.1款〔变更的范围〕第（2）项约定，自行实施被取消的工作或转由他人实施的违约责任：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5DE6652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（4）发包人提供的材料、工程设备的规格、数量或质量不符合合同约定，或因发包人原因导致交货日期延误或交货地点变更等情况的违约责任：</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rPr>
        <w:t>。</w:t>
      </w:r>
    </w:p>
    <w:p w14:paraId="7624AAC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（5）因发包人违反合同约定造成暂停施工的违约责任：</w:t>
      </w:r>
      <w:r>
        <w:rPr>
          <w:rFonts w:hint="eastAsia" w:ascii="宋体" w:hAnsi="宋体" w:eastAsia="宋体" w:cs="宋体"/>
          <w:kern w:val="0"/>
          <w:sz w:val="21"/>
          <w:szCs w:val="21"/>
          <w:u w:val="single"/>
        </w:rPr>
        <w:t xml:space="preserve">若影响工期的，工期予以顺延 </w:t>
      </w:r>
      <w:r>
        <w:rPr>
          <w:rFonts w:hint="eastAsia" w:ascii="宋体" w:hAnsi="宋体" w:eastAsia="宋体" w:cs="宋体"/>
          <w:kern w:val="0"/>
          <w:sz w:val="21"/>
          <w:szCs w:val="21"/>
        </w:rPr>
        <w:t>。</w:t>
      </w:r>
    </w:p>
    <w:p w14:paraId="67E3339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（6）发包人无正当理由没有在约定期限内发出复工指示，导致承包人无法复工的违约责任：</w:t>
      </w:r>
      <w:r>
        <w:rPr>
          <w:rFonts w:hint="eastAsia" w:ascii="宋体" w:hAnsi="宋体" w:eastAsia="宋体" w:cs="宋体"/>
          <w:kern w:val="0"/>
          <w:sz w:val="21"/>
          <w:szCs w:val="21"/>
          <w:u w:val="single"/>
        </w:rPr>
        <w:t>若影响工期的，工期予以顺延</w:t>
      </w:r>
      <w:r>
        <w:rPr>
          <w:rFonts w:hint="eastAsia" w:ascii="宋体" w:hAnsi="宋体" w:eastAsia="宋体" w:cs="宋体"/>
          <w:kern w:val="0"/>
          <w:sz w:val="21"/>
          <w:szCs w:val="21"/>
        </w:rPr>
        <w:t>。</w:t>
      </w:r>
    </w:p>
    <w:p w14:paraId="677399B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（7）其他：</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2A8EF60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16.1.3 因发包人违约解除合同</w:t>
      </w:r>
    </w:p>
    <w:p w14:paraId="1D5254B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承包人按16.1.1项〔发包人违约的情形〕约定暂停施工满</w:t>
      </w:r>
      <w:r>
        <w:rPr>
          <w:rFonts w:hint="eastAsia" w:ascii="宋体" w:hAnsi="宋体" w:eastAsia="宋体" w:cs="宋体"/>
          <w:kern w:val="0"/>
          <w:sz w:val="21"/>
          <w:szCs w:val="21"/>
          <w:u w:val="single"/>
        </w:rPr>
        <w:t xml:space="preserve"> 28 </w:t>
      </w:r>
      <w:r>
        <w:rPr>
          <w:rFonts w:hint="eastAsia" w:ascii="宋体" w:hAnsi="宋体" w:eastAsia="宋体" w:cs="宋体"/>
          <w:kern w:val="0"/>
          <w:sz w:val="21"/>
          <w:szCs w:val="21"/>
        </w:rPr>
        <w:t>天后发包人仍不纠正其违约行为并致使合同目的不能实现的，承包人有权解除合同。</w:t>
      </w:r>
    </w:p>
    <w:p w14:paraId="150BA9A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16.2 承包人违约</w:t>
      </w:r>
    </w:p>
    <w:p w14:paraId="31F0E5D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16.2.1 承包人违约的情形</w:t>
      </w:r>
    </w:p>
    <w:p w14:paraId="6EF0C84E">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承包人违约的其他情形</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其他与本合同约定无关行为  。</w:t>
      </w:r>
      <w:r>
        <w:rPr>
          <w:rFonts w:hint="eastAsia" w:ascii="宋体" w:hAnsi="宋体" w:eastAsia="宋体" w:cs="宋体"/>
          <w:sz w:val="21"/>
          <w:szCs w:val="21"/>
          <w:lang w:val="en-US" w:eastAsia="zh-CN"/>
        </w:rPr>
        <w:t xml:space="preserve"> </w:t>
      </w:r>
    </w:p>
    <w:p w14:paraId="4A8CC89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16.2.2承包人违约的责任</w:t>
      </w:r>
    </w:p>
    <w:p w14:paraId="3F255328">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承包人违约责任的承担方式和计算方法：</w:t>
      </w:r>
      <w:r>
        <w:rPr>
          <w:rFonts w:hint="eastAsia" w:ascii="宋体" w:hAnsi="宋体" w:eastAsia="宋体" w:cs="宋体"/>
          <w:kern w:val="0"/>
          <w:sz w:val="21"/>
          <w:szCs w:val="21"/>
          <w:u w:val="single"/>
        </w:rPr>
        <w:t>按通用条款执行16.2     。</w:t>
      </w:r>
    </w:p>
    <w:p w14:paraId="61DDEC0C">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16.2.3 因承包人违约解除合同</w:t>
      </w:r>
    </w:p>
    <w:p w14:paraId="7D471376">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lang w:val="en-US" w:eastAsia="zh-CN"/>
        </w:rPr>
      </w:pPr>
      <w:r>
        <w:rPr>
          <w:rFonts w:hint="eastAsia" w:ascii="宋体" w:hAnsi="宋体" w:eastAsia="宋体" w:cs="宋体"/>
          <w:sz w:val="21"/>
          <w:szCs w:val="21"/>
        </w:rPr>
        <w:t>关于承包人违约解除合同的特别约定</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向发包人支付合同总价款的20%作为违约金 </w:t>
      </w:r>
      <w:r>
        <w:rPr>
          <w:rFonts w:hint="eastAsia" w:ascii="宋体" w:hAnsi="宋体" w:eastAsia="宋体" w:cs="宋体"/>
          <w:sz w:val="21"/>
          <w:szCs w:val="21"/>
          <w:lang w:val="en-US" w:eastAsia="zh-CN"/>
        </w:rPr>
        <w:t>。</w:t>
      </w:r>
    </w:p>
    <w:p w14:paraId="2520A108">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textAlignment w:val="baseline"/>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发包人继续使用承包人在施工现场的材料、设备、临时工程、承包人文件</w:t>
      </w:r>
    </w:p>
    <w:p w14:paraId="1D1FFA69">
      <w:pPr>
        <w:pStyle w:val="8"/>
        <w:keepNext w:val="0"/>
        <w:keepLines w:val="0"/>
        <w:pageBreakBefore w:val="0"/>
        <w:widowControl w:val="0"/>
        <w:kinsoku/>
        <w:wordWrap w:val="0"/>
        <w:overflowPunct/>
        <w:topLinePunct/>
        <w:autoSpaceDE/>
        <w:autoSpaceDN/>
        <w:bidi w:val="0"/>
        <w:adjustRightInd w:val="0"/>
        <w:snapToGrid w:val="0"/>
        <w:spacing w:line="360" w:lineRule="auto"/>
        <w:ind w:right="63"/>
        <w:jc w:val="both"/>
        <w:textAlignment w:val="baseline"/>
        <w:outlineLvl w:val="9"/>
        <w:rPr>
          <w:rFonts w:hint="eastAsia" w:ascii="宋体" w:hAnsi="宋体" w:eastAsia="宋体" w:cs="宋体"/>
          <w:sz w:val="21"/>
          <w:szCs w:val="21"/>
        </w:rPr>
      </w:pPr>
      <w:r>
        <w:rPr>
          <w:rFonts w:hint="eastAsia" w:ascii="宋体" w:hAnsi="宋体" w:eastAsia="宋体" w:cs="宋体"/>
          <w:sz w:val="21"/>
          <w:szCs w:val="21"/>
        </w:rPr>
        <w:t>和由承包人或以其名义编制的其他文件的费用承担方式：</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403C2EC5">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71" w:name="_Toc351203649"/>
      <w:r>
        <w:rPr>
          <w:rFonts w:hint="eastAsia" w:ascii="宋体" w:hAnsi="宋体" w:eastAsia="宋体" w:cs="宋体"/>
          <w:b/>
          <w:bCs w:val="0"/>
          <w:sz w:val="21"/>
          <w:szCs w:val="21"/>
        </w:rPr>
        <w:t>17. 不可抗力</w:t>
      </w:r>
      <w:bookmarkEnd w:id="571"/>
      <w:r>
        <w:rPr>
          <w:rFonts w:hint="eastAsia" w:ascii="宋体" w:hAnsi="宋体" w:eastAsia="宋体" w:cs="宋体"/>
          <w:b/>
          <w:bCs w:val="0"/>
          <w:sz w:val="21"/>
          <w:szCs w:val="21"/>
        </w:rPr>
        <w:t xml:space="preserve"> </w:t>
      </w:r>
      <w:bookmarkEnd w:id="569"/>
    </w:p>
    <w:p w14:paraId="1236EC7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17.1 不可抗力的确认</w:t>
      </w:r>
    </w:p>
    <w:p w14:paraId="2CD6C7D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除通用合同条款约定的不可抗力事件之外，视为不可抗力的其他情形： </w:t>
      </w:r>
      <w:r>
        <w:rPr>
          <w:rFonts w:hint="eastAsia" w:ascii="宋体" w:hAnsi="宋体" w:eastAsia="宋体" w:cs="宋体"/>
          <w:sz w:val="21"/>
          <w:szCs w:val="21"/>
          <w:u w:val="single"/>
          <w:lang w:val="en-US" w:eastAsia="zh-CN"/>
        </w:rPr>
        <w:t>⑴.陕西地区发生7级以上的地震；⑵.榆林地区持续1天10级以上的大风；⑶.持续降水24小时且降雨量为210mm以上；⑷.其它：政府部门发文禁止施工的情况</w:t>
      </w:r>
      <w:r>
        <w:rPr>
          <w:rFonts w:hint="eastAsia" w:ascii="宋体" w:hAnsi="宋体" w:eastAsia="宋体" w:cs="宋体"/>
          <w:sz w:val="21"/>
          <w:szCs w:val="21"/>
          <w:u w:val="single"/>
          <w:lang w:val="en-US" w:eastAsia="zh-CN"/>
        </w:rPr>
        <w:tab/>
      </w:r>
      <w:r>
        <w:rPr>
          <w:rFonts w:hint="eastAsia" w:ascii="宋体" w:hAnsi="宋体" w:eastAsia="宋体" w:cs="宋体"/>
          <w:sz w:val="21"/>
          <w:szCs w:val="21"/>
        </w:rPr>
        <w:t>。</w:t>
      </w:r>
    </w:p>
    <w:p w14:paraId="107945B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17.2 因不可抗力解除合同</w:t>
      </w:r>
    </w:p>
    <w:p w14:paraId="5E685EC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合同解除后，发包人应在商定或确定发包人应支付款项后</w:t>
      </w:r>
      <w:r>
        <w:rPr>
          <w:rFonts w:hint="eastAsia" w:ascii="宋体" w:hAnsi="宋体" w:eastAsia="宋体" w:cs="宋体"/>
          <w:sz w:val="21"/>
          <w:szCs w:val="21"/>
          <w:u w:val="single"/>
        </w:rPr>
        <w:t xml:space="preserve"> 7 </w:t>
      </w:r>
      <w:r>
        <w:rPr>
          <w:rFonts w:hint="eastAsia" w:ascii="宋体" w:hAnsi="宋体" w:eastAsia="宋体" w:cs="宋体"/>
          <w:sz w:val="21"/>
          <w:szCs w:val="21"/>
        </w:rPr>
        <w:t>天内完成款项的支付。</w:t>
      </w:r>
    </w:p>
    <w:p w14:paraId="0CAF3D0C">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72" w:name="_Toc351203650"/>
      <w:r>
        <w:rPr>
          <w:rFonts w:hint="eastAsia" w:ascii="宋体" w:hAnsi="宋体" w:eastAsia="宋体" w:cs="宋体"/>
          <w:b/>
          <w:bCs w:val="0"/>
          <w:sz w:val="21"/>
          <w:szCs w:val="21"/>
        </w:rPr>
        <w:t>18. 保险</w:t>
      </w:r>
      <w:bookmarkEnd w:id="572"/>
    </w:p>
    <w:bookmarkEnd w:id="570"/>
    <w:p w14:paraId="201F47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18.1 工程保险</w:t>
      </w:r>
    </w:p>
    <w:p w14:paraId="18A89DA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关于工程保险的特别约定：</w:t>
      </w:r>
      <w:r>
        <w:rPr>
          <w:rFonts w:hint="eastAsia" w:ascii="宋体" w:hAnsi="宋体" w:eastAsia="宋体" w:cs="宋体"/>
          <w:sz w:val="21"/>
          <w:szCs w:val="21"/>
          <w:u w:val="single"/>
          <w:lang w:val="en-US" w:eastAsia="zh-CN"/>
        </w:rPr>
        <w:t xml:space="preserve">承包人必须为所有进入现场的职工办理意外伤害保险和工伤保险，并为施工场地内承包人的自有人员生命财产及施工机械设备办理保险，支付保险费用。承包人按施工安全规范采取预防事故的措施，确保施工安全和第三者安全，承包人负责所有参与施工人员的人身意外保险；凡施工中发生的一切安全事故，均由承包人承担责任，并依法进行经济赔偿 </w:t>
      </w:r>
      <w:r>
        <w:rPr>
          <w:rFonts w:hint="eastAsia" w:ascii="宋体" w:hAnsi="宋体" w:eastAsia="宋体" w:cs="宋体"/>
          <w:sz w:val="21"/>
          <w:szCs w:val="21"/>
          <w:lang w:val="en-US" w:eastAsia="zh-CN"/>
        </w:rPr>
        <w:t>。</w:t>
      </w:r>
    </w:p>
    <w:p w14:paraId="1E15C3B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w:t>
      </w: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 其他保险</w:t>
      </w:r>
    </w:p>
    <w:p w14:paraId="09F5B86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关于其他保险的约定：</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55E52E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承包人是否应为其施工设备等办理财产保险：</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 xml:space="preserve"> 承包人自行办理，费用自理      </w:t>
      </w:r>
      <w:r>
        <w:rPr>
          <w:rFonts w:hint="eastAsia" w:ascii="宋体" w:hAnsi="宋体" w:eastAsia="宋体" w:cs="宋体"/>
          <w:sz w:val="21"/>
          <w:szCs w:val="21"/>
        </w:rPr>
        <w:t>。</w:t>
      </w:r>
    </w:p>
    <w:p w14:paraId="7FEF60D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w:t>
      </w: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 通知义务</w:t>
      </w:r>
    </w:p>
    <w:p w14:paraId="2649E13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关于变更保险合同时的通知义务的约定：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46"/>
    <w:bookmarkEnd w:id="547"/>
    <w:bookmarkEnd w:id="548"/>
    <w:bookmarkEnd w:id="549"/>
    <w:bookmarkEnd w:id="550"/>
    <w:bookmarkEnd w:id="551"/>
    <w:bookmarkEnd w:id="552"/>
    <w:bookmarkEnd w:id="553"/>
    <w:bookmarkEnd w:id="554"/>
    <w:bookmarkEnd w:id="555"/>
    <w:bookmarkEnd w:id="556"/>
    <w:bookmarkEnd w:id="557"/>
    <w:p w14:paraId="6CB053A4">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73" w:name="_Toc351203651"/>
      <w:r>
        <w:rPr>
          <w:rFonts w:hint="eastAsia" w:ascii="宋体" w:hAnsi="宋体" w:eastAsia="宋体" w:cs="宋体"/>
          <w:b/>
          <w:bCs w:val="0"/>
          <w:sz w:val="21"/>
          <w:szCs w:val="21"/>
        </w:rPr>
        <w:t>20. 争议解决</w:t>
      </w:r>
      <w:bookmarkEnd w:id="573"/>
    </w:p>
    <w:bookmarkEnd w:id="558"/>
    <w:bookmarkEnd w:id="559"/>
    <w:p w14:paraId="6D9062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20.3 争</w:t>
      </w:r>
      <w:bookmarkEnd w:id="560"/>
      <w:r>
        <w:rPr>
          <w:rFonts w:hint="eastAsia" w:ascii="宋体" w:hAnsi="宋体" w:eastAsia="宋体" w:cs="宋体"/>
          <w:sz w:val="21"/>
          <w:szCs w:val="21"/>
        </w:rPr>
        <w:t>议评审</w:t>
      </w:r>
    </w:p>
    <w:p w14:paraId="15F62006">
      <w:pPr>
        <w:keepNext w:val="0"/>
        <w:keepLines w:val="0"/>
        <w:pageBreakBefore w:val="0"/>
        <w:widowControl w:val="0"/>
        <w:kinsoku/>
        <w:wordWrap w:val="0"/>
        <w:overflowPunct/>
        <w:topLinePunct/>
        <w:autoSpaceDE/>
        <w:autoSpaceDN/>
        <w:bidi w:val="0"/>
        <w:adjustRightInd w:val="0"/>
        <w:snapToGrid w:val="0"/>
        <w:spacing w:line="360" w:lineRule="auto"/>
        <w:ind w:left="149" w:leftChars="71" w:firstLine="315" w:firstLineChars="15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合同当事人是否同意将工程争议提交争议评审小组决定：</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14:paraId="080878E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20.3.1 争议评审小组的确定</w:t>
      </w:r>
    </w:p>
    <w:p w14:paraId="1B0EF0B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争议评审小组成员的确定：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4E99A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选定争议评审员的期限：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65ADB9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争议评审小组成员的报酬承担方式：</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6E38469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其他事项的约定：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BD6B4F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20.3.2 争议评审小组的决定</w:t>
      </w:r>
    </w:p>
    <w:p w14:paraId="210B672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合同当事人关于本项的约定：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7F8AD2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20.4仲裁或诉讼</w:t>
      </w:r>
      <w:bookmarkEnd w:id="561"/>
    </w:p>
    <w:p w14:paraId="625083A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因合同及合同有关事项发生的争议，按下列第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种方式解决：</w:t>
      </w:r>
    </w:p>
    <w:p w14:paraId="7135ACC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（1）向</w:t>
      </w:r>
      <w:r>
        <w:rPr>
          <w:rFonts w:hint="eastAsia" w:ascii="宋体" w:hAnsi="宋体" w:eastAsia="宋体" w:cs="宋体"/>
          <w:sz w:val="21"/>
          <w:szCs w:val="21"/>
          <w:u w:val="single"/>
        </w:rPr>
        <w:t xml:space="preserve">   /  </w:t>
      </w:r>
      <w:r>
        <w:rPr>
          <w:rFonts w:hint="eastAsia" w:ascii="宋体" w:hAnsi="宋体" w:eastAsia="宋体" w:cs="宋体"/>
          <w:sz w:val="21"/>
          <w:szCs w:val="21"/>
        </w:rPr>
        <w:t>仲裁委员会申请仲裁；</w:t>
      </w:r>
    </w:p>
    <w:p w14:paraId="5FC1C07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b/>
          <w:color w:val="000000"/>
          <w:sz w:val="21"/>
          <w:szCs w:val="21"/>
        </w:rPr>
      </w:pPr>
      <w:r>
        <w:rPr>
          <w:rFonts w:hint="eastAsia" w:ascii="宋体" w:hAnsi="宋体" w:eastAsia="宋体" w:cs="宋体"/>
          <w:sz w:val="21"/>
          <w:szCs w:val="21"/>
        </w:rPr>
        <w:t>（2）向</w:t>
      </w:r>
      <w:r>
        <w:rPr>
          <w:rFonts w:hint="eastAsia" w:ascii="宋体" w:hAnsi="宋体" w:eastAsia="宋体" w:cs="宋体"/>
          <w:sz w:val="21"/>
          <w:szCs w:val="21"/>
          <w:u w:val="single"/>
        </w:rPr>
        <w:t xml:space="preserve">   项目所在地  </w:t>
      </w:r>
      <w:r>
        <w:rPr>
          <w:rFonts w:hint="eastAsia" w:ascii="宋体" w:hAnsi="宋体" w:eastAsia="宋体" w:cs="宋体"/>
          <w:sz w:val="21"/>
          <w:szCs w:val="21"/>
        </w:rPr>
        <w:t>人民法院起诉。</w:t>
      </w:r>
      <w:bookmarkEnd w:id="562"/>
      <w:bookmarkEnd w:id="563"/>
      <w:bookmarkEnd w:id="564"/>
      <w:bookmarkEnd w:id="565"/>
      <w:bookmarkEnd w:id="566"/>
      <w:bookmarkEnd w:id="567"/>
    </w:p>
    <w:p w14:paraId="163DC37B">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b/>
          <w:color w:val="000000"/>
          <w:sz w:val="21"/>
          <w:szCs w:val="21"/>
        </w:rPr>
      </w:pPr>
    </w:p>
    <w:p w14:paraId="4CCE4BA3">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附件</w:t>
      </w:r>
      <w:bookmarkEnd w:id="42"/>
    </w:p>
    <w:p w14:paraId="6A542731">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协议书附件：</w:t>
      </w:r>
    </w:p>
    <w:p w14:paraId="21640D75">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附件1：工程质量保修书</w:t>
      </w:r>
    </w:p>
    <w:p w14:paraId="6947DFE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rPr>
        <w:sectPr>
          <w:footerReference r:id="rId11" w:type="first"/>
          <w:footerReference r:id="rId10" w:type="default"/>
          <w:pgSz w:w="11906" w:h="16838"/>
          <w:pgMar w:top="1417" w:right="1417" w:bottom="1417" w:left="1417" w:header="851" w:footer="992" w:gutter="0"/>
          <w:pgNumType w:fmt="decimal"/>
          <w:cols w:space="720" w:num="1"/>
          <w:rtlGutter w:val="0"/>
          <w:docGrid w:type="linesAndChars" w:linePitch="312" w:charSpace="0"/>
        </w:sectPr>
      </w:pPr>
    </w:p>
    <w:p w14:paraId="71194659">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附</w:t>
      </w:r>
      <w:bookmarkStart w:id="574" w:name="_Toc296346727"/>
      <w:bookmarkStart w:id="575" w:name="_Toc296891266"/>
      <w:bookmarkStart w:id="576" w:name="_Toc296347225"/>
      <w:bookmarkStart w:id="577" w:name="_Toc296944565"/>
      <w:bookmarkStart w:id="578" w:name="_Toc267261693"/>
      <w:bookmarkStart w:id="579" w:name="_Toc296891054"/>
      <w:bookmarkStart w:id="580" w:name="_Toc296503226"/>
      <w:r>
        <w:rPr>
          <w:rFonts w:hint="eastAsia" w:ascii="宋体" w:hAnsi="宋体" w:eastAsia="宋体" w:cs="宋体"/>
          <w:color w:val="000000"/>
          <w:sz w:val="21"/>
          <w:szCs w:val="21"/>
        </w:rPr>
        <w:t>件1：</w:t>
      </w:r>
      <w:bookmarkEnd w:id="574"/>
      <w:bookmarkEnd w:id="575"/>
      <w:bookmarkEnd w:id="576"/>
      <w:bookmarkEnd w:id="577"/>
      <w:bookmarkEnd w:id="578"/>
      <w:bookmarkEnd w:id="579"/>
      <w:bookmarkEnd w:id="580"/>
      <w:r>
        <w:rPr>
          <w:rFonts w:hint="eastAsia" w:ascii="宋体" w:hAnsi="宋体" w:eastAsia="宋体" w:cs="宋体"/>
          <w:color w:val="000000"/>
          <w:sz w:val="21"/>
          <w:szCs w:val="21"/>
        </w:rPr>
        <w:t xml:space="preserve">    </w:t>
      </w:r>
    </w:p>
    <w:p w14:paraId="687CFA77">
      <w:pPr>
        <w:keepNext w:val="0"/>
        <w:keepLines w:val="0"/>
        <w:pageBreakBefore w:val="0"/>
        <w:kinsoku/>
        <w:wordWrap w:val="0"/>
        <w:overflowPunct/>
        <w:topLinePunct/>
        <w:autoSpaceDE/>
        <w:autoSpaceDN/>
        <w:bidi w:val="0"/>
        <w:spacing w:line="360" w:lineRule="auto"/>
        <w:jc w:val="center"/>
        <w:outlineLvl w:val="9"/>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工程质量保修书</w:t>
      </w:r>
    </w:p>
    <w:p w14:paraId="686FE545">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发包人（全称）：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p>
    <w:p w14:paraId="4F718904">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承包人（全称）：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p>
    <w:p w14:paraId="4C7FAA29">
      <w:pPr>
        <w:keepNext w:val="0"/>
        <w:keepLines w:val="0"/>
        <w:pageBreakBefore w:val="0"/>
        <w:widowControl w:val="0"/>
        <w:kinsoku/>
        <w:wordWrap w:val="0"/>
        <w:overflowPunct/>
        <w:topLinePunct/>
        <w:autoSpaceDE/>
        <w:autoSpaceDN/>
        <w:bidi w:val="0"/>
        <w:adjustRightInd/>
        <w:snapToGrid/>
        <w:spacing w:line="360" w:lineRule="auto"/>
        <w:ind w:left="200" w:hanging="210" w:hangingChars="1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发包人和承包人根据《中华人民共和国建筑法》和《建设工程质量管理条例》，经协商一致就</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（工程全称）签订工程质量保修书。</w:t>
      </w:r>
    </w:p>
    <w:p w14:paraId="0C89263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w:t>
      </w:r>
      <w:bookmarkStart w:id="581" w:name="_Toc16621"/>
      <w:r>
        <w:rPr>
          <w:rFonts w:hint="eastAsia" w:ascii="宋体" w:hAnsi="宋体" w:eastAsia="宋体" w:cs="宋体"/>
          <w:color w:val="000000"/>
          <w:sz w:val="21"/>
          <w:szCs w:val="21"/>
        </w:rPr>
        <w:t>一、工程质量保修范围和内容</w:t>
      </w:r>
      <w:bookmarkEnd w:id="581"/>
    </w:p>
    <w:p w14:paraId="00405BA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承包人在质量保修期内，按照有关法律规定和合同约定，承担工程质量保修责任。</w:t>
      </w:r>
    </w:p>
    <w:p w14:paraId="44BB7A68">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w:t>
      </w:r>
    </w:p>
    <w:p w14:paraId="68C415C1">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b/>
          <w:color w:val="000000"/>
          <w:sz w:val="21"/>
          <w:szCs w:val="21"/>
        </w:rPr>
        <w:t>　　</w:t>
      </w:r>
      <w:bookmarkStart w:id="582" w:name="_Toc16552"/>
      <w:r>
        <w:rPr>
          <w:rFonts w:hint="eastAsia" w:ascii="宋体" w:hAnsi="宋体" w:eastAsia="宋体" w:cs="宋体"/>
          <w:color w:val="000000"/>
          <w:sz w:val="21"/>
          <w:szCs w:val="21"/>
        </w:rPr>
        <w:t>二、质量保修期</w:t>
      </w:r>
      <w:bookmarkEnd w:id="582"/>
    </w:p>
    <w:p w14:paraId="0A9D3AC0">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根据《建设工程质量管理条例》及有关规定，工程的质量保修期如下：</w:t>
      </w:r>
    </w:p>
    <w:p w14:paraId="51666579">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000000"/>
          <w:sz w:val="21"/>
          <w:szCs w:val="21"/>
        </w:rPr>
        <w:t>．</w:t>
      </w:r>
      <w:r>
        <w:rPr>
          <w:rFonts w:hint="eastAsia" w:ascii="宋体" w:hAnsi="宋体" w:eastAsia="宋体" w:cs="宋体"/>
          <w:sz w:val="21"/>
          <w:szCs w:val="21"/>
        </w:rPr>
        <w:t>地基基础工程和主体结构工程为设计文件规定的工程合理使用年限；</w:t>
      </w:r>
    </w:p>
    <w:p w14:paraId="67C53304">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sz w:val="21"/>
          <w:szCs w:val="21"/>
        </w:rPr>
        <w:t>．</w:t>
      </w:r>
      <w:r>
        <w:rPr>
          <w:rFonts w:hint="eastAsia" w:ascii="宋体" w:hAnsi="宋体" w:eastAsia="宋体" w:cs="宋体"/>
          <w:color w:val="000000"/>
          <w:sz w:val="21"/>
          <w:szCs w:val="21"/>
        </w:rPr>
        <w:t>屋面防水工程、有防水要求的卫生间、房间和外墙面的防渗为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6F23D9F0">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sz w:val="21"/>
          <w:szCs w:val="21"/>
        </w:rPr>
        <w:t>．</w:t>
      </w:r>
      <w:r>
        <w:rPr>
          <w:rFonts w:hint="eastAsia" w:ascii="宋体" w:hAnsi="宋体" w:eastAsia="宋体" w:cs="宋体"/>
          <w:color w:val="000000"/>
          <w:sz w:val="21"/>
          <w:szCs w:val="21"/>
        </w:rPr>
        <w:t>装修工程为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247E2F43">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sz w:val="21"/>
          <w:szCs w:val="21"/>
        </w:rPr>
        <w:t>．</w:t>
      </w:r>
      <w:r>
        <w:rPr>
          <w:rFonts w:hint="eastAsia" w:ascii="宋体" w:hAnsi="宋体" w:eastAsia="宋体" w:cs="宋体"/>
          <w:color w:val="000000"/>
          <w:sz w:val="21"/>
          <w:szCs w:val="21"/>
        </w:rPr>
        <w:t>电气管线、给排水管道、设备安装工程为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73D53837">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5</w:t>
      </w:r>
      <w:r>
        <w:rPr>
          <w:rFonts w:hint="eastAsia" w:ascii="宋体" w:hAnsi="宋体" w:eastAsia="宋体" w:cs="宋体"/>
          <w:sz w:val="21"/>
          <w:szCs w:val="21"/>
        </w:rPr>
        <w:t>．</w:t>
      </w:r>
      <w:r>
        <w:rPr>
          <w:rFonts w:hint="eastAsia" w:ascii="宋体" w:hAnsi="宋体" w:eastAsia="宋体" w:cs="宋体"/>
          <w:color w:val="000000"/>
          <w:sz w:val="21"/>
          <w:szCs w:val="21"/>
        </w:rPr>
        <w:t>供热与供冷系统为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个采暖期、供冷期；</w:t>
      </w:r>
    </w:p>
    <w:p w14:paraId="5E9E2F8B">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6</w:t>
      </w:r>
      <w:r>
        <w:rPr>
          <w:rFonts w:hint="eastAsia" w:ascii="宋体" w:hAnsi="宋体" w:eastAsia="宋体" w:cs="宋体"/>
          <w:sz w:val="21"/>
          <w:szCs w:val="21"/>
        </w:rPr>
        <w:t>．</w:t>
      </w:r>
      <w:r>
        <w:rPr>
          <w:rFonts w:hint="eastAsia" w:ascii="宋体" w:hAnsi="宋体" w:eastAsia="宋体" w:cs="宋体"/>
          <w:color w:val="000000"/>
          <w:sz w:val="21"/>
          <w:szCs w:val="21"/>
        </w:rPr>
        <w:t>住宅小区内的给排水设施、道路等配套工程为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568C5CB9">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7</w:t>
      </w:r>
      <w:r>
        <w:rPr>
          <w:rFonts w:hint="eastAsia" w:ascii="宋体" w:hAnsi="宋体" w:eastAsia="宋体" w:cs="宋体"/>
          <w:sz w:val="21"/>
          <w:szCs w:val="21"/>
        </w:rPr>
        <w:t>．</w:t>
      </w:r>
      <w:r>
        <w:rPr>
          <w:rFonts w:hint="eastAsia" w:ascii="宋体" w:hAnsi="宋体" w:eastAsia="宋体" w:cs="宋体"/>
          <w:color w:val="000000"/>
          <w:sz w:val="21"/>
          <w:szCs w:val="21"/>
        </w:rPr>
        <w:t>其他项目保修期限约定如下：</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14:paraId="18DD6C83">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质量保修期自工程竣工验收合格之日起计算。</w:t>
      </w:r>
    </w:p>
    <w:p w14:paraId="21D94C76">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bookmarkStart w:id="583" w:name="_Toc8691"/>
      <w:r>
        <w:rPr>
          <w:rFonts w:hint="eastAsia" w:ascii="宋体" w:hAnsi="宋体" w:eastAsia="宋体" w:cs="宋体"/>
          <w:color w:val="000000"/>
          <w:sz w:val="21"/>
          <w:szCs w:val="21"/>
        </w:rPr>
        <w:t>三、缺陷责任期</w:t>
      </w:r>
      <w:bookmarkEnd w:id="583"/>
    </w:p>
    <w:p w14:paraId="263860F0">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工程缺陷责任期为</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个月，缺陷责任期自工程通过竣工验收之日起计算。单位工程先于全部工程进行验收，单位工程缺陷责任期自单位工程验收合格之日起算。</w:t>
      </w:r>
    </w:p>
    <w:p w14:paraId="0A77B66C">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缺陷责任期终止后，发包人应退还剩余的质量保证金。</w:t>
      </w:r>
    </w:p>
    <w:p w14:paraId="02D89DE5">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bookmarkStart w:id="584" w:name="_Toc18957"/>
      <w:r>
        <w:rPr>
          <w:rFonts w:hint="eastAsia" w:ascii="宋体" w:hAnsi="宋体" w:eastAsia="宋体" w:cs="宋体"/>
          <w:color w:val="000000"/>
          <w:sz w:val="21"/>
          <w:szCs w:val="21"/>
        </w:rPr>
        <w:t>四、质量保修责任</w:t>
      </w:r>
      <w:bookmarkEnd w:id="584"/>
    </w:p>
    <w:p w14:paraId="5D6BE2EF">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sz w:val="21"/>
          <w:szCs w:val="21"/>
        </w:rPr>
        <w:t>．</w:t>
      </w:r>
      <w:r>
        <w:rPr>
          <w:rFonts w:hint="eastAsia" w:ascii="宋体" w:hAnsi="宋体" w:eastAsia="宋体" w:cs="宋体"/>
          <w:color w:val="000000"/>
          <w:sz w:val="21"/>
          <w:szCs w:val="21"/>
        </w:rPr>
        <w:t>属于保修范围、内容的项目，承包人应当在接到保修通知之日起7天内派人保修。承包人不在约定期限内派人保修的，发包人可以委托他人修理。</w:t>
      </w:r>
    </w:p>
    <w:p w14:paraId="216C2D54">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sz w:val="21"/>
          <w:szCs w:val="21"/>
        </w:rPr>
        <w:t>．</w:t>
      </w:r>
      <w:r>
        <w:rPr>
          <w:rFonts w:hint="eastAsia" w:ascii="宋体" w:hAnsi="宋体" w:eastAsia="宋体" w:cs="宋体"/>
          <w:color w:val="000000"/>
          <w:sz w:val="21"/>
          <w:szCs w:val="21"/>
        </w:rPr>
        <w:t>发生紧急事故需抢修的，承包人在接到事故通知后，应当立即到达事故现场抢修。</w:t>
      </w:r>
    </w:p>
    <w:p w14:paraId="4051CA48">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sz w:val="21"/>
          <w:szCs w:val="21"/>
        </w:rPr>
        <w:t>．</w:t>
      </w:r>
      <w:r>
        <w:rPr>
          <w:rFonts w:hint="eastAsia" w:ascii="宋体" w:hAnsi="宋体" w:eastAsia="宋体" w:cs="宋体"/>
          <w:color w:val="000000"/>
          <w:sz w:val="21"/>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EB673A0">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sz w:val="21"/>
          <w:szCs w:val="21"/>
        </w:rPr>
        <w:t>．</w:t>
      </w:r>
      <w:r>
        <w:rPr>
          <w:rFonts w:hint="eastAsia" w:ascii="宋体" w:hAnsi="宋体" w:eastAsia="宋体" w:cs="宋体"/>
          <w:color w:val="000000"/>
          <w:sz w:val="21"/>
          <w:szCs w:val="21"/>
        </w:rPr>
        <w:t>质量保修完成后，由发包人组织验收。</w:t>
      </w:r>
    </w:p>
    <w:p w14:paraId="565D569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w:t>
      </w:r>
      <w:bookmarkStart w:id="585" w:name="_Toc25983"/>
      <w:r>
        <w:rPr>
          <w:rFonts w:hint="eastAsia" w:ascii="宋体" w:hAnsi="宋体" w:eastAsia="宋体" w:cs="宋体"/>
          <w:color w:val="000000"/>
          <w:sz w:val="21"/>
          <w:szCs w:val="21"/>
        </w:rPr>
        <w:t>五、保修费用</w:t>
      </w:r>
      <w:bookmarkEnd w:id="585"/>
    </w:p>
    <w:p w14:paraId="5179ABD9">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保修费用由造成质量缺陷的责任方承担。</w:t>
      </w:r>
    </w:p>
    <w:p w14:paraId="5EC9EB1C">
      <w:pPr>
        <w:keepNext w:val="0"/>
        <w:keepLines w:val="0"/>
        <w:pageBreakBefore w:val="0"/>
        <w:widowControl w:val="0"/>
        <w:kinsoku/>
        <w:wordWrap w:val="0"/>
        <w:overflowPunct/>
        <w:topLinePunct/>
        <w:autoSpaceDE/>
        <w:autoSpaceDN/>
        <w:bidi w:val="0"/>
        <w:adjustRightInd/>
        <w:snapToGrid/>
        <w:spacing w:line="360" w:lineRule="auto"/>
        <w:jc w:val="left"/>
        <w:textAlignment w:val="auto"/>
        <w:outlineLvl w:val="9"/>
        <w:rPr>
          <w:rFonts w:hint="eastAsia" w:ascii="宋体" w:hAnsi="宋体" w:eastAsia="宋体" w:cs="宋体"/>
          <w:color w:val="000000"/>
          <w:sz w:val="21"/>
          <w:szCs w:val="21"/>
        </w:rPr>
      </w:pPr>
      <w:bookmarkStart w:id="586" w:name="_Toc12502"/>
      <w:r>
        <w:rPr>
          <w:rFonts w:hint="eastAsia" w:ascii="宋体" w:hAnsi="宋体" w:eastAsia="宋体" w:cs="宋体"/>
          <w:b/>
          <w:color w:val="000000"/>
          <w:sz w:val="21"/>
          <w:szCs w:val="21"/>
        </w:rPr>
        <w:t>六</w:t>
      </w:r>
      <w:r>
        <w:rPr>
          <w:rFonts w:hint="eastAsia" w:ascii="宋体" w:hAnsi="宋体" w:eastAsia="宋体" w:cs="宋体"/>
          <w:color w:val="000000"/>
          <w:sz w:val="21"/>
          <w:szCs w:val="21"/>
        </w:rPr>
        <w:t>、双方约定的其他工程质量保修事项：</w:t>
      </w:r>
      <w:bookmarkEnd w:id="586"/>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14:paraId="3D46D7C0">
      <w:pPr>
        <w:keepNext w:val="0"/>
        <w:keepLines w:val="0"/>
        <w:pageBreakBefore w:val="0"/>
        <w:widowControl w:val="0"/>
        <w:kinsoku/>
        <w:wordWrap w:val="0"/>
        <w:overflowPunct/>
        <w:topLinePunct/>
        <w:autoSpaceDE/>
        <w:autoSpaceDN/>
        <w:bidi w:val="0"/>
        <w:adjustRightInd/>
        <w:snapToGrid/>
        <w:spacing w:line="360" w:lineRule="auto"/>
        <w:ind w:firstLine="399" w:firstLineChars="19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工程质量保修书由发包人、承包人在工程竣工验收前共同签署，作为施工合同附件，其有效期限至保修期满。</w:t>
      </w:r>
    </w:p>
    <w:p w14:paraId="52EF2052">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p>
    <w:p w14:paraId="0864B07B">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发包人：  (公章)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承包人：  (公章)</w:t>
      </w:r>
    </w:p>
    <w:p w14:paraId="0A85716D">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u w:val="single"/>
        </w:rPr>
      </w:pPr>
      <w:r>
        <w:rPr>
          <w:rFonts w:hint="eastAsia" w:ascii="宋体" w:hAnsi="宋体" w:eastAsia="宋体" w:cs="宋体"/>
          <w:b/>
          <w:color w:val="000000"/>
          <w:sz w:val="21"/>
          <w:szCs w:val="21"/>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p>
    <w:p w14:paraId="2595B1DB">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 xml:space="preserve">法定代表人：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法定代表人</w:t>
      </w:r>
      <w:r>
        <w:rPr>
          <w:rFonts w:hint="eastAsia" w:ascii="宋体" w:hAnsi="宋体" w:eastAsia="宋体" w:cs="宋体"/>
          <w:color w:val="000000"/>
          <w:sz w:val="21"/>
          <w:szCs w:val="21"/>
          <w:lang w:eastAsia="zh-CN"/>
        </w:rPr>
        <w:t>：</w:t>
      </w:r>
    </w:p>
    <w:p w14:paraId="6BE8A909">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项目负责</w:t>
      </w:r>
      <w:r>
        <w:rPr>
          <w:rFonts w:hint="eastAsia" w:ascii="宋体" w:hAnsi="宋体" w:eastAsia="宋体" w:cs="宋体"/>
          <w:color w:val="000000"/>
          <w:sz w:val="21"/>
          <w:szCs w:val="21"/>
        </w:rPr>
        <w:t>人：</w:t>
      </w:r>
    </w:p>
    <w:p w14:paraId="202D4813">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hint="eastAsia" w:ascii="宋体" w:hAnsi="宋体" w:eastAsia="宋体" w:cs="宋体"/>
          <w:color w:val="auto"/>
          <w:sz w:val="21"/>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7782306">
      <w:pPr>
        <w:spacing w:line="242" w:lineRule="auto"/>
        <w:rPr>
          <w:rFonts w:hint="eastAsia" w:ascii="宋体" w:hAnsi="宋体" w:eastAsia="宋体" w:cs="宋体"/>
          <w:color w:val="auto"/>
          <w:sz w:val="21"/>
        </w:rPr>
      </w:pPr>
    </w:p>
    <w:p w14:paraId="508EFBDC">
      <w:pPr>
        <w:spacing w:line="242" w:lineRule="auto"/>
        <w:rPr>
          <w:rFonts w:hint="eastAsia" w:ascii="宋体" w:hAnsi="宋体" w:eastAsia="宋体" w:cs="宋体"/>
          <w:color w:val="auto"/>
          <w:sz w:val="21"/>
        </w:rPr>
      </w:pPr>
    </w:p>
    <w:p w14:paraId="4A505C61">
      <w:pPr>
        <w:spacing w:line="242" w:lineRule="auto"/>
        <w:rPr>
          <w:rFonts w:hint="eastAsia" w:ascii="宋体" w:hAnsi="宋体" w:eastAsia="宋体" w:cs="宋体"/>
          <w:color w:val="auto"/>
          <w:sz w:val="21"/>
        </w:rPr>
      </w:pPr>
    </w:p>
    <w:p w14:paraId="7D856D87">
      <w:pPr>
        <w:spacing w:line="242" w:lineRule="auto"/>
        <w:rPr>
          <w:rFonts w:hint="eastAsia" w:ascii="宋体" w:hAnsi="宋体" w:eastAsia="宋体" w:cs="宋体"/>
          <w:color w:val="auto"/>
          <w:sz w:val="21"/>
        </w:rPr>
      </w:pPr>
    </w:p>
    <w:p w14:paraId="51CAB6C7">
      <w:pPr>
        <w:spacing w:line="242" w:lineRule="auto"/>
        <w:rPr>
          <w:rFonts w:hint="eastAsia" w:ascii="宋体" w:hAnsi="宋体" w:eastAsia="宋体" w:cs="宋体"/>
          <w:color w:val="auto"/>
          <w:sz w:val="21"/>
        </w:rPr>
      </w:pPr>
    </w:p>
    <w:p w14:paraId="2A8C6860">
      <w:pPr>
        <w:spacing w:line="242" w:lineRule="auto"/>
        <w:rPr>
          <w:rFonts w:hint="eastAsia" w:ascii="宋体" w:hAnsi="宋体" w:eastAsia="宋体" w:cs="宋体"/>
          <w:color w:val="auto"/>
          <w:sz w:val="21"/>
        </w:rPr>
      </w:pPr>
    </w:p>
    <w:p w14:paraId="2694D2C8">
      <w:pPr>
        <w:spacing w:line="242" w:lineRule="auto"/>
        <w:rPr>
          <w:rFonts w:hint="eastAsia" w:ascii="宋体" w:hAnsi="宋体" w:eastAsia="宋体" w:cs="宋体"/>
          <w:color w:val="auto"/>
          <w:sz w:val="21"/>
        </w:rPr>
      </w:pPr>
    </w:p>
    <w:p w14:paraId="608F9316">
      <w:pPr>
        <w:spacing w:line="242" w:lineRule="auto"/>
        <w:rPr>
          <w:rFonts w:hint="eastAsia" w:ascii="宋体" w:hAnsi="宋体" w:eastAsia="宋体" w:cs="宋体"/>
          <w:color w:val="auto"/>
          <w:sz w:val="21"/>
        </w:rPr>
      </w:pPr>
    </w:p>
    <w:p w14:paraId="52CBDE5B">
      <w:pPr>
        <w:spacing w:line="242" w:lineRule="auto"/>
        <w:rPr>
          <w:rFonts w:hint="eastAsia" w:ascii="宋体" w:hAnsi="宋体" w:eastAsia="宋体" w:cs="宋体"/>
          <w:color w:val="auto"/>
          <w:sz w:val="21"/>
        </w:rPr>
      </w:pPr>
    </w:p>
    <w:p w14:paraId="5108AE67">
      <w:pPr>
        <w:spacing w:line="242" w:lineRule="auto"/>
        <w:rPr>
          <w:rFonts w:hint="eastAsia" w:ascii="宋体" w:hAnsi="宋体" w:eastAsia="宋体" w:cs="宋体"/>
          <w:color w:val="auto"/>
          <w:sz w:val="21"/>
        </w:rPr>
      </w:pPr>
    </w:p>
    <w:p w14:paraId="61576A38">
      <w:pPr>
        <w:spacing w:line="242" w:lineRule="auto"/>
        <w:rPr>
          <w:rFonts w:hint="eastAsia" w:ascii="宋体" w:hAnsi="宋体" w:eastAsia="宋体" w:cs="宋体"/>
          <w:color w:val="auto"/>
          <w:sz w:val="21"/>
        </w:rPr>
      </w:pPr>
    </w:p>
    <w:p w14:paraId="2E4619AE">
      <w:pPr>
        <w:spacing w:line="242" w:lineRule="auto"/>
        <w:rPr>
          <w:rFonts w:hint="eastAsia" w:ascii="宋体" w:hAnsi="宋体" w:eastAsia="宋体" w:cs="宋体"/>
          <w:color w:val="auto"/>
          <w:sz w:val="21"/>
        </w:rPr>
      </w:pPr>
    </w:p>
    <w:p w14:paraId="3C6943F3">
      <w:pPr>
        <w:spacing w:line="242" w:lineRule="auto"/>
        <w:rPr>
          <w:rFonts w:hint="eastAsia" w:ascii="宋体" w:hAnsi="宋体" w:eastAsia="宋体" w:cs="宋体"/>
          <w:color w:val="auto"/>
          <w:sz w:val="21"/>
        </w:rPr>
      </w:pPr>
    </w:p>
    <w:p w14:paraId="7231565E">
      <w:pPr>
        <w:spacing w:line="242" w:lineRule="auto"/>
        <w:rPr>
          <w:rFonts w:hint="eastAsia" w:ascii="宋体" w:hAnsi="宋体" w:eastAsia="宋体" w:cs="宋体"/>
          <w:color w:val="auto"/>
          <w:sz w:val="21"/>
        </w:rPr>
      </w:pPr>
    </w:p>
    <w:p w14:paraId="2421B8DC">
      <w:pPr>
        <w:spacing w:line="242" w:lineRule="auto"/>
        <w:rPr>
          <w:rFonts w:hint="eastAsia" w:ascii="宋体" w:hAnsi="宋体" w:eastAsia="宋体" w:cs="宋体"/>
          <w:color w:val="auto"/>
          <w:sz w:val="21"/>
        </w:rPr>
      </w:pPr>
    </w:p>
    <w:p w14:paraId="14C3FD69">
      <w:pPr>
        <w:spacing w:line="242" w:lineRule="auto"/>
        <w:rPr>
          <w:rFonts w:hint="eastAsia" w:ascii="宋体" w:hAnsi="宋体" w:eastAsia="宋体" w:cs="宋体"/>
          <w:color w:val="auto"/>
          <w:sz w:val="21"/>
        </w:rPr>
      </w:pPr>
    </w:p>
    <w:p w14:paraId="641FF371">
      <w:pPr>
        <w:spacing w:line="242" w:lineRule="auto"/>
        <w:rPr>
          <w:rFonts w:hint="eastAsia" w:ascii="宋体" w:hAnsi="宋体" w:eastAsia="宋体" w:cs="宋体"/>
          <w:color w:val="auto"/>
          <w:sz w:val="21"/>
        </w:rPr>
      </w:pPr>
    </w:p>
    <w:p w14:paraId="6C1047CA">
      <w:pPr>
        <w:spacing w:line="242" w:lineRule="auto"/>
        <w:rPr>
          <w:rFonts w:hint="eastAsia" w:ascii="宋体" w:hAnsi="宋体" w:eastAsia="宋体" w:cs="宋体"/>
          <w:color w:val="auto"/>
          <w:sz w:val="21"/>
        </w:rPr>
      </w:pPr>
    </w:p>
    <w:p w14:paraId="35521C07">
      <w:pPr>
        <w:spacing w:line="242" w:lineRule="auto"/>
        <w:rPr>
          <w:rFonts w:hint="eastAsia" w:ascii="宋体" w:hAnsi="宋体" w:eastAsia="宋体" w:cs="宋体"/>
          <w:color w:val="auto"/>
          <w:sz w:val="21"/>
        </w:rPr>
      </w:pPr>
    </w:p>
    <w:p w14:paraId="48336E2B">
      <w:pPr>
        <w:spacing w:line="242" w:lineRule="auto"/>
        <w:rPr>
          <w:rFonts w:hint="eastAsia" w:ascii="宋体" w:hAnsi="宋体" w:eastAsia="宋体" w:cs="宋体"/>
          <w:color w:val="auto"/>
          <w:sz w:val="21"/>
        </w:rPr>
      </w:pPr>
    </w:p>
    <w:p w14:paraId="70E83437">
      <w:pPr>
        <w:spacing w:line="242" w:lineRule="auto"/>
        <w:rPr>
          <w:rFonts w:hint="eastAsia" w:ascii="宋体" w:hAnsi="宋体" w:eastAsia="宋体" w:cs="宋体"/>
          <w:color w:val="auto"/>
          <w:sz w:val="21"/>
        </w:rPr>
      </w:pPr>
    </w:p>
    <w:p w14:paraId="6FB7416F">
      <w:pPr>
        <w:spacing w:line="242" w:lineRule="auto"/>
        <w:rPr>
          <w:rFonts w:hint="eastAsia" w:ascii="宋体" w:hAnsi="宋体" w:eastAsia="宋体" w:cs="宋体"/>
          <w:color w:val="auto"/>
          <w:sz w:val="21"/>
        </w:rPr>
      </w:pPr>
    </w:p>
    <w:p w14:paraId="027CFC16">
      <w:pPr>
        <w:spacing w:line="242" w:lineRule="auto"/>
        <w:rPr>
          <w:rFonts w:hint="eastAsia" w:ascii="宋体" w:hAnsi="宋体" w:eastAsia="宋体" w:cs="宋体"/>
          <w:color w:val="auto"/>
          <w:sz w:val="21"/>
        </w:rPr>
      </w:pPr>
    </w:p>
    <w:p w14:paraId="13C1FE17">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8"/>
        <w:spacing w:before="70" w:line="224" w:lineRule="auto"/>
        <w:ind w:left="163"/>
        <w:jc w:val="center"/>
        <w:outlineLvl w:val="0"/>
        <w:rPr>
          <w:rFonts w:hint="eastAsia" w:ascii="宋体" w:hAnsi="宋体" w:eastAsia="宋体" w:cs="宋体"/>
          <w:color w:val="auto"/>
          <w:sz w:val="35"/>
          <w:szCs w:val="35"/>
          <w:lang w:eastAsia="zh-CN"/>
        </w:rPr>
      </w:pPr>
      <w:bookmarkStart w:id="587" w:name="_Toc7051"/>
      <w:bookmarkStart w:id="588" w:name="_Toc7413"/>
      <w:bookmarkStart w:id="589" w:name="_Toc22412"/>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587"/>
      <w:bookmarkEnd w:id="588"/>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589"/>
    </w:p>
    <w:p w14:paraId="434C249A">
      <w:pPr>
        <w:spacing w:line="286" w:lineRule="auto"/>
        <w:rPr>
          <w:rFonts w:hint="eastAsia" w:ascii="宋体" w:hAnsi="宋体" w:eastAsia="宋体" w:cs="宋体"/>
          <w:color w:val="auto"/>
          <w:sz w:val="21"/>
        </w:rPr>
      </w:pPr>
    </w:p>
    <w:p w14:paraId="446C5A93">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z w:val="28"/>
          <w:szCs w:val="28"/>
          <w:lang w:val="en-US" w:eastAsia="zh-CN"/>
        </w:rPr>
      </w:pPr>
      <w:bookmarkStart w:id="590" w:name="bookmark13"/>
      <w:bookmarkEnd w:id="590"/>
      <w:bookmarkStart w:id="591" w:name="bookmark6"/>
      <w:bookmarkEnd w:id="591"/>
      <w:r>
        <w:rPr>
          <w:rFonts w:hint="eastAsia" w:ascii="宋体" w:hAnsi="宋体" w:eastAsia="宋体" w:cs="宋体"/>
          <w:color w:val="auto"/>
          <w:sz w:val="28"/>
          <w:szCs w:val="28"/>
          <w:lang w:val="en-US" w:eastAsia="zh-CN"/>
        </w:rPr>
        <w:t>工程量清单</w:t>
      </w:r>
      <w:r>
        <w:rPr>
          <w:rFonts w:hint="eastAsia" w:ascii="宋体" w:hAnsi="宋体" w:eastAsia="宋体" w:cs="宋体"/>
          <w:color w:val="auto"/>
          <w:sz w:val="28"/>
          <w:szCs w:val="28"/>
          <w:lang w:val="en-US" w:eastAsia="zh-CN"/>
        </w:rPr>
        <w:drawing>
          <wp:inline distT="0" distB="0" distL="114300" distR="114300">
            <wp:extent cx="5901055" cy="7981315"/>
            <wp:effectExtent l="0" t="0" r="0" b="0"/>
            <wp:docPr id="15" name="图片 15" descr="吴堡县农业农村局千村光伏项目水土保持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吴堡县农业农村局千村光伏项目水土保持工程_03"/>
                    <pic:cNvPicPr>
                      <a:picLocks noChangeAspect="1"/>
                    </pic:cNvPicPr>
                  </pic:nvPicPr>
                  <pic:blipFill>
                    <a:blip r:embed="rId30"/>
                    <a:srcRect t="4440"/>
                    <a:stretch>
                      <a:fillRect/>
                    </a:stretch>
                  </pic:blipFill>
                  <pic:spPr>
                    <a:xfrm>
                      <a:off x="0" y="0"/>
                      <a:ext cx="5901055" cy="798131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7913370"/>
            <wp:effectExtent l="0" t="0" r="0" b="0"/>
            <wp:docPr id="14" name="图片 14" descr="吴堡县农业农村局千村光伏项目水土保持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吴堡县农业农村局千村光伏项目水土保持工程_04"/>
                    <pic:cNvPicPr>
                      <a:picLocks noChangeAspect="1"/>
                    </pic:cNvPicPr>
                  </pic:nvPicPr>
                  <pic:blipFill>
                    <a:blip r:embed="rId30"/>
                    <a:srcRect b="5254"/>
                    <a:stretch>
                      <a:fillRect/>
                    </a:stretch>
                  </pic:blipFill>
                  <pic:spPr>
                    <a:xfrm>
                      <a:off x="0" y="0"/>
                      <a:ext cx="5901055" cy="791337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2155"/>
            <wp:effectExtent l="0" t="0" r="4445" b="10795"/>
            <wp:docPr id="13" name="图片 13" descr="吴堡县农业农村局千村光伏项目水土保持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吴堡县农业农村局千村光伏项目水土保持工程_05"/>
                    <pic:cNvPicPr>
                      <a:picLocks noChangeAspect="1"/>
                    </pic:cNvPicPr>
                  </pic:nvPicPr>
                  <pic:blipFill>
                    <a:blip r:embed="rId31"/>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2155"/>
            <wp:effectExtent l="0" t="0" r="4445" b="10795"/>
            <wp:docPr id="12" name="图片 12" descr="吴堡县农业农村局千村光伏项目水土保持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吴堡县农业农村局千村光伏项目水土保持工程_06"/>
                    <pic:cNvPicPr>
                      <a:picLocks noChangeAspect="1"/>
                    </pic:cNvPicPr>
                  </pic:nvPicPr>
                  <pic:blipFill>
                    <a:blip r:embed="rId32"/>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2155"/>
            <wp:effectExtent l="0" t="0" r="4445" b="10795"/>
            <wp:docPr id="10" name="图片 10" descr="吴堡县农业农村局千村光伏项目水土保持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吴堡县农业农村局千村光伏项目水土保持工程_07"/>
                    <pic:cNvPicPr>
                      <a:picLocks noChangeAspect="1"/>
                    </pic:cNvPicPr>
                  </pic:nvPicPr>
                  <pic:blipFill>
                    <a:blip r:embed="rId33"/>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2155"/>
            <wp:effectExtent l="0" t="0" r="4445" b="10795"/>
            <wp:docPr id="9" name="图片 9" descr="吴堡县农业农村局千村光伏项目水土保持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吴堡县农业农村局千村光伏项目水土保持工程_08"/>
                    <pic:cNvPicPr>
                      <a:picLocks noChangeAspect="1"/>
                    </pic:cNvPicPr>
                  </pic:nvPicPr>
                  <pic:blipFill>
                    <a:blip r:embed="rId34"/>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2155"/>
            <wp:effectExtent l="0" t="0" r="4445" b="10795"/>
            <wp:docPr id="6" name="图片 6" descr="吴堡县农业农村局千村光伏项目水土保持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吴堡县农业农村局千村光伏项目水土保持工程_09"/>
                    <pic:cNvPicPr>
                      <a:picLocks noChangeAspect="1"/>
                    </pic:cNvPicPr>
                  </pic:nvPicPr>
                  <pic:blipFill>
                    <a:blip r:embed="rId35"/>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2155"/>
            <wp:effectExtent l="0" t="0" r="4445" b="10795"/>
            <wp:docPr id="4" name="图片 4" descr="吴堡县农业农村局千村光伏项目水土保持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吴堡县农业农村局千村光伏项目水土保持工程_10"/>
                    <pic:cNvPicPr>
                      <a:picLocks noChangeAspect="1"/>
                    </pic:cNvPicPr>
                  </pic:nvPicPr>
                  <pic:blipFill>
                    <a:blip r:embed="rId36"/>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1055" cy="8352155"/>
            <wp:effectExtent l="0" t="0" r="4445" b="10795"/>
            <wp:docPr id="3" name="图片 3" descr="吴堡县农业农村局千村光伏项目水土保持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吴堡县农业农村局千村光伏项目水土保持工程_11"/>
                    <pic:cNvPicPr>
                      <a:picLocks noChangeAspect="1"/>
                    </pic:cNvPicPr>
                  </pic:nvPicPr>
                  <pic:blipFill>
                    <a:blip r:embed="rId37"/>
                    <a:stretch>
                      <a:fillRect/>
                    </a:stretch>
                  </pic:blipFill>
                  <pic:spPr>
                    <a:xfrm>
                      <a:off x="0" y="0"/>
                      <a:ext cx="5901055" cy="8352155"/>
                    </a:xfrm>
                    <a:prstGeom prst="rect">
                      <a:avLst/>
                    </a:prstGeom>
                  </pic:spPr>
                </pic:pic>
              </a:graphicData>
            </a:graphic>
          </wp:inline>
        </w:drawing>
      </w:r>
    </w:p>
    <w:p w14:paraId="30E0FF1A">
      <w:pPr>
        <w:pStyle w:val="22"/>
        <w:ind w:left="0" w:leftChars="0" w:firstLine="0" w:firstLineChars="0"/>
        <w:rPr>
          <w:rFonts w:hint="eastAsia" w:ascii="宋体" w:hAnsi="宋体" w:eastAsia="宋体" w:cs="宋体"/>
          <w:color w:val="auto"/>
          <w:sz w:val="28"/>
          <w:szCs w:val="28"/>
          <w:lang w:eastAsia="zh-CN"/>
        </w:rPr>
      </w:pPr>
    </w:p>
    <w:p w14:paraId="67655D0D">
      <w:pPr>
        <w:pStyle w:val="8"/>
        <w:spacing w:before="71" w:line="224" w:lineRule="auto"/>
        <w:ind w:left="1862"/>
        <w:outlineLvl w:val="0"/>
        <w:rPr>
          <w:rFonts w:hint="eastAsia" w:ascii="宋体" w:hAnsi="宋体" w:eastAsia="宋体" w:cs="宋体"/>
          <w:color w:val="auto"/>
          <w:sz w:val="35"/>
          <w:szCs w:val="35"/>
        </w:rPr>
      </w:pPr>
      <w:bookmarkStart w:id="592" w:name="_Toc31603"/>
      <w:bookmarkStart w:id="593" w:name="_Toc11095"/>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592"/>
      <w:bookmarkEnd w:id="593"/>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吴堡县农业农村局千村光伏项目水土保持工程</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594" w:name="bookmark8"/>
      <w:bookmarkEnd w:id="594"/>
      <w:bookmarkStart w:id="595" w:name="bookmark15"/>
      <w:bookmarkEnd w:id="595"/>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12"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3"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4"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5"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596" w:name="_Toc24324"/>
      <w:bookmarkStart w:id="597" w:name="_Toc28281"/>
      <w:bookmarkStart w:id="598" w:name="_Toc5982"/>
      <w:bookmarkStart w:id="599" w:name="_Toc14516"/>
      <w:bookmarkStart w:id="600" w:name="_Toc5789"/>
      <w:bookmarkStart w:id="601" w:name="_Toc32424"/>
      <w:bookmarkStart w:id="602" w:name="_Toc18571"/>
      <w:bookmarkStart w:id="603" w:name="_Toc16358"/>
      <w:bookmarkStart w:id="604" w:name="_Toc9321"/>
      <w:bookmarkStart w:id="605" w:name="_Toc528596085"/>
      <w:bookmarkStart w:id="606" w:name="_Toc16287"/>
      <w:bookmarkStart w:id="607" w:name="_Toc18338"/>
      <w:r>
        <w:rPr>
          <w:rFonts w:hint="eastAsia" w:ascii="宋体" w:hAnsi="宋体" w:eastAsia="宋体" w:cs="宋体"/>
          <w:b/>
          <w:color w:val="auto"/>
          <w:sz w:val="32"/>
          <w:szCs w:val="22"/>
          <w:lang w:val="zh-CN" w:eastAsia="zh-CN"/>
        </w:rPr>
        <w:t>符合《中华人民共和国政府采购法》第二十二条规定</w:t>
      </w:r>
      <w:bookmarkEnd w:id="596"/>
      <w:bookmarkEnd w:id="597"/>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598"/>
      <w:bookmarkEnd w:id="599"/>
      <w:bookmarkEnd w:id="600"/>
      <w:bookmarkEnd w:id="601"/>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602"/>
      <w:bookmarkEnd w:id="603"/>
      <w:bookmarkEnd w:id="604"/>
      <w:bookmarkEnd w:id="605"/>
      <w:bookmarkEnd w:id="606"/>
      <w:bookmarkEnd w:id="607"/>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608" w:name="_top"/>
      <w:bookmarkEnd w:id="608"/>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吴堡县农业农村局、榆林市正源恒项目管理有限公司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3"/>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3"/>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609"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609"/>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610" w:name="_Toc12117"/>
      <w:r>
        <w:rPr>
          <w:rFonts w:hint="eastAsia" w:ascii="宋体" w:hAnsi="宋体" w:eastAsia="宋体" w:cs="宋体"/>
          <w:color w:val="auto"/>
          <w:sz w:val="24"/>
          <w:szCs w:val="24"/>
        </w:rPr>
        <w:t>1.2股权关系说明：</w:t>
      </w:r>
      <w:bookmarkEnd w:id="610"/>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611" w:name="_Toc18126"/>
      <w:r>
        <w:rPr>
          <w:rFonts w:hint="eastAsia" w:ascii="宋体" w:hAnsi="宋体" w:eastAsia="宋体" w:cs="宋体"/>
          <w:color w:val="auto"/>
          <w:sz w:val="24"/>
          <w:szCs w:val="24"/>
        </w:rPr>
        <w:t>1.3单位负责人：</w:t>
      </w:r>
      <w:bookmarkEnd w:id="611"/>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8"/>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8"/>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8"/>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8"/>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8"/>
        <w:spacing w:before="294" w:line="225" w:lineRule="auto"/>
        <w:ind w:left="2620" w:firstLine="1113" w:firstLineChars="300"/>
        <w:outlineLvl w:val="1"/>
        <w:rPr>
          <w:rFonts w:hint="eastAsia" w:ascii="宋体" w:hAnsi="宋体" w:eastAsia="宋体" w:cs="宋体"/>
          <w:color w:val="auto"/>
          <w:sz w:val="35"/>
          <w:szCs w:val="35"/>
        </w:rPr>
      </w:pPr>
      <w:r>
        <w:rPr>
          <w:rFonts w:hint="eastAsia" w:cs="宋体"/>
          <w:color w:val="auto"/>
          <w:spacing w:val="9"/>
          <w:sz w:val="35"/>
          <w:szCs w:val="35"/>
          <w:lang w:val="en-US" w:eastAsia="zh-CN"/>
          <w14:textOutline w14:w="6537" w14:cap="sq" w14:cmpd="sng">
            <w14:solidFill>
              <w14:srgbClr w14:val="000000"/>
            </w14:solidFill>
            <w14:prstDash w14:val="solid"/>
            <w14:bevel/>
          </w14:textOutline>
        </w:rPr>
        <w:t>小微</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4"/>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16" w:type="default"/>
          <w:footerReference r:id="rId17"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19"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0"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1"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2"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吴堡县农业农村局</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吴堡县农业农村局千村光伏项目水土保持工程</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3"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8"/>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8"/>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38"/>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39"/>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40"/>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41"/>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2"/>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3"/>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4"/>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5"/>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6"/>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47"/>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48"/>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49"/>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50"/>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47"/>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51"/>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 w14:paraId="37BFDE76">
      <w:pPr>
        <w:rPr>
          <w:rFonts w:hint="eastAsia" w:ascii="宋体" w:hAnsi="宋体" w:eastAsia="宋体" w:cs="宋体"/>
          <w:color w:val="auto"/>
          <w:sz w:val="21"/>
          <w:szCs w:val="21"/>
          <w:lang w:eastAsia="zh-CN"/>
        </w:rPr>
      </w:pPr>
    </w:p>
    <w:sectPr>
      <w:footerReference r:id="rId24"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63BBC">
    <w:pPr>
      <w:pStyle w:val="12"/>
      <w:rPr>
        <w:rFonts w:eastAsia="仿宋_GB2312"/>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80E3F">
                          <w:pPr>
                            <w:pStyle w:val="1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1C80E3F">
                    <w:pPr>
                      <w:pStyle w:val="1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B8667">
    <w:pPr>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F6C6610"/>
    <w:rsid w:val="140125B1"/>
    <w:rsid w:val="17EE467F"/>
    <w:rsid w:val="19AB5200"/>
    <w:rsid w:val="1B3063A9"/>
    <w:rsid w:val="1FA4694F"/>
    <w:rsid w:val="207428B1"/>
    <w:rsid w:val="214537B9"/>
    <w:rsid w:val="238017B1"/>
    <w:rsid w:val="25283E74"/>
    <w:rsid w:val="284B68D8"/>
    <w:rsid w:val="28507196"/>
    <w:rsid w:val="29340C59"/>
    <w:rsid w:val="2C123D8E"/>
    <w:rsid w:val="2D0C78F7"/>
    <w:rsid w:val="2E312AA7"/>
    <w:rsid w:val="2F326AD7"/>
    <w:rsid w:val="31FD5849"/>
    <w:rsid w:val="337D1A36"/>
    <w:rsid w:val="34C70289"/>
    <w:rsid w:val="39F72DF7"/>
    <w:rsid w:val="3A3E52EA"/>
    <w:rsid w:val="3AE75D20"/>
    <w:rsid w:val="3B117EE8"/>
    <w:rsid w:val="3BDD20EC"/>
    <w:rsid w:val="3C165A9B"/>
    <w:rsid w:val="3D033860"/>
    <w:rsid w:val="3F3F6222"/>
    <w:rsid w:val="44FE14DD"/>
    <w:rsid w:val="46D00C57"/>
    <w:rsid w:val="47BE4F54"/>
    <w:rsid w:val="48A3196F"/>
    <w:rsid w:val="494C7490"/>
    <w:rsid w:val="4DB8387F"/>
    <w:rsid w:val="50B909AE"/>
    <w:rsid w:val="52D44123"/>
    <w:rsid w:val="53344680"/>
    <w:rsid w:val="540A5EA3"/>
    <w:rsid w:val="554B4D08"/>
    <w:rsid w:val="55F61D5C"/>
    <w:rsid w:val="56733BF9"/>
    <w:rsid w:val="56B440F1"/>
    <w:rsid w:val="57966F2A"/>
    <w:rsid w:val="5A931FCF"/>
    <w:rsid w:val="5AC42429"/>
    <w:rsid w:val="5B7D1E8A"/>
    <w:rsid w:val="5C361105"/>
    <w:rsid w:val="63EC01F2"/>
    <w:rsid w:val="643A375C"/>
    <w:rsid w:val="64947310"/>
    <w:rsid w:val="653247FB"/>
    <w:rsid w:val="699F1009"/>
    <w:rsid w:val="6A42336B"/>
    <w:rsid w:val="6A6908F7"/>
    <w:rsid w:val="6B9D6805"/>
    <w:rsid w:val="71B20DD6"/>
    <w:rsid w:val="72467B16"/>
    <w:rsid w:val="75FD0CCE"/>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footer" Target="footer1.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115</Pages>
  <Words>22987</Words>
  <Characters>25559</Characters>
  <TotalTime>44</TotalTime>
  <ScaleCrop>false</ScaleCrop>
  <LinksUpToDate>false</LinksUpToDate>
  <CharactersWithSpaces>26113</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2025-09-27T09:41:00Z</cp:lastPrinted>
  <dcterms:modified xsi:type="dcterms:W3CDTF">2025-10-09T09:13:39Z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2052-12.1.0.22529</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