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8953DC">
      <w:pPr>
        <w:autoSpaceDE w:val="0"/>
        <w:autoSpaceDN w:val="0"/>
        <w:adjustRightInd w:val="0"/>
        <w:spacing w:line="560" w:lineRule="exact"/>
        <w:jc w:val="center"/>
        <w:textAlignment w:val="baseline"/>
        <w:rPr>
          <w:rFonts w:ascii="宋体" w:hAnsi="宋体" w:eastAsia="宋体" w:cs="微软雅黑"/>
          <w:b/>
          <w:bCs/>
          <w:color w:val="000000"/>
          <w:kern w:val="0"/>
          <w:sz w:val="72"/>
          <w:szCs w:val="72"/>
          <w:highlight w:val="none"/>
          <w:u w:color="000000"/>
        </w:rPr>
      </w:pPr>
    </w:p>
    <w:p w14:paraId="305AEF37">
      <w:pPr>
        <w:autoSpaceDE w:val="0"/>
        <w:autoSpaceDN w:val="0"/>
        <w:adjustRightInd w:val="0"/>
        <w:spacing w:line="560" w:lineRule="exact"/>
        <w:jc w:val="center"/>
        <w:textAlignment w:val="baseline"/>
        <w:rPr>
          <w:rFonts w:ascii="宋体" w:hAnsi="宋体" w:eastAsia="宋体" w:cs="微软雅黑"/>
          <w:b/>
          <w:bCs/>
          <w:color w:val="000000"/>
          <w:kern w:val="0"/>
          <w:sz w:val="72"/>
          <w:szCs w:val="72"/>
          <w:highlight w:val="none"/>
          <w:u w:color="000000"/>
        </w:rPr>
      </w:pPr>
    </w:p>
    <w:p w14:paraId="13E6A593">
      <w:pPr>
        <w:autoSpaceDE w:val="0"/>
        <w:autoSpaceDN w:val="0"/>
        <w:adjustRightInd w:val="0"/>
        <w:spacing w:line="560" w:lineRule="exact"/>
        <w:jc w:val="center"/>
        <w:textAlignment w:val="baseline"/>
        <w:rPr>
          <w:rFonts w:ascii="宋体" w:hAnsi="宋体" w:eastAsia="宋体" w:cs="微软雅黑"/>
          <w:b/>
          <w:bCs/>
          <w:color w:val="000000"/>
          <w:kern w:val="0"/>
          <w:sz w:val="72"/>
          <w:szCs w:val="72"/>
          <w:highlight w:val="none"/>
          <w:u w:color="000000"/>
        </w:rPr>
      </w:pPr>
    </w:p>
    <w:p w14:paraId="32977B2C">
      <w:pPr>
        <w:autoSpaceDE w:val="0"/>
        <w:autoSpaceDN w:val="0"/>
        <w:adjustRightInd w:val="0"/>
        <w:spacing w:line="240" w:lineRule="auto"/>
        <w:jc w:val="center"/>
        <w:textAlignment w:val="baseline"/>
        <w:rPr>
          <w:rFonts w:hint="eastAsia" w:ascii="微软雅黑" w:hAnsi="微软雅黑" w:eastAsia="微软雅黑" w:cs="微软雅黑"/>
          <w:b w:val="0"/>
          <w:bCs w:val="0"/>
          <w:color w:val="000000"/>
          <w:kern w:val="0"/>
          <w:sz w:val="56"/>
          <w:szCs w:val="56"/>
          <w:highlight w:val="none"/>
          <w:u w:color="000000"/>
          <w:lang w:eastAsia="zh-CN"/>
        </w:rPr>
      </w:pPr>
      <w:r>
        <w:rPr>
          <w:rFonts w:hint="eastAsia" w:ascii="微软雅黑" w:hAnsi="微软雅黑" w:eastAsia="微软雅黑" w:cs="微软雅黑"/>
          <w:b w:val="0"/>
          <w:bCs w:val="0"/>
          <w:color w:val="000000"/>
          <w:kern w:val="0"/>
          <w:sz w:val="56"/>
          <w:szCs w:val="56"/>
          <w:highlight w:val="none"/>
          <w:u w:color="000000"/>
          <w:lang w:eastAsia="zh-CN"/>
        </w:rPr>
        <w:t>2025年度政府采购及相关系统</w:t>
      </w:r>
    </w:p>
    <w:p w14:paraId="7CE010F3">
      <w:pPr>
        <w:autoSpaceDE w:val="0"/>
        <w:autoSpaceDN w:val="0"/>
        <w:adjustRightInd w:val="0"/>
        <w:spacing w:line="240" w:lineRule="auto"/>
        <w:jc w:val="center"/>
        <w:textAlignment w:val="baseline"/>
        <w:rPr>
          <w:rFonts w:hint="eastAsia" w:ascii="微软雅黑" w:hAnsi="微软雅黑" w:eastAsia="微软雅黑" w:cs="微软雅黑"/>
          <w:b w:val="0"/>
          <w:bCs w:val="0"/>
          <w:color w:val="000000"/>
          <w:kern w:val="0"/>
          <w:sz w:val="72"/>
          <w:szCs w:val="72"/>
          <w:highlight w:val="none"/>
          <w:u w:color="000000"/>
          <w:lang w:val="zh-CN" w:eastAsia="zh-CN"/>
        </w:rPr>
      </w:pPr>
      <w:r>
        <w:rPr>
          <w:rFonts w:hint="eastAsia" w:ascii="微软雅黑" w:hAnsi="微软雅黑" w:eastAsia="微软雅黑" w:cs="微软雅黑"/>
          <w:b w:val="0"/>
          <w:bCs w:val="0"/>
          <w:color w:val="000000"/>
          <w:kern w:val="0"/>
          <w:sz w:val="56"/>
          <w:szCs w:val="56"/>
          <w:highlight w:val="none"/>
          <w:u w:color="000000"/>
          <w:lang w:eastAsia="zh-CN"/>
        </w:rPr>
        <w:t>运维服务项目</w:t>
      </w:r>
    </w:p>
    <w:p w14:paraId="08C1135F">
      <w:pPr>
        <w:autoSpaceDE w:val="0"/>
        <w:autoSpaceDN w:val="0"/>
        <w:adjustRightInd w:val="0"/>
        <w:spacing w:line="560" w:lineRule="exact"/>
        <w:jc w:val="center"/>
        <w:textAlignment w:val="baseline"/>
        <w:rPr>
          <w:rFonts w:ascii="宋体" w:hAnsi="宋体" w:eastAsia="宋体" w:cs="微软雅黑"/>
          <w:b/>
          <w:bCs/>
          <w:color w:val="000000"/>
          <w:kern w:val="0"/>
          <w:sz w:val="72"/>
          <w:szCs w:val="72"/>
          <w:highlight w:val="none"/>
          <w:u w:color="000000"/>
        </w:rPr>
      </w:pPr>
    </w:p>
    <w:p w14:paraId="2CF55DFE">
      <w:pPr>
        <w:autoSpaceDE w:val="0"/>
        <w:autoSpaceDN w:val="0"/>
        <w:adjustRightInd w:val="0"/>
        <w:spacing w:line="560" w:lineRule="exact"/>
        <w:jc w:val="center"/>
        <w:textAlignment w:val="baseline"/>
        <w:rPr>
          <w:rFonts w:ascii="宋体" w:hAnsi="宋体" w:eastAsia="宋体" w:cs="微软雅黑"/>
          <w:b/>
          <w:bCs/>
          <w:color w:val="000000"/>
          <w:kern w:val="0"/>
          <w:sz w:val="72"/>
          <w:szCs w:val="72"/>
          <w:highlight w:val="none"/>
          <w:u w:color="000000"/>
        </w:rPr>
      </w:pPr>
    </w:p>
    <w:p w14:paraId="607CB013">
      <w:pPr>
        <w:autoSpaceDE w:val="0"/>
        <w:autoSpaceDN w:val="0"/>
        <w:adjustRightInd w:val="0"/>
        <w:spacing w:line="560" w:lineRule="exact"/>
        <w:jc w:val="center"/>
        <w:textAlignment w:val="baseline"/>
        <w:rPr>
          <w:rFonts w:ascii="宋体" w:hAnsi="宋体" w:eastAsia="宋体" w:cs="微软雅黑"/>
          <w:b/>
          <w:bCs/>
          <w:color w:val="000000"/>
          <w:kern w:val="0"/>
          <w:sz w:val="72"/>
          <w:szCs w:val="72"/>
          <w:highlight w:val="none"/>
          <w:u w:color="000000"/>
        </w:rPr>
      </w:pPr>
    </w:p>
    <w:p w14:paraId="257F6065">
      <w:pPr>
        <w:tabs>
          <w:tab w:val="left" w:pos="0"/>
        </w:tabs>
        <w:spacing w:line="240" w:lineRule="auto"/>
        <w:jc w:val="center"/>
        <w:textAlignment w:val="baseline"/>
        <w:rPr>
          <w:rFonts w:ascii="微软雅黑" w:hAnsi="微软雅黑" w:eastAsia="微软雅黑" w:cs="微软雅黑"/>
          <w:bCs/>
          <w:snapToGrid w:val="0"/>
          <w:color w:val="000000"/>
          <w:kern w:val="0"/>
          <w:sz w:val="96"/>
          <w:szCs w:val="96"/>
          <w:highlight w:val="none"/>
          <w:u w:color="000000"/>
        </w:rPr>
      </w:pPr>
      <w:r>
        <w:rPr>
          <w:rFonts w:hint="eastAsia" w:ascii="微软雅黑" w:hAnsi="微软雅黑" w:eastAsia="微软雅黑" w:cs="微软雅黑"/>
          <w:bCs/>
          <w:snapToGrid w:val="0"/>
          <w:color w:val="000000"/>
          <w:kern w:val="0"/>
          <w:sz w:val="96"/>
          <w:szCs w:val="96"/>
          <w:highlight w:val="none"/>
          <w:u w:color="000000"/>
        </w:rPr>
        <w:t>单一来源采购</w:t>
      </w:r>
    </w:p>
    <w:p w14:paraId="0FBBB12A">
      <w:pPr>
        <w:tabs>
          <w:tab w:val="left" w:pos="3570"/>
        </w:tabs>
        <w:autoSpaceDE w:val="0"/>
        <w:autoSpaceDN w:val="0"/>
        <w:adjustRightInd w:val="0"/>
        <w:spacing w:line="560" w:lineRule="exact"/>
        <w:jc w:val="center"/>
        <w:textAlignment w:val="baseline"/>
        <w:rPr>
          <w:rFonts w:hint="eastAsia" w:ascii="宋体" w:hAnsi="宋体" w:eastAsia="宋体" w:cs="Times New Roman"/>
          <w:b/>
          <w:color w:val="000000"/>
          <w:kern w:val="0"/>
          <w:sz w:val="32"/>
          <w:szCs w:val="32"/>
          <w:highlight w:val="none"/>
          <w:u w:color="000000"/>
          <w:lang w:eastAsia="zh-CN"/>
        </w:rPr>
      </w:pPr>
      <w:r>
        <w:rPr>
          <w:rFonts w:hint="eastAsia" w:ascii="宋体" w:hAnsi="宋体" w:eastAsia="宋体" w:cs="Times New Roman"/>
          <w:b/>
          <w:bCs/>
          <w:snapToGrid w:val="0"/>
          <w:color w:val="000000"/>
          <w:kern w:val="0"/>
          <w:sz w:val="32"/>
          <w:szCs w:val="32"/>
          <w:highlight w:val="none"/>
          <w:u w:color="000000"/>
        </w:rPr>
        <w:t>采购编号：</w:t>
      </w:r>
      <w:r>
        <w:rPr>
          <w:rFonts w:hint="eastAsia" w:ascii="宋体" w:hAnsi="宋体" w:eastAsia="宋体" w:cs="Times New Roman"/>
          <w:b/>
          <w:bCs/>
          <w:snapToGrid w:val="0"/>
          <w:color w:val="000000"/>
          <w:kern w:val="0"/>
          <w:sz w:val="32"/>
          <w:szCs w:val="32"/>
          <w:highlight w:val="none"/>
          <w:u w:color="000000"/>
          <w:lang w:eastAsia="zh-CN"/>
        </w:rPr>
        <w:t>ZFFZ-2025-135</w:t>
      </w:r>
    </w:p>
    <w:p w14:paraId="13B7867B">
      <w:pPr>
        <w:spacing w:line="560" w:lineRule="exact"/>
        <w:jc w:val="center"/>
        <w:textAlignment w:val="baseline"/>
        <w:rPr>
          <w:rFonts w:ascii="宋体" w:hAnsi="宋体" w:eastAsia="宋体" w:cs="宋体"/>
          <w:color w:val="000000"/>
          <w:kern w:val="0"/>
          <w:sz w:val="20"/>
          <w:szCs w:val="20"/>
          <w:highlight w:val="none"/>
          <w:u w:color="000000"/>
        </w:rPr>
      </w:pPr>
    </w:p>
    <w:p w14:paraId="218A134F">
      <w:pPr>
        <w:spacing w:line="560" w:lineRule="exact"/>
        <w:jc w:val="center"/>
        <w:textAlignment w:val="baseline"/>
        <w:rPr>
          <w:rFonts w:ascii="宋体" w:hAnsi="宋体" w:eastAsia="宋体" w:cs="Times New Roman"/>
          <w:b/>
          <w:bCs/>
          <w:snapToGrid w:val="0"/>
          <w:color w:val="000000"/>
          <w:kern w:val="0"/>
          <w:sz w:val="32"/>
          <w:szCs w:val="32"/>
          <w:highlight w:val="none"/>
          <w:u w:color="000000"/>
        </w:rPr>
      </w:pPr>
    </w:p>
    <w:p w14:paraId="50E12A9C">
      <w:pPr>
        <w:spacing w:line="560" w:lineRule="exact"/>
        <w:jc w:val="center"/>
        <w:textAlignment w:val="baseline"/>
        <w:rPr>
          <w:rFonts w:ascii="宋体" w:hAnsi="宋体" w:eastAsia="宋体" w:cs="Times New Roman"/>
          <w:b/>
          <w:bCs/>
          <w:snapToGrid w:val="0"/>
          <w:color w:val="000000"/>
          <w:kern w:val="0"/>
          <w:sz w:val="32"/>
          <w:szCs w:val="32"/>
          <w:highlight w:val="none"/>
          <w:u w:color="000000"/>
        </w:rPr>
      </w:pPr>
    </w:p>
    <w:p w14:paraId="40AADEDB">
      <w:pPr>
        <w:spacing w:line="560" w:lineRule="exact"/>
        <w:jc w:val="center"/>
        <w:textAlignment w:val="baseline"/>
        <w:rPr>
          <w:rFonts w:ascii="宋体" w:hAnsi="宋体" w:eastAsia="宋体" w:cs="Times New Roman"/>
          <w:snapToGrid w:val="0"/>
          <w:color w:val="000000"/>
          <w:kern w:val="0"/>
          <w:sz w:val="44"/>
          <w:szCs w:val="44"/>
          <w:highlight w:val="none"/>
          <w:u w:color="000000"/>
        </w:rPr>
      </w:pPr>
    </w:p>
    <w:p w14:paraId="594D2515">
      <w:pPr>
        <w:spacing w:line="560" w:lineRule="exact"/>
        <w:jc w:val="center"/>
        <w:textAlignment w:val="baseline"/>
        <w:rPr>
          <w:rFonts w:ascii="宋体" w:hAnsi="宋体" w:eastAsia="宋体" w:cs="Times New Roman"/>
          <w:b/>
          <w:bCs/>
          <w:color w:val="000000"/>
          <w:kern w:val="0"/>
          <w:sz w:val="32"/>
          <w:szCs w:val="32"/>
          <w:highlight w:val="none"/>
          <w:u w:color="000000"/>
        </w:rPr>
      </w:pPr>
    </w:p>
    <w:p w14:paraId="16F6EDE9">
      <w:pPr>
        <w:spacing w:line="360" w:lineRule="auto"/>
        <w:ind w:firstLine="1292" w:firstLineChars="400"/>
        <w:textAlignment w:val="baseline"/>
        <w:rPr>
          <w:rFonts w:ascii="仿宋_GB2312" w:hAnsi="楷体_GB2312" w:eastAsia="仿宋_GB2312" w:cs="楷体_GB2312"/>
          <w:b/>
          <w:bCs/>
          <w:color w:val="000000"/>
          <w:kern w:val="0"/>
          <w:sz w:val="32"/>
          <w:szCs w:val="32"/>
          <w:highlight w:val="none"/>
        </w:rPr>
      </w:pPr>
      <w:r>
        <w:rPr>
          <w:rFonts w:hint="eastAsia" w:ascii="仿宋_GB2312" w:hAnsi="楷体_GB2312" w:eastAsia="仿宋_GB2312" w:cs="楷体_GB2312"/>
          <w:b/>
          <w:bCs/>
          <w:color w:val="000000"/>
          <w:kern w:val="0"/>
          <w:sz w:val="32"/>
          <w:szCs w:val="32"/>
          <w:highlight w:val="none"/>
        </w:rPr>
        <w:t>采   购   人：</w:t>
      </w:r>
      <w:r>
        <w:rPr>
          <w:rFonts w:hint="eastAsia" w:ascii="仿宋_GB2312" w:hAnsi="楷体_GB2312" w:eastAsia="仿宋_GB2312" w:cs="楷体_GB2312"/>
          <w:b/>
          <w:bCs/>
          <w:color w:val="000000"/>
          <w:kern w:val="0"/>
          <w:sz w:val="32"/>
          <w:szCs w:val="32"/>
          <w:highlight w:val="none"/>
          <w:lang w:eastAsia="zh-CN"/>
        </w:rPr>
        <w:t>陕西省公共资源交易中心</w:t>
      </w:r>
    </w:p>
    <w:p w14:paraId="4CD19AF3">
      <w:pPr>
        <w:spacing w:line="360" w:lineRule="auto"/>
        <w:ind w:firstLine="1292" w:firstLineChars="400"/>
        <w:textAlignment w:val="baseline"/>
        <w:rPr>
          <w:rFonts w:ascii="仿宋_GB2312" w:hAnsi="楷体_GB2312" w:eastAsia="仿宋_GB2312" w:cs="楷体_GB2312"/>
          <w:b/>
          <w:bCs/>
          <w:color w:val="000000"/>
          <w:kern w:val="0"/>
          <w:sz w:val="32"/>
          <w:szCs w:val="32"/>
          <w:highlight w:val="none"/>
        </w:rPr>
      </w:pPr>
      <w:r>
        <w:rPr>
          <w:rFonts w:hint="eastAsia" w:ascii="仿宋_GB2312" w:hAnsi="楷体_GB2312" w:eastAsia="仿宋_GB2312" w:cs="楷体_GB2312"/>
          <w:b/>
          <w:bCs/>
          <w:color w:val="000000"/>
          <w:kern w:val="0"/>
          <w:sz w:val="32"/>
          <w:szCs w:val="32"/>
          <w:highlight w:val="none"/>
        </w:rPr>
        <w:t>采购代理机构：陕西中发项目管理发展有限公司</w:t>
      </w:r>
    </w:p>
    <w:p w14:paraId="4451FC23">
      <w:pPr>
        <w:autoSpaceDE w:val="0"/>
        <w:autoSpaceDN w:val="0"/>
        <w:adjustRightInd w:val="0"/>
        <w:spacing w:line="560" w:lineRule="exact"/>
        <w:jc w:val="center"/>
        <w:textAlignment w:val="baseline"/>
        <w:rPr>
          <w:rFonts w:ascii="宋体" w:hAnsi="宋体" w:eastAsia="宋体" w:cs="微软雅黑"/>
          <w:b/>
          <w:bCs/>
          <w:color w:val="000000"/>
          <w:kern w:val="0"/>
          <w:sz w:val="36"/>
          <w:szCs w:val="36"/>
          <w:highlight w:val="none"/>
          <w:u w:color="000000"/>
          <w:lang w:val="zh-CN"/>
        </w:rPr>
      </w:pPr>
    </w:p>
    <w:p w14:paraId="048AE5EC">
      <w:pPr>
        <w:spacing w:line="240" w:lineRule="auto"/>
        <w:jc w:val="center"/>
        <w:rPr>
          <w:rFonts w:hint="eastAsia" w:eastAsia="仿宋"/>
          <w:sz w:val="36"/>
          <w:szCs w:val="36"/>
          <w:highlight w:val="none"/>
          <w:lang w:eastAsia="zh-CN"/>
        </w:rPr>
      </w:pPr>
      <w:r>
        <w:rPr>
          <w:rFonts w:hint="eastAsia" w:ascii="仿宋_GB2312" w:hAnsi="楷体_GB2312" w:eastAsia="仿宋_GB2312" w:cs="楷体_GB2312"/>
          <w:b/>
          <w:bCs/>
          <w:color w:val="000000"/>
          <w:kern w:val="0"/>
          <w:sz w:val="32"/>
          <w:szCs w:val="32"/>
          <w:highlight w:val="none"/>
          <w:u w:color="000000"/>
          <w:lang w:eastAsia="zh-CN"/>
        </w:rPr>
        <w:t>2025年</w:t>
      </w:r>
      <w:r>
        <w:rPr>
          <w:rFonts w:hint="eastAsia" w:ascii="仿宋_GB2312" w:hAnsi="楷体_GB2312" w:eastAsia="仿宋_GB2312" w:cs="楷体_GB2312"/>
          <w:b/>
          <w:bCs/>
          <w:color w:val="000000"/>
          <w:kern w:val="0"/>
          <w:sz w:val="32"/>
          <w:szCs w:val="32"/>
          <w:highlight w:val="none"/>
          <w:u w:color="000000"/>
          <w:lang w:val="en-US" w:eastAsia="zh-CN"/>
        </w:rPr>
        <w:t>10</w:t>
      </w:r>
      <w:r>
        <w:rPr>
          <w:rFonts w:hint="eastAsia" w:ascii="仿宋_GB2312" w:hAnsi="楷体_GB2312" w:eastAsia="仿宋_GB2312" w:cs="楷体_GB2312"/>
          <w:b/>
          <w:bCs/>
          <w:color w:val="000000"/>
          <w:kern w:val="0"/>
          <w:sz w:val="32"/>
          <w:szCs w:val="32"/>
          <w:highlight w:val="none"/>
          <w:u w:color="000000"/>
          <w:lang w:eastAsia="zh-CN"/>
        </w:rPr>
        <w:t>月</w:t>
      </w:r>
    </w:p>
    <w:p w14:paraId="31245AA6">
      <w:pPr>
        <w:rPr>
          <w:rFonts w:eastAsia="仿宋"/>
          <w:sz w:val="36"/>
          <w:szCs w:val="36"/>
          <w:highlight w:val="none"/>
        </w:rPr>
      </w:pPr>
      <w:r>
        <w:rPr>
          <w:rFonts w:eastAsia="仿宋"/>
          <w:sz w:val="36"/>
          <w:szCs w:val="36"/>
          <w:highlight w:val="none"/>
        </w:rPr>
        <w:br w:type="page"/>
      </w:r>
    </w:p>
    <w:p w14:paraId="4FF43425">
      <w:bookmarkStart w:id="0" w:name="_Toc26494"/>
      <w:bookmarkStart w:id="1" w:name="_Toc14374"/>
      <w:bookmarkStart w:id="2" w:name="_Toc32653"/>
      <w:bookmarkStart w:id="3" w:name="_Toc13247"/>
      <w:bookmarkStart w:id="4" w:name="_Toc24599"/>
      <w:bookmarkStart w:id="5" w:name="_Toc31061"/>
      <w:bookmarkStart w:id="6" w:name="_Toc442"/>
      <w:bookmarkStart w:id="7" w:name="_Toc25476"/>
      <w:bookmarkStart w:id="8" w:name="_Toc18805"/>
      <w:bookmarkStart w:id="9" w:name="_Toc22228"/>
      <w:bookmarkStart w:id="10" w:name="_Toc6919"/>
      <w:bookmarkStart w:id="11" w:name="_Toc28681218"/>
      <w:bookmarkStart w:id="12" w:name="_Toc14485"/>
      <w:bookmarkStart w:id="13" w:name="_Toc30782"/>
      <w:bookmarkStart w:id="14" w:name="_Toc4982"/>
      <w:bookmarkStart w:id="15" w:name="_Toc4028"/>
      <w:bookmarkStart w:id="16" w:name="_Toc28681219"/>
      <w:bookmarkStart w:id="17" w:name="_Toc10005"/>
      <w:bookmarkStart w:id="18" w:name="_Toc766"/>
      <w:bookmarkStart w:id="19" w:name="_Toc25654"/>
      <w:bookmarkStart w:id="20" w:name="_Toc5884"/>
      <w:bookmarkStart w:id="21" w:name="_Toc794"/>
      <w:bookmarkStart w:id="22" w:name="_Toc20868"/>
      <w:bookmarkStart w:id="23" w:name="_Toc268"/>
      <w:bookmarkStart w:id="24" w:name="_Toc18338"/>
      <w:bookmarkStart w:id="25" w:name="_Toc13747"/>
      <w:bookmarkStart w:id="26" w:name="_Toc4886"/>
      <w:bookmarkStart w:id="27" w:name="_Toc32688"/>
    </w:p>
    <w:sdt>
      <w:sdtPr>
        <w:rPr>
          <w:rFonts w:hint="eastAsia" w:ascii="仿宋" w:hAnsi="仿宋" w:eastAsia="仿宋" w:cs="仿宋"/>
          <w:b/>
          <w:bCs/>
          <w:kern w:val="2"/>
          <w:sz w:val="44"/>
          <w:szCs w:val="44"/>
          <w:lang w:val="en-US" w:eastAsia="zh-CN" w:bidi="ar-SA"/>
        </w:rPr>
        <w:id w:val="147479419"/>
        <w15:color w:val="DBDBDB"/>
        <w:docPartObj>
          <w:docPartGallery w:val="Table of Contents"/>
          <w:docPartUnique/>
        </w:docPartObj>
      </w:sdtPr>
      <w:sdtEndPr>
        <w:rPr>
          <w:rFonts w:hint="eastAsia" w:ascii="Calibri Light" w:hAnsi="Calibri Light" w:eastAsia="华文仿宋" w:cstheme="minorBidi"/>
          <w:b/>
          <w:bCs/>
          <w:kern w:val="2"/>
          <w:sz w:val="28"/>
          <w:szCs w:val="28"/>
          <w:lang w:val="en-US" w:eastAsia="zh-CN" w:bidi="ar-SA"/>
        </w:rPr>
      </w:sdtEndPr>
      <w:sdtContent>
        <w:p w14:paraId="20E8B79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目</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rPr>
            <w:t>录</w:t>
          </w:r>
        </w:p>
        <w:p w14:paraId="1B96B0B8">
          <w:pPr>
            <w:pStyle w:val="2"/>
            <w:keepNext w:val="0"/>
            <w:keepLines w:val="0"/>
            <w:pageBreakBefore w:val="0"/>
            <w:widowControl/>
            <w:kinsoku/>
            <w:wordWrap/>
            <w:overflowPunct/>
            <w:topLinePunct w:val="0"/>
            <w:autoSpaceDE/>
            <w:autoSpaceDN/>
            <w:bidi w:val="0"/>
            <w:adjustRightInd/>
            <w:snapToGrid/>
            <w:spacing w:line="560" w:lineRule="exact"/>
            <w:textAlignment w:val="auto"/>
            <w:rPr>
              <w:rFonts w:hint="eastAsia"/>
            </w:rPr>
          </w:pPr>
        </w:p>
        <w:p w14:paraId="7480485C">
          <w:pPr>
            <w:pStyle w:val="18"/>
            <w:keepNext w:val="0"/>
            <w:keepLines w:val="0"/>
            <w:pageBreakBefore w:val="0"/>
            <w:widowControl/>
            <w:tabs>
              <w:tab w:val="right" w:leader="dot" w:pos="9354"/>
            </w:tabs>
            <w:kinsoku/>
            <w:wordWrap/>
            <w:overflowPunct/>
            <w:topLinePunct w:val="0"/>
            <w:autoSpaceDE/>
            <w:autoSpaceDN/>
            <w:bidi w:val="0"/>
            <w:adjustRightInd/>
            <w:snapToGrid/>
            <w:spacing w:line="560" w:lineRule="exact"/>
            <w:textAlignment w:val="auto"/>
          </w:pPr>
          <w:r>
            <w:rPr>
              <w:rFonts w:hint="eastAsia"/>
            </w:rPr>
            <w:fldChar w:fldCharType="begin"/>
          </w:r>
          <w:r>
            <w:rPr>
              <w:rFonts w:hint="eastAsia"/>
            </w:rPr>
            <w:instrText xml:space="preserve">TOC \o "1-1" \h \u </w:instrText>
          </w:r>
          <w:r>
            <w:rPr>
              <w:rFonts w:hint="eastAsia"/>
            </w:rPr>
            <w:fldChar w:fldCharType="separate"/>
          </w:r>
          <w:r>
            <w:rPr>
              <w:rFonts w:hint="eastAsia"/>
            </w:rPr>
            <w:fldChar w:fldCharType="begin"/>
          </w:r>
          <w:r>
            <w:rPr>
              <w:rFonts w:hint="eastAsia"/>
            </w:rPr>
            <w:instrText xml:space="preserve"> HYPERLINK \l _Toc10253 </w:instrText>
          </w:r>
          <w:r>
            <w:rPr>
              <w:rFonts w:hint="eastAsia"/>
            </w:rPr>
            <w:fldChar w:fldCharType="separate"/>
          </w:r>
          <w:r>
            <w:rPr>
              <w:rFonts w:hint="eastAsia" w:ascii="黑体" w:hAnsi="黑体" w:eastAsia="黑体" w:cs="黑体"/>
              <w:bCs w:val="0"/>
              <w:szCs w:val="32"/>
              <w:highlight w:val="none"/>
            </w:rPr>
            <w:t>第一章  单一来源采购通知书</w:t>
          </w:r>
          <w:r>
            <w:tab/>
          </w:r>
          <w:r>
            <w:fldChar w:fldCharType="begin"/>
          </w:r>
          <w:r>
            <w:instrText xml:space="preserve"> PAGEREF _Toc10253 \h </w:instrText>
          </w:r>
          <w:r>
            <w:fldChar w:fldCharType="separate"/>
          </w:r>
          <w:r>
            <w:t>1</w:t>
          </w:r>
          <w:r>
            <w:fldChar w:fldCharType="end"/>
          </w:r>
          <w:r>
            <w:rPr>
              <w:rFonts w:hint="eastAsia"/>
            </w:rPr>
            <w:fldChar w:fldCharType="end"/>
          </w:r>
        </w:p>
        <w:p w14:paraId="4748FB63">
          <w:pPr>
            <w:pStyle w:val="18"/>
            <w:keepNext w:val="0"/>
            <w:keepLines w:val="0"/>
            <w:pageBreakBefore w:val="0"/>
            <w:widowControl/>
            <w:tabs>
              <w:tab w:val="right" w:leader="dot" w:pos="9354"/>
            </w:tabs>
            <w:kinsoku/>
            <w:wordWrap/>
            <w:overflowPunct/>
            <w:topLinePunct w:val="0"/>
            <w:autoSpaceDE/>
            <w:autoSpaceDN/>
            <w:bidi w:val="0"/>
            <w:adjustRightInd/>
            <w:snapToGrid/>
            <w:spacing w:line="560" w:lineRule="exact"/>
            <w:textAlignment w:val="auto"/>
          </w:pPr>
          <w:r>
            <w:rPr>
              <w:rFonts w:hint="eastAsia"/>
            </w:rPr>
            <w:fldChar w:fldCharType="begin"/>
          </w:r>
          <w:r>
            <w:rPr>
              <w:rFonts w:hint="eastAsia"/>
            </w:rPr>
            <w:instrText xml:space="preserve"> HYPERLINK \l _Toc14941 </w:instrText>
          </w:r>
          <w:r>
            <w:rPr>
              <w:rFonts w:hint="eastAsia"/>
            </w:rPr>
            <w:fldChar w:fldCharType="separate"/>
          </w:r>
          <w:r>
            <w:rPr>
              <w:rFonts w:hint="eastAsia" w:ascii="黑体" w:hAnsi="黑体" w:eastAsia="黑体" w:cs="黑体"/>
              <w:bCs w:val="0"/>
              <w:szCs w:val="32"/>
              <w:highlight w:val="none"/>
            </w:rPr>
            <w:t>第二章  供应商须知</w:t>
          </w:r>
          <w:r>
            <w:tab/>
          </w:r>
          <w:r>
            <w:fldChar w:fldCharType="begin"/>
          </w:r>
          <w:r>
            <w:instrText xml:space="preserve"> PAGEREF _Toc14941 \h </w:instrText>
          </w:r>
          <w:r>
            <w:fldChar w:fldCharType="separate"/>
          </w:r>
          <w:r>
            <w:t>5</w:t>
          </w:r>
          <w:r>
            <w:fldChar w:fldCharType="end"/>
          </w:r>
          <w:r>
            <w:rPr>
              <w:rFonts w:hint="eastAsia"/>
            </w:rPr>
            <w:fldChar w:fldCharType="end"/>
          </w:r>
        </w:p>
        <w:p w14:paraId="3CEB979F">
          <w:pPr>
            <w:pStyle w:val="18"/>
            <w:keepNext w:val="0"/>
            <w:keepLines w:val="0"/>
            <w:pageBreakBefore w:val="0"/>
            <w:widowControl/>
            <w:tabs>
              <w:tab w:val="right" w:leader="dot" w:pos="9354"/>
            </w:tabs>
            <w:kinsoku/>
            <w:wordWrap/>
            <w:overflowPunct/>
            <w:topLinePunct w:val="0"/>
            <w:autoSpaceDE/>
            <w:autoSpaceDN/>
            <w:bidi w:val="0"/>
            <w:adjustRightInd/>
            <w:snapToGrid/>
            <w:spacing w:line="560" w:lineRule="exact"/>
            <w:textAlignment w:val="auto"/>
          </w:pPr>
          <w:r>
            <w:rPr>
              <w:rFonts w:hint="eastAsia"/>
            </w:rPr>
            <w:fldChar w:fldCharType="begin"/>
          </w:r>
          <w:r>
            <w:rPr>
              <w:rFonts w:hint="eastAsia"/>
            </w:rPr>
            <w:instrText xml:space="preserve"> HYPERLINK \l _Toc15280 </w:instrText>
          </w:r>
          <w:r>
            <w:rPr>
              <w:rFonts w:hint="eastAsia"/>
            </w:rPr>
            <w:fldChar w:fldCharType="separate"/>
          </w:r>
          <w:r>
            <w:rPr>
              <w:rFonts w:hint="eastAsia" w:ascii="黑体" w:hAnsi="黑体" w:eastAsia="黑体" w:cs="黑体"/>
              <w:bCs w:val="0"/>
              <w:szCs w:val="32"/>
              <w:highlight w:val="none"/>
            </w:rPr>
            <w:t xml:space="preserve">第三章 </w:t>
          </w:r>
          <w:r>
            <w:rPr>
              <w:rFonts w:hint="eastAsia" w:ascii="黑体" w:hAnsi="黑体" w:eastAsia="黑体" w:cs="黑体"/>
              <w:bCs w:val="0"/>
              <w:szCs w:val="32"/>
              <w:highlight w:val="none"/>
              <w:lang w:val="en-US" w:eastAsia="zh-CN"/>
            </w:rPr>
            <w:t xml:space="preserve"> </w:t>
          </w:r>
          <w:r>
            <w:rPr>
              <w:rFonts w:hint="eastAsia" w:ascii="黑体" w:hAnsi="黑体" w:eastAsia="黑体" w:cs="黑体"/>
              <w:bCs w:val="0"/>
              <w:szCs w:val="32"/>
              <w:highlight w:val="none"/>
            </w:rPr>
            <w:t>采购内容及采购要求</w:t>
          </w:r>
          <w:r>
            <w:tab/>
          </w:r>
          <w:r>
            <w:fldChar w:fldCharType="begin"/>
          </w:r>
          <w:r>
            <w:instrText xml:space="preserve"> PAGEREF _Toc15280 \h </w:instrText>
          </w:r>
          <w:r>
            <w:fldChar w:fldCharType="separate"/>
          </w:r>
          <w:r>
            <w:t>27</w:t>
          </w:r>
          <w:r>
            <w:fldChar w:fldCharType="end"/>
          </w:r>
          <w:r>
            <w:rPr>
              <w:rFonts w:hint="eastAsia"/>
            </w:rPr>
            <w:fldChar w:fldCharType="end"/>
          </w:r>
        </w:p>
        <w:p w14:paraId="021129B1">
          <w:pPr>
            <w:pStyle w:val="18"/>
            <w:keepNext w:val="0"/>
            <w:keepLines w:val="0"/>
            <w:pageBreakBefore w:val="0"/>
            <w:widowControl/>
            <w:tabs>
              <w:tab w:val="right" w:leader="dot" w:pos="9354"/>
            </w:tabs>
            <w:kinsoku/>
            <w:wordWrap/>
            <w:overflowPunct/>
            <w:topLinePunct w:val="0"/>
            <w:autoSpaceDE/>
            <w:autoSpaceDN/>
            <w:bidi w:val="0"/>
            <w:adjustRightInd/>
            <w:snapToGrid/>
            <w:spacing w:line="560" w:lineRule="exact"/>
            <w:textAlignment w:val="auto"/>
          </w:pPr>
          <w:r>
            <w:rPr>
              <w:rFonts w:hint="eastAsia"/>
            </w:rPr>
            <w:fldChar w:fldCharType="begin"/>
          </w:r>
          <w:r>
            <w:rPr>
              <w:rFonts w:hint="eastAsia"/>
            </w:rPr>
            <w:instrText xml:space="preserve"> HYPERLINK \l _Toc11232 </w:instrText>
          </w:r>
          <w:r>
            <w:rPr>
              <w:rFonts w:hint="eastAsia"/>
            </w:rPr>
            <w:fldChar w:fldCharType="separate"/>
          </w:r>
          <w:r>
            <w:rPr>
              <w:rFonts w:hint="eastAsia" w:ascii="黑体" w:hAnsi="黑体" w:eastAsia="黑体" w:cs="黑体"/>
              <w:bCs w:val="0"/>
              <w:szCs w:val="32"/>
              <w:highlight w:val="none"/>
            </w:rPr>
            <w:t xml:space="preserve">第四章 </w:t>
          </w:r>
          <w:r>
            <w:rPr>
              <w:rFonts w:hint="eastAsia" w:ascii="黑体" w:hAnsi="黑体" w:eastAsia="黑体" w:cs="黑体"/>
              <w:bCs w:val="0"/>
              <w:szCs w:val="32"/>
              <w:highlight w:val="none"/>
              <w:lang w:val="en-US" w:eastAsia="zh-CN"/>
            </w:rPr>
            <w:t xml:space="preserve"> </w:t>
          </w:r>
          <w:r>
            <w:rPr>
              <w:rFonts w:hint="eastAsia" w:ascii="黑体" w:hAnsi="黑体" w:eastAsia="黑体" w:cs="黑体"/>
              <w:bCs w:val="0"/>
              <w:szCs w:val="32"/>
              <w:highlight w:val="none"/>
            </w:rPr>
            <w:t>合同基本条款</w:t>
          </w:r>
          <w:r>
            <w:tab/>
          </w:r>
          <w:r>
            <w:fldChar w:fldCharType="begin"/>
          </w:r>
          <w:r>
            <w:instrText xml:space="preserve"> PAGEREF _Toc11232 \h </w:instrText>
          </w:r>
          <w:r>
            <w:fldChar w:fldCharType="separate"/>
          </w:r>
          <w:r>
            <w:t>30</w:t>
          </w:r>
          <w:r>
            <w:fldChar w:fldCharType="end"/>
          </w:r>
          <w:r>
            <w:rPr>
              <w:rFonts w:hint="eastAsia"/>
            </w:rPr>
            <w:fldChar w:fldCharType="end"/>
          </w:r>
        </w:p>
        <w:p w14:paraId="793205B7">
          <w:pPr>
            <w:pStyle w:val="18"/>
            <w:keepNext w:val="0"/>
            <w:keepLines w:val="0"/>
            <w:pageBreakBefore w:val="0"/>
            <w:widowControl/>
            <w:tabs>
              <w:tab w:val="right" w:leader="dot" w:pos="9354"/>
            </w:tabs>
            <w:kinsoku/>
            <w:wordWrap/>
            <w:overflowPunct/>
            <w:topLinePunct w:val="0"/>
            <w:autoSpaceDE/>
            <w:autoSpaceDN/>
            <w:bidi w:val="0"/>
            <w:adjustRightInd/>
            <w:snapToGrid/>
            <w:spacing w:line="560" w:lineRule="exact"/>
            <w:textAlignment w:val="auto"/>
          </w:pPr>
          <w:r>
            <w:rPr>
              <w:rFonts w:hint="eastAsia"/>
            </w:rPr>
            <w:fldChar w:fldCharType="begin"/>
          </w:r>
          <w:r>
            <w:rPr>
              <w:rFonts w:hint="eastAsia"/>
            </w:rPr>
            <w:instrText xml:space="preserve"> HYPERLINK \l _Toc26631 </w:instrText>
          </w:r>
          <w:r>
            <w:rPr>
              <w:rFonts w:hint="eastAsia"/>
            </w:rPr>
            <w:fldChar w:fldCharType="separate"/>
          </w:r>
          <w:r>
            <w:rPr>
              <w:rFonts w:hint="eastAsia" w:ascii="黑体" w:hAnsi="黑体" w:eastAsia="黑体" w:cs="黑体"/>
              <w:bCs w:val="0"/>
              <w:szCs w:val="32"/>
              <w:highlight w:val="none"/>
            </w:rPr>
            <w:t>第五章  响应文件构成及格式</w:t>
          </w:r>
          <w:r>
            <w:tab/>
          </w:r>
          <w:r>
            <w:fldChar w:fldCharType="begin"/>
          </w:r>
          <w:r>
            <w:instrText xml:space="preserve"> PAGEREF _Toc26631 \h </w:instrText>
          </w:r>
          <w:r>
            <w:fldChar w:fldCharType="separate"/>
          </w:r>
          <w:r>
            <w:t>33</w:t>
          </w:r>
          <w:r>
            <w:fldChar w:fldCharType="end"/>
          </w:r>
          <w:r>
            <w:rPr>
              <w:rFonts w:hint="eastAsia"/>
            </w:rPr>
            <w:fldChar w:fldCharType="end"/>
          </w:r>
        </w:p>
        <w:p w14:paraId="712D3C7E">
          <w:pPr>
            <w:pStyle w:val="18"/>
            <w:keepNext w:val="0"/>
            <w:keepLines w:val="0"/>
            <w:pageBreakBefore w:val="0"/>
            <w:widowControl/>
            <w:tabs>
              <w:tab w:val="right" w:leader="dot" w:pos="9354"/>
            </w:tabs>
            <w:kinsoku/>
            <w:wordWrap/>
            <w:overflowPunct/>
            <w:topLinePunct w:val="0"/>
            <w:autoSpaceDE/>
            <w:autoSpaceDN/>
            <w:bidi w:val="0"/>
            <w:adjustRightInd/>
            <w:snapToGrid/>
            <w:spacing w:line="560" w:lineRule="exact"/>
            <w:textAlignment w:val="auto"/>
          </w:pPr>
        </w:p>
        <w:p w14:paraId="7DCDB877">
          <w:pPr>
            <w:pStyle w:val="2"/>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Calibri Light" w:hAnsi="Calibri Light" w:eastAsia="华文仿宋" w:cstheme="minorBidi"/>
              <w:kern w:val="2"/>
              <w:sz w:val="28"/>
              <w:szCs w:val="28"/>
              <w:lang w:val="en-US" w:eastAsia="zh-CN" w:bidi="ar-SA"/>
            </w:rPr>
          </w:pPr>
          <w:r>
            <w:rPr>
              <w:rFonts w:hint="eastAsia"/>
            </w:rPr>
            <w:fldChar w:fldCharType="end"/>
          </w:r>
        </w:p>
      </w:sdtContent>
    </w:sdt>
    <w:p w14:paraId="63A0C6F3">
      <w:pPr>
        <w:rPr>
          <w:rFonts w:hint="eastAsia"/>
        </w:rPr>
      </w:pPr>
    </w:p>
    <w:p w14:paraId="3BA7A8C9">
      <w:pPr>
        <w:pStyle w:val="3"/>
        <w:pageBreakBefore w:val="0"/>
        <w:kinsoku/>
        <w:overflowPunct/>
        <w:topLinePunct w:val="0"/>
        <w:autoSpaceDE/>
        <w:autoSpaceDN/>
        <w:bidi w:val="0"/>
        <w:spacing w:beforeAutospacing="0" w:afterAutospacing="0" w:line="560" w:lineRule="exact"/>
        <w:ind w:firstLine="646" w:firstLineChars="200"/>
        <w:textAlignment w:val="auto"/>
        <w:rPr>
          <w:rFonts w:hint="eastAsia" w:ascii="黑体" w:hAnsi="黑体" w:eastAsia="黑体" w:cs="黑体"/>
          <w:b w:val="0"/>
          <w:bCs w:val="0"/>
          <w:sz w:val="32"/>
          <w:szCs w:val="32"/>
          <w:highlight w:val="none"/>
        </w:rPr>
        <w:sectPr>
          <w:headerReference r:id="rId5" w:type="default"/>
          <w:footerReference r:id="rId6" w:type="default"/>
          <w:pgSz w:w="11906" w:h="16838"/>
          <w:pgMar w:top="1440" w:right="1276" w:bottom="1440" w:left="1276" w:header="850" w:footer="992" w:gutter="0"/>
          <w:pgNumType w:fmt="decimal" w:start="1"/>
          <w:cols w:space="0" w:num="1"/>
          <w:titlePg/>
          <w:docGrid w:type="linesAndChars" w:linePitch="387" w:charSpace="704"/>
        </w:sectPr>
      </w:pPr>
      <w:bookmarkStart w:id="28" w:name="_Toc10253"/>
    </w:p>
    <w:p w14:paraId="5132F032">
      <w:pPr>
        <w:pStyle w:val="3"/>
        <w:pageBreakBefore w:val="0"/>
        <w:kinsoku/>
        <w:overflowPunct/>
        <w:topLinePunct w:val="0"/>
        <w:autoSpaceDE/>
        <w:autoSpaceDN/>
        <w:bidi w:val="0"/>
        <w:spacing w:beforeAutospacing="0" w:afterAutospacing="0" w:line="560" w:lineRule="exact"/>
        <w:ind w:firstLine="646" w:firstLineChars="200"/>
        <w:textAlignment w:val="auto"/>
        <w:rPr>
          <w:rFonts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第一章  单一来源采购通知书</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28"/>
    </w:p>
    <w:p w14:paraId="7C31BBF4">
      <w:pPr>
        <w:pageBreakBefore w:val="0"/>
        <w:kinsoku/>
        <w:overflowPunct/>
        <w:topLinePunct w:val="0"/>
        <w:autoSpaceDE/>
        <w:autoSpaceDN/>
        <w:bidi w:val="0"/>
        <w:spacing w:beforeAutospacing="0" w:afterAutospacing="0" w:line="560" w:lineRule="exact"/>
        <w:ind w:firstLine="566" w:firstLineChars="200"/>
        <w:textAlignment w:val="auto"/>
        <w:rPr>
          <w:rFonts w:ascii="仿宋_GB2312" w:hAnsi="仿宋_GB2312" w:eastAsia="仿宋_GB2312" w:cs="仿宋_GB2312"/>
          <w:highlight w:val="none"/>
        </w:rPr>
      </w:pPr>
      <w:r>
        <w:rPr>
          <w:rFonts w:hint="eastAsia" w:ascii="仿宋_GB2312" w:hAnsi="仿宋_GB2312" w:eastAsia="仿宋_GB2312" w:cs="仿宋_GB2312"/>
          <w:b/>
          <w:bCs/>
          <w:highlight w:val="none"/>
        </w:rPr>
        <w:t>陕西中发项目管理发展有限公司</w:t>
      </w:r>
      <w:r>
        <w:rPr>
          <w:rFonts w:hint="eastAsia" w:ascii="仿宋_GB2312" w:hAnsi="仿宋_GB2312" w:eastAsia="仿宋_GB2312" w:cs="仿宋_GB2312"/>
          <w:highlight w:val="none"/>
        </w:rPr>
        <w:t>受</w:t>
      </w:r>
      <w:r>
        <w:rPr>
          <w:rFonts w:hint="eastAsia" w:ascii="仿宋_GB2312" w:hAnsi="仿宋_GB2312" w:eastAsia="仿宋_GB2312" w:cs="仿宋_GB2312"/>
          <w:b/>
          <w:highlight w:val="none"/>
          <w:lang w:eastAsia="zh-CN"/>
        </w:rPr>
        <w:t>陕西省公共资源交易中心</w:t>
      </w:r>
      <w:r>
        <w:rPr>
          <w:rFonts w:hint="eastAsia" w:ascii="仿宋_GB2312" w:hAnsi="仿宋_GB2312" w:eastAsia="仿宋_GB2312" w:cs="仿宋_GB2312"/>
          <w:highlight w:val="none"/>
        </w:rPr>
        <w:t>的委托，经政府采购管理部门批准，按照政府采购程序，对</w:t>
      </w:r>
      <w:r>
        <w:rPr>
          <w:rFonts w:hint="eastAsia" w:ascii="仿宋_GB2312" w:hAnsi="仿宋_GB2312" w:eastAsia="仿宋_GB2312" w:cs="仿宋_GB2312"/>
          <w:b/>
          <w:highlight w:val="none"/>
          <w:lang w:eastAsia="zh-CN"/>
        </w:rPr>
        <w:t>2025年度政府采购及相关系统运维服务项目</w:t>
      </w:r>
      <w:r>
        <w:rPr>
          <w:rFonts w:hint="eastAsia" w:ascii="仿宋_GB2312" w:hAnsi="仿宋_GB2312" w:eastAsia="仿宋_GB2312" w:cs="仿宋_GB2312"/>
          <w:highlight w:val="none"/>
        </w:rPr>
        <w:t>进行</w:t>
      </w:r>
      <w:r>
        <w:rPr>
          <w:rFonts w:hint="eastAsia" w:ascii="仿宋_GB2312" w:hAnsi="仿宋_GB2312" w:eastAsia="仿宋_GB2312" w:cs="仿宋_GB2312"/>
          <w:b/>
          <w:bCs/>
          <w:highlight w:val="none"/>
        </w:rPr>
        <w:t>单一来源</w:t>
      </w:r>
      <w:r>
        <w:rPr>
          <w:rFonts w:hint="eastAsia" w:ascii="仿宋_GB2312" w:hAnsi="仿宋_GB2312" w:eastAsia="仿宋_GB2312" w:cs="仿宋_GB2312"/>
          <w:highlight w:val="none"/>
        </w:rPr>
        <w:t>采购，现将采购活动有关事宜通知如下：</w:t>
      </w:r>
    </w:p>
    <w:p w14:paraId="2D4EF6E0">
      <w:pPr>
        <w:pageBreakBefore w:val="0"/>
        <w:kinsoku/>
        <w:overflowPunct/>
        <w:topLinePunct w:val="0"/>
        <w:autoSpaceDE/>
        <w:autoSpaceDN/>
        <w:bidi w:val="0"/>
        <w:spacing w:line="560" w:lineRule="exact"/>
        <w:ind w:firstLine="566" w:firstLineChars="200"/>
        <w:textAlignment w:val="auto"/>
        <w:rPr>
          <w:rFonts w:hint="eastAsia" w:ascii="仿宋_GB2312" w:hAnsi="仿宋_GB2312" w:eastAsia="仿宋_GB2312" w:cs="仿宋_GB2312"/>
          <w:b/>
          <w:highlight w:val="none"/>
          <w:lang w:eastAsia="zh-CN"/>
        </w:rPr>
      </w:pPr>
      <w:r>
        <w:rPr>
          <w:rFonts w:hint="eastAsia" w:ascii="仿宋_GB2312" w:hAnsi="仿宋_GB2312" w:eastAsia="仿宋_GB2312" w:cs="仿宋_GB2312"/>
          <w:b/>
          <w:highlight w:val="none"/>
        </w:rPr>
        <w:t>一、项目名称</w:t>
      </w:r>
      <w:r>
        <w:rPr>
          <w:rFonts w:hint="eastAsia" w:ascii="仿宋_GB2312" w:hAnsi="仿宋_GB2312" w:eastAsia="仿宋_GB2312" w:cs="仿宋_GB2312"/>
          <w:highlight w:val="none"/>
        </w:rPr>
        <w:t>：</w:t>
      </w:r>
      <w:r>
        <w:rPr>
          <w:rFonts w:hint="eastAsia" w:ascii="仿宋_GB2312" w:hAnsi="仿宋_GB2312" w:eastAsia="仿宋_GB2312" w:cs="仿宋_GB2312"/>
          <w:b/>
          <w:highlight w:val="none"/>
          <w:lang w:eastAsia="zh-CN"/>
        </w:rPr>
        <w:t>2025年度政府采购及相关系统运维服务项目</w:t>
      </w:r>
    </w:p>
    <w:p w14:paraId="42CE5011">
      <w:pPr>
        <w:pageBreakBefore w:val="0"/>
        <w:kinsoku/>
        <w:overflowPunct/>
        <w:topLinePunct w:val="0"/>
        <w:autoSpaceDE/>
        <w:autoSpaceDN/>
        <w:bidi w:val="0"/>
        <w:spacing w:line="560" w:lineRule="exact"/>
        <w:ind w:firstLine="566" w:firstLineChars="200"/>
        <w:textAlignment w:val="auto"/>
        <w:rPr>
          <w:rFonts w:hint="eastAsia" w:ascii="仿宋_GB2312" w:hAnsi="仿宋_GB2312" w:eastAsia="仿宋_GB2312" w:cs="仿宋_GB2312"/>
          <w:b/>
          <w:highlight w:val="none"/>
          <w:lang w:eastAsia="zh-CN"/>
        </w:rPr>
      </w:pPr>
      <w:bookmarkStart w:id="29" w:name="_Toc19996_WPSOffice_Level2"/>
      <w:bookmarkStart w:id="30" w:name="_Toc14211_WPSOffice_Level2"/>
      <w:bookmarkStart w:id="31" w:name="_Toc11482_WPSOffice_Level2"/>
      <w:bookmarkStart w:id="32" w:name="_Toc18042_WPSOffice_Level2"/>
      <w:bookmarkStart w:id="33" w:name="_Toc18681_WPSOffice_Level2"/>
      <w:r>
        <w:rPr>
          <w:rFonts w:hint="eastAsia" w:ascii="仿宋_GB2312" w:hAnsi="仿宋_GB2312" w:eastAsia="仿宋_GB2312" w:cs="仿宋_GB2312"/>
          <w:b/>
          <w:highlight w:val="none"/>
        </w:rPr>
        <w:t>二、项目编号：</w:t>
      </w:r>
      <w:bookmarkEnd w:id="29"/>
      <w:bookmarkEnd w:id="30"/>
      <w:bookmarkEnd w:id="31"/>
      <w:bookmarkEnd w:id="32"/>
      <w:bookmarkEnd w:id="33"/>
      <w:r>
        <w:rPr>
          <w:rFonts w:hint="eastAsia" w:ascii="仿宋_GB2312" w:hAnsi="仿宋_GB2312" w:eastAsia="仿宋_GB2312" w:cs="仿宋_GB2312"/>
          <w:b/>
          <w:highlight w:val="none"/>
          <w:lang w:eastAsia="zh-CN"/>
        </w:rPr>
        <w:t>ZFFZ-2025-135</w:t>
      </w:r>
    </w:p>
    <w:p w14:paraId="56D2557F">
      <w:pPr>
        <w:pageBreakBefore w:val="0"/>
        <w:kinsoku/>
        <w:overflowPunct/>
        <w:topLinePunct w:val="0"/>
        <w:autoSpaceDE/>
        <w:autoSpaceDN/>
        <w:bidi w:val="0"/>
        <w:spacing w:line="560" w:lineRule="exact"/>
        <w:ind w:firstLine="566" w:firstLineChars="200"/>
        <w:textAlignment w:val="auto"/>
        <w:rPr>
          <w:rFonts w:hint="eastAsia" w:ascii="仿宋_GB2312" w:hAnsi="仿宋_GB2312" w:eastAsia="仿宋_GB2312" w:cs="仿宋_GB2312"/>
          <w:b/>
          <w:bCs/>
          <w:highlight w:val="none"/>
          <w:lang w:eastAsia="zh-CN"/>
        </w:rPr>
      </w:pPr>
      <w:bookmarkStart w:id="34" w:name="_Toc32724_WPSOffice_Level2"/>
      <w:bookmarkStart w:id="35" w:name="_Toc477_WPSOffice_Level2"/>
      <w:bookmarkStart w:id="36" w:name="_Toc506_WPSOffice_Level2"/>
      <w:bookmarkStart w:id="37" w:name="_Toc7469_WPSOffice_Level2"/>
      <w:bookmarkStart w:id="38" w:name="_Toc18603_WPSOffice_Level2"/>
      <w:r>
        <w:rPr>
          <w:rFonts w:hint="eastAsia" w:ascii="仿宋_GB2312" w:hAnsi="仿宋_GB2312" w:eastAsia="仿宋_GB2312" w:cs="仿宋_GB2312"/>
          <w:b/>
          <w:highlight w:val="none"/>
        </w:rPr>
        <w:t>三、采 购 人</w:t>
      </w:r>
      <w:r>
        <w:rPr>
          <w:rFonts w:hint="eastAsia" w:ascii="仿宋_GB2312" w:hAnsi="仿宋_GB2312" w:eastAsia="仿宋_GB2312" w:cs="仿宋_GB2312"/>
          <w:highlight w:val="none"/>
        </w:rPr>
        <w:t>：</w:t>
      </w:r>
      <w:bookmarkEnd w:id="34"/>
      <w:bookmarkEnd w:id="35"/>
      <w:bookmarkEnd w:id="36"/>
      <w:bookmarkEnd w:id="37"/>
      <w:bookmarkEnd w:id="38"/>
      <w:r>
        <w:rPr>
          <w:rFonts w:hint="eastAsia" w:ascii="仿宋_GB2312" w:hAnsi="仿宋_GB2312" w:eastAsia="仿宋_GB2312" w:cs="仿宋_GB2312"/>
          <w:b/>
          <w:highlight w:val="none"/>
          <w:lang w:eastAsia="zh-CN"/>
        </w:rPr>
        <w:t>陕西省公共资源交易中心</w:t>
      </w:r>
    </w:p>
    <w:p w14:paraId="3B7BE95D">
      <w:pPr>
        <w:pStyle w:val="62"/>
        <w:pageBreakBefore w:val="0"/>
        <w:kinsoku/>
        <w:wordWrap/>
        <w:overflowPunct/>
        <w:topLinePunct w:val="0"/>
        <w:autoSpaceDE/>
        <w:autoSpaceDN/>
        <w:bidi w:val="0"/>
        <w:spacing w:line="560" w:lineRule="exact"/>
        <w:ind w:firstLine="566"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rPr>
        <w:t xml:space="preserve"> 地 址：</w:t>
      </w:r>
      <w:r>
        <w:rPr>
          <w:rFonts w:hint="eastAsia" w:ascii="仿宋_GB2312" w:hAnsi="仿宋_GB2312" w:eastAsia="仿宋_GB2312" w:cs="仿宋_GB2312"/>
          <w:highlight w:val="none"/>
          <w:lang w:eastAsia="zh-CN"/>
        </w:rPr>
        <w:t>西安市碑林区长安北路14号</w:t>
      </w:r>
    </w:p>
    <w:p w14:paraId="18E06E9C">
      <w:pPr>
        <w:pStyle w:val="62"/>
        <w:pageBreakBefore w:val="0"/>
        <w:kinsoku/>
        <w:wordWrap/>
        <w:overflowPunct/>
        <w:topLinePunct w:val="0"/>
        <w:autoSpaceDE/>
        <w:autoSpaceDN/>
        <w:bidi w:val="0"/>
        <w:spacing w:line="560" w:lineRule="exact"/>
        <w:ind w:firstLine="566"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rPr>
        <w:t xml:space="preserve"> 联 系 人：</w:t>
      </w:r>
      <w:r>
        <w:rPr>
          <w:rFonts w:hint="eastAsia" w:ascii="仿宋_GB2312" w:hAnsi="仿宋_GB2312" w:eastAsia="仿宋_GB2312" w:cs="仿宋_GB2312"/>
          <w:highlight w:val="none"/>
          <w:lang w:val="en-US" w:eastAsia="zh-CN"/>
        </w:rPr>
        <w:t>杜菲</w:t>
      </w:r>
    </w:p>
    <w:p w14:paraId="113D04E2">
      <w:pPr>
        <w:pStyle w:val="62"/>
        <w:pageBreakBefore w:val="0"/>
        <w:kinsoku/>
        <w:wordWrap/>
        <w:overflowPunct/>
        <w:topLinePunct w:val="0"/>
        <w:autoSpaceDE/>
        <w:autoSpaceDN/>
        <w:bidi w:val="0"/>
        <w:spacing w:line="560" w:lineRule="exact"/>
        <w:ind w:firstLine="566" w:firstLineChars="200"/>
        <w:textAlignment w:val="auto"/>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rPr>
        <w:t xml:space="preserve"> 联系方式：</w:t>
      </w:r>
      <w:r>
        <w:rPr>
          <w:rFonts w:hint="eastAsia" w:ascii="仿宋_GB2312" w:hAnsi="仿宋_GB2312" w:eastAsia="仿宋_GB2312" w:cs="仿宋_GB2312"/>
          <w:highlight w:val="none"/>
          <w:lang w:val="en-US" w:eastAsia="zh-CN"/>
        </w:rPr>
        <w:t>029-88661327</w:t>
      </w:r>
    </w:p>
    <w:p w14:paraId="5D54D521">
      <w:pPr>
        <w:pageBreakBefore w:val="0"/>
        <w:kinsoku/>
        <w:overflowPunct/>
        <w:topLinePunct w:val="0"/>
        <w:autoSpaceDE/>
        <w:autoSpaceDN/>
        <w:bidi w:val="0"/>
        <w:spacing w:line="560" w:lineRule="exact"/>
        <w:ind w:firstLine="566" w:firstLineChars="200"/>
        <w:textAlignment w:val="auto"/>
        <w:rPr>
          <w:rFonts w:ascii="仿宋_GB2312" w:hAnsi="仿宋_GB2312" w:eastAsia="仿宋_GB2312" w:cs="仿宋_GB2312"/>
          <w:bCs/>
          <w:highlight w:val="none"/>
        </w:rPr>
      </w:pPr>
      <w:r>
        <w:rPr>
          <w:rFonts w:hint="eastAsia" w:ascii="仿宋_GB2312" w:hAnsi="仿宋_GB2312" w:eastAsia="仿宋_GB2312" w:cs="仿宋_GB2312"/>
          <w:b/>
          <w:highlight w:val="none"/>
        </w:rPr>
        <w:t>四、供 应 商</w:t>
      </w:r>
      <w:r>
        <w:rPr>
          <w:rFonts w:hint="eastAsia" w:ascii="仿宋_GB2312" w:hAnsi="仿宋_GB2312" w:eastAsia="仿宋_GB2312" w:cs="仿宋_GB2312"/>
          <w:bCs/>
          <w:highlight w:val="none"/>
        </w:rPr>
        <w:t>：</w:t>
      </w:r>
      <w:r>
        <w:rPr>
          <w:rFonts w:hint="eastAsia" w:ascii="仿宋_GB2312" w:hAnsi="仿宋_GB2312" w:eastAsia="仿宋_GB2312" w:cs="仿宋_GB2312"/>
          <w:bCs/>
          <w:highlight w:val="none"/>
          <w:lang w:val="en-US" w:eastAsia="zh-CN"/>
        </w:rPr>
        <w:t>国泰新点软件股份有限公司</w:t>
      </w:r>
    </w:p>
    <w:p w14:paraId="68022653">
      <w:pPr>
        <w:pStyle w:val="62"/>
        <w:pageBreakBefore w:val="0"/>
        <w:kinsoku/>
        <w:wordWrap/>
        <w:overflowPunct/>
        <w:topLinePunct w:val="0"/>
        <w:autoSpaceDE/>
        <w:autoSpaceDN/>
        <w:bidi w:val="0"/>
        <w:spacing w:line="560" w:lineRule="exact"/>
        <w:ind w:firstLine="566"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rPr>
        <w:t xml:space="preserve"> 地 址：</w:t>
      </w:r>
      <w:r>
        <w:rPr>
          <w:rFonts w:hint="eastAsia" w:ascii="仿宋_GB2312" w:hAnsi="仿宋_GB2312" w:eastAsia="仿宋_GB2312" w:cs="仿宋_GB2312"/>
          <w:highlight w:val="none"/>
          <w:lang w:eastAsia="zh-CN"/>
        </w:rPr>
        <w:t>江苏省张家港经济开发区（杨舍镇长兴路）</w:t>
      </w:r>
    </w:p>
    <w:p w14:paraId="26142992">
      <w:pPr>
        <w:pStyle w:val="62"/>
        <w:pageBreakBefore w:val="0"/>
        <w:kinsoku/>
        <w:wordWrap/>
        <w:overflowPunct/>
        <w:topLinePunct w:val="0"/>
        <w:autoSpaceDE/>
        <w:autoSpaceDN/>
        <w:bidi w:val="0"/>
        <w:spacing w:line="560" w:lineRule="exact"/>
        <w:ind w:firstLine="566"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rPr>
        <w:t xml:space="preserve"> 联 系 人：</w:t>
      </w:r>
      <w:r>
        <w:rPr>
          <w:rFonts w:hint="eastAsia" w:ascii="仿宋_GB2312" w:hAnsi="仿宋_GB2312" w:eastAsia="仿宋_GB2312" w:cs="仿宋_GB2312"/>
          <w:highlight w:val="none"/>
          <w:lang w:val="en-US" w:eastAsia="zh-CN"/>
        </w:rPr>
        <w:t>张松</w:t>
      </w:r>
    </w:p>
    <w:p w14:paraId="17B6D452">
      <w:pPr>
        <w:pageBreakBefore w:val="0"/>
        <w:kinsoku/>
        <w:overflowPunct/>
        <w:topLinePunct w:val="0"/>
        <w:autoSpaceDE/>
        <w:autoSpaceDN/>
        <w:bidi w:val="0"/>
        <w:spacing w:line="560" w:lineRule="exact"/>
        <w:ind w:firstLine="566" w:firstLineChars="200"/>
        <w:textAlignment w:val="auto"/>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rPr>
        <w:t xml:space="preserve"> 联系方式：</w:t>
      </w:r>
      <w:r>
        <w:rPr>
          <w:rFonts w:hint="eastAsia" w:ascii="仿宋_GB2312" w:hAnsi="仿宋_GB2312" w:eastAsia="仿宋_GB2312" w:cs="仿宋_GB2312"/>
          <w:highlight w:val="none"/>
          <w:lang w:val="en-US" w:eastAsia="zh-CN"/>
        </w:rPr>
        <w:t>15891421398</w:t>
      </w:r>
    </w:p>
    <w:p w14:paraId="10D86FF1">
      <w:pPr>
        <w:pageBreakBefore w:val="0"/>
        <w:kinsoku/>
        <w:overflowPunct/>
        <w:topLinePunct w:val="0"/>
        <w:autoSpaceDE/>
        <w:autoSpaceDN/>
        <w:bidi w:val="0"/>
        <w:spacing w:line="560" w:lineRule="exact"/>
        <w:ind w:firstLine="566" w:firstLineChars="200"/>
        <w:textAlignment w:val="auto"/>
        <w:rPr>
          <w:rFonts w:ascii="仿宋_GB2312" w:hAnsi="仿宋_GB2312" w:eastAsia="仿宋_GB2312" w:cs="仿宋_GB2312"/>
          <w:highlight w:val="none"/>
        </w:rPr>
      </w:pPr>
      <w:r>
        <w:rPr>
          <w:rFonts w:hint="eastAsia" w:ascii="仿宋_GB2312" w:hAnsi="仿宋_GB2312" w:eastAsia="仿宋_GB2312" w:cs="仿宋_GB2312"/>
          <w:b/>
          <w:highlight w:val="none"/>
        </w:rPr>
        <w:t>五、采购机构</w:t>
      </w:r>
      <w:r>
        <w:rPr>
          <w:rFonts w:hint="eastAsia" w:ascii="仿宋_GB2312" w:hAnsi="仿宋_GB2312" w:eastAsia="仿宋_GB2312" w:cs="仿宋_GB2312"/>
          <w:highlight w:val="none"/>
        </w:rPr>
        <w:t>：</w:t>
      </w:r>
      <w:r>
        <w:rPr>
          <w:rFonts w:hint="eastAsia" w:ascii="仿宋_GB2312" w:hAnsi="仿宋_GB2312" w:eastAsia="仿宋_GB2312" w:cs="仿宋_GB2312"/>
          <w:b/>
          <w:bCs/>
          <w:highlight w:val="none"/>
        </w:rPr>
        <w:t>陕西中发项目管理发展有限公司</w:t>
      </w:r>
    </w:p>
    <w:p w14:paraId="61050569">
      <w:pPr>
        <w:pageBreakBefore w:val="0"/>
        <w:kinsoku/>
        <w:overflowPunct/>
        <w:topLinePunct w:val="0"/>
        <w:autoSpaceDE/>
        <w:autoSpaceDN/>
        <w:bidi w:val="0"/>
        <w:spacing w:line="560" w:lineRule="exact"/>
        <w:ind w:firstLine="566"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rPr>
        <w:t xml:space="preserve"> 地 址：</w:t>
      </w:r>
      <w:r>
        <w:rPr>
          <w:rFonts w:hint="eastAsia" w:ascii="仿宋_GB2312" w:hAnsi="仿宋_GB2312" w:eastAsia="仿宋_GB2312" w:cs="仿宋_GB2312"/>
          <w:highlight w:val="none"/>
          <w:lang w:eastAsia="zh-CN"/>
        </w:rPr>
        <w:t>陕西省西安市碑林区和平路108号佳腾大厦10901</w:t>
      </w:r>
    </w:p>
    <w:p w14:paraId="6B2659FA">
      <w:pPr>
        <w:pageBreakBefore w:val="0"/>
        <w:kinsoku/>
        <w:overflowPunct/>
        <w:topLinePunct w:val="0"/>
        <w:autoSpaceDE/>
        <w:autoSpaceDN/>
        <w:bidi w:val="0"/>
        <w:spacing w:line="560" w:lineRule="exact"/>
        <w:ind w:firstLine="566" w:firstLineChars="200"/>
        <w:textAlignment w:val="auto"/>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rPr>
        <w:t xml:space="preserve"> 联 系 人：</w:t>
      </w:r>
      <w:r>
        <w:rPr>
          <w:rFonts w:hint="eastAsia" w:ascii="仿宋_GB2312" w:hAnsi="仿宋_GB2312" w:eastAsia="仿宋_GB2312" w:cs="仿宋_GB2312"/>
          <w:highlight w:val="none"/>
          <w:lang w:val="en-US" w:eastAsia="zh-CN"/>
        </w:rPr>
        <w:t>王婉思、</w:t>
      </w:r>
      <w:r>
        <w:rPr>
          <w:rFonts w:hint="eastAsia" w:ascii="仿宋_GB2312" w:hAnsi="仿宋_GB2312" w:eastAsia="仿宋_GB2312" w:cs="仿宋_GB2312"/>
          <w:highlight w:val="none"/>
        </w:rPr>
        <w:t>严程</w:t>
      </w:r>
      <w:r>
        <w:rPr>
          <w:rFonts w:hint="eastAsia" w:ascii="仿宋_GB2312" w:hAnsi="仿宋_GB2312" w:eastAsia="仿宋_GB2312" w:cs="仿宋_GB2312"/>
          <w:highlight w:val="none"/>
          <w:lang w:val="en-US" w:eastAsia="zh-CN"/>
        </w:rPr>
        <w:t>、刘超瑛</w:t>
      </w:r>
    </w:p>
    <w:p w14:paraId="3D3540D5">
      <w:pPr>
        <w:pageBreakBefore w:val="0"/>
        <w:kinsoku/>
        <w:overflowPunct/>
        <w:topLinePunct w:val="0"/>
        <w:autoSpaceDE/>
        <w:autoSpaceDN/>
        <w:bidi w:val="0"/>
        <w:spacing w:line="560" w:lineRule="exact"/>
        <w:ind w:firstLine="566" w:firstLineChars="200"/>
        <w:textAlignment w:val="auto"/>
        <w:rPr>
          <w:rFonts w:ascii="仿宋_GB2312" w:hAnsi="仿宋_GB2312" w:eastAsia="仿宋_GB2312" w:cs="仿宋_GB2312"/>
          <w:highlight w:val="none"/>
        </w:rPr>
      </w:pPr>
      <w:r>
        <w:rPr>
          <w:rFonts w:hint="eastAsia" w:ascii="仿宋_GB2312" w:hAnsi="仿宋_GB2312" w:eastAsia="仿宋_GB2312" w:cs="仿宋_GB2312"/>
          <w:highlight w:val="none"/>
        </w:rPr>
        <w:t xml:space="preserve"> 联系方式：029-88660760</w:t>
      </w:r>
    </w:p>
    <w:p w14:paraId="60E15C32">
      <w:pPr>
        <w:pageBreakBefore w:val="0"/>
        <w:kinsoku/>
        <w:overflowPunct/>
        <w:topLinePunct w:val="0"/>
        <w:autoSpaceDE/>
        <w:autoSpaceDN/>
        <w:bidi w:val="0"/>
        <w:spacing w:line="560" w:lineRule="exact"/>
        <w:ind w:firstLine="566" w:firstLineChars="200"/>
        <w:textAlignment w:val="auto"/>
        <w:rPr>
          <w:rFonts w:ascii="仿宋_GB2312" w:hAnsi="仿宋_GB2312" w:eastAsia="仿宋_GB2312" w:cs="仿宋_GB2312"/>
          <w:b/>
          <w:highlight w:val="none"/>
        </w:rPr>
      </w:pPr>
      <w:r>
        <w:rPr>
          <w:rFonts w:hint="eastAsia" w:ascii="仿宋_GB2312" w:hAnsi="仿宋_GB2312" w:eastAsia="仿宋_GB2312" w:cs="仿宋_GB2312"/>
          <w:b/>
          <w:highlight w:val="none"/>
        </w:rPr>
        <w:t>六、采购内容和要求</w:t>
      </w:r>
    </w:p>
    <w:p w14:paraId="6B0E8FA8">
      <w:pPr>
        <w:pageBreakBefore w:val="0"/>
        <w:kinsoku/>
        <w:overflowPunct/>
        <w:topLinePunct w:val="0"/>
        <w:autoSpaceDE/>
        <w:autoSpaceDN/>
        <w:bidi w:val="0"/>
        <w:spacing w:line="560" w:lineRule="exact"/>
        <w:ind w:firstLine="566" w:firstLineChars="200"/>
        <w:textAlignment w:val="auto"/>
        <w:rPr>
          <w:rFonts w:hint="eastAsia" w:ascii="仿宋" w:hAnsi="仿宋" w:eastAsia="仿宋" w:cs="华文仿宋"/>
          <w:highlight w:val="none"/>
          <w:lang w:eastAsia="zh-CN"/>
        </w:rPr>
      </w:pPr>
      <w:r>
        <w:rPr>
          <w:rFonts w:hint="eastAsia" w:ascii="仿宋" w:hAnsi="仿宋" w:eastAsia="仿宋" w:cs="华文仿宋"/>
          <w:highlight w:val="none"/>
          <w:lang w:eastAsia="zh-CN"/>
        </w:rPr>
        <w:t>陕西省公共资源交易中心政府采购及相关系统运维服务合同于2024年12月31日到期，为确保中心业务系统正常使用，准备对2025年度政府采购及相关系统运维服务进行采购。</w:t>
      </w:r>
    </w:p>
    <w:p w14:paraId="2B0F11E1">
      <w:pPr>
        <w:pageBreakBefore w:val="0"/>
        <w:kinsoku/>
        <w:overflowPunct/>
        <w:topLinePunct w:val="0"/>
        <w:autoSpaceDE/>
        <w:autoSpaceDN/>
        <w:bidi w:val="0"/>
        <w:spacing w:line="560" w:lineRule="exact"/>
        <w:ind w:firstLine="566" w:firstLineChars="200"/>
        <w:textAlignment w:val="auto"/>
        <w:rPr>
          <w:rFonts w:ascii="仿宋_GB2312" w:hAnsi="仿宋_GB2312" w:eastAsia="仿宋_GB2312" w:cs="仿宋_GB2312"/>
          <w:highlight w:val="none"/>
        </w:rPr>
      </w:pPr>
      <w:r>
        <w:rPr>
          <w:rFonts w:hint="eastAsia" w:ascii="仿宋_GB2312" w:hAnsi="仿宋_GB2312" w:eastAsia="仿宋_GB2312" w:cs="仿宋_GB2312"/>
          <w:highlight w:val="none"/>
        </w:rPr>
        <w:t>采购预算：</w:t>
      </w:r>
      <w:r>
        <w:rPr>
          <w:rFonts w:hint="eastAsia" w:ascii="仿宋_GB2312" w:hAnsi="仿宋_GB2312" w:eastAsia="仿宋_GB2312" w:cs="仿宋_GB2312"/>
          <w:highlight w:val="none"/>
          <w:lang w:val="en-US" w:eastAsia="zh-CN"/>
        </w:rPr>
        <w:t>49万元</w:t>
      </w:r>
    </w:p>
    <w:p w14:paraId="3CD4484F">
      <w:pPr>
        <w:pageBreakBefore w:val="0"/>
        <w:kinsoku/>
        <w:overflowPunct/>
        <w:topLinePunct w:val="0"/>
        <w:autoSpaceDE/>
        <w:autoSpaceDN/>
        <w:bidi w:val="0"/>
        <w:spacing w:line="560" w:lineRule="exact"/>
        <w:ind w:firstLine="566" w:firstLineChars="200"/>
        <w:textAlignment w:val="auto"/>
        <w:rPr>
          <w:rFonts w:ascii="仿宋_GB2312" w:hAnsi="仿宋_GB2312" w:eastAsia="仿宋_GB2312" w:cs="仿宋_GB2312"/>
          <w:highlight w:val="none"/>
        </w:rPr>
      </w:pPr>
      <w:r>
        <w:rPr>
          <w:rFonts w:hint="eastAsia" w:ascii="仿宋_GB2312" w:hAnsi="仿宋_GB2312" w:eastAsia="仿宋_GB2312" w:cs="仿宋_GB2312"/>
          <w:highlight w:val="none"/>
        </w:rPr>
        <w:t>（详见单一来源谈判文件第三章〈</w:t>
      </w:r>
      <w:r>
        <w:rPr>
          <w:rFonts w:hint="eastAsia" w:ascii="仿宋_GB2312" w:hAnsi="仿宋_GB2312" w:eastAsia="仿宋_GB2312" w:cs="仿宋_GB2312"/>
          <w:highlight w:val="none"/>
          <w:lang w:eastAsia="zh-CN"/>
        </w:rPr>
        <w:t>采购内容及采购要求</w:t>
      </w:r>
      <w:r>
        <w:rPr>
          <w:rFonts w:hint="eastAsia" w:ascii="仿宋_GB2312" w:hAnsi="仿宋_GB2312" w:eastAsia="仿宋_GB2312" w:cs="仿宋_GB2312"/>
          <w:highlight w:val="none"/>
        </w:rPr>
        <w:t>〉）</w:t>
      </w:r>
    </w:p>
    <w:p w14:paraId="37CBCFF9">
      <w:pPr>
        <w:pageBreakBefore w:val="0"/>
        <w:kinsoku/>
        <w:overflowPunct/>
        <w:topLinePunct w:val="0"/>
        <w:autoSpaceDE/>
        <w:autoSpaceDN/>
        <w:bidi w:val="0"/>
        <w:spacing w:line="560" w:lineRule="exact"/>
        <w:ind w:firstLine="566" w:firstLineChars="200"/>
        <w:textAlignment w:val="auto"/>
        <w:rPr>
          <w:rFonts w:ascii="仿宋" w:hAnsi="仿宋" w:eastAsia="仿宋" w:cs="华文仿宋"/>
          <w:b/>
          <w:highlight w:val="none"/>
        </w:rPr>
      </w:pPr>
      <w:r>
        <w:rPr>
          <w:rFonts w:hint="eastAsia" w:ascii="仿宋" w:hAnsi="仿宋" w:eastAsia="仿宋" w:cs="华文仿宋"/>
          <w:b/>
          <w:highlight w:val="none"/>
        </w:rPr>
        <w:t>七、供应商资格要求</w:t>
      </w:r>
    </w:p>
    <w:p w14:paraId="4330696E">
      <w:pPr>
        <w:pageBreakBefore w:val="0"/>
        <w:kinsoku/>
        <w:overflowPunct/>
        <w:topLinePunct w:val="0"/>
        <w:autoSpaceDE/>
        <w:autoSpaceDN/>
        <w:bidi w:val="0"/>
        <w:spacing w:line="560" w:lineRule="exact"/>
        <w:ind w:firstLine="566" w:firstLineChars="200"/>
        <w:textAlignment w:val="auto"/>
        <w:rPr>
          <w:rFonts w:ascii="仿宋" w:hAnsi="仿宋" w:eastAsia="仿宋" w:cs="华文仿宋"/>
          <w:highlight w:val="none"/>
        </w:rPr>
      </w:pPr>
      <w:r>
        <w:rPr>
          <w:rFonts w:hint="eastAsia" w:ascii="仿宋" w:hAnsi="仿宋" w:eastAsia="仿宋" w:cs="华文仿宋"/>
          <w:highlight w:val="none"/>
        </w:rPr>
        <w:t>符合《中华人民共和国政府采购法》第二十二条的规定，并提供下列材料：</w:t>
      </w:r>
    </w:p>
    <w:p w14:paraId="7C7EB790">
      <w:pPr>
        <w:pageBreakBefore w:val="0"/>
        <w:kinsoku/>
        <w:overflowPunct/>
        <w:topLinePunct w:val="0"/>
        <w:autoSpaceDE/>
        <w:autoSpaceDN/>
        <w:bidi w:val="0"/>
        <w:spacing w:line="560" w:lineRule="exact"/>
        <w:ind w:firstLine="566" w:firstLineChars="200"/>
        <w:textAlignment w:val="auto"/>
        <w:rPr>
          <w:rFonts w:ascii="仿宋" w:hAnsi="仿宋" w:eastAsia="仿宋" w:cs="华文仿宋"/>
          <w:highlight w:val="none"/>
        </w:rPr>
      </w:pPr>
      <w:r>
        <w:rPr>
          <w:rFonts w:hint="eastAsia" w:ascii="仿宋" w:hAnsi="仿宋" w:eastAsia="仿宋" w:cs="华文仿宋"/>
          <w:highlight w:val="none"/>
        </w:rPr>
        <w:t>1、营业执照等主体资格证明文件：提供有效存续的企业营业执照（副本）/事业单位法人证书/专业服务机构执业许可证/民办非企业单位登记证书。</w:t>
      </w:r>
    </w:p>
    <w:p w14:paraId="345435BD">
      <w:pPr>
        <w:pageBreakBefore w:val="0"/>
        <w:kinsoku/>
        <w:overflowPunct/>
        <w:topLinePunct w:val="0"/>
        <w:autoSpaceDE/>
        <w:autoSpaceDN/>
        <w:bidi w:val="0"/>
        <w:spacing w:line="560" w:lineRule="exact"/>
        <w:ind w:firstLine="566" w:firstLineChars="200"/>
        <w:textAlignment w:val="auto"/>
        <w:rPr>
          <w:rFonts w:ascii="仿宋" w:hAnsi="仿宋" w:eastAsia="仿宋" w:cs="华文仿宋"/>
          <w:highlight w:val="none"/>
        </w:rPr>
      </w:pPr>
      <w:r>
        <w:rPr>
          <w:rFonts w:hint="eastAsia" w:ascii="仿宋" w:hAnsi="仿宋" w:eastAsia="仿宋" w:cs="华文仿宋"/>
          <w:highlight w:val="none"/>
        </w:rPr>
        <w:t>2、财务状况报告：</w:t>
      </w:r>
      <w:r>
        <w:rPr>
          <w:rFonts w:hint="eastAsia" w:ascii="仿宋" w:hAnsi="仿宋" w:eastAsia="仿宋" w:cs="华文仿宋"/>
          <w:highlight w:val="none"/>
          <w:lang w:eastAsia="zh-CN"/>
        </w:rPr>
        <w:t>2024年度或2023年度</w:t>
      </w:r>
      <w:r>
        <w:rPr>
          <w:rFonts w:hint="eastAsia" w:ascii="仿宋" w:hAnsi="仿宋" w:eastAsia="仿宋" w:cs="华文仿宋"/>
          <w:highlight w:val="none"/>
        </w:rPr>
        <w:t>经审计的财务会计报告（包括审计报告、资产负债表、利润表、现金流量表、所有者权益变动表及其附注</w:t>
      </w:r>
      <w:r>
        <w:rPr>
          <w:rFonts w:hint="eastAsia" w:ascii="仿宋" w:hAnsi="仿宋" w:eastAsia="仿宋" w:cs="华文仿宋"/>
          <w:highlight w:val="none"/>
          <w:lang w:val="en-US" w:eastAsia="zh-CN"/>
        </w:rPr>
        <w:t>,</w:t>
      </w:r>
      <w:r>
        <w:rPr>
          <w:rFonts w:hint="eastAsia" w:ascii="仿宋" w:hAnsi="仿宋" w:eastAsia="仿宋" w:cs="华文仿宋"/>
          <w:highlight w:val="none"/>
        </w:rPr>
        <w:t>成立时间至提交响应文件截止时间不足一年的可提供成立后任意时段的资产负债表）</w:t>
      </w:r>
      <w:r>
        <w:rPr>
          <w:rFonts w:hint="eastAsia" w:ascii="仿宋" w:hAnsi="仿宋" w:eastAsia="仿宋" w:cs="华文仿宋"/>
          <w:highlight w:val="none"/>
          <w:lang w:val="en-US" w:eastAsia="zh-CN"/>
        </w:rPr>
        <w:t>;</w:t>
      </w:r>
      <w:r>
        <w:rPr>
          <w:rFonts w:hint="eastAsia" w:ascii="仿宋" w:hAnsi="仿宋" w:eastAsia="仿宋" w:cs="华文仿宋"/>
          <w:highlight w:val="none"/>
        </w:rPr>
        <w:t>或其开标前三个月内基本存款账户开户银行出具的资信证明</w:t>
      </w:r>
      <w:r>
        <w:rPr>
          <w:rFonts w:hint="eastAsia" w:ascii="仿宋" w:hAnsi="仿宋" w:eastAsia="仿宋" w:cs="华文仿宋"/>
          <w:highlight w:val="none"/>
          <w:lang w:val="en-US" w:eastAsia="zh-CN"/>
        </w:rPr>
        <w:t>;</w:t>
      </w:r>
      <w:r>
        <w:rPr>
          <w:rFonts w:hint="eastAsia" w:ascii="仿宋" w:hAnsi="仿宋" w:eastAsia="仿宋" w:cs="华文仿宋"/>
          <w:highlight w:val="none"/>
        </w:rPr>
        <w:t>或信用担保机构出具的投标担保函。（以上三种形式的资料提供任何一种即可）。</w:t>
      </w:r>
    </w:p>
    <w:p w14:paraId="35173472">
      <w:pPr>
        <w:pageBreakBefore w:val="0"/>
        <w:kinsoku/>
        <w:overflowPunct/>
        <w:topLinePunct w:val="0"/>
        <w:autoSpaceDE/>
        <w:autoSpaceDN/>
        <w:bidi w:val="0"/>
        <w:spacing w:line="560" w:lineRule="exact"/>
        <w:ind w:firstLine="566" w:firstLineChars="200"/>
        <w:textAlignment w:val="auto"/>
        <w:rPr>
          <w:rFonts w:ascii="仿宋" w:hAnsi="仿宋" w:eastAsia="仿宋" w:cs="华文仿宋"/>
          <w:highlight w:val="none"/>
        </w:rPr>
      </w:pPr>
      <w:r>
        <w:rPr>
          <w:rFonts w:hint="eastAsia" w:ascii="仿宋" w:hAnsi="仿宋" w:eastAsia="仿宋" w:cs="华文仿宋"/>
          <w:highlight w:val="none"/>
        </w:rPr>
        <w:t>3、社保缴纳证明：提供已缴存的近一年以来至少一个月的社会保障资金缴存单据或社保机构开具的社会保险参保缴费情况证明。依法不需要缴纳社会保障资金的供应商应提供相关文件证明。</w:t>
      </w:r>
    </w:p>
    <w:p w14:paraId="65FD9067">
      <w:pPr>
        <w:pageBreakBefore w:val="0"/>
        <w:kinsoku/>
        <w:overflowPunct/>
        <w:topLinePunct w:val="0"/>
        <w:autoSpaceDE/>
        <w:autoSpaceDN/>
        <w:bidi w:val="0"/>
        <w:spacing w:line="560" w:lineRule="exact"/>
        <w:ind w:firstLine="566" w:firstLineChars="200"/>
        <w:textAlignment w:val="auto"/>
        <w:rPr>
          <w:rFonts w:ascii="仿宋" w:hAnsi="仿宋" w:eastAsia="仿宋" w:cs="华文仿宋"/>
          <w:highlight w:val="none"/>
        </w:rPr>
      </w:pPr>
      <w:r>
        <w:rPr>
          <w:rFonts w:hint="eastAsia" w:ascii="仿宋" w:hAnsi="仿宋" w:eastAsia="仿宋" w:cs="华文仿宋"/>
          <w:highlight w:val="none"/>
        </w:rPr>
        <w:t>4、税收缴纳证明：提供已缴纳的近一年以来以来至少一个月的纳税证明或完税证明（提供增值税、企业所得税至少一种），纳税证明或完税证明上应有代收机构或税务机关的公章或业务专用章。依法免税的供应商应提供相关文件证明。</w:t>
      </w:r>
    </w:p>
    <w:p w14:paraId="174E3C21">
      <w:pPr>
        <w:pageBreakBefore w:val="0"/>
        <w:kinsoku/>
        <w:overflowPunct/>
        <w:topLinePunct w:val="0"/>
        <w:autoSpaceDE/>
        <w:autoSpaceDN/>
        <w:bidi w:val="0"/>
        <w:spacing w:line="560" w:lineRule="exact"/>
        <w:ind w:firstLine="566" w:firstLineChars="200"/>
        <w:textAlignment w:val="auto"/>
        <w:rPr>
          <w:rFonts w:ascii="仿宋" w:hAnsi="仿宋" w:eastAsia="仿宋" w:cs="华文仿宋"/>
          <w:highlight w:val="none"/>
        </w:rPr>
      </w:pPr>
      <w:r>
        <w:rPr>
          <w:rFonts w:hint="eastAsia" w:ascii="仿宋" w:hAnsi="仿宋" w:eastAsia="仿宋" w:cs="华文仿宋"/>
          <w:highlight w:val="none"/>
        </w:rPr>
        <w:t>5、书面声明（信用记录）：参加本次政府采购活动前3年内在经营活动中没有重大违纪，以及未被列入失信被执行人、重大税收违法案件当事人名单、政府采购严重违法失信行为记录名单的书面声明。</w:t>
      </w:r>
    </w:p>
    <w:p w14:paraId="48E97407">
      <w:pPr>
        <w:pageBreakBefore w:val="0"/>
        <w:kinsoku/>
        <w:overflowPunct/>
        <w:topLinePunct w:val="0"/>
        <w:autoSpaceDE/>
        <w:autoSpaceDN/>
        <w:bidi w:val="0"/>
        <w:spacing w:line="560" w:lineRule="exact"/>
        <w:ind w:firstLine="566" w:firstLineChars="200"/>
        <w:textAlignment w:val="auto"/>
        <w:rPr>
          <w:rFonts w:ascii="仿宋" w:hAnsi="仿宋" w:eastAsia="仿宋" w:cs="华文仿宋"/>
          <w:highlight w:val="none"/>
        </w:rPr>
      </w:pPr>
      <w:r>
        <w:rPr>
          <w:rFonts w:hint="eastAsia" w:ascii="仿宋" w:hAnsi="仿宋" w:eastAsia="仿宋" w:cs="华文仿宋"/>
          <w:highlight w:val="none"/>
        </w:rPr>
        <w:t>6、法定代表人授权委托书：法定代表人参加投标的，须提供本人身份证复印件（附在资格证明文件中）；法定代表人授权他人参加投标的，须提供法定代表人授权委托书。谈判文件中凡是需要法定代表人盖章之处，非法人单位的负责人均参照执行。</w:t>
      </w:r>
    </w:p>
    <w:p w14:paraId="2A47D470">
      <w:pPr>
        <w:pageBreakBefore w:val="0"/>
        <w:kinsoku/>
        <w:overflowPunct/>
        <w:topLinePunct w:val="0"/>
        <w:autoSpaceDE/>
        <w:autoSpaceDN/>
        <w:bidi w:val="0"/>
        <w:spacing w:line="560" w:lineRule="exact"/>
        <w:ind w:firstLine="566" w:firstLineChars="200"/>
        <w:textAlignment w:val="auto"/>
        <w:rPr>
          <w:rFonts w:ascii="仿宋" w:hAnsi="仿宋" w:eastAsia="仿宋" w:cs="华文仿宋"/>
          <w:highlight w:val="none"/>
        </w:rPr>
      </w:pPr>
      <w:r>
        <w:rPr>
          <w:rFonts w:hint="eastAsia" w:ascii="仿宋" w:hAnsi="仿宋" w:eastAsia="仿宋" w:cs="华文仿宋"/>
          <w:highlight w:val="none"/>
        </w:rPr>
        <w:t>7、本项目不接受联合体响应，不允许分包。供应商提供《非联合体不分包投标声明》，视为独立投标，不分包。</w:t>
      </w:r>
    </w:p>
    <w:p w14:paraId="15D86A8B">
      <w:pPr>
        <w:pageBreakBefore w:val="0"/>
        <w:widowControl w:val="0"/>
        <w:kinsoku/>
        <w:overflowPunct/>
        <w:topLinePunct w:val="0"/>
        <w:autoSpaceDE/>
        <w:autoSpaceDN/>
        <w:bidi w:val="0"/>
        <w:spacing w:line="560" w:lineRule="exact"/>
        <w:ind w:firstLine="426" w:firstLineChars="200"/>
        <w:jc w:val="left"/>
        <w:textAlignment w:val="auto"/>
        <w:rPr>
          <w:rFonts w:ascii="宋体" w:hAnsi="宋体" w:eastAsia="宋体" w:cs="宋体"/>
          <w:sz w:val="21"/>
          <w:szCs w:val="21"/>
          <w:highlight w:val="none"/>
        </w:rPr>
      </w:pPr>
      <w:r>
        <w:rPr>
          <w:rFonts w:hint="eastAsia" w:ascii="宋体" w:hAnsi="宋体" w:eastAsia="宋体" w:cs="宋体"/>
          <w:sz w:val="21"/>
          <w:szCs w:val="21"/>
          <w:highlight w:val="none"/>
        </w:rPr>
        <w:t>备注：</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以上资格要求均为必备资格，缺少其中任何一项，其响应文件视为无效文件。《供应商信用记录书面声明函》、《法定代表人授权委托书》《非联合体不分包投标声明》、《书面声明》应按谈判文件第五章第一部分给定的格式填写。</w:t>
      </w:r>
    </w:p>
    <w:p w14:paraId="29A07EFA">
      <w:pPr>
        <w:pageBreakBefore w:val="0"/>
        <w:kinsoku/>
        <w:overflowPunct/>
        <w:topLinePunct w:val="0"/>
        <w:autoSpaceDE/>
        <w:autoSpaceDN/>
        <w:bidi w:val="0"/>
        <w:spacing w:line="560" w:lineRule="exact"/>
        <w:ind w:firstLine="426"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响应文件正本中的</w:t>
      </w:r>
      <w:r>
        <w:rPr>
          <w:rFonts w:hint="eastAsia" w:ascii="宋体" w:hAnsi="宋体" w:eastAsia="宋体" w:cs="宋体"/>
          <w:b/>
          <w:bCs/>
          <w:sz w:val="21"/>
          <w:szCs w:val="21"/>
          <w:highlight w:val="none"/>
        </w:rPr>
        <w:t>《供应商书面声明函》、《法定代表人授权委托书》必须附原件</w:t>
      </w:r>
      <w:r>
        <w:rPr>
          <w:rFonts w:hint="eastAsia" w:ascii="宋体" w:hAnsi="宋体" w:eastAsia="宋体" w:cs="宋体"/>
          <w:sz w:val="21"/>
          <w:szCs w:val="21"/>
          <w:highlight w:val="none"/>
        </w:rPr>
        <w:t>，其他资格证明文件提供复印件并加盖供应商公章（原件自带，以备查验）；响应文件副本中的全部资格证明文件仅需提供复印件。</w:t>
      </w:r>
    </w:p>
    <w:p w14:paraId="0B20C486">
      <w:pPr>
        <w:pageBreakBefore w:val="0"/>
        <w:kinsoku/>
        <w:overflowPunct/>
        <w:topLinePunct w:val="0"/>
        <w:autoSpaceDE/>
        <w:autoSpaceDN/>
        <w:bidi w:val="0"/>
        <w:spacing w:line="560" w:lineRule="exact"/>
        <w:ind w:firstLine="426"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分支机构参与投标时，响应文件中应附法人出具的授权书。法人只能授权一家分支机构参与投标，且不能与分支机构同时参与投标。分支机构须提供自己的资格要求证明文件。</w:t>
      </w:r>
    </w:p>
    <w:p w14:paraId="74A284FF">
      <w:pPr>
        <w:pageBreakBefore w:val="0"/>
        <w:kinsoku/>
        <w:overflowPunct/>
        <w:topLinePunct w:val="0"/>
        <w:autoSpaceDE/>
        <w:autoSpaceDN/>
        <w:bidi w:val="0"/>
        <w:spacing w:line="560" w:lineRule="exact"/>
        <w:ind w:firstLine="426"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事业单位法人参与投标可不提供财务状况报告和社会保障资金缴纳证明及税收缴纳证明。</w:t>
      </w:r>
    </w:p>
    <w:p w14:paraId="673E67F1">
      <w:pPr>
        <w:pageBreakBefore w:val="0"/>
        <w:kinsoku/>
        <w:overflowPunct/>
        <w:topLinePunct w:val="0"/>
        <w:autoSpaceDE/>
        <w:autoSpaceDN/>
        <w:bidi w:val="0"/>
        <w:spacing w:line="560" w:lineRule="exact"/>
        <w:ind w:firstLine="426"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单位负责人为同一人或存在直接控股、管理关系的不同单位，不得同时参加本项目投标活动。</w:t>
      </w:r>
    </w:p>
    <w:p w14:paraId="21A3A094">
      <w:pPr>
        <w:pageBreakBefore w:val="0"/>
        <w:kinsoku/>
        <w:overflowPunct/>
        <w:topLinePunct w:val="0"/>
        <w:autoSpaceDE/>
        <w:autoSpaceDN/>
        <w:bidi w:val="0"/>
        <w:spacing w:line="560" w:lineRule="exact"/>
        <w:ind w:firstLine="566" w:firstLineChars="200"/>
        <w:textAlignment w:val="auto"/>
        <w:rPr>
          <w:rFonts w:ascii="仿宋" w:hAnsi="仿宋" w:eastAsia="仿宋" w:cs="华文仿宋"/>
          <w:b/>
          <w:highlight w:val="none"/>
        </w:rPr>
      </w:pPr>
      <w:r>
        <w:rPr>
          <w:rFonts w:hint="eastAsia" w:ascii="仿宋" w:hAnsi="仿宋" w:eastAsia="仿宋" w:cs="华文仿宋"/>
          <w:b/>
          <w:highlight w:val="none"/>
        </w:rPr>
        <w:t>八、执行的其他政府采购政策</w:t>
      </w:r>
    </w:p>
    <w:p w14:paraId="045294C0">
      <w:pPr>
        <w:pageBreakBefore w:val="0"/>
        <w:kinsoku/>
        <w:overflowPunct/>
        <w:topLinePunct w:val="0"/>
        <w:autoSpaceDE/>
        <w:autoSpaceDN/>
        <w:bidi w:val="0"/>
        <w:spacing w:line="560" w:lineRule="exact"/>
        <w:ind w:firstLine="566" w:firstLineChars="200"/>
        <w:textAlignment w:val="auto"/>
        <w:rPr>
          <w:rFonts w:ascii="仿宋_GB2312" w:hAnsi="仿宋_GB2312" w:eastAsia="仿宋_GB2312" w:cs="仿宋_GB2312"/>
          <w:highlight w:val="none"/>
        </w:rPr>
      </w:pPr>
      <w:r>
        <w:rPr>
          <w:rFonts w:hint="eastAsia" w:ascii="仿宋_GB2312" w:hAnsi="仿宋_GB2312" w:eastAsia="仿宋_GB2312" w:cs="仿宋_GB2312"/>
          <w:highlight w:val="none"/>
        </w:rPr>
        <w:t>1、《关于在政府采购活动中查询及使用信用记录有关问题的通知》（财库〔2016〕125号）。</w:t>
      </w:r>
    </w:p>
    <w:p w14:paraId="03393D56">
      <w:pPr>
        <w:pageBreakBefore w:val="0"/>
        <w:kinsoku/>
        <w:overflowPunct/>
        <w:topLinePunct w:val="0"/>
        <w:autoSpaceDE/>
        <w:autoSpaceDN/>
        <w:bidi w:val="0"/>
        <w:spacing w:line="560" w:lineRule="exact"/>
        <w:ind w:firstLine="566" w:firstLineChars="200"/>
        <w:textAlignment w:val="auto"/>
        <w:rPr>
          <w:rFonts w:ascii="仿宋_GB2312" w:hAnsi="仿宋_GB2312" w:eastAsia="仿宋_GB2312" w:cs="仿宋_GB2312"/>
          <w:highlight w:val="none"/>
        </w:rPr>
      </w:pPr>
      <w:r>
        <w:rPr>
          <w:rFonts w:hint="eastAsia" w:ascii="仿宋_GB2312" w:hAnsi="仿宋_GB2312" w:eastAsia="仿宋_GB2312" w:cs="仿宋_GB2312"/>
          <w:highlight w:val="none"/>
        </w:rPr>
        <w:t>2、《政府采购促进中小企业发展暂行办法》（财库〔2011〕181号）、《关于政府采购支持监狱企业发展有关问题的通知》（财库〔2014〕68号）以及《关于促进残疾人就业政府采购政策的通知》（财库〔2017〕141号）。</w:t>
      </w:r>
    </w:p>
    <w:p w14:paraId="134001BC">
      <w:pPr>
        <w:pageBreakBefore w:val="0"/>
        <w:kinsoku/>
        <w:overflowPunct/>
        <w:topLinePunct w:val="0"/>
        <w:autoSpaceDE/>
        <w:autoSpaceDN/>
        <w:bidi w:val="0"/>
        <w:spacing w:line="560" w:lineRule="exact"/>
        <w:ind w:firstLine="566" w:firstLineChars="200"/>
        <w:textAlignment w:val="auto"/>
        <w:rPr>
          <w:rFonts w:ascii="仿宋_GB2312" w:hAnsi="仿宋_GB2312" w:eastAsia="仿宋_GB2312" w:cs="仿宋_GB2312"/>
          <w:highlight w:val="none"/>
        </w:rPr>
      </w:pPr>
      <w:r>
        <w:rPr>
          <w:rFonts w:hint="eastAsia" w:ascii="仿宋_GB2312" w:hAnsi="仿宋_GB2312" w:eastAsia="仿宋_GB2312" w:cs="仿宋_GB2312"/>
          <w:highlight w:val="none"/>
        </w:rPr>
        <w:t>3、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w:t>
      </w:r>
    </w:p>
    <w:p w14:paraId="14BDD99A">
      <w:pPr>
        <w:pageBreakBefore w:val="0"/>
        <w:kinsoku/>
        <w:overflowPunct/>
        <w:topLinePunct w:val="0"/>
        <w:autoSpaceDE/>
        <w:autoSpaceDN/>
        <w:bidi w:val="0"/>
        <w:spacing w:line="560" w:lineRule="exact"/>
        <w:ind w:firstLine="566" w:firstLineChars="200"/>
        <w:textAlignment w:val="auto"/>
        <w:rPr>
          <w:rFonts w:ascii="仿宋_GB2312" w:hAnsi="仿宋_GB2312" w:eastAsia="仿宋_GB2312" w:cs="仿宋_GB2312"/>
          <w:highlight w:val="none"/>
        </w:rPr>
      </w:pPr>
      <w:r>
        <w:rPr>
          <w:rFonts w:hint="eastAsia" w:ascii="仿宋_GB2312" w:hAnsi="仿宋_GB2312" w:eastAsia="仿宋_GB2312" w:cs="仿宋_GB2312"/>
          <w:highlight w:val="none"/>
        </w:rPr>
        <w:t>4、详见《供应商须知》中“落实的政府采购政策”有关内容。</w:t>
      </w:r>
    </w:p>
    <w:p w14:paraId="6A5CBD12">
      <w:pPr>
        <w:pageBreakBefore w:val="0"/>
        <w:kinsoku/>
        <w:overflowPunct/>
        <w:topLinePunct w:val="0"/>
        <w:autoSpaceDE/>
        <w:autoSpaceDN/>
        <w:bidi w:val="0"/>
        <w:spacing w:line="560" w:lineRule="exact"/>
        <w:ind w:firstLine="566" w:firstLineChars="200"/>
        <w:textAlignment w:val="auto"/>
        <w:rPr>
          <w:rFonts w:ascii="仿宋_GB2312" w:hAnsi="仿宋_GB2312" w:eastAsia="仿宋_GB2312" w:cs="仿宋_GB2312"/>
          <w:b/>
          <w:highlight w:val="none"/>
        </w:rPr>
      </w:pPr>
      <w:r>
        <w:rPr>
          <w:rFonts w:hint="eastAsia" w:ascii="仿宋_GB2312" w:hAnsi="仿宋_GB2312" w:eastAsia="仿宋_GB2312" w:cs="仿宋_GB2312"/>
          <w:b/>
          <w:highlight w:val="none"/>
        </w:rPr>
        <w:t>九、</w:t>
      </w:r>
      <w:bookmarkStart w:id="39" w:name="_Toc21797_WPSOffice_Level2"/>
      <w:r>
        <w:rPr>
          <w:rFonts w:hint="eastAsia" w:ascii="仿宋_GB2312" w:hAnsi="仿宋_GB2312" w:eastAsia="仿宋_GB2312" w:cs="仿宋_GB2312"/>
          <w:b/>
          <w:highlight w:val="none"/>
        </w:rPr>
        <w:t>获取谈判文件的时间及方式</w:t>
      </w:r>
    </w:p>
    <w:p w14:paraId="3E4CE745">
      <w:pPr>
        <w:pageBreakBefore w:val="0"/>
        <w:kinsoku/>
        <w:overflowPunct/>
        <w:topLinePunct w:val="0"/>
        <w:autoSpaceDE/>
        <w:autoSpaceDN/>
        <w:bidi w:val="0"/>
        <w:spacing w:line="560" w:lineRule="exact"/>
        <w:ind w:firstLine="566"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请于2025-10-21至2025-10-24登录全国公共资源交易平台（陕西省）（http：//www.sxggzyjy.cn/），选择“电子交易平台—政府采购交易系统”进行登录，登录后进入供应商界面后，选择有意向的项目点击“我要投标”，参与投标活动。然后即可在〖我的项目〗中点击“项目流程&gt;交易文件下载”免费下载电子谈判文件。</w:t>
      </w:r>
    </w:p>
    <w:p w14:paraId="42A7180C">
      <w:pPr>
        <w:pageBreakBefore w:val="0"/>
        <w:kinsoku/>
        <w:overflowPunct/>
        <w:topLinePunct w:val="0"/>
        <w:autoSpaceDE/>
        <w:autoSpaceDN/>
        <w:bidi w:val="0"/>
        <w:spacing w:line="560" w:lineRule="exact"/>
        <w:ind w:firstLine="566"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注：</w:t>
      </w:r>
      <w:r>
        <w:rPr>
          <w:rFonts w:hint="eastAsia" w:ascii="仿宋_GB2312" w:hAnsi="仿宋_GB2312" w:eastAsia="仿宋_GB2312" w:cs="仿宋_GB2312"/>
          <w:highlight w:val="none"/>
          <w:lang w:eastAsia="zh-CN"/>
        </w:rPr>
        <w:t>供应商</w:t>
      </w:r>
      <w:r>
        <w:rPr>
          <w:rFonts w:hint="eastAsia" w:ascii="仿宋_GB2312" w:hAnsi="仿宋_GB2312" w:eastAsia="仿宋_GB2312" w:cs="仿宋_GB2312"/>
          <w:highlight w:val="none"/>
        </w:rPr>
        <w:t>初次使用交易平台，须先完成诚信入库登记、数字认证证书（CA锁）认证及企业信息绑定。</w:t>
      </w:r>
    </w:p>
    <w:p w14:paraId="21CE26D6">
      <w:pPr>
        <w:pageBreakBefore w:val="0"/>
        <w:kinsoku/>
        <w:overflowPunct/>
        <w:topLinePunct w:val="0"/>
        <w:autoSpaceDE/>
        <w:autoSpaceDN/>
        <w:bidi w:val="0"/>
        <w:spacing w:line="560" w:lineRule="exact"/>
        <w:ind w:firstLine="566"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rPr>
        <w:t>数字认证证书（CA锁）办理流程可参照全国公共资源交易平台（陕西省）（http://www.sxggzyjy.cn/）</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选择“</w:t>
      </w:r>
      <w:r>
        <w:rPr>
          <w:rFonts w:hint="eastAsia" w:ascii="仿宋_GB2312" w:hAnsi="仿宋_GB2312" w:eastAsia="仿宋_GB2312" w:cs="仿宋_GB2312"/>
          <w:highlight w:val="none"/>
        </w:rPr>
        <w:t>服务指南—下载专区</w:t>
      </w:r>
      <w:r>
        <w:rPr>
          <w:rFonts w:hint="eastAsia" w:ascii="仿宋_GB2312" w:hAnsi="仿宋_GB2312" w:eastAsia="仿宋_GB2312" w:cs="仿宋_GB2312"/>
          <w:highlight w:val="none"/>
          <w:lang w:val="en-US" w:eastAsia="zh-CN"/>
        </w:rPr>
        <w:t>-</w:t>
      </w:r>
      <w:r>
        <w:rPr>
          <w:rFonts w:hint="eastAsia" w:ascii="仿宋_GB2312" w:hAnsi="仿宋_GB2312" w:eastAsia="仿宋_GB2312" w:cs="仿宋_GB2312"/>
          <w:highlight w:val="none"/>
        </w:rPr>
        <w:t>陕西省公共资源多CA办理须知</w:t>
      </w:r>
      <w:r>
        <w:rPr>
          <w:rFonts w:hint="eastAsia" w:ascii="仿宋_GB2312" w:hAnsi="仿宋_GB2312" w:eastAsia="仿宋_GB2312" w:cs="仿宋_GB2312"/>
          <w:highlight w:val="none"/>
          <w:lang w:val="en-US" w:eastAsia="zh-CN"/>
        </w:rPr>
        <w:t>”，</w:t>
      </w:r>
      <w:r>
        <w:rPr>
          <w:rFonts w:hint="eastAsia" w:ascii="仿宋_GB2312" w:hAnsi="仿宋_GB2312" w:eastAsia="仿宋_GB2312" w:cs="仿宋_GB2312"/>
          <w:highlight w:val="none"/>
        </w:rPr>
        <w:t>咨询电话：029-88661241</w:t>
      </w:r>
      <w:r>
        <w:rPr>
          <w:rFonts w:hint="eastAsia" w:ascii="仿宋_GB2312" w:hAnsi="仿宋_GB2312" w:eastAsia="仿宋_GB2312" w:cs="仿宋_GB2312"/>
          <w:highlight w:val="none"/>
          <w:lang w:val="en-US" w:eastAsia="zh-CN"/>
        </w:rPr>
        <w:t>或</w:t>
      </w:r>
      <w:r>
        <w:rPr>
          <w:rFonts w:hint="eastAsia" w:ascii="仿宋_GB2312" w:hAnsi="仿宋_GB2312" w:eastAsia="仿宋_GB2312" w:cs="仿宋_GB2312"/>
          <w:highlight w:val="none"/>
        </w:rPr>
        <w:t>4006369888</w:t>
      </w:r>
      <w:r>
        <w:rPr>
          <w:rFonts w:hint="eastAsia" w:ascii="仿宋_GB2312" w:hAnsi="仿宋_GB2312" w:eastAsia="仿宋_GB2312" w:cs="仿宋_GB2312"/>
          <w:highlight w:val="none"/>
          <w:lang w:eastAsia="zh-CN"/>
        </w:rPr>
        <w:t>。</w:t>
      </w:r>
    </w:p>
    <w:p w14:paraId="78D8B559">
      <w:pPr>
        <w:pageBreakBefore w:val="0"/>
        <w:kinsoku/>
        <w:overflowPunct/>
        <w:topLinePunct w:val="0"/>
        <w:autoSpaceDE/>
        <w:autoSpaceDN/>
        <w:bidi w:val="0"/>
        <w:spacing w:line="560" w:lineRule="exact"/>
        <w:ind w:firstLine="566" w:firstLineChars="200"/>
        <w:textAlignment w:val="auto"/>
        <w:rPr>
          <w:rFonts w:ascii="仿宋_GB2312" w:hAnsi="仿宋_GB2312" w:eastAsia="仿宋_GB2312" w:cs="仿宋_GB2312"/>
          <w:b/>
          <w:highlight w:val="none"/>
        </w:rPr>
      </w:pPr>
      <w:r>
        <w:rPr>
          <w:rFonts w:hint="eastAsia" w:ascii="仿宋_GB2312" w:hAnsi="仿宋_GB2312" w:eastAsia="仿宋_GB2312" w:cs="仿宋_GB2312"/>
          <w:b/>
          <w:highlight w:val="none"/>
          <w:lang w:val="zh-CN"/>
        </w:rPr>
        <w:t>十、</w:t>
      </w:r>
      <w:bookmarkEnd w:id="39"/>
      <w:r>
        <w:rPr>
          <w:rFonts w:hint="eastAsia" w:ascii="仿宋_GB2312" w:hAnsi="仿宋_GB2312" w:eastAsia="仿宋_GB2312" w:cs="仿宋_GB2312"/>
          <w:b/>
          <w:highlight w:val="none"/>
        </w:rPr>
        <w:t>交纳谈判保证金</w:t>
      </w:r>
    </w:p>
    <w:p w14:paraId="2F6BE133">
      <w:pPr>
        <w:pageBreakBefore w:val="0"/>
        <w:kinsoku/>
        <w:overflowPunct/>
        <w:topLinePunct w:val="0"/>
        <w:autoSpaceDE/>
        <w:autoSpaceDN/>
        <w:bidi w:val="0"/>
        <w:spacing w:line="560" w:lineRule="exact"/>
        <w:ind w:firstLine="566" w:firstLineChars="200"/>
        <w:textAlignment w:val="auto"/>
        <w:rPr>
          <w:rFonts w:ascii="仿宋_GB2312" w:hAnsi="仿宋_GB2312" w:eastAsia="仿宋_GB2312" w:cs="仿宋_GB2312"/>
          <w:bCs/>
          <w:highlight w:val="none"/>
        </w:rPr>
      </w:pPr>
      <w:r>
        <w:rPr>
          <w:rFonts w:hint="eastAsia" w:ascii="仿宋_GB2312" w:hAnsi="仿宋_GB2312" w:eastAsia="仿宋_GB2312" w:cs="仿宋_GB2312"/>
          <w:bCs/>
          <w:highlight w:val="none"/>
        </w:rPr>
        <w:t>本项目不收取保证金</w:t>
      </w:r>
    </w:p>
    <w:p w14:paraId="49CC680D">
      <w:pPr>
        <w:pageBreakBefore w:val="0"/>
        <w:kinsoku/>
        <w:overflowPunct/>
        <w:topLinePunct w:val="0"/>
        <w:autoSpaceDE/>
        <w:autoSpaceDN/>
        <w:bidi w:val="0"/>
        <w:spacing w:line="560" w:lineRule="exact"/>
        <w:ind w:firstLine="566" w:firstLineChars="200"/>
        <w:textAlignment w:val="auto"/>
        <w:rPr>
          <w:rFonts w:ascii="仿宋_GB2312" w:hAnsi="仿宋_GB2312" w:eastAsia="仿宋_GB2312" w:cs="仿宋_GB2312"/>
          <w:highlight w:val="none"/>
        </w:rPr>
      </w:pPr>
      <w:r>
        <w:rPr>
          <w:rFonts w:hint="eastAsia" w:ascii="仿宋_GB2312" w:hAnsi="仿宋_GB2312" w:eastAsia="仿宋_GB2312" w:cs="仿宋_GB2312"/>
          <w:b/>
          <w:highlight w:val="none"/>
        </w:rPr>
        <w:t>十一、提交响应文件截止时间及谈判时间和地点</w:t>
      </w:r>
    </w:p>
    <w:p w14:paraId="69438D24">
      <w:pPr>
        <w:pageBreakBefore w:val="0"/>
        <w:kinsoku/>
        <w:wordWrap/>
        <w:overflowPunct/>
        <w:topLinePunct w:val="0"/>
        <w:autoSpaceDE/>
        <w:autoSpaceDN/>
        <w:bidi w:val="0"/>
        <w:adjustRightInd w:val="0"/>
        <w:snapToGrid w:val="0"/>
        <w:spacing w:line="560" w:lineRule="exact"/>
        <w:ind w:firstLine="566"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1、提交响应文件份数：纸质投标文件递交</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正本一份，</w:t>
      </w:r>
      <w:bookmarkStart w:id="622" w:name="_GoBack"/>
      <w:bookmarkEnd w:id="622"/>
      <w:r>
        <w:rPr>
          <w:rFonts w:hint="eastAsia" w:ascii="仿宋_GB2312" w:hAnsi="仿宋_GB2312" w:eastAsia="仿宋_GB2312" w:cs="仿宋_GB2312"/>
          <w:highlight w:val="none"/>
          <w:lang w:eastAsia="zh-CN"/>
        </w:rPr>
        <w:t>副本二份</w:t>
      </w:r>
      <w:r>
        <w:rPr>
          <w:rFonts w:hint="eastAsia" w:ascii="仿宋_GB2312" w:hAnsi="仿宋_GB2312" w:eastAsia="仿宋_GB2312" w:cs="仿宋_GB2312"/>
          <w:highlight w:val="none"/>
        </w:rPr>
        <w:t>，电子文件u盘一份。</w:t>
      </w:r>
    </w:p>
    <w:p w14:paraId="641E3351">
      <w:pPr>
        <w:pageBreakBefore w:val="0"/>
        <w:kinsoku/>
        <w:overflowPunct/>
        <w:topLinePunct w:val="0"/>
        <w:autoSpaceDE/>
        <w:autoSpaceDN/>
        <w:bidi w:val="0"/>
        <w:adjustRightInd w:val="0"/>
        <w:snapToGrid w:val="0"/>
        <w:spacing w:line="560" w:lineRule="exact"/>
        <w:ind w:firstLine="566"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rPr>
        <w:t>2、提交响应文件截止时间：</w:t>
      </w:r>
      <w:r>
        <w:rPr>
          <w:rFonts w:hint="eastAsia" w:ascii="仿宋_GB2312" w:hAnsi="仿宋_GB2312" w:eastAsia="仿宋_GB2312" w:cs="仿宋_GB2312"/>
          <w:highlight w:val="none"/>
          <w:lang w:eastAsia="zh-CN"/>
        </w:rPr>
        <w:t>2025年</w:t>
      </w:r>
      <w:r>
        <w:rPr>
          <w:rFonts w:hint="eastAsia" w:ascii="仿宋_GB2312" w:hAnsi="仿宋_GB2312" w:eastAsia="仿宋_GB2312" w:cs="仿宋_GB2312"/>
          <w:highlight w:val="none"/>
          <w:lang w:val="en-US" w:eastAsia="zh-CN"/>
        </w:rPr>
        <w:t>10月27日14:30</w:t>
      </w:r>
    </w:p>
    <w:p w14:paraId="0F21FDF3">
      <w:pPr>
        <w:pageBreakBefore w:val="0"/>
        <w:kinsoku/>
        <w:overflowPunct/>
        <w:topLinePunct w:val="0"/>
        <w:autoSpaceDE/>
        <w:autoSpaceDN/>
        <w:bidi w:val="0"/>
        <w:adjustRightInd w:val="0"/>
        <w:snapToGrid w:val="0"/>
        <w:spacing w:line="560" w:lineRule="exact"/>
        <w:ind w:firstLine="566"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rPr>
        <w:t>3、</w:t>
      </w:r>
      <w:r>
        <w:rPr>
          <w:rFonts w:hint="eastAsia" w:ascii="仿宋_GB2312" w:hAnsi="仿宋_GB2312" w:eastAsia="仿宋_GB2312" w:cs="仿宋_GB2312"/>
          <w:highlight w:val="none"/>
          <w:lang w:val="en-US" w:eastAsia="zh-CN"/>
        </w:rPr>
        <w:t>开标</w:t>
      </w:r>
      <w:r>
        <w:rPr>
          <w:rFonts w:hint="eastAsia" w:ascii="仿宋_GB2312" w:hAnsi="仿宋_GB2312" w:eastAsia="仿宋_GB2312" w:cs="仿宋_GB2312"/>
          <w:highlight w:val="none"/>
        </w:rPr>
        <w:t>时间：</w:t>
      </w:r>
      <w:r>
        <w:rPr>
          <w:rFonts w:hint="eastAsia" w:ascii="仿宋_GB2312" w:hAnsi="仿宋_GB2312" w:eastAsia="仿宋_GB2312" w:cs="仿宋_GB2312"/>
          <w:highlight w:val="none"/>
          <w:lang w:val="en-US" w:eastAsia="zh-CN"/>
        </w:rPr>
        <w:t>同提交响应文件截止时间</w:t>
      </w:r>
    </w:p>
    <w:p w14:paraId="2B225B18">
      <w:pPr>
        <w:pageBreakBefore w:val="0"/>
        <w:kinsoku/>
        <w:overflowPunct/>
        <w:topLinePunct w:val="0"/>
        <w:autoSpaceDE/>
        <w:autoSpaceDN/>
        <w:bidi w:val="0"/>
        <w:adjustRightInd w:val="0"/>
        <w:snapToGrid w:val="0"/>
        <w:spacing w:line="560" w:lineRule="exact"/>
        <w:ind w:firstLine="566"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rPr>
        <w:t>4、开标地点：</w:t>
      </w:r>
      <w:r>
        <w:rPr>
          <w:rFonts w:hint="eastAsia" w:ascii="仿宋_GB2312" w:hAnsi="仿宋_GB2312" w:eastAsia="仿宋_GB2312" w:cs="仿宋_GB2312"/>
          <w:highlight w:val="none"/>
          <w:lang w:val="en-US" w:eastAsia="zh-CN"/>
        </w:rPr>
        <w:t>陕西省公共资源交易中心开标室309室。</w:t>
      </w:r>
    </w:p>
    <w:p w14:paraId="3AD86098">
      <w:pPr>
        <w:pageBreakBefore w:val="0"/>
        <w:kinsoku/>
        <w:overflowPunct/>
        <w:topLinePunct w:val="0"/>
        <w:autoSpaceDE/>
        <w:autoSpaceDN/>
        <w:bidi w:val="0"/>
        <w:adjustRightInd w:val="0"/>
        <w:snapToGrid w:val="0"/>
        <w:spacing w:line="560" w:lineRule="exact"/>
        <w:ind w:firstLine="566" w:firstLineChars="200"/>
        <w:textAlignment w:val="auto"/>
        <w:rPr>
          <w:rFonts w:hint="eastAsia" w:ascii="仿宋_GB2312" w:hAnsi="仿宋_GB2312" w:eastAsia="仿宋_GB2312" w:cs="仿宋_GB2312"/>
          <w:b/>
          <w:highlight w:val="none"/>
        </w:rPr>
      </w:pPr>
      <w:r>
        <w:rPr>
          <w:rFonts w:hint="eastAsia" w:ascii="仿宋_GB2312" w:hAnsi="仿宋_GB2312" w:eastAsia="仿宋_GB2312" w:cs="仿宋_GB2312"/>
          <w:b/>
          <w:kern w:val="0"/>
          <w:highlight w:val="none"/>
        </w:rPr>
        <w:t>十二、</w:t>
      </w:r>
      <w:r>
        <w:rPr>
          <w:rFonts w:hint="eastAsia" w:ascii="仿宋_GB2312" w:hAnsi="仿宋_GB2312" w:eastAsia="仿宋_GB2312" w:cs="仿宋_GB2312"/>
          <w:b/>
          <w:highlight w:val="none"/>
        </w:rPr>
        <w:t>其他补充事宜</w:t>
      </w:r>
    </w:p>
    <w:p w14:paraId="0FB8A585">
      <w:pPr>
        <w:pageBreakBefore w:val="0"/>
        <w:kinsoku/>
        <w:overflowPunct/>
        <w:topLinePunct w:val="0"/>
        <w:autoSpaceDE/>
        <w:autoSpaceDN/>
        <w:bidi w:val="0"/>
        <w:spacing w:line="560" w:lineRule="exact"/>
        <w:ind w:firstLine="566" w:firstLineChars="200"/>
        <w:textAlignment w:val="auto"/>
        <w:rPr>
          <w:rFonts w:ascii="仿宋" w:hAnsi="仿宋" w:eastAsia="仿宋" w:cs="华文仿宋"/>
          <w:kern w:val="0"/>
          <w:highlight w:val="none"/>
        </w:rPr>
      </w:pPr>
      <w:r>
        <w:rPr>
          <w:rFonts w:hint="eastAsia" w:ascii="仿宋" w:hAnsi="仿宋" w:eastAsia="仿宋" w:cs="华文仿宋"/>
          <w:kern w:val="0"/>
          <w:highlight w:val="none"/>
          <w:lang w:val="en-US" w:eastAsia="zh-CN"/>
        </w:rPr>
        <w:t>无。</w:t>
      </w:r>
      <w:r>
        <w:rPr>
          <w:rFonts w:hint="eastAsia" w:ascii="仿宋" w:hAnsi="仿宋" w:eastAsia="仿宋" w:cs="华文仿宋"/>
          <w:kern w:val="0"/>
          <w:highlight w:val="none"/>
        </w:rPr>
        <w:br w:type="page"/>
      </w:r>
    </w:p>
    <w:p w14:paraId="31E322B8">
      <w:pPr>
        <w:pStyle w:val="3"/>
        <w:pageBreakBefore w:val="0"/>
        <w:kinsoku/>
        <w:overflowPunct/>
        <w:topLinePunct w:val="0"/>
        <w:autoSpaceDE/>
        <w:autoSpaceDN/>
        <w:bidi w:val="0"/>
        <w:spacing w:line="560" w:lineRule="exact"/>
        <w:ind w:firstLine="646" w:firstLineChars="200"/>
        <w:textAlignment w:val="auto"/>
        <w:rPr>
          <w:rFonts w:ascii="黑体" w:hAnsi="黑体" w:eastAsia="黑体" w:cs="黑体"/>
          <w:b w:val="0"/>
          <w:bCs w:val="0"/>
          <w:sz w:val="32"/>
          <w:szCs w:val="32"/>
          <w:highlight w:val="none"/>
        </w:rPr>
      </w:pPr>
      <w:bookmarkStart w:id="40" w:name="_Toc19538"/>
      <w:bookmarkStart w:id="41" w:name="_Toc30916"/>
      <w:bookmarkStart w:id="42" w:name="_Toc14941"/>
      <w:bookmarkStart w:id="43" w:name="_Toc31579"/>
      <w:r>
        <w:rPr>
          <w:rFonts w:hint="eastAsia" w:ascii="黑体" w:hAnsi="黑体" w:eastAsia="黑体" w:cs="黑体"/>
          <w:b w:val="0"/>
          <w:bCs w:val="0"/>
          <w:sz w:val="32"/>
          <w:szCs w:val="32"/>
          <w:highlight w:val="none"/>
        </w:rPr>
        <w:t>第二章  供应商须知</w:t>
      </w:r>
      <w:bookmarkEnd w:id="16"/>
      <w:bookmarkEnd w:id="17"/>
      <w:bookmarkEnd w:id="18"/>
      <w:bookmarkEnd w:id="19"/>
      <w:bookmarkEnd w:id="20"/>
      <w:bookmarkEnd w:id="21"/>
      <w:bookmarkEnd w:id="22"/>
      <w:bookmarkEnd w:id="23"/>
      <w:bookmarkEnd w:id="24"/>
      <w:bookmarkEnd w:id="25"/>
      <w:bookmarkEnd w:id="26"/>
      <w:bookmarkEnd w:id="27"/>
      <w:bookmarkEnd w:id="40"/>
      <w:bookmarkEnd w:id="41"/>
      <w:bookmarkEnd w:id="42"/>
      <w:bookmarkEnd w:id="43"/>
    </w:p>
    <w:p w14:paraId="2D5F0F50">
      <w:pPr>
        <w:pStyle w:val="4"/>
        <w:pageBreakBefore w:val="0"/>
        <w:kinsoku/>
        <w:overflowPunct/>
        <w:topLinePunct w:val="0"/>
        <w:autoSpaceDE/>
        <w:autoSpaceDN/>
        <w:bidi w:val="0"/>
        <w:spacing w:line="560" w:lineRule="exact"/>
        <w:ind w:firstLine="566" w:firstLineChars="200"/>
        <w:textAlignment w:val="auto"/>
        <w:rPr>
          <w:highlight w:val="none"/>
        </w:rPr>
      </w:pPr>
      <w:bookmarkStart w:id="44" w:name="_Toc28681220"/>
      <w:bookmarkStart w:id="45" w:name="_Toc26992"/>
      <w:bookmarkStart w:id="46" w:name="_Toc8492"/>
      <w:bookmarkStart w:id="47" w:name="_Toc23077"/>
      <w:bookmarkStart w:id="48" w:name="_Toc228"/>
      <w:bookmarkStart w:id="49" w:name="_Toc15207"/>
      <w:bookmarkStart w:id="50" w:name="_Toc14529"/>
      <w:bookmarkStart w:id="51" w:name="_Toc10473"/>
      <w:bookmarkStart w:id="52" w:name="_Toc15111"/>
      <w:bookmarkStart w:id="53" w:name="_Toc8128"/>
      <w:bookmarkStart w:id="54" w:name="_Toc2095"/>
      <w:bookmarkStart w:id="55" w:name="_Toc1711"/>
      <w:bookmarkStart w:id="56" w:name="_Toc8660"/>
      <w:bookmarkStart w:id="57" w:name="_Toc14670"/>
      <w:r>
        <w:rPr>
          <w:rFonts w:hint="eastAsia"/>
          <w:highlight w:val="none"/>
        </w:rPr>
        <w:t>一、定义</w:t>
      </w:r>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50C6B799">
      <w:pPr>
        <w:pageBreakBefore w:val="0"/>
        <w:kinsoku/>
        <w:overflowPunct/>
        <w:topLinePunct w:val="0"/>
        <w:autoSpaceDE/>
        <w:autoSpaceDN/>
        <w:bidi w:val="0"/>
        <w:spacing w:line="560" w:lineRule="exact"/>
        <w:ind w:firstLine="566" w:firstLineChars="200"/>
        <w:textAlignment w:val="auto"/>
        <w:rPr>
          <w:rFonts w:hint="eastAsia" w:ascii="宋体" w:hAnsi="宋体" w:eastAsia="仿宋" w:cs="宋体"/>
          <w:sz w:val="24"/>
          <w:szCs w:val="24"/>
          <w:highlight w:val="none"/>
          <w:lang w:eastAsia="zh-CN"/>
        </w:rPr>
      </w:pPr>
      <w:r>
        <w:rPr>
          <w:rFonts w:hint="eastAsia" w:ascii="仿宋" w:hAnsi="仿宋" w:eastAsia="仿宋" w:cs="仿宋"/>
          <w:highlight w:val="none"/>
        </w:rPr>
        <w:t>（一）</w:t>
      </w:r>
      <w:r>
        <w:rPr>
          <w:rFonts w:hint="eastAsia" w:ascii="仿宋" w:hAnsi="仿宋" w:eastAsia="仿宋" w:cs="仿宋"/>
          <w:b/>
          <w:bCs/>
          <w:highlight w:val="none"/>
        </w:rPr>
        <w:t>采 购 人</w:t>
      </w:r>
      <w:r>
        <w:rPr>
          <w:rFonts w:hint="eastAsia" w:ascii="仿宋" w:hAnsi="仿宋" w:eastAsia="仿宋" w:cs="仿宋"/>
          <w:highlight w:val="none"/>
        </w:rPr>
        <w:t>：</w:t>
      </w:r>
      <w:r>
        <w:rPr>
          <w:rFonts w:hint="eastAsia" w:ascii="仿宋" w:hAnsi="仿宋" w:eastAsia="仿宋" w:cs="仿宋"/>
          <w:highlight w:val="none"/>
          <w:lang w:eastAsia="zh-CN"/>
        </w:rPr>
        <w:t>陕西省公共资源交易中心</w:t>
      </w:r>
    </w:p>
    <w:p w14:paraId="06B8B455">
      <w:pPr>
        <w:pageBreakBefore w:val="0"/>
        <w:kinsoku/>
        <w:overflowPunct/>
        <w:topLinePunct w:val="0"/>
        <w:autoSpaceDE/>
        <w:autoSpaceDN/>
        <w:bidi w:val="0"/>
        <w:spacing w:line="560" w:lineRule="exact"/>
        <w:ind w:firstLine="566" w:firstLineChars="200"/>
        <w:textAlignment w:val="auto"/>
        <w:rPr>
          <w:rFonts w:hint="eastAsia" w:ascii="仿宋" w:hAnsi="仿宋" w:eastAsia="仿宋" w:cs="仿宋"/>
          <w:highlight w:val="none"/>
          <w:lang w:eastAsia="zh-CN"/>
        </w:rPr>
      </w:pPr>
      <w:r>
        <w:rPr>
          <w:rFonts w:hint="eastAsia" w:ascii="仿宋" w:hAnsi="仿宋" w:eastAsia="仿宋" w:cs="仿宋"/>
          <w:highlight w:val="none"/>
        </w:rPr>
        <w:t>（二）</w:t>
      </w:r>
      <w:r>
        <w:rPr>
          <w:rFonts w:hint="eastAsia" w:ascii="仿宋" w:hAnsi="仿宋" w:eastAsia="仿宋" w:cs="仿宋"/>
          <w:b/>
          <w:bCs/>
          <w:highlight w:val="none"/>
        </w:rPr>
        <w:t>监督机构</w:t>
      </w:r>
      <w:r>
        <w:rPr>
          <w:rFonts w:hint="eastAsia" w:ascii="仿宋" w:hAnsi="仿宋" w:eastAsia="仿宋" w:cs="仿宋"/>
          <w:highlight w:val="none"/>
        </w:rPr>
        <w:t>：</w:t>
      </w:r>
      <w:r>
        <w:rPr>
          <w:rFonts w:hint="eastAsia" w:ascii="仿宋" w:hAnsi="仿宋" w:eastAsia="仿宋" w:cs="仿宋"/>
          <w:highlight w:val="none"/>
          <w:lang w:eastAsia="zh-CN"/>
        </w:rPr>
        <w:t>陕西省公共资源交易中心</w:t>
      </w:r>
    </w:p>
    <w:p w14:paraId="2A9305A7">
      <w:pPr>
        <w:pageBreakBefore w:val="0"/>
        <w:kinsoku/>
        <w:overflowPunct/>
        <w:topLinePunct w:val="0"/>
        <w:autoSpaceDE/>
        <w:autoSpaceDN/>
        <w:bidi w:val="0"/>
        <w:spacing w:line="560" w:lineRule="exact"/>
        <w:ind w:firstLine="566" w:firstLineChars="200"/>
        <w:textAlignment w:val="auto"/>
        <w:rPr>
          <w:rFonts w:ascii="宋体" w:hAnsi="宋体" w:eastAsia="仿宋" w:cs="宋体"/>
          <w:bCs/>
          <w:sz w:val="24"/>
          <w:szCs w:val="24"/>
          <w:highlight w:val="none"/>
        </w:rPr>
      </w:pPr>
      <w:r>
        <w:rPr>
          <w:rFonts w:hint="eastAsia" w:ascii="仿宋" w:hAnsi="仿宋" w:eastAsia="仿宋" w:cs="仿宋"/>
          <w:highlight w:val="none"/>
        </w:rPr>
        <w:t>（三）</w:t>
      </w:r>
      <w:r>
        <w:rPr>
          <w:rFonts w:hint="eastAsia" w:ascii="仿宋" w:hAnsi="仿宋" w:eastAsia="仿宋" w:cs="仿宋"/>
          <w:b/>
          <w:bCs/>
          <w:highlight w:val="none"/>
        </w:rPr>
        <w:t>采购代理机构</w:t>
      </w:r>
      <w:r>
        <w:rPr>
          <w:rFonts w:hint="eastAsia" w:ascii="仿宋" w:hAnsi="仿宋" w:eastAsia="仿宋" w:cs="仿宋"/>
          <w:highlight w:val="none"/>
        </w:rPr>
        <w:t>：陕西中发项目管理发展有限公司</w:t>
      </w:r>
    </w:p>
    <w:p w14:paraId="2BD0185C">
      <w:pPr>
        <w:pageBreakBefore w:val="0"/>
        <w:kinsoku/>
        <w:overflowPunct/>
        <w:topLinePunct w:val="0"/>
        <w:autoSpaceDE/>
        <w:autoSpaceDN/>
        <w:bidi w:val="0"/>
        <w:spacing w:line="560" w:lineRule="exact"/>
        <w:ind w:firstLine="566" w:firstLineChars="200"/>
        <w:textAlignment w:val="auto"/>
        <w:rPr>
          <w:rFonts w:ascii="仿宋" w:hAnsi="仿宋" w:eastAsia="仿宋"/>
          <w:highlight w:val="none"/>
        </w:rPr>
      </w:pPr>
      <w:r>
        <w:rPr>
          <w:rFonts w:hint="eastAsia" w:ascii="仿宋" w:hAnsi="仿宋" w:eastAsia="仿宋" w:cs="仿宋"/>
          <w:highlight w:val="none"/>
        </w:rPr>
        <w:t>（四）</w:t>
      </w:r>
      <w:r>
        <w:rPr>
          <w:rFonts w:hint="eastAsia" w:ascii="仿宋" w:hAnsi="仿宋" w:eastAsia="仿宋" w:cs="仿宋"/>
          <w:b/>
          <w:bCs/>
          <w:highlight w:val="none"/>
        </w:rPr>
        <w:t>供 应 商</w:t>
      </w:r>
      <w:r>
        <w:rPr>
          <w:rFonts w:hint="eastAsia" w:ascii="仿宋" w:hAnsi="仿宋" w:eastAsia="仿宋" w:cs="仿宋"/>
          <w:highlight w:val="none"/>
        </w:rPr>
        <w:t>：</w:t>
      </w:r>
      <w:r>
        <w:rPr>
          <w:rFonts w:hint="eastAsia" w:ascii="仿宋" w:hAnsi="仿宋" w:eastAsia="仿宋" w:cs="仿宋"/>
          <w:highlight w:val="none"/>
          <w:lang w:val="en-US" w:eastAsia="zh-CN"/>
        </w:rPr>
        <w:t>国泰新点软件股份有限公司</w:t>
      </w:r>
    </w:p>
    <w:p w14:paraId="5748E13A">
      <w:pPr>
        <w:pStyle w:val="22"/>
        <w:pageBreakBefore w:val="0"/>
        <w:kinsoku/>
        <w:overflowPunct/>
        <w:topLinePunct w:val="0"/>
        <w:autoSpaceDE/>
        <w:autoSpaceDN/>
        <w:bidi w:val="0"/>
        <w:spacing w:after="0" w:line="560" w:lineRule="exact"/>
        <w:ind w:firstLine="566" w:firstLineChars="200"/>
        <w:textAlignment w:val="auto"/>
        <w:rPr>
          <w:rFonts w:hint="default" w:ascii="仿宋" w:hAnsi="仿宋" w:eastAsia="仿宋" w:cs="仿宋"/>
          <w:highlight w:val="none"/>
          <w:lang w:val="en-US" w:eastAsia="zh-CN"/>
        </w:rPr>
      </w:pPr>
      <w:r>
        <w:rPr>
          <w:rFonts w:hint="eastAsia" w:ascii="仿宋" w:hAnsi="仿宋" w:eastAsia="仿宋"/>
          <w:highlight w:val="none"/>
        </w:rPr>
        <w:t>（五）</w:t>
      </w:r>
      <w:r>
        <w:rPr>
          <w:rFonts w:hint="eastAsia" w:ascii="仿宋" w:hAnsi="仿宋" w:eastAsia="仿宋"/>
          <w:b/>
          <w:bCs/>
          <w:highlight w:val="none"/>
          <w:lang w:eastAsia="zh-CN"/>
        </w:rPr>
        <w:t>服务期</w:t>
      </w:r>
      <w:r>
        <w:rPr>
          <w:rFonts w:hint="eastAsia" w:ascii="仿宋" w:hAnsi="仿宋" w:eastAsia="仿宋"/>
          <w:b/>
          <w:bCs/>
          <w:highlight w:val="none"/>
        </w:rPr>
        <w:t>：</w:t>
      </w:r>
      <w:r>
        <w:rPr>
          <w:rFonts w:hint="eastAsia" w:ascii="仿宋" w:hAnsi="仿宋" w:eastAsia="仿宋" w:cs="仿宋"/>
          <w:kern w:val="2"/>
          <w:sz w:val="28"/>
          <w:szCs w:val="28"/>
          <w:highlight w:val="none"/>
          <w:lang w:val="en-US" w:eastAsia="zh-CN" w:bidi="ar-SA"/>
        </w:rPr>
        <w:t>一年</w:t>
      </w:r>
    </w:p>
    <w:p w14:paraId="34CA6289">
      <w:pPr>
        <w:pStyle w:val="4"/>
        <w:pageBreakBefore w:val="0"/>
        <w:kinsoku/>
        <w:overflowPunct/>
        <w:topLinePunct w:val="0"/>
        <w:autoSpaceDE/>
        <w:autoSpaceDN/>
        <w:bidi w:val="0"/>
        <w:spacing w:line="560" w:lineRule="exact"/>
        <w:ind w:firstLine="566" w:firstLineChars="200"/>
        <w:textAlignment w:val="auto"/>
        <w:rPr>
          <w:highlight w:val="none"/>
        </w:rPr>
      </w:pPr>
      <w:bookmarkStart w:id="58" w:name="_Toc21376"/>
      <w:bookmarkStart w:id="59" w:name="_Toc13590"/>
      <w:bookmarkStart w:id="60" w:name="_Toc26571"/>
      <w:bookmarkStart w:id="61" w:name="_Toc24643"/>
      <w:bookmarkStart w:id="62" w:name="_Toc4157"/>
      <w:bookmarkStart w:id="63" w:name="_Toc5691"/>
      <w:bookmarkStart w:id="64" w:name="_Toc28897"/>
      <w:bookmarkStart w:id="65" w:name="_Toc19117"/>
      <w:bookmarkStart w:id="66" w:name="_Toc8777"/>
      <w:bookmarkStart w:id="67" w:name="_Toc1748"/>
      <w:bookmarkStart w:id="68" w:name="_Toc9598"/>
      <w:bookmarkStart w:id="69" w:name="_Toc32518"/>
      <w:bookmarkStart w:id="70" w:name="_Toc28681221"/>
      <w:bookmarkStart w:id="71" w:name="_Toc240"/>
      <w:r>
        <w:rPr>
          <w:highlight w:val="none"/>
        </w:rPr>
        <w:t>二、</w:t>
      </w:r>
      <w:r>
        <w:rPr>
          <w:rFonts w:hint="eastAsia"/>
          <w:highlight w:val="none"/>
        </w:rPr>
        <w:t>供应商</w:t>
      </w:r>
      <w:r>
        <w:rPr>
          <w:highlight w:val="none"/>
        </w:rPr>
        <w:t>注意事项</w:t>
      </w:r>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694B4E82">
      <w:pPr>
        <w:pStyle w:val="7"/>
        <w:pageBreakBefore w:val="0"/>
        <w:kinsoku/>
        <w:overflowPunct/>
        <w:topLinePunct w:val="0"/>
        <w:autoSpaceDE/>
        <w:autoSpaceDN/>
        <w:bidi w:val="0"/>
        <w:spacing w:line="560" w:lineRule="exact"/>
        <w:textAlignment w:val="auto"/>
        <w:rPr>
          <w:highlight w:val="none"/>
        </w:rPr>
      </w:pPr>
      <w:bookmarkStart w:id="72" w:name="_Toc28681222"/>
      <w:r>
        <w:rPr>
          <w:rFonts w:hint="eastAsia"/>
          <w:highlight w:val="none"/>
        </w:rPr>
        <w:t>（一）询问</w:t>
      </w:r>
      <w:bookmarkEnd w:id="72"/>
    </w:p>
    <w:p w14:paraId="558778D4">
      <w:pPr>
        <w:pageBreakBefore w:val="0"/>
        <w:kinsoku/>
        <w:overflowPunct/>
        <w:topLinePunct w:val="0"/>
        <w:autoSpaceDE/>
        <w:autoSpaceDN/>
        <w:bidi w:val="0"/>
        <w:spacing w:line="560" w:lineRule="exact"/>
        <w:ind w:firstLine="566" w:firstLineChars="200"/>
        <w:textAlignment w:val="auto"/>
        <w:rPr>
          <w:rFonts w:ascii="仿宋" w:hAnsi="仿宋" w:eastAsia="仿宋"/>
          <w:highlight w:val="none"/>
        </w:rPr>
      </w:pPr>
      <w:r>
        <w:rPr>
          <w:rFonts w:hint="eastAsia" w:ascii="仿宋" w:hAnsi="仿宋" w:eastAsia="仿宋" w:cs="仿宋"/>
          <w:highlight w:val="none"/>
        </w:rPr>
        <w:t>供应商对政府采购活动事项有疑问的，可以向采购人或陕西中发项目管理发展有限公司提出询问。采购人或陕西中发项目管理发展有限公司将在3个工作日内对供应商依法提出的询问做出答复。询问内容超出采购人对陕西中发项目管理发展有限公司委托授权范围的，供应商应当向采购人提出。</w:t>
      </w:r>
    </w:p>
    <w:p w14:paraId="0E85896F">
      <w:pPr>
        <w:pStyle w:val="7"/>
        <w:pageBreakBefore w:val="0"/>
        <w:kinsoku/>
        <w:overflowPunct/>
        <w:topLinePunct w:val="0"/>
        <w:autoSpaceDE/>
        <w:autoSpaceDN/>
        <w:bidi w:val="0"/>
        <w:spacing w:line="560" w:lineRule="exact"/>
        <w:textAlignment w:val="auto"/>
        <w:rPr>
          <w:highlight w:val="none"/>
        </w:rPr>
      </w:pPr>
      <w:bookmarkStart w:id="73" w:name="_Toc28681223"/>
      <w:r>
        <w:rPr>
          <w:rFonts w:hint="eastAsia"/>
          <w:highlight w:val="none"/>
        </w:rPr>
        <w:t>（二）现场踏勘及标前答疑会</w:t>
      </w:r>
      <w:bookmarkEnd w:id="73"/>
    </w:p>
    <w:p w14:paraId="050FA492">
      <w:pPr>
        <w:pageBreakBefore w:val="0"/>
        <w:kinsoku/>
        <w:overflowPunct/>
        <w:topLinePunct w:val="0"/>
        <w:autoSpaceDE/>
        <w:autoSpaceDN/>
        <w:bidi w:val="0"/>
        <w:spacing w:line="560" w:lineRule="exact"/>
        <w:ind w:firstLine="566" w:firstLineChars="200"/>
        <w:textAlignment w:val="auto"/>
        <w:rPr>
          <w:rFonts w:ascii="仿宋" w:hAnsi="仿宋" w:eastAsia="仿宋" w:cs="华文仿宋"/>
          <w:bCs/>
          <w:highlight w:val="none"/>
        </w:rPr>
      </w:pPr>
      <w:r>
        <w:rPr>
          <w:rFonts w:hint="eastAsia" w:ascii="仿宋" w:hAnsi="仿宋" w:eastAsia="仿宋" w:cs="华文仿宋"/>
          <w:bCs/>
          <w:highlight w:val="none"/>
        </w:rPr>
        <w:t>对于有计划举行项目现场踏勘和标前答疑会的，潜在供应商的项目主要负责人等须按时出席。需要答疑的问题各供应商可以口头或书面形式做出。采购代理机构、采购人将共同对各供应商提出的问题进行答复，并对供应商书面提出的问题形成答疑纪要，在网上发布公告。答疑纪要与谈判文件中不一致的内容，以答疑纪要为准。凡未参加现场踏勘和标前答疑的供应商，由此造成的偏差由各供应商自行负责。</w:t>
      </w:r>
    </w:p>
    <w:p w14:paraId="07636F93">
      <w:pPr>
        <w:pageBreakBefore w:val="0"/>
        <w:kinsoku/>
        <w:overflowPunct/>
        <w:topLinePunct w:val="0"/>
        <w:autoSpaceDE/>
        <w:autoSpaceDN/>
        <w:bidi w:val="0"/>
        <w:spacing w:line="560" w:lineRule="exact"/>
        <w:ind w:firstLine="566" w:firstLineChars="200"/>
        <w:textAlignment w:val="auto"/>
        <w:rPr>
          <w:rFonts w:ascii="仿宋" w:hAnsi="仿宋" w:eastAsia="仿宋" w:cs="华文仿宋"/>
          <w:bCs/>
          <w:highlight w:val="none"/>
        </w:rPr>
      </w:pPr>
      <w:r>
        <w:rPr>
          <w:rFonts w:hint="eastAsia" w:ascii="仿宋" w:hAnsi="仿宋" w:eastAsia="仿宋" w:cs="华文仿宋"/>
          <w:b/>
          <w:bCs/>
          <w:highlight w:val="none"/>
        </w:rPr>
        <w:t>本项目不组织集中踏勘和答疑。</w:t>
      </w:r>
    </w:p>
    <w:p w14:paraId="40D16AB6">
      <w:pPr>
        <w:pStyle w:val="7"/>
        <w:pageBreakBefore w:val="0"/>
        <w:kinsoku/>
        <w:overflowPunct/>
        <w:topLinePunct w:val="0"/>
        <w:autoSpaceDE/>
        <w:autoSpaceDN/>
        <w:bidi w:val="0"/>
        <w:spacing w:line="560" w:lineRule="exact"/>
        <w:textAlignment w:val="auto"/>
        <w:rPr>
          <w:highlight w:val="none"/>
        </w:rPr>
      </w:pPr>
      <w:bookmarkStart w:id="74" w:name="_Toc28681224"/>
      <w:r>
        <w:rPr>
          <w:rFonts w:hint="eastAsia"/>
          <w:highlight w:val="none"/>
        </w:rPr>
        <w:t>（三）</w:t>
      </w:r>
      <w:r>
        <w:rPr>
          <w:highlight w:val="none"/>
        </w:rPr>
        <w:t>质疑和投诉</w:t>
      </w:r>
      <w:bookmarkEnd w:id="74"/>
    </w:p>
    <w:p w14:paraId="4C1E7A22">
      <w:pPr>
        <w:pageBreakBefore w:val="0"/>
        <w:kinsoku/>
        <w:overflowPunct/>
        <w:topLinePunct w:val="0"/>
        <w:autoSpaceDE/>
        <w:autoSpaceDN/>
        <w:bidi w:val="0"/>
        <w:spacing w:line="560" w:lineRule="exact"/>
        <w:ind w:firstLine="566" w:firstLineChars="200"/>
        <w:contextualSpacing/>
        <w:textAlignment w:val="auto"/>
        <w:rPr>
          <w:rFonts w:ascii="仿宋" w:hAnsi="华文仿宋" w:eastAsia="仿宋" w:cs="华文仿宋"/>
          <w:highlight w:val="none"/>
        </w:rPr>
      </w:pPr>
      <w:r>
        <w:rPr>
          <w:rFonts w:hint="eastAsia" w:ascii="仿宋" w:hAnsi="华文仿宋" w:eastAsia="仿宋" w:cs="华文仿宋"/>
          <w:highlight w:val="none"/>
        </w:rPr>
        <w:t>供应商如果认为谈判文件中涉及的采购需求（包括供应商资格条件、评审要素及分值设置、采购内容和要求、合同条款等）使自身的合法权益受到损害，可以在获取谈判文件之日起７个工作日内，以书面形式向采购人提出质疑；供应商如果认为采购程序、采购过程或成交结果使自身的合法权益受到损害，可以在法定期限内，以书面形式向</w:t>
      </w:r>
      <w:r>
        <w:rPr>
          <w:rFonts w:hint="eastAsia" w:ascii="仿宋" w:hAnsi="仿宋" w:eastAsia="仿宋" w:cs="仿宋"/>
          <w:highlight w:val="none"/>
        </w:rPr>
        <w:t>陕西中发项目管理发展有限公司</w:t>
      </w:r>
      <w:r>
        <w:rPr>
          <w:rFonts w:hint="eastAsia" w:ascii="仿宋" w:hAnsi="华文仿宋" w:eastAsia="仿宋" w:cs="华文仿宋"/>
          <w:highlight w:val="none"/>
        </w:rPr>
        <w:t>提出质疑。</w:t>
      </w:r>
    </w:p>
    <w:p w14:paraId="10744738">
      <w:pPr>
        <w:pageBreakBefore w:val="0"/>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hint="eastAsia" w:ascii="仿宋" w:hAnsi="华文仿宋" w:eastAsia="仿宋" w:cs="华文仿宋"/>
          <w:highlight w:val="none"/>
        </w:rPr>
        <w:t>1、供应商提出质疑应当提交质疑函和必要的证明材料，并按财政部《质疑函范本》给定的格式进行填写，范本下载详见【财政部国库司（gks.mof.gov.cn）】网站〖首页•〉政府采购管理〗栏目中的《政府采购供应商质疑函范本》。</w:t>
      </w:r>
    </w:p>
    <w:p w14:paraId="38FB3551">
      <w:pPr>
        <w:pageBreakBefore w:val="0"/>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hint="eastAsia" w:ascii="仿宋" w:hAnsi="华文仿宋" w:eastAsia="仿宋" w:cs="华文仿宋"/>
          <w:highlight w:val="none"/>
        </w:rPr>
        <w:t>《政府采购供应商质疑函范本》链接地址：</w:t>
      </w:r>
    </w:p>
    <w:p w14:paraId="622C15DA">
      <w:pPr>
        <w:pageBreakBefore w:val="0"/>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ascii="仿宋" w:hAnsi="华文仿宋" w:eastAsia="仿宋" w:cs="华文仿宋"/>
          <w:highlight w:val="none"/>
        </w:rPr>
        <w:t>http://gks.mof.gov.cn/zhengfucaigouguanli/201802/t20180201_2804589.html</w:t>
      </w:r>
    </w:p>
    <w:p w14:paraId="00C6001C">
      <w:pPr>
        <w:pageBreakBefore w:val="0"/>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hint="eastAsia" w:ascii="仿宋" w:hAnsi="华文仿宋" w:eastAsia="仿宋" w:cs="华文仿宋"/>
          <w:highlight w:val="none"/>
        </w:rPr>
        <w:t>2、质疑人为自然人的，应当由本人签字；质疑人为法人或者其他组织的，应当由法定代表人、主要负责人，或者其授权代表签字或者盖章，并加盖公章。授权代表办理质疑事项时，除提交质疑函外，还应当提交授权委托书及授权代表的有效身份证明，授权委托书应当载明委托代理的具体权限和事项。</w:t>
      </w:r>
    </w:p>
    <w:p w14:paraId="184CE235">
      <w:pPr>
        <w:pageBreakBefore w:val="0"/>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hint="eastAsia" w:ascii="仿宋" w:hAnsi="华文仿宋" w:eastAsia="仿宋" w:cs="华文仿宋"/>
          <w:highlight w:val="none"/>
        </w:rPr>
        <w:t>3、在法定质疑期内，针对同一采购程序环节的质疑应当一次性提出。采购代理机构或采购人将在收到书面质疑后7个工作日内做出答复，并以书面形式通知质疑人和其他有关供应商。</w:t>
      </w:r>
    </w:p>
    <w:p w14:paraId="2B6B5AD4">
      <w:pPr>
        <w:pageBreakBefore w:val="0"/>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hint="eastAsia" w:ascii="仿宋" w:hAnsi="华文仿宋" w:eastAsia="仿宋" w:cs="华文仿宋"/>
          <w:highlight w:val="none"/>
        </w:rPr>
        <w:t>4、有下列情形之一的，属于无效质疑，陕西中发项目管理发展有限公司和采购人不予受理：</w:t>
      </w:r>
    </w:p>
    <w:p w14:paraId="4563647F">
      <w:pPr>
        <w:pageBreakBefore w:val="0"/>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hint="eastAsia" w:ascii="仿宋" w:hAnsi="华文仿宋" w:eastAsia="仿宋" w:cs="华文仿宋"/>
          <w:highlight w:val="none"/>
        </w:rPr>
        <w:t>（1）质疑人不是参与本次政府采购项目的供应商或潜在供应商；</w:t>
      </w:r>
    </w:p>
    <w:p w14:paraId="16E66295">
      <w:pPr>
        <w:pageBreakBefore w:val="0"/>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hint="eastAsia" w:ascii="仿宋" w:hAnsi="华文仿宋" w:eastAsia="仿宋" w:cs="华文仿宋"/>
          <w:highlight w:val="none"/>
        </w:rPr>
        <w:t>（2）质疑人与质疑事项不存在利害关系的；</w:t>
      </w:r>
    </w:p>
    <w:p w14:paraId="6C2A5B88">
      <w:pPr>
        <w:pageBreakBefore w:val="0"/>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hint="eastAsia" w:ascii="仿宋" w:hAnsi="华文仿宋" w:eastAsia="仿宋" w:cs="华文仿宋"/>
          <w:highlight w:val="none"/>
        </w:rPr>
        <w:t>（3）未在法定期限内提出质疑的；</w:t>
      </w:r>
    </w:p>
    <w:p w14:paraId="63E4BEE4">
      <w:pPr>
        <w:pageBreakBefore w:val="0"/>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hint="eastAsia" w:ascii="仿宋" w:hAnsi="华文仿宋" w:eastAsia="仿宋" w:cs="华文仿宋"/>
          <w:highlight w:val="none"/>
        </w:rPr>
        <w:t>（4）质疑未以书面形式提出，或质疑函主要内容构成不完整的，或缺乏必要的证明材料及证明材料不完整的；</w:t>
      </w:r>
    </w:p>
    <w:p w14:paraId="78694FEB">
      <w:pPr>
        <w:pageBreakBefore w:val="0"/>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hint="eastAsia" w:ascii="仿宋" w:hAnsi="华文仿宋" w:eastAsia="仿宋" w:cs="华文仿宋"/>
          <w:highlight w:val="none"/>
        </w:rPr>
        <w:t>（5）质疑函没有合法有效的签字、盖章或授权的；</w:t>
      </w:r>
    </w:p>
    <w:p w14:paraId="12EB7B50">
      <w:pPr>
        <w:pageBreakBefore w:val="0"/>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hint="eastAsia" w:ascii="仿宋" w:hAnsi="华文仿宋" w:eastAsia="仿宋" w:cs="华文仿宋"/>
          <w:highlight w:val="none"/>
        </w:rPr>
        <w:t>（6）以非法手段取得证据、材料的；</w:t>
      </w:r>
    </w:p>
    <w:p w14:paraId="7CA82D16">
      <w:pPr>
        <w:pageBreakBefore w:val="0"/>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hint="eastAsia" w:ascii="仿宋" w:hAnsi="华文仿宋" w:eastAsia="仿宋" w:cs="华文仿宋"/>
          <w:highlight w:val="none"/>
        </w:rPr>
        <w:t>（7）质疑答复后，同一质疑人就同一事项再次提出质疑的；</w:t>
      </w:r>
    </w:p>
    <w:p w14:paraId="3F2CBBC9">
      <w:pPr>
        <w:pageBreakBefore w:val="0"/>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hint="eastAsia" w:ascii="仿宋" w:hAnsi="华文仿宋" w:eastAsia="仿宋" w:cs="华文仿宋"/>
          <w:highlight w:val="none"/>
        </w:rPr>
        <w:t>（8）不符合法律、法规、规章和政府采购监管机构规定的其他条件的。</w:t>
      </w:r>
    </w:p>
    <w:p w14:paraId="73B614CB">
      <w:pPr>
        <w:pageBreakBefore w:val="0"/>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hint="eastAsia" w:ascii="仿宋" w:hAnsi="华文仿宋" w:eastAsia="仿宋" w:cs="华文仿宋"/>
          <w:highlight w:val="none"/>
        </w:rPr>
        <w:t>5、质疑人对</w:t>
      </w:r>
      <w:r>
        <w:rPr>
          <w:rFonts w:hint="eastAsia" w:ascii="仿宋" w:hAnsi="仿宋" w:eastAsia="仿宋" w:cs="仿宋"/>
          <w:highlight w:val="none"/>
        </w:rPr>
        <w:t>陕西中发项目管理发展有限公司</w:t>
      </w:r>
      <w:r>
        <w:rPr>
          <w:rFonts w:hint="eastAsia" w:ascii="仿宋" w:hAnsi="华文仿宋" w:eastAsia="仿宋" w:cs="华文仿宋"/>
          <w:highlight w:val="none"/>
        </w:rPr>
        <w:t>或采购人的答复不满意，以及陕西中发项目管理发展有限公司或采购人未在规定时间内做出答复的，可以在答复期满后15个工作日内向政府采购监管机构提出投诉。</w:t>
      </w:r>
    </w:p>
    <w:p w14:paraId="1AC42E29">
      <w:pPr>
        <w:pageBreakBefore w:val="0"/>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hint="eastAsia" w:ascii="仿宋" w:hAnsi="华文仿宋" w:eastAsia="仿宋" w:cs="华文仿宋"/>
          <w:highlight w:val="none"/>
        </w:rPr>
        <w:t>6、供应商投诉的事项不得超出已质疑事项的范围。</w:t>
      </w:r>
    </w:p>
    <w:p w14:paraId="7A120277">
      <w:pPr>
        <w:pageBreakBefore w:val="0"/>
        <w:kinsoku/>
        <w:overflowPunct/>
        <w:topLinePunct w:val="0"/>
        <w:autoSpaceDE/>
        <w:autoSpaceDN/>
        <w:bidi w:val="0"/>
        <w:spacing w:line="560" w:lineRule="exact"/>
        <w:ind w:firstLine="566" w:firstLineChars="200"/>
        <w:textAlignment w:val="auto"/>
        <w:rPr>
          <w:rFonts w:ascii="仿宋" w:hAnsi="华文仿宋" w:eastAsia="仿宋" w:cs="华文仿宋"/>
          <w:b/>
          <w:highlight w:val="none"/>
        </w:rPr>
      </w:pPr>
      <w:r>
        <w:rPr>
          <w:rFonts w:hint="eastAsia" w:ascii="仿宋" w:hAnsi="华文仿宋" w:eastAsia="仿宋" w:cs="华文仿宋"/>
          <w:highlight w:val="none"/>
        </w:rPr>
        <w:t>7、</w:t>
      </w:r>
      <w:r>
        <w:rPr>
          <w:rFonts w:hint="eastAsia" w:ascii="仿宋" w:hAnsi="华文仿宋" w:eastAsia="仿宋" w:cs="华文仿宋"/>
          <w:b/>
          <w:highlight w:val="none"/>
        </w:rPr>
        <w:t>对捏造事实、提供虚假材料进行质疑、投诉的行为予以严肃处理：</w:t>
      </w:r>
    </w:p>
    <w:p w14:paraId="77003D8E">
      <w:pPr>
        <w:pageBreakBefore w:val="0"/>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hint="eastAsia" w:eastAsia="仿宋"/>
          <w:highlight w:val="none"/>
        </w:rPr>
        <w:t>依据《中华人民共和国政府采购法》及其实施条例、《政府采购质疑和投诉办法》等法律法规文件的规定，供应商质疑、投诉应当有明确的请求和必要的证明材料。对于捏造事实、提供虚假材料或者以非法手段取得证明材料进行投诉的，财政部门应当予以驳回，并将其列入不良行为记录名单，禁止其一至三年内参加政府采购活动。</w:t>
      </w:r>
    </w:p>
    <w:p w14:paraId="421E8F3C">
      <w:pPr>
        <w:pageBreakBefore w:val="0"/>
        <w:kinsoku/>
        <w:overflowPunct/>
        <w:topLinePunct w:val="0"/>
        <w:autoSpaceDE/>
        <w:autoSpaceDN/>
        <w:bidi w:val="0"/>
        <w:spacing w:line="560" w:lineRule="exact"/>
        <w:ind w:firstLine="566" w:firstLineChars="200"/>
        <w:textAlignment w:val="auto"/>
        <w:rPr>
          <w:rFonts w:ascii="仿宋" w:hAnsi="华文仿宋" w:eastAsia="仿宋" w:cs="华文仿宋"/>
          <w:b/>
          <w:highlight w:val="none"/>
        </w:rPr>
      </w:pPr>
      <w:r>
        <w:rPr>
          <w:rFonts w:hint="eastAsia" w:ascii="仿宋" w:hAnsi="华文仿宋" w:eastAsia="仿宋" w:cs="华文仿宋"/>
          <w:highlight w:val="none"/>
        </w:rPr>
        <w:t>8、</w:t>
      </w:r>
      <w:r>
        <w:rPr>
          <w:rFonts w:hint="eastAsia" w:ascii="仿宋" w:hAnsi="华文仿宋" w:eastAsia="仿宋" w:cs="华文仿宋"/>
          <w:b/>
          <w:highlight w:val="none"/>
        </w:rPr>
        <w:t>对捏造事实诬告陷害他人、诽谤他人的法律适用：</w:t>
      </w:r>
    </w:p>
    <w:p w14:paraId="545A2AFA">
      <w:pPr>
        <w:pageBreakBefore w:val="0"/>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hint="eastAsia" w:ascii="仿宋" w:hAnsi="华文仿宋" w:eastAsia="仿宋" w:cs="华文仿宋"/>
          <w:highlight w:val="none"/>
        </w:rPr>
        <w:t>《中华人民共和国刑法》第243条【诬告陷害罪】捏造事实诬告陷害他人，意图使他人受刑事追究，情节严重的，处三年以下有期徒刑、拘役或者管制；造成严重后果的，处三年以上十年以下有期徒刑。</w:t>
      </w:r>
    </w:p>
    <w:p w14:paraId="3A251157">
      <w:pPr>
        <w:pageBreakBefore w:val="0"/>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hint="eastAsia" w:ascii="仿宋" w:hAnsi="华文仿宋" w:eastAsia="仿宋" w:cs="华文仿宋"/>
          <w:highlight w:val="none"/>
        </w:rPr>
        <w:t>《中华人民共和国刑法》第246条【侮辱罪、诽谤罪】以暴力或者其他方法公然侮辱他人或者捏造事实诽谤他人，情节严重的，处三年以下有期徒刑、拘役、管制或者剥夺政治权利。</w:t>
      </w:r>
    </w:p>
    <w:p w14:paraId="20E06B6A">
      <w:pPr>
        <w:pStyle w:val="7"/>
        <w:pageBreakBefore w:val="0"/>
        <w:kinsoku/>
        <w:overflowPunct/>
        <w:topLinePunct w:val="0"/>
        <w:autoSpaceDE/>
        <w:autoSpaceDN/>
        <w:bidi w:val="0"/>
        <w:spacing w:line="560" w:lineRule="exact"/>
        <w:textAlignment w:val="auto"/>
        <w:rPr>
          <w:highlight w:val="none"/>
        </w:rPr>
      </w:pPr>
      <w:bookmarkStart w:id="75" w:name="_Toc28681225"/>
      <w:r>
        <w:rPr>
          <w:rFonts w:hint="eastAsia"/>
          <w:kern w:val="0"/>
          <w:highlight w:val="none"/>
        </w:rPr>
        <w:t>（四）</w:t>
      </w:r>
      <w:r>
        <w:rPr>
          <w:rFonts w:hint="eastAsia"/>
          <w:highlight w:val="none"/>
        </w:rPr>
        <w:t>关于信用记录的查询和使用</w:t>
      </w:r>
      <w:bookmarkEnd w:id="75"/>
    </w:p>
    <w:p w14:paraId="32988615">
      <w:pPr>
        <w:pStyle w:val="47"/>
        <w:pageBreakBefore w:val="0"/>
        <w:kinsoku/>
        <w:overflowPunct/>
        <w:topLinePunct w:val="0"/>
        <w:autoSpaceDE/>
        <w:autoSpaceDN/>
        <w:bidi w:val="0"/>
        <w:spacing w:line="560" w:lineRule="exact"/>
        <w:ind w:firstLine="566" w:firstLineChars="200"/>
        <w:contextualSpacing/>
        <w:textAlignment w:val="auto"/>
        <w:rPr>
          <w:rFonts w:ascii="仿宋" w:hAnsi="仿宋" w:eastAsia="仿宋"/>
          <w:highlight w:val="none"/>
        </w:rPr>
      </w:pPr>
      <w:r>
        <w:rPr>
          <w:rFonts w:hint="eastAsia" w:ascii="仿宋" w:hAnsi="仿宋" w:eastAsia="仿宋"/>
          <w:highlight w:val="none"/>
        </w:rPr>
        <w:t>1、</w:t>
      </w:r>
      <w:r>
        <w:rPr>
          <w:rFonts w:hint="eastAsia" w:ascii="仿宋" w:hAnsi="仿宋" w:eastAsia="仿宋"/>
          <w:highlight w:val="none"/>
          <w:lang w:val="en-US" w:eastAsia="zh-CN"/>
        </w:rPr>
        <w:t>采购人</w:t>
      </w:r>
      <w:r>
        <w:rPr>
          <w:rFonts w:hint="eastAsia" w:ascii="仿宋" w:hAnsi="仿宋" w:eastAsia="仿宋"/>
          <w:highlight w:val="none"/>
        </w:rPr>
        <w:t>将在资格审查阶段通过【</w:t>
      </w:r>
      <w:r>
        <w:rPr>
          <w:rFonts w:eastAsia="仿宋"/>
          <w:highlight w:val="none"/>
        </w:rPr>
        <w:fldChar w:fldCharType="begin"/>
      </w:r>
      <w:r>
        <w:rPr>
          <w:rFonts w:eastAsia="仿宋"/>
          <w:highlight w:val="none"/>
        </w:rPr>
        <w:instrText xml:space="preserve"> HYPERLINK "http://www.creditchina.gov.cn" </w:instrText>
      </w:r>
      <w:r>
        <w:rPr>
          <w:rFonts w:eastAsia="仿宋"/>
          <w:highlight w:val="none"/>
        </w:rPr>
        <w:fldChar w:fldCharType="separate"/>
      </w:r>
      <w:r>
        <w:rPr>
          <w:rFonts w:hint="eastAsia" w:ascii="仿宋" w:hAnsi="仿宋" w:eastAsia="仿宋"/>
          <w:highlight w:val="none"/>
        </w:rPr>
        <w:t>信用中国</w:t>
      </w:r>
      <w:r>
        <w:rPr>
          <w:rFonts w:hint="eastAsia" w:ascii="仿宋" w:hAnsi="仿宋" w:eastAsia="仿宋"/>
          <w:highlight w:val="none"/>
        </w:rPr>
        <w:fldChar w:fldCharType="end"/>
      </w:r>
      <w:r>
        <w:rPr>
          <w:rFonts w:hint="eastAsia" w:ascii="仿宋" w:hAnsi="仿宋" w:eastAsia="仿宋"/>
          <w:highlight w:val="none"/>
        </w:rPr>
        <w:t>（www.creditchina.gov.cn）】、【</w:t>
      </w:r>
      <w:r>
        <w:rPr>
          <w:rFonts w:eastAsia="仿宋"/>
          <w:highlight w:val="none"/>
        </w:rPr>
        <w:fldChar w:fldCharType="begin"/>
      </w:r>
      <w:r>
        <w:rPr>
          <w:rFonts w:eastAsia="仿宋"/>
          <w:highlight w:val="none"/>
        </w:rPr>
        <w:instrText xml:space="preserve"> HYPERLINK "http://www.ccgp.gov.cn/cr/list" </w:instrText>
      </w:r>
      <w:r>
        <w:rPr>
          <w:rFonts w:eastAsia="仿宋"/>
          <w:highlight w:val="none"/>
        </w:rPr>
        <w:fldChar w:fldCharType="separate"/>
      </w:r>
      <w:r>
        <w:rPr>
          <w:rFonts w:hint="eastAsia" w:ascii="仿宋" w:hAnsi="仿宋" w:eastAsia="仿宋"/>
          <w:highlight w:val="none"/>
        </w:rPr>
        <w:t>中国政府采购网</w:t>
      </w:r>
      <w:r>
        <w:rPr>
          <w:rFonts w:hint="eastAsia" w:ascii="仿宋" w:hAnsi="仿宋" w:eastAsia="仿宋"/>
          <w:highlight w:val="none"/>
        </w:rPr>
        <w:fldChar w:fldCharType="end"/>
      </w:r>
      <w:r>
        <w:rPr>
          <w:rFonts w:hint="eastAsia" w:ascii="仿宋" w:hAnsi="仿宋" w:eastAsia="仿宋"/>
          <w:highlight w:val="none"/>
        </w:rPr>
        <w:t>（www.ccgp.gov.cn）】网站对响应文件正本中的《供应商书面声明函》的信用情况进行甄别。对列入失信被执行人、重大税收违法案件当事人名单、政府采购严重违法失信行为记录名单及其他不符合《中华人民共和国政府采购法》第二十二条规定条件的供应商，根据《关于在政府采购活动中查询及使用信用记录有关问题的通知》（财库〔2016〕125号）的第二条第（三）款规定，其投标或成交资格将被取消。</w:t>
      </w:r>
    </w:p>
    <w:p w14:paraId="595C1FF6">
      <w:pPr>
        <w:pStyle w:val="47"/>
        <w:pageBreakBefore w:val="0"/>
        <w:kinsoku/>
        <w:overflowPunct/>
        <w:topLinePunct w:val="0"/>
        <w:autoSpaceDE/>
        <w:autoSpaceDN/>
        <w:bidi w:val="0"/>
        <w:spacing w:line="560" w:lineRule="exact"/>
        <w:ind w:firstLine="566" w:firstLineChars="200"/>
        <w:contextualSpacing/>
        <w:textAlignment w:val="auto"/>
        <w:rPr>
          <w:rFonts w:ascii="仿宋" w:hAnsi="仿宋" w:eastAsia="仿宋"/>
          <w:highlight w:val="none"/>
        </w:rPr>
      </w:pPr>
      <w:r>
        <w:rPr>
          <w:rFonts w:hint="eastAsia" w:ascii="仿宋" w:hAnsi="仿宋" w:eastAsia="仿宋"/>
          <w:highlight w:val="none"/>
        </w:rPr>
        <w:t>2、供应商在参加政府采购活动前3年内因违法经营被禁止在一定期限内参加政府采购活动，期限届满的，可以参加政府采购活动的，但供应商应提供相关证明材料。</w:t>
      </w:r>
    </w:p>
    <w:p w14:paraId="22AB3174">
      <w:pPr>
        <w:pStyle w:val="47"/>
        <w:pageBreakBefore w:val="0"/>
        <w:kinsoku/>
        <w:overflowPunct/>
        <w:topLinePunct w:val="0"/>
        <w:autoSpaceDE/>
        <w:autoSpaceDN/>
        <w:bidi w:val="0"/>
        <w:spacing w:line="560" w:lineRule="exact"/>
        <w:ind w:firstLine="566" w:firstLineChars="200"/>
        <w:contextualSpacing/>
        <w:textAlignment w:val="auto"/>
        <w:rPr>
          <w:rFonts w:ascii="仿宋" w:hAnsi="仿宋" w:eastAsia="仿宋"/>
          <w:highlight w:val="none"/>
        </w:rPr>
      </w:pPr>
      <w:r>
        <w:rPr>
          <w:rFonts w:hint="eastAsia" w:ascii="仿宋" w:hAnsi="仿宋" w:eastAsia="仿宋"/>
          <w:highlight w:val="none"/>
        </w:rPr>
        <w:t xml:space="preserve">3、供应商信用记录查询的时间段为“单一来源邀请函发出之日（含当日）至提交响应文件截止之日（不含当日）”。信用记录查询的结果，可以纸质截图或将截图保存至电子介质的形式留存。供应商未如实填报《供应商书面声明函》的，视为“供应商提供虚假材料谋取中标、成交的”行为。 </w:t>
      </w:r>
    </w:p>
    <w:p w14:paraId="597EC07C">
      <w:pPr>
        <w:pStyle w:val="47"/>
        <w:pageBreakBefore w:val="0"/>
        <w:kinsoku/>
        <w:overflowPunct/>
        <w:topLinePunct w:val="0"/>
        <w:autoSpaceDE/>
        <w:autoSpaceDN/>
        <w:bidi w:val="0"/>
        <w:spacing w:line="560" w:lineRule="exact"/>
        <w:ind w:firstLine="566" w:firstLineChars="200"/>
        <w:contextualSpacing/>
        <w:textAlignment w:val="auto"/>
        <w:rPr>
          <w:rFonts w:ascii="仿宋" w:hAnsi="仿宋" w:eastAsia="仿宋"/>
          <w:highlight w:val="none"/>
        </w:rPr>
      </w:pPr>
      <w:r>
        <w:rPr>
          <w:rFonts w:hint="eastAsia" w:ascii="仿宋" w:hAnsi="仿宋" w:eastAsia="仿宋"/>
          <w:highlight w:val="none"/>
        </w:rPr>
        <w:t>4、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033C493">
      <w:pPr>
        <w:pStyle w:val="7"/>
        <w:pageBreakBefore w:val="0"/>
        <w:kinsoku/>
        <w:overflowPunct/>
        <w:topLinePunct w:val="0"/>
        <w:autoSpaceDE/>
        <w:autoSpaceDN/>
        <w:bidi w:val="0"/>
        <w:spacing w:line="560" w:lineRule="exact"/>
        <w:textAlignment w:val="auto"/>
        <w:rPr>
          <w:highlight w:val="none"/>
        </w:rPr>
      </w:pPr>
      <w:bookmarkStart w:id="76" w:name="_Toc28681226"/>
      <w:r>
        <w:rPr>
          <w:rFonts w:hint="eastAsia"/>
          <w:highlight w:val="none"/>
        </w:rPr>
        <w:t>（五）落实的政府采购政策</w:t>
      </w:r>
      <w:bookmarkEnd w:id="76"/>
    </w:p>
    <w:p w14:paraId="28DFB41F">
      <w:pPr>
        <w:pageBreakBefore w:val="0"/>
        <w:kinsoku/>
        <w:overflowPunct/>
        <w:topLinePunct w:val="0"/>
        <w:autoSpaceDE/>
        <w:autoSpaceDN/>
        <w:bidi w:val="0"/>
        <w:spacing w:line="560" w:lineRule="exact"/>
        <w:ind w:firstLine="566" w:firstLineChars="200"/>
        <w:textAlignment w:val="auto"/>
        <w:rPr>
          <w:rFonts w:hint="eastAsia" w:ascii="仿宋" w:hAnsi="仿宋" w:eastAsia="仿宋"/>
          <w:highlight w:val="none"/>
        </w:rPr>
      </w:pPr>
      <w:r>
        <w:rPr>
          <w:rFonts w:hint="eastAsia" w:ascii="仿宋" w:hAnsi="仿宋" w:eastAsia="仿宋"/>
          <w:highlight w:val="none"/>
        </w:rPr>
        <w:t>1、根据《政府采购促进中小企业发展管理办法》（财库〔2020〕46号）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民法典》订立劳动合同的从业人员，则参与政府采购活动时，享受中小企业扶持政策。</w:t>
      </w:r>
    </w:p>
    <w:p w14:paraId="100911BB">
      <w:pPr>
        <w:pageBreakBefore w:val="0"/>
        <w:kinsoku/>
        <w:overflowPunct/>
        <w:topLinePunct w:val="0"/>
        <w:autoSpaceDE/>
        <w:autoSpaceDN/>
        <w:bidi w:val="0"/>
        <w:spacing w:line="560" w:lineRule="exact"/>
        <w:ind w:firstLine="566" w:firstLineChars="200"/>
        <w:textAlignment w:val="auto"/>
        <w:rPr>
          <w:rFonts w:hint="eastAsia" w:ascii="仿宋" w:hAnsi="仿宋" w:eastAsia="仿宋"/>
          <w:highlight w:val="none"/>
        </w:rPr>
      </w:pPr>
      <w:r>
        <w:rPr>
          <w:rFonts w:hint="eastAsia" w:ascii="仿宋" w:hAnsi="仿宋" w:eastAsia="仿宋"/>
          <w:highlight w:val="none"/>
        </w:rPr>
        <w:t xml:space="preserve">在货物采购项目中，供应商提供的货物既有中小企业制造货物，也有大型企业制造货物的，不享受本办法规定的中小企业扶持政策。 </w:t>
      </w:r>
    </w:p>
    <w:p w14:paraId="26835F7F">
      <w:pPr>
        <w:pageBreakBefore w:val="0"/>
        <w:kinsoku/>
        <w:overflowPunct/>
        <w:topLinePunct w:val="0"/>
        <w:autoSpaceDE/>
        <w:autoSpaceDN/>
        <w:bidi w:val="0"/>
        <w:spacing w:line="560" w:lineRule="exact"/>
        <w:ind w:firstLine="566" w:firstLineChars="200"/>
        <w:textAlignment w:val="auto"/>
        <w:rPr>
          <w:rFonts w:hint="eastAsia" w:ascii="仿宋" w:hAnsi="仿宋" w:eastAsia="仿宋"/>
          <w:highlight w:val="none"/>
        </w:rPr>
      </w:pPr>
      <w:r>
        <w:rPr>
          <w:rFonts w:hint="eastAsia" w:ascii="仿宋" w:hAnsi="仿宋" w:eastAsia="仿宋"/>
          <w:highlight w:val="none"/>
        </w:rPr>
        <w:t>接受大中型企业与小微企业组成联合体或者允许大中型企业向一家或者多家小微企业分包的采购项目，对于联合协议或者分包意向协议约定小微企业的合同份额占到合同总金额30%以上的，货物和服务项目可给予联合体或者大中型企业的报价2%-3%的扣除，工程项目为1%-2%的扣除。联合体各方均为小型、微型企业的，联合体视同为小型、微型企业。组成联合体或者接受分包的小微企业与联合体内其他企业、分包企业之间存在直接控股、管理关系的，不享受价格扣除优惠政策。</w:t>
      </w:r>
    </w:p>
    <w:p w14:paraId="1E246FC6">
      <w:pPr>
        <w:pageBreakBefore w:val="0"/>
        <w:kinsoku/>
        <w:overflowPunct/>
        <w:topLinePunct w:val="0"/>
        <w:autoSpaceDE/>
        <w:autoSpaceDN/>
        <w:bidi w:val="0"/>
        <w:spacing w:line="560" w:lineRule="exact"/>
        <w:ind w:firstLine="566" w:firstLineChars="200"/>
        <w:textAlignment w:val="auto"/>
        <w:rPr>
          <w:rFonts w:hint="eastAsia" w:ascii="仿宋" w:hAnsi="仿宋" w:eastAsia="仿宋"/>
          <w:highlight w:val="none"/>
        </w:rPr>
      </w:pPr>
      <w:r>
        <w:rPr>
          <w:rFonts w:hint="eastAsia" w:ascii="仿宋" w:hAnsi="仿宋" w:eastAsia="仿宋"/>
          <w:highlight w:val="none"/>
        </w:rPr>
        <w:t>根据《关于进一步加大政府采购支持中小企业力度的通知》（财库〔2022〕19号）的有关规定，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w:t>
      </w:r>
    </w:p>
    <w:p w14:paraId="433F00E6">
      <w:pPr>
        <w:pageBreakBefore w:val="0"/>
        <w:kinsoku/>
        <w:overflowPunct/>
        <w:topLinePunct w:val="0"/>
        <w:autoSpaceDE/>
        <w:autoSpaceDN/>
        <w:bidi w:val="0"/>
        <w:spacing w:line="560" w:lineRule="exact"/>
        <w:ind w:firstLine="566" w:firstLineChars="200"/>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参加政府采购活动的</w:t>
      </w:r>
      <w:r>
        <w:rPr>
          <w:rFonts w:hint="eastAsia" w:ascii="仿宋" w:hAnsi="仿宋" w:eastAsia="仿宋" w:cs="仿宋"/>
          <w:b/>
          <w:bCs/>
          <w:color w:val="auto"/>
          <w:highlight w:val="none"/>
          <w:lang w:val="en-US" w:eastAsia="zh-CN"/>
        </w:rPr>
        <w:t>小微</w:t>
      </w:r>
      <w:r>
        <w:rPr>
          <w:rFonts w:hint="eastAsia" w:ascii="仿宋" w:hAnsi="仿宋" w:eastAsia="仿宋" w:cs="仿宋"/>
          <w:b/>
          <w:bCs/>
          <w:color w:val="auto"/>
          <w:highlight w:val="none"/>
        </w:rPr>
        <w:t>企业应提供《</w:t>
      </w:r>
      <w:r>
        <w:rPr>
          <w:rFonts w:hint="eastAsia" w:ascii="仿宋" w:hAnsi="仿宋" w:eastAsia="仿宋" w:cs="仿宋"/>
          <w:b/>
          <w:bCs/>
          <w:color w:val="auto"/>
          <w:highlight w:val="none"/>
          <w:lang w:val="en-US" w:eastAsia="zh-CN"/>
        </w:rPr>
        <w:t>小微</w:t>
      </w:r>
      <w:r>
        <w:rPr>
          <w:rFonts w:hint="eastAsia" w:ascii="仿宋" w:hAnsi="仿宋" w:eastAsia="仿宋" w:cs="仿宋"/>
          <w:b/>
          <w:bCs/>
          <w:color w:val="auto"/>
          <w:highlight w:val="none"/>
        </w:rPr>
        <w:t>企业声明函》原件。未提供上述声明函原件的，则响应文件无效。</w:t>
      </w:r>
    </w:p>
    <w:p w14:paraId="696A6652">
      <w:pPr>
        <w:pageBreakBefore w:val="0"/>
        <w:kinsoku/>
        <w:overflowPunct/>
        <w:topLinePunct w:val="0"/>
        <w:autoSpaceDE/>
        <w:autoSpaceDN/>
        <w:bidi w:val="0"/>
        <w:spacing w:line="560" w:lineRule="exact"/>
        <w:ind w:firstLine="566"/>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备注：小微企业划分标准参照《中小企业划型标准规定》（工信部联企业〔2011〕300号）执行。</w:t>
      </w:r>
    </w:p>
    <w:p w14:paraId="2773FDED">
      <w:pPr>
        <w:pageBreakBefore w:val="0"/>
        <w:kinsoku/>
        <w:overflowPunct/>
        <w:topLinePunct w:val="0"/>
        <w:autoSpaceDE/>
        <w:autoSpaceDN/>
        <w:bidi w:val="0"/>
        <w:spacing w:line="560" w:lineRule="exact"/>
        <w:ind w:firstLine="566"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lang w:val="zh-CN"/>
        </w:rPr>
        <w:t>监狱企业应符合《财政部</w:t>
      </w:r>
      <w:r>
        <w:rPr>
          <w:rFonts w:hint="eastAsia" w:ascii="仿宋" w:hAnsi="仿宋" w:eastAsia="仿宋" w:cs="仿宋"/>
          <w:color w:val="auto"/>
          <w:highlight w:val="none"/>
        </w:rPr>
        <w:t xml:space="preserve"> 司法部关于政府采购支持监狱企业发展有关问题的通知》（财库〔2014〕68号）文件规定</w:t>
      </w:r>
      <w:r>
        <w:rPr>
          <w:rFonts w:hint="eastAsia" w:ascii="仿宋" w:hAnsi="仿宋" w:eastAsia="仿宋" w:cs="仿宋"/>
          <w:color w:val="auto"/>
          <w:highlight w:val="none"/>
          <w:lang w:val="zh-CN"/>
        </w:rPr>
        <w:t>，并提供由省级以上监狱管理局、戒毒管理局(含新疆生产建设兵团)出具的属于</w:t>
      </w:r>
      <w:r>
        <w:rPr>
          <w:rFonts w:hint="eastAsia" w:ascii="仿宋" w:hAnsi="仿宋" w:eastAsia="仿宋" w:cs="仿宋"/>
          <w:b/>
          <w:bCs/>
          <w:color w:val="auto"/>
          <w:highlight w:val="none"/>
          <w:lang w:val="zh-CN"/>
        </w:rPr>
        <w:t>监狱企业的证明文件</w:t>
      </w:r>
      <w:r>
        <w:rPr>
          <w:rFonts w:hint="eastAsia" w:ascii="仿宋" w:hAnsi="仿宋" w:eastAsia="仿宋" w:cs="仿宋"/>
          <w:color w:val="auto"/>
          <w:highlight w:val="none"/>
          <w:lang w:val="zh-CN"/>
        </w:rPr>
        <w:t>复印件，监狱和戒毒企业</w:t>
      </w:r>
      <w:r>
        <w:rPr>
          <w:rFonts w:hint="eastAsia" w:ascii="仿宋" w:hAnsi="仿宋" w:eastAsia="仿宋" w:cs="仿宋"/>
          <w:color w:val="auto"/>
          <w:highlight w:val="none"/>
        </w:rPr>
        <w:t>视同小型、微型企业。</w:t>
      </w:r>
    </w:p>
    <w:p w14:paraId="684068B6">
      <w:pPr>
        <w:pageBreakBefore w:val="0"/>
        <w:kinsoku/>
        <w:overflowPunct/>
        <w:topLinePunct w:val="0"/>
        <w:autoSpaceDE/>
        <w:autoSpaceDN/>
        <w:bidi w:val="0"/>
        <w:spacing w:line="560" w:lineRule="exact"/>
        <w:ind w:firstLine="566"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3、根据财政部、民政部、中国残疾人联合会下发的《关于促进残疾人就业政府采购政策的通知》（财库〔2017〕141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7367AE8E">
      <w:pPr>
        <w:pageBreakBefore w:val="0"/>
        <w:kinsoku/>
        <w:overflowPunct/>
        <w:topLinePunct w:val="0"/>
        <w:autoSpaceDE/>
        <w:autoSpaceDN/>
        <w:bidi w:val="0"/>
        <w:spacing w:line="560" w:lineRule="exact"/>
        <w:ind w:firstLine="566" w:firstLineChars="200"/>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参加政府采购活动的残疾人单位应提供《残疾人福利性单位声明函》原件。未提供上述声明函原件的，则响应文件无效。</w:t>
      </w:r>
    </w:p>
    <w:p w14:paraId="69C2691B">
      <w:pPr>
        <w:pageBreakBefore w:val="0"/>
        <w:widowControl w:val="0"/>
        <w:tabs>
          <w:tab w:val="center" w:pos="4153"/>
          <w:tab w:val="right" w:pos="8306"/>
        </w:tabs>
        <w:kinsoku/>
        <w:overflowPunct/>
        <w:topLinePunct w:val="0"/>
        <w:autoSpaceDE/>
        <w:autoSpaceDN/>
        <w:bidi w:val="0"/>
        <w:snapToGrid w:val="0"/>
        <w:spacing w:line="560" w:lineRule="exact"/>
        <w:ind w:firstLine="566"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4、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2BD31ABA">
      <w:pPr>
        <w:pageBreakBefore w:val="0"/>
        <w:kinsoku/>
        <w:overflowPunct/>
        <w:topLinePunct w:val="0"/>
        <w:autoSpaceDE/>
        <w:autoSpaceDN/>
        <w:bidi w:val="0"/>
        <w:spacing w:line="560" w:lineRule="exact"/>
        <w:ind w:firstLine="566" w:firstLineChars="200"/>
        <w:textAlignment w:val="auto"/>
        <w:rPr>
          <w:rFonts w:hint="eastAsia" w:ascii="仿宋" w:hAnsi="仿宋" w:eastAsia="仿宋" w:cs="仿宋"/>
          <w:color w:val="auto"/>
          <w:kern w:val="0"/>
          <w:highlight w:val="none"/>
        </w:rPr>
      </w:pPr>
      <w:r>
        <w:rPr>
          <w:rFonts w:hint="eastAsia" w:ascii="仿宋" w:hAnsi="仿宋" w:eastAsia="仿宋" w:cs="仿宋"/>
          <w:color w:val="auto"/>
          <w:kern w:val="0"/>
          <w:highlight w:val="none"/>
          <w:lang w:val="en-US" w:eastAsia="zh-CN"/>
        </w:rPr>
        <w:t>5、</w:t>
      </w:r>
      <w:r>
        <w:rPr>
          <w:rFonts w:hint="eastAsia" w:ascii="仿宋" w:hAnsi="仿宋" w:eastAsia="仿宋" w:cs="仿宋"/>
          <w:color w:val="auto"/>
          <w:kern w:val="0"/>
          <w:highlight w:val="none"/>
        </w:rPr>
        <w:t>根据国务院办公厅《关于建立政府强制采购节能产品制度的通知》（国办发</w:t>
      </w:r>
      <w:r>
        <w:rPr>
          <w:rFonts w:hint="eastAsia" w:ascii="仿宋" w:hAnsi="仿宋" w:eastAsia="仿宋" w:cs="仿宋"/>
          <w:color w:val="auto"/>
          <w:highlight w:val="none"/>
        </w:rPr>
        <w:t>〔2007〕51</w:t>
      </w:r>
      <w:r>
        <w:rPr>
          <w:rFonts w:hint="eastAsia" w:ascii="仿宋" w:hAnsi="仿宋" w:eastAsia="仿宋" w:cs="仿宋"/>
          <w:color w:val="auto"/>
          <w:kern w:val="0"/>
          <w:highlight w:val="none"/>
        </w:rPr>
        <w:t>号）有关要求，采购人需购买的产品属于政府强制采购节能产品范围应当在清单之内采购。节能清单中无对应细化分类且节能清单中的产品确实无法满足工作需要的，允许在节能清单之外采购。</w:t>
      </w:r>
    </w:p>
    <w:p w14:paraId="46E907AA">
      <w:pPr>
        <w:pageBreakBefore w:val="0"/>
        <w:kinsoku/>
        <w:overflowPunct/>
        <w:topLinePunct w:val="0"/>
        <w:autoSpaceDE/>
        <w:autoSpaceDN/>
        <w:bidi w:val="0"/>
        <w:spacing w:line="560" w:lineRule="exact"/>
        <w:ind w:firstLine="566" w:firstLineChars="200"/>
        <w:jc w:val="both"/>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6、节能产品政府采购品目清单详见财政部、发展改革委《关于印发节能产品政府采购品目清单的通知》（财库</w:t>
      </w:r>
      <w:r>
        <w:rPr>
          <w:rFonts w:hint="eastAsia" w:ascii="仿宋" w:hAnsi="仿宋" w:eastAsia="仿宋" w:cs="仿宋"/>
          <w:color w:val="auto"/>
          <w:kern w:val="2"/>
          <w:sz w:val="28"/>
          <w:szCs w:val="28"/>
          <w:highlight w:val="none"/>
          <w:lang w:val="en-US" w:eastAsia="zh-CN" w:bidi="ar-SA"/>
        </w:rPr>
        <w:t>〔2019〕19</w:t>
      </w:r>
      <w:r>
        <w:rPr>
          <w:rFonts w:hint="eastAsia" w:ascii="仿宋" w:hAnsi="仿宋" w:eastAsia="仿宋" w:cs="仿宋"/>
          <w:color w:val="auto"/>
          <w:kern w:val="0"/>
          <w:sz w:val="28"/>
          <w:szCs w:val="28"/>
          <w:highlight w:val="none"/>
          <w:lang w:val="en-US" w:eastAsia="zh-CN" w:bidi="ar-SA"/>
        </w:rPr>
        <w:t>号）。</w:t>
      </w:r>
    </w:p>
    <w:p w14:paraId="2E3FF2BF">
      <w:pPr>
        <w:pageBreakBefore w:val="0"/>
        <w:kinsoku/>
        <w:overflowPunct/>
        <w:topLinePunct w:val="0"/>
        <w:autoSpaceDE/>
        <w:autoSpaceDN/>
        <w:bidi w:val="0"/>
        <w:spacing w:line="560" w:lineRule="exact"/>
        <w:ind w:firstLine="566" w:firstLineChars="200"/>
        <w:jc w:val="both"/>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7、环境标志产品政府采购品目清单详见财政部、生态环境部《关于印发环境标志产品政府采购品目清单的通知》（财库</w:t>
      </w:r>
      <w:r>
        <w:rPr>
          <w:rFonts w:hint="eastAsia" w:ascii="仿宋" w:hAnsi="仿宋" w:eastAsia="仿宋" w:cs="仿宋"/>
          <w:color w:val="auto"/>
          <w:kern w:val="2"/>
          <w:sz w:val="28"/>
          <w:szCs w:val="28"/>
          <w:highlight w:val="none"/>
          <w:lang w:val="en-US" w:eastAsia="zh-CN" w:bidi="ar-SA"/>
        </w:rPr>
        <w:t>〔2019〕18</w:t>
      </w:r>
      <w:r>
        <w:rPr>
          <w:rFonts w:hint="eastAsia" w:ascii="仿宋" w:hAnsi="仿宋" w:eastAsia="仿宋" w:cs="仿宋"/>
          <w:color w:val="auto"/>
          <w:kern w:val="0"/>
          <w:sz w:val="28"/>
          <w:szCs w:val="28"/>
          <w:highlight w:val="none"/>
          <w:lang w:val="en-US" w:eastAsia="zh-CN" w:bidi="ar-SA"/>
        </w:rPr>
        <w:t>号）。</w:t>
      </w:r>
    </w:p>
    <w:p w14:paraId="2BEFE0CC">
      <w:pPr>
        <w:pageBreakBefore w:val="0"/>
        <w:kinsoku/>
        <w:overflowPunct/>
        <w:topLinePunct w:val="0"/>
        <w:autoSpaceDE/>
        <w:autoSpaceDN/>
        <w:bidi w:val="0"/>
        <w:spacing w:line="560" w:lineRule="exact"/>
        <w:ind w:firstLine="566" w:firstLineChars="200"/>
        <w:jc w:val="both"/>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8、国家确定的节能产品、环境标志产品认证机构详见市场监管总局《关于发布参与实施政府采购节能产品、环境标志产品认证机构名录的公告》（</w:t>
      </w:r>
      <w:r>
        <w:rPr>
          <w:rFonts w:hint="eastAsia" w:ascii="仿宋" w:hAnsi="仿宋" w:eastAsia="仿宋" w:cs="仿宋"/>
          <w:color w:val="auto"/>
          <w:kern w:val="2"/>
          <w:sz w:val="28"/>
          <w:szCs w:val="28"/>
          <w:highlight w:val="none"/>
          <w:lang w:val="en-US" w:eastAsia="zh-CN" w:bidi="ar-SA"/>
        </w:rPr>
        <w:t>2019</w:t>
      </w:r>
      <w:r>
        <w:rPr>
          <w:rFonts w:hint="eastAsia" w:ascii="仿宋" w:hAnsi="仿宋" w:eastAsia="仿宋" w:cs="仿宋"/>
          <w:color w:val="auto"/>
          <w:kern w:val="0"/>
          <w:sz w:val="28"/>
          <w:szCs w:val="28"/>
          <w:highlight w:val="none"/>
          <w:lang w:val="en-US" w:eastAsia="zh-CN" w:bidi="ar-SA"/>
        </w:rPr>
        <w:t>年第</w:t>
      </w:r>
      <w:r>
        <w:rPr>
          <w:rFonts w:hint="eastAsia" w:ascii="仿宋" w:hAnsi="仿宋" w:eastAsia="仿宋" w:cs="仿宋"/>
          <w:color w:val="auto"/>
          <w:kern w:val="2"/>
          <w:sz w:val="28"/>
          <w:szCs w:val="28"/>
          <w:highlight w:val="none"/>
          <w:lang w:val="en-US" w:eastAsia="zh-CN" w:bidi="ar-SA"/>
        </w:rPr>
        <w:t>16</w:t>
      </w:r>
      <w:r>
        <w:rPr>
          <w:rFonts w:hint="eastAsia" w:ascii="仿宋" w:hAnsi="仿宋" w:eastAsia="仿宋" w:cs="仿宋"/>
          <w:color w:val="auto"/>
          <w:kern w:val="0"/>
          <w:sz w:val="28"/>
          <w:szCs w:val="28"/>
          <w:highlight w:val="none"/>
          <w:lang w:val="en-US" w:eastAsia="zh-CN" w:bidi="ar-SA"/>
        </w:rPr>
        <w:t>号）。</w:t>
      </w:r>
    </w:p>
    <w:p w14:paraId="4D52BB30">
      <w:pPr>
        <w:pageBreakBefore w:val="0"/>
        <w:kinsoku/>
        <w:overflowPunct/>
        <w:topLinePunct w:val="0"/>
        <w:autoSpaceDE/>
        <w:autoSpaceDN/>
        <w:bidi w:val="0"/>
        <w:spacing w:line="560" w:lineRule="exact"/>
        <w:ind w:firstLine="566" w:firstLineChars="200"/>
        <w:jc w:val="both"/>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9、根据《财政部 农业农村部 国家乡村振兴局关于运用政府采购政策支持乡村产业振兴的通知》（财库〔2021〕19号），自2021年起，各级预算单位应当按照不低于10%的比例预留年度食堂食材采购份额，通过脱贫地区农副产品网络销售平台采购脱贫地区农副产品。</w:t>
      </w:r>
    </w:p>
    <w:p w14:paraId="05FE0185">
      <w:pPr>
        <w:pageBreakBefore w:val="0"/>
        <w:kinsoku/>
        <w:overflowPunct/>
        <w:topLinePunct w:val="0"/>
        <w:autoSpaceDE/>
        <w:autoSpaceDN/>
        <w:bidi w:val="0"/>
        <w:spacing w:line="560" w:lineRule="exact"/>
        <w:ind w:firstLine="566" w:firstLineChars="200"/>
        <w:jc w:val="both"/>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10、根据《财政部 农业农村部 国家乡村振兴局 中华全国供销合作总社关于印发&lt;关于深入开展政府采购脱贫地区农副产品工作推进乡村产业振兴的实施意见&gt;的通知》（财库〔2021〕20号），各级预算单位要按照不低于10%的预留比例在“832平台”填报预留份额。鼓励各级预算单位工会组织通过“832平台”采购工会福利、慰问品等，有关采购金额计入本单位年度采购总额。</w:t>
      </w:r>
    </w:p>
    <w:p w14:paraId="1D9DB545">
      <w:pPr>
        <w:pageBreakBefore w:val="0"/>
        <w:kinsoku/>
        <w:overflowPunct/>
        <w:topLinePunct w:val="0"/>
        <w:autoSpaceDE/>
        <w:autoSpaceDN/>
        <w:bidi w:val="0"/>
        <w:spacing w:line="560" w:lineRule="exact"/>
        <w:ind w:firstLine="566" w:firstLineChars="200"/>
        <w:jc w:val="both"/>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11、根据《陕西省财政厅关于加快推进我省中小企业政府采购信用融资工作的通知》（陕财办采〔2020〕15号）规定“有融资需求的供应商可根据自身情况，在陕西省政府采购信用融资平台（含各市分平台）自主选择金融机构及其融资产品，凭政府采购中标（成交）通知书或政府采购合同向金融机构提出融资申请。”</w:t>
      </w:r>
    </w:p>
    <w:p w14:paraId="7DD06016">
      <w:pPr>
        <w:pageBreakBefore w:val="0"/>
        <w:kinsoku/>
        <w:wordWrap w:val="0"/>
        <w:overflowPunct/>
        <w:topLinePunct w:val="0"/>
        <w:autoSpaceDE/>
        <w:autoSpaceDN/>
        <w:bidi w:val="0"/>
        <w:spacing w:line="560" w:lineRule="exact"/>
        <w:ind w:firstLine="566" w:firstLineChars="200"/>
        <w:jc w:val="both"/>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12、根据陕西省财政厅关于印发《陕西省中小企业政府采购信用融资办法》（陕财办采</w:t>
      </w:r>
      <w:r>
        <w:rPr>
          <w:rFonts w:hint="eastAsia" w:ascii="仿宋" w:hAnsi="仿宋" w:eastAsia="仿宋" w:cs="仿宋"/>
          <w:color w:val="auto"/>
          <w:kern w:val="2"/>
          <w:sz w:val="28"/>
          <w:szCs w:val="28"/>
          <w:highlight w:val="none"/>
          <w:lang w:val="en-US" w:eastAsia="zh-CN" w:bidi="ar-SA"/>
        </w:rPr>
        <w:t>〔2018〕23</w:t>
      </w:r>
      <w:r>
        <w:rPr>
          <w:rFonts w:hint="eastAsia" w:ascii="仿宋" w:hAnsi="仿宋" w:eastAsia="仿宋" w:cs="仿宋"/>
          <w:color w:val="auto"/>
          <w:kern w:val="0"/>
          <w:sz w:val="28"/>
          <w:szCs w:val="28"/>
          <w:highlight w:val="none"/>
          <w:lang w:val="en-US" w:eastAsia="zh-CN" w:bidi="ar-SA"/>
        </w:rPr>
        <w:t>号）规定“</w:t>
      </w:r>
      <w:r>
        <w:rPr>
          <w:rFonts w:hint="eastAsia" w:ascii="仿宋" w:hAnsi="仿宋" w:eastAsia="仿宋" w:cs="仿宋"/>
          <w:color w:val="auto"/>
          <w:kern w:val="2"/>
          <w:sz w:val="28"/>
          <w:szCs w:val="28"/>
          <w:highlight w:val="none"/>
          <w:lang w:val="en-US" w:eastAsia="zh-CN" w:bidi="ar-SA"/>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r>
        <w:rPr>
          <w:rFonts w:hint="eastAsia" w:ascii="仿宋" w:hAnsi="仿宋" w:eastAsia="仿宋" w:cs="仿宋"/>
          <w:color w:val="auto"/>
          <w:kern w:val="0"/>
          <w:sz w:val="28"/>
          <w:szCs w:val="28"/>
          <w:highlight w:val="none"/>
          <w:lang w:val="en-US" w:eastAsia="zh-CN" w:bidi="ar-SA"/>
        </w:rPr>
        <w:t>”（</w:t>
      </w:r>
      <w:r>
        <w:rPr>
          <w:rFonts w:hint="eastAsia" w:ascii="仿宋" w:hAnsi="仿宋" w:eastAsia="仿宋" w:cs="仿宋"/>
          <w:color w:val="auto"/>
          <w:kern w:val="2"/>
          <w:sz w:val="28"/>
          <w:szCs w:val="28"/>
          <w:highlight w:val="none"/>
          <w:lang w:val="en-US" w:eastAsia="zh-CN" w:bidi="ar-SA"/>
        </w:rPr>
        <w:fldChar w:fldCharType="begin"/>
      </w:r>
      <w:r>
        <w:rPr>
          <w:rFonts w:hint="eastAsia" w:ascii="仿宋" w:hAnsi="仿宋" w:eastAsia="仿宋" w:cs="仿宋"/>
          <w:color w:val="auto"/>
          <w:kern w:val="2"/>
          <w:sz w:val="28"/>
          <w:szCs w:val="28"/>
          <w:highlight w:val="none"/>
          <w:lang w:val="en-US" w:eastAsia="zh-CN" w:bidi="ar-SA"/>
        </w:rPr>
        <w:instrText xml:space="preserve"> HYPERLINK "http://www.ccgp-shaanxi.gov.cn/zcdservice/zcd/shanxi/" </w:instrText>
      </w:r>
      <w:r>
        <w:rPr>
          <w:rFonts w:hint="eastAsia" w:ascii="仿宋" w:hAnsi="仿宋" w:eastAsia="仿宋" w:cs="仿宋"/>
          <w:color w:val="auto"/>
          <w:kern w:val="2"/>
          <w:sz w:val="28"/>
          <w:szCs w:val="28"/>
          <w:highlight w:val="none"/>
          <w:lang w:val="en-US" w:eastAsia="zh-CN" w:bidi="ar-SA"/>
        </w:rPr>
        <w:fldChar w:fldCharType="separate"/>
      </w:r>
      <w:r>
        <w:rPr>
          <w:rFonts w:hint="eastAsia" w:ascii="仿宋" w:hAnsi="仿宋" w:eastAsia="仿宋" w:cs="仿宋"/>
          <w:color w:val="auto"/>
          <w:kern w:val="0"/>
          <w:sz w:val="28"/>
          <w:szCs w:val="28"/>
          <w:highlight w:val="none"/>
          <w:lang w:val="en-US" w:eastAsia="zh-CN" w:bidi="ar-SA"/>
        </w:rPr>
        <w:t>陕西省政府采购信用融资平台</w:t>
      </w:r>
      <w:r>
        <w:rPr>
          <w:rFonts w:hint="eastAsia" w:ascii="仿宋" w:hAnsi="仿宋" w:eastAsia="仿宋" w:cs="仿宋"/>
          <w:color w:val="auto"/>
          <w:kern w:val="0"/>
          <w:sz w:val="28"/>
          <w:szCs w:val="28"/>
          <w:highlight w:val="none"/>
          <w:lang w:val="en-US" w:eastAsia="zh-CN" w:bidi="ar-SA"/>
        </w:rPr>
        <w:fldChar w:fldCharType="end"/>
      </w:r>
      <w:r>
        <w:rPr>
          <w:rFonts w:hint="eastAsia" w:ascii="仿宋" w:hAnsi="仿宋" w:eastAsia="仿宋" w:cs="仿宋"/>
          <w:color w:val="auto"/>
          <w:kern w:val="0"/>
          <w:sz w:val="28"/>
          <w:szCs w:val="28"/>
          <w:highlight w:val="none"/>
          <w:lang w:val="en-US" w:eastAsia="zh-CN" w:bidi="ar-SA"/>
        </w:rPr>
        <w:t>：</w:t>
      </w:r>
      <w:r>
        <w:rPr>
          <w:rFonts w:hint="eastAsia" w:ascii="仿宋" w:hAnsi="仿宋" w:eastAsia="仿宋" w:cs="仿宋"/>
          <w:color w:val="auto"/>
          <w:kern w:val="2"/>
          <w:sz w:val="28"/>
          <w:szCs w:val="28"/>
          <w:highlight w:val="none"/>
          <w:lang w:val="en-US" w:eastAsia="zh-CN" w:bidi="ar-SA"/>
        </w:rPr>
        <w:t>http://www.ccgp-shaanxi.gov.cn/zcdservice/zcd/shanxi/</w:t>
      </w:r>
      <w:r>
        <w:rPr>
          <w:rFonts w:hint="eastAsia" w:ascii="仿宋" w:hAnsi="仿宋" w:eastAsia="仿宋" w:cs="仿宋"/>
          <w:color w:val="auto"/>
          <w:kern w:val="0"/>
          <w:sz w:val="28"/>
          <w:szCs w:val="28"/>
          <w:highlight w:val="none"/>
          <w:lang w:val="en-US" w:eastAsia="zh-CN" w:bidi="ar-SA"/>
        </w:rPr>
        <w:t>）</w:t>
      </w:r>
    </w:p>
    <w:p w14:paraId="70D64396">
      <w:pPr>
        <w:pStyle w:val="7"/>
        <w:pageBreakBefore w:val="0"/>
        <w:kinsoku/>
        <w:overflowPunct/>
        <w:topLinePunct w:val="0"/>
        <w:autoSpaceDE/>
        <w:autoSpaceDN/>
        <w:bidi w:val="0"/>
        <w:spacing w:line="560" w:lineRule="exact"/>
        <w:textAlignment w:val="auto"/>
        <w:rPr>
          <w:highlight w:val="none"/>
        </w:rPr>
      </w:pPr>
      <w:bookmarkStart w:id="77" w:name="_Toc28681227"/>
      <w:r>
        <w:rPr>
          <w:rFonts w:hint="eastAsia"/>
          <w:highlight w:val="none"/>
        </w:rPr>
        <w:t>（六）</w:t>
      </w:r>
      <w:r>
        <w:rPr>
          <w:highlight w:val="none"/>
        </w:rPr>
        <w:t>关于</w:t>
      </w:r>
      <w:r>
        <w:rPr>
          <w:rFonts w:hint="eastAsia"/>
          <w:highlight w:val="none"/>
        </w:rPr>
        <w:t>产品和服务</w:t>
      </w:r>
      <w:bookmarkEnd w:id="77"/>
    </w:p>
    <w:p w14:paraId="7B9DCFB0">
      <w:pPr>
        <w:pageBreakBefore w:val="0"/>
        <w:kinsoku/>
        <w:overflowPunct/>
        <w:topLinePunct w:val="0"/>
        <w:autoSpaceDE/>
        <w:autoSpaceDN/>
        <w:bidi w:val="0"/>
        <w:spacing w:line="560" w:lineRule="exact"/>
        <w:ind w:firstLine="566" w:firstLineChars="200"/>
        <w:textAlignment w:val="auto"/>
        <w:rPr>
          <w:rFonts w:ascii="仿宋" w:hAnsi="仿宋" w:eastAsia="仿宋"/>
          <w:bCs/>
          <w:highlight w:val="none"/>
        </w:rPr>
      </w:pPr>
      <w:r>
        <w:rPr>
          <w:rFonts w:hint="eastAsia" w:ascii="仿宋" w:hAnsi="仿宋" w:eastAsia="仿宋"/>
          <w:bCs/>
          <w:highlight w:val="none"/>
        </w:rPr>
        <w:t>1、所有产品必须具有在中国境内法定许可的生产及销售资格，且为全新原厂制造，其核心关键部分为近10个月内所生产的非淘汰类产品；属于《中华人民共和国实施强制性产品认证的产品目录》的产品，就不能提供超出此目录范畴外的替代品，此外，还须同时具备国家认监委颁布《中国强制认证》（CCC认证）。</w:t>
      </w:r>
    </w:p>
    <w:p w14:paraId="12E7C68B">
      <w:pPr>
        <w:pageBreakBefore w:val="0"/>
        <w:kinsoku/>
        <w:overflowPunct/>
        <w:topLinePunct w:val="0"/>
        <w:autoSpaceDE/>
        <w:autoSpaceDN/>
        <w:bidi w:val="0"/>
        <w:spacing w:line="560" w:lineRule="exact"/>
        <w:ind w:firstLine="566" w:firstLineChars="200"/>
        <w:textAlignment w:val="auto"/>
        <w:rPr>
          <w:rFonts w:ascii="仿宋" w:hAnsi="仿宋" w:eastAsia="仿宋"/>
          <w:bCs/>
          <w:highlight w:val="none"/>
        </w:rPr>
      </w:pPr>
      <w:r>
        <w:rPr>
          <w:rFonts w:hint="eastAsia" w:ascii="仿宋" w:hAnsi="仿宋" w:eastAsia="仿宋"/>
          <w:bCs/>
          <w:highlight w:val="none"/>
        </w:rPr>
        <w:t>2、</w:t>
      </w:r>
      <w:r>
        <w:rPr>
          <w:rFonts w:hint="eastAsia" w:ascii="仿宋" w:hAnsi="仿宋" w:eastAsia="仿宋" w:cs="仿宋"/>
          <w:bCs/>
          <w:highlight w:val="none"/>
        </w:rPr>
        <w:t>采购的产品属于政府采购节能产品、环境标志产品品目清单范围的，</w:t>
      </w:r>
      <w:r>
        <w:rPr>
          <w:rFonts w:hint="eastAsia" w:ascii="仿宋" w:hAnsi="仿宋" w:eastAsia="仿宋" w:cs="仿宋"/>
          <w:bCs/>
          <w:highlight w:val="none"/>
          <w:lang w:eastAsia="zh-CN"/>
        </w:rPr>
        <w:t>供应商</w:t>
      </w:r>
      <w:r>
        <w:rPr>
          <w:rFonts w:hint="eastAsia" w:ascii="仿宋" w:hAnsi="仿宋" w:eastAsia="仿宋" w:cs="仿宋"/>
          <w:bCs/>
          <w:highlight w:val="none"/>
        </w:rPr>
        <w:t>需提供国家确定的认证机构出具的、处于有效期之内的节能产品、环境标志产品认证证书，对获得证书的产品实施政府优先采购或强制采购。</w:t>
      </w:r>
    </w:p>
    <w:p w14:paraId="20949C07">
      <w:pPr>
        <w:pageBreakBefore w:val="0"/>
        <w:kinsoku/>
        <w:overflowPunct/>
        <w:topLinePunct w:val="0"/>
        <w:autoSpaceDE/>
        <w:autoSpaceDN/>
        <w:bidi w:val="0"/>
        <w:spacing w:line="560" w:lineRule="exact"/>
        <w:ind w:firstLine="566" w:firstLineChars="200"/>
        <w:textAlignment w:val="auto"/>
        <w:rPr>
          <w:rFonts w:ascii="仿宋" w:hAnsi="仿宋" w:eastAsia="仿宋"/>
          <w:bCs/>
          <w:highlight w:val="none"/>
        </w:rPr>
      </w:pPr>
      <w:r>
        <w:rPr>
          <w:rFonts w:hint="eastAsia" w:ascii="仿宋" w:hAnsi="仿宋" w:eastAsia="仿宋"/>
          <w:bCs/>
          <w:highlight w:val="none"/>
        </w:rPr>
        <w:t>3、主机设备要有标准配置清单，使用操作及安全须知等重要资料应附有中文说明；国内制造的产品必须同时具备出厂合格证和相关检测报告。购置的计算机设备必须配有正版合法的经采购人认可的操作系统和软件。</w:t>
      </w:r>
    </w:p>
    <w:p w14:paraId="5AB3FD89">
      <w:pPr>
        <w:pageBreakBefore w:val="0"/>
        <w:kinsoku/>
        <w:overflowPunct/>
        <w:topLinePunct w:val="0"/>
        <w:autoSpaceDE/>
        <w:autoSpaceDN/>
        <w:bidi w:val="0"/>
        <w:spacing w:line="560" w:lineRule="exact"/>
        <w:ind w:firstLine="566" w:firstLineChars="200"/>
        <w:textAlignment w:val="auto"/>
        <w:rPr>
          <w:rFonts w:ascii="仿宋" w:hAnsi="仿宋" w:eastAsia="仿宋"/>
          <w:bCs/>
          <w:highlight w:val="none"/>
        </w:rPr>
      </w:pPr>
      <w:r>
        <w:rPr>
          <w:rFonts w:hint="eastAsia" w:ascii="仿宋" w:hAnsi="仿宋" w:eastAsia="仿宋"/>
          <w:bCs/>
          <w:highlight w:val="none"/>
        </w:rPr>
        <w:t>4、信息安全产品应当获得国家信息安全认证，并可提供由中国信息安全认证中心按照国家标准认证颁发的有效认证证书。</w:t>
      </w:r>
    </w:p>
    <w:p w14:paraId="0D3866B2">
      <w:pPr>
        <w:pageBreakBefore w:val="0"/>
        <w:kinsoku/>
        <w:overflowPunct/>
        <w:topLinePunct w:val="0"/>
        <w:autoSpaceDE/>
        <w:autoSpaceDN/>
        <w:bidi w:val="0"/>
        <w:spacing w:line="560" w:lineRule="exact"/>
        <w:ind w:firstLine="566" w:firstLineChars="200"/>
        <w:textAlignment w:val="auto"/>
        <w:rPr>
          <w:rFonts w:ascii="仿宋" w:hAnsi="仿宋" w:eastAsia="仿宋"/>
          <w:bCs/>
          <w:highlight w:val="none"/>
        </w:rPr>
      </w:pPr>
      <w:r>
        <w:rPr>
          <w:rFonts w:hint="eastAsia" w:ascii="仿宋" w:hAnsi="仿宋" w:eastAsia="仿宋"/>
          <w:bCs/>
          <w:highlight w:val="none"/>
        </w:rPr>
        <w:t>5、根据《政府采购进口产品管理办法》（财库〔2007〕119号）与《关于政府采购进口产品管理有关问题的通知》（财办库[2008]248号）的有关规定，未经核准同意，供应商投标时必须提供本国产品，供应商以进口产品参与投标的，将作无效投标处理。</w:t>
      </w:r>
    </w:p>
    <w:p w14:paraId="5A46687C">
      <w:pPr>
        <w:pageBreakBefore w:val="0"/>
        <w:kinsoku/>
        <w:overflowPunct/>
        <w:topLinePunct w:val="0"/>
        <w:autoSpaceDE/>
        <w:autoSpaceDN/>
        <w:bidi w:val="0"/>
        <w:spacing w:line="560" w:lineRule="exact"/>
        <w:ind w:firstLine="566" w:firstLineChars="200"/>
        <w:textAlignment w:val="auto"/>
        <w:rPr>
          <w:rFonts w:ascii="仿宋" w:hAnsi="仿宋" w:eastAsia="仿宋"/>
          <w:bCs/>
          <w:highlight w:val="none"/>
        </w:rPr>
      </w:pPr>
      <w:r>
        <w:rPr>
          <w:rFonts w:hint="eastAsia" w:ascii="仿宋" w:hAnsi="仿宋" w:eastAsia="仿宋"/>
          <w:bCs/>
          <w:highlight w:val="none"/>
        </w:rPr>
        <w:t>6、如谈判文件中已说明，经政府采购管理部门审核同意，允许部分或全部产品采购进口产品，供应商既可提供本国产品，也可以提供进口产品。在提供的进口产品中，优先采购向我国企业转让技术、与我国企业签订消化吸收再创新方案的供应商的进口产品。进口产品必须同时具备原产地证明、中国商检证明及合法进货渠道全套单证。</w:t>
      </w:r>
    </w:p>
    <w:p w14:paraId="43111742">
      <w:pPr>
        <w:pStyle w:val="7"/>
        <w:pageBreakBefore w:val="0"/>
        <w:kinsoku/>
        <w:overflowPunct/>
        <w:topLinePunct w:val="0"/>
        <w:autoSpaceDE/>
        <w:autoSpaceDN/>
        <w:bidi w:val="0"/>
        <w:spacing w:line="560" w:lineRule="exact"/>
        <w:textAlignment w:val="auto"/>
        <w:rPr>
          <w:highlight w:val="none"/>
        </w:rPr>
      </w:pPr>
      <w:bookmarkStart w:id="78" w:name="_Toc28681229"/>
      <w:r>
        <w:rPr>
          <w:rFonts w:hint="eastAsia"/>
          <w:highlight w:val="none"/>
        </w:rPr>
        <w:t>（七）知识产权与保密事项</w:t>
      </w:r>
      <w:bookmarkEnd w:id="78"/>
    </w:p>
    <w:p w14:paraId="624E2CCC">
      <w:pPr>
        <w:pageBreakBefore w:val="0"/>
        <w:kinsoku/>
        <w:overflowPunct/>
        <w:topLinePunct w:val="0"/>
        <w:autoSpaceDE/>
        <w:autoSpaceDN/>
        <w:bidi w:val="0"/>
        <w:spacing w:line="560" w:lineRule="exact"/>
        <w:ind w:firstLine="566" w:firstLineChars="200"/>
        <w:textAlignment w:val="auto"/>
        <w:rPr>
          <w:rFonts w:ascii="仿宋" w:hAnsi="仿宋" w:eastAsia="仿宋"/>
          <w:bCs/>
          <w:highlight w:val="none"/>
        </w:rPr>
      </w:pPr>
      <w:r>
        <w:rPr>
          <w:rFonts w:hint="eastAsia" w:ascii="仿宋" w:hAnsi="仿宋" w:eastAsia="仿宋"/>
          <w:bCs/>
          <w:highlight w:val="none"/>
        </w:rPr>
        <w:t>1、所有涉及知识产权的产品及设计，供应商必须确保采购人拥有其合法的、不受限制的无偿使用权，并免受任何侵权诉讼或索偿，否则，由此产生的一切经济损失和法律责任由供应商承担。</w:t>
      </w:r>
    </w:p>
    <w:p w14:paraId="7EAE8DAD">
      <w:pPr>
        <w:pageBreakBefore w:val="0"/>
        <w:kinsoku/>
        <w:overflowPunct/>
        <w:topLinePunct w:val="0"/>
        <w:autoSpaceDE/>
        <w:autoSpaceDN/>
        <w:bidi w:val="0"/>
        <w:spacing w:line="560" w:lineRule="exact"/>
        <w:ind w:firstLine="566" w:firstLineChars="200"/>
        <w:textAlignment w:val="auto"/>
        <w:rPr>
          <w:rFonts w:ascii="仿宋" w:hAnsi="仿宋" w:eastAsia="仿宋"/>
          <w:bCs/>
          <w:highlight w:val="none"/>
        </w:rPr>
      </w:pPr>
      <w:r>
        <w:rPr>
          <w:rFonts w:hint="eastAsia" w:ascii="仿宋" w:hAnsi="仿宋" w:eastAsia="仿宋"/>
          <w:bCs/>
          <w:highlight w:val="none"/>
        </w:rPr>
        <w:t>2、由采购人向供应商提供的用户需求书、图纸、样品、模型、模件和所有资料，供应商获得后，应对其保密。除非采购人同意，供应商不得向第三方透露或将其用于本次投标以外的任何用途。响应文件开启后，若采购人有要求，供应商须归还采购人认为需保密的文件和资料，并销毁所有相应的备份文件及资料。</w:t>
      </w:r>
    </w:p>
    <w:p w14:paraId="095C86E7">
      <w:pPr>
        <w:pStyle w:val="7"/>
        <w:pageBreakBefore w:val="0"/>
        <w:kinsoku/>
        <w:overflowPunct/>
        <w:topLinePunct w:val="0"/>
        <w:autoSpaceDE/>
        <w:autoSpaceDN/>
        <w:bidi w:val="0"/>
        <w:spacing w:line="560" w:lineRule="exact"/>
        <w:textAlignment w:val="auto"/>
        <w:rPr>
          <w:highlight w:val="none"/>
        </w:rPr>
      </w:pPr>
      <w:bookmarkStart w:id="79" w:name="_Toc28681230"/>
      <w:r>
        <w:rPr>
          <w:highlight w:val="none"/>
        </w:rPr>
        <w:t>（</w:t>
      </w:r>
      <w:r>
        <w:rPr>
          <w:rFonts w:hint="eastAsia"/>
          <w:highlight w:val="none"/>
        </w:rPr>
        <w:t>八</w:t>
      </w:r>
      <w:r>
        <w:rPr>
          <w:highlight w:val="none"/>
        </w:rPr>
        <w:t>）</w:t>
      </w:r>
      <w:r>
        <w:rPr>
          <w:rFonts w:hint="eastAsia"/>
          <w:highlight w:val="none"/>
        </w:rPr>
        <w:t>供应商</w:t>
      </w:r>
      <w:r>
        <w:rPr>
          <w:highlight w:val="none"/>
        </w:rPr>
        <w:t>的投标费用自理</w:t>
      </w:r>
      <w:bookmarkEnd w:id="79"/>
    </w:p>
    <w:p w14:paraId="04EA7030">
      <w:pPr>
        <w:pStyle w:val="4"/>
        <w:pageBreakBefore w:val="0"/>
        <w:kinsoku/>
        <w:overflowPunct/>
        <w:topLinePunct w:val="0"/>
        <w:autoSpaceDE/>
        <w:autoSpaceDN/>
        <w:bidi w:val="0"/>
        <w:spacing w:line="560" w:lineRule="exact"/>
        <w:ind w:firstLine="566" w:firstLineChars="200"/>
        <w:textAlignment w:val="auto"/>
        <w:rPr>
          <w:highlight w:val="none"/>
        </w:rPr>
      </w:pPr>
      <w:bookmarkStart w:id="80" w:name="_Toc11172"/>
      <w:bookmarkStart w:id="81" w:name="_Toc28681231"/>
      <w:bookmarkStart w:id="82" w:name="_Toc21209"/>
      <w:bookmarkStart w:id="83" w:name="_Toc31926"/>
      <w:bookmarkStart w:id="84" w:name="_Toc7707"/>
      <w:bookmarkStart w:id="85" w:name="_Toc13064"/>
      <w:bookmarkStart w:id="86" w:name="_Toc23432"/>
      <w:bookmarkStart w:id="87" w:name="_Toc27010"/>
      <w:bookmarkStart w:id="88" w:name="_Toc23803"/>
      <w:bookmarkStart w:id="89" w:name="_Toc10020"/>
      <w:bookmarkStart w:id="90" w:name="_Toc19776"/>
      <w:bookmarkStart w:id="91" w:name="_Toc23721"/>
      <w:bookmarkStart w:id="92" w:name="_Toc3993"/>
      <w:bookmarkStart w:id="93" w:name="_Toc25978"/>
      <w:r>
        <w:rPr>
          <w:highlight w:val="none"/>
        </w:rPr>
        <w:t>三、</w:t>
      </w:r>
      <w:bookmarkEnd w:id="80"/>
      <w:bookmarkEnd w:id="81"/>
      <w:bookmarkEnd w:id="82"/>
      <w:bookmarkEnd w:id="83"/>
      <w:bookmarkEnd w:id="84"/>
      <w:r>
        <w:rPr>
          <w:rFonts w:hint="eastAsia"/>
          <w:highlight w:val="none"/>
        </w:rPr>
        <w:t>谈判文件</w:t>
      </w:r>
      <w:bookmarkEnd w:id="85"/>
      <w:bookmarkEnd w:id="86"/>
      <w:bookmarkEnd w:id="87"/>
      <w:bookmarkEnd w:id="88"/>
      <w:bookmarkEnd w:id="89"/>
      <w:bookmarkEnd w:id="90"/>
      <w:bookmarkEnd w:id="91"/>
      <w:bookmarkEnd w:id="92"/>
      <w:bookmarkEnd w:id="93"/>
    </w:p>
    <w:p w14:paraId="62186FE5">
      <w:pPr>
        <w:pStyle w:val="7"/>
        <w:pageBreakBefore w:val="0"/>
        <w:kinsoku/>
        <w:overflowPunct/>
        <w:topLinePunct w:val="0"/>
        <w:autoSpaceDE/>
        <w:autoSpaceDN/>
        <w:bidi w:val="0"/>
        <w:spacing w:line="560" w:lineRule="exact"/>
        <w:textAlignment w:val="auto"/>
        <w:rPr>
          <w:highlight w:val="none"/>
        </w:rPr>
      </w:pPr>
      <w:bookmarkStart w:id="94" w:name="_Toc28681232"/>
      <w:r>
        <w:rPr>
          <w:rFonts w:hint="eastAsia"/>
          <w:highlight w:val="none"/>
        </w:rPr>
        <w:t>（一）谈判文件包括下列内容</w:t>
      </w:r>
      <w:bookmarkEnd w:id="94"/>
    </w:p>
    <w:p w14:paraId="1CADA34B">
      <w:pPr>
        <w:pageBreakBefore w:val="0"/>
        <w:kinsoku/>
        <w:overflowPunct/>
        <w:topLinePunct w:val="0"/>
        <w:autoSpaceDE/>
        <w:autoSpaceDN/>
        <w:bidi w:val="0"/>
        <w:spacing w:line="560" w:lineRule="exact"/>
        <w:ind w:firstLine="566" w:firstLineChars="200"/>
        <w:textAlignment w:val="auto"/>
        <w:rPr>
          <w:rFonts w:ascii="仿宋" w:hAnsi="仿宋" w:eastAsia="仿宋" w:cs="仿宋"/>
          <w:highlight w:val="none"/>
        </w:rPr>
      </w:pPr>
      <w:r>
        <w:rPr>
          <w:rFonts w:hint="eastAsia" w:ascii="仿宋" w:hAnsi="仿宋" w:eastAsia="仿宋" w:cs="仿宋"/>
          <w:highlight w:val="none"/>
        </w:rPr>
        <w:t>第一章</w:t>
      </w:r>
      <w:r>
        <w:rPr>
          <w:rFonts w:hint="eastAsia" w:ascii="仿宋" w:hAnsi="仿宋" w:eastAsia="仿宋" w:cs="仿宋"/>
          <w:highlight w:val="none"/>
          <w:lang w:eastAsia="zh-CN"/>
        </w:rPr>
        <w:t xml:space="preserve"> </w:t>
      </w:r>
      <w:r>
        <w:rPr>
          <w:rFonts w:hint="eastAsia" w:ascii="仿宋" w:hAnsi="仿宋" w:eastAsia="仿宋" w:cs="仿宋"/>
          <w:highlight w:val="none"/>
        </w:rPr>
        <w:t>单一来源采购通知书</w:t>
      </w:r>
    </w:p>
    <w:p w14:paraId="67C49ACD">
      <w:pPr>
        <w:pageBreakBefore w:val="0"/>
        <w:kinsoku/>
        <w:overflowPunct/>
        <w:topLinePunct w:val="0"/>
        <w:autoSpaceDE/>
        <w:autoSpaceDN/>
        <w:bidi w:val="0"/>
        <w:spacing w:line="560" w:lineRule="exact"/>
        <w:ind w:firstLine="566" w:firstLineChars="200"/>
        <w:textAlignment w:val="auto"/>
        <w:rPr>
          <w:rFonts w:ascii="仿宋" w:hAnsi="仿宋" w:eastAsia="仿宋" w:cs="仿宋"/>
          <w:highlight w:val="none"/>
        </w:rPr>
      </w:pPr>
      <w:r>
        <w:rPr>
          <w:rFonts w:hint="eastAsia" w:ascii="仿宋" w:hAnsi="仿宋" w:eastAsia="仿宋" w:cs="仿宋"/>
          <w:highlight w:val="none"/>
        </w:rPr>
        <w:t>第二章</w:t>
      </w:r>
      <w:r>
        <w:rPr>
          <w:rFonts w:hint="eastAsia" w:ascii="仿宋" w:hAnsi="仿宋" w:eastAsia="仿宋" w:cs="仿宋"/>
          <w:highlight w:val="none"/>
          <w:lang w:eastAsia="zh-CN"/>
        </w:rPr>
        <w:t xml:space="preserve"> </w:t>
      </w:r>
      <w:r>
        <w:rPr>
          <w:rFonts w:hint="eastAsia" w:ascii="仿宋" w:hAnsi="仿宋" w:eastAsia="仿宋" w:cs="仿宋"/>
          <w:highlight w:val="none"/>
        </w:rPr>
        <w:t>供应商须知</w:t>
      </w:r>
    </w:p>
    <w:p w14:paraId="44EBB2D4">
      <w:pPr>
        <w:pageBreakBefore w:val="0"/>
        <w:kinsoku/>
        <w:overflowPunct/>
        <w:topLinePunct w:val="0"/>
        <w:autoSpaceDE/>
        <w:autoSpaceDN/>
        <w:bidi w:val="0"/>
        <w:spacing w:line="560" w:lineRule="exact"/>
        <w:ind w:firstLine="566" w:firstLineChars="200"/>
        <w:textAlignment w:val="auto"/>
        <w:rPr>
          <w:rFonts w:ascii="仿宋" w:hAnsi="仿宋" w:eastAsia="仿宋" w:cs="仿宋"/>
          <w:highlight w:val="none"/>
        </w:rPr>
      </w:pPr>
      <w:r>
        <w:rPr>
          <w:rFonts w:hint="eastAsia" w:ascii="仿宋" w:hAnsi="仿宋" w:eastAsia="仿宋" w:cs="仿宋"/>
          <w:highlight w:val="none"/>
        </w:rPr>
        <w:t>第三章</w:t>
      </w:r>
      <w:r>
        <w:rPr>
          <w:rFonts w:hint="eastAsia" w:ascii="仿宋" w:hAnsi="仿宋" w:eastAsia="仿宋" w:cs="仿宋"/>
          <w:highlight w:val="none"/>
          <w:lang w:eastAsia="zh-CN"/>
        </w:rPr>
        <w:t xml:space="preserve"> </w:t>
      </w:r>
      <w:r>
        <w:rPr>
          <w:rFonts w:hint="eastAsia" w:ascii="仿宋" w:hAnsi="仿宋" w:eastAsia="仿宋" w:cs="仿宋"/>
          <w:highlight w:val="none"/>
        </w:rPr>
        <w:t>采购内容及采购要求</w:t>
      </w:r>
    </w:p>
    <w:p w14:paraId="02B59D72">
      <w:pPr>
        <w:pageBreakBefore w:val="0"/>
        <w:kinsoku/>
        <w:overflowPunct/>
        <w:topLinePunct w:val="0"/>
        <w:autoSpaceDE/>
        <w:autoSpaceDN/>
        <w:bidi w:val="0"/>
        <w:spacing w:line="560" w:lineRule="exact"/>
        <w:ind w:firstLine="566" w:firstLineChars="200"/>
        <w:textAlignment w:val="auto"/>
        <w:rPr>
          <w:rFonts w:ascii="仿宋" w:hAnsi="仿宋" w:eastAsia="仿宋" w:cs="仿宋"/>
          <w:highlight w:val="none"/>
        </w:rPr>
      </w:pPr>
      <w:r>
        <w:rPr>
          <w:rFonts w:hint="eastAsia" w:ascii="仿宋" w:hAnsi="仿宋" w:eastAsia="仿宋" w:cs="仿宋"/>
          <w:highlight w:val="none"/>
        </w:rPr>
        <w:t>第四章</w:t>
      </w:r>
      <w:r>
        <w:rPr>
          <w:rFonts w:hint="eastAsia" w:ascii="仿宋" w:hAnsi="仿宋" w:eastAsia="仿宋" w:cs="仿宋"/>
          <w:highlight w:val="none"/>
          <w:lang w:eastAsia="zh-CN"/>
        </w:rPr>
        <w:t xml:space="preserve"> </w:t>
      </w:r>
      <w:r>
        <w:rPr>
          <w:rFonts w:hint="eastAsia" w:ascii="仿宋" w:hAnsi="仿宋" w:eastAsia="仿宋" w:cs="仿宋"/>
          <w:highlight w:val="none"/>
        </w:rPr>
        <w:t>合同基本条款</w:t>
      </w:r>
    </w:p>
    <w:p w14:paraId="5D190BCF">
      <w:pPr>
        <w:pageBreakBefore w:val="0"/>
        <w:kinsoku/>
        <w:overflowPunct/>
        <w:topLinePunct w:val="0"/>
        <w:autoSpaceDE/>
        <w:autoSpaceDN/>
        <w:bidi w:val="0"/>
        <w:spacing w:line="560" w:lineRule="exact"/>
        <w:ind w:firstLine="566" w:firstLineChars="200"/>
        <w:textAlignment w:val="auto"/>
        <w:rPr>
          <w:rFonts w:ascii="仿宋" w:hAnsi="仿宋" w:eastAsia="仿宋" w:cs="仿宋"/>
          <w:highlight w:val="none"/>
        </w:rPr>
      </w:pPr>
      <w:r>
        <w:rPr>
          <w:rFonts w:hint="eastAsia" w:ascii="仿宋" w:hAnsi="仿宋" w:eastAsia="仿宋" w:cs="仿宋"/>
          <w:highlight w:val="none"/>
        </w:rPr>
        <w:t>第五章</w:t>
      </w:r>
      <w:r>
        <w:rPr>
          <w:rFonts w:hint="eastAsia" w:ascii="仿宋" w:hAnsi="仿宋" w:eastAsia="仿宋" w:cs="仿宋"/>
          <w:highlight w:val="none"/>
          <w:lang w:eastAsia="zh-CN"/>
        </w:rPr>
        <w:t xml:space="preserve"> </w:t>
      </w:r>
      <w:r>
        <w:rPr>
          <w:rFonts w:hint="eastAsia" w:ascii="仿宋" w:hAnsi="仿宋" w:eastAsia="仿宋" w:cs="仿宋"/>
          <w:highlight w:val="none"/>
        </w:rPr>
        <w:t>响应文件构成及格式</w:t>
      </w:r>
    </w:p>
    <w:p w14:paraId="0EC87C52">
      <w:pPr>
        <w:pStyle w:val="7"/>
        <w:pageBreakBefore w:val="0"/>
        <w:kinsoku/>
        <w:overflowPunct/>
        <w:topLinePunct w:val="0"/>
        <w:autoSpaceDE/>
        <w:autoSpaceDN/>
        <w:bidi w:val="0"/>
        <w:spacing w:line="560" w:lineRule="exact"/>
        <w:textAlignment w:val="auto"/>
        <w:rPr>
          <w:highlight w:val="none"/>
        </w:rPr>
      </w:pPr>
      <w:bookmarkStart w:id="95" w:name="_Toc28681233"/>
      <w:r>
        <w:rPr>
          <w:rFonts w:hint="eastAsia"/>
          <w:highlight w:val="none"/>
        </w:rPr>
        <w:t>（二）谈判文件的检查及阅读</w:t>
      </w:r>
      <w:bookmarkEnd w:id="95"/>
    </w:p>
    <w:p w14:paraId="1C76407E">
      <w:pPr>
        <w:pageBreakBefore w:val="0"/>
        <w:kinsoku/>
        <w:overflowPunct/>
        <w:topLinePunct w:val="0"/>
        <w:autoSpaceDE/>
        <w:autoSpaceDN/>
        <w:bidi w:val="0"/>
        <w:spacing w:line="560" w:lineRule="exact"/>
        <w:ind w:firstLine="566" w:firstLineChars="200"/>
        <w:textAlignment w:val="auto"/>
        <w:rPr>
          <w:rFonts w:ascii="仿宋" w:hAnsi="仿宋" w:eastAsia="仿宋" w:cs="仿宋"/>
          <w:highlight w:val="none"/>
        </w:rPr>
      </w:pPr>
      <w:r>
        <w:rPr>
          <w:rFonts w:hint="eastAsia" w:ascii="仿宋" w:hAnsi="仿宋" w:eastAsia="仿宋" w:cs="仿宋"/>
          <w:highlight w:val="none"/>
        </w:rPr>
        <w:t>供应商应仔细检查阅读谈判文件中的所有内容，按照谈判文件中所列事项、条款、规范要求及格式，在响应文件中对谈判文件做出实质性的响应，并按谈判文件的要求提交全部资料。</w:t>
      </w:r>
    </w:p>
    <w:p w14:paraId="63258B27">
      <w:pPr>
        <w:pageBreakBefore w:val="0"/>
        <w:kinsoku/>
        <w:overflowPunct/>
        <w:topLinePunct w:val="0"/>
        <w:autoSpaceDE/>
        <w:autoSpaceDN/>
        <w:bidi w:val="0"/>
        <w:spacing w:line="560" w:lineRule="exact"/>
        <w:ind w:firstLine="566" w:firstLineChars="200"/>
        <w:textAlignment w:val="auto"/>
        <w:rPr>
          <w:rFonts w:ascii="仿宋" w:hAnsi="仿宋" w:eastAsia="仿宋" w:cs="仿宋"/>
          <w:highlight w:val="none"/>
        </w:rPr>
      </w:pPr>
      <w:r>
        <w:rPr>
          <w:rFonts w:hint="eastAsia" w:ascii="仿宋" w:hAnsi="仿宋" w:eastAsia="仿宋" w:cs="仿宋"/>
          <w:highlight w:val="none"/>
        </w:rPr>
        <w:t>项目废标后重新组织谈判的，陕西中发项目管理发展有限公司将重新编制、发布新版谈判文件，供应商应按新版谈判文件重新编制响应文件。原谈判文件及响应文件失效。</w:t>
      </w:r>
    </w:p>
    <w:p w14:paraId="50BAE1CD">
      <w:pPr>
        <w:pageBreakBefore w:val="0"/>
        <w:kinsoku/>
        <w:overflowPunct/>
        <w:topLinePunct w:val="0"/>
        <w:autoSpaceDE/>
        <w:autoSpaceDN/>
        <w:bidi w:val="0"/>
        <w:spacing w:line="560" w:lineRule="exact"/>
        <w:ind w:firstLine="566" w:firstLineChars="200"/>
        <w:textAlignment w:val="auto"/>
        <w:rPr>
          <w:rFonts w:ascii="仿宋" w:hAnsi="仿宋" w:eastAsia="仿宋" w:cs="仿宋"/>
          <w:b/>
          <w:bCs/>
          <w:highlight w:val="none"/>
        </w:rPr>
      </w:pPr>
      <w:r>
        <w:rPr>
          <w:rFonts w:hint="eastAsia" w:ascii="仿宋" w:hAnsi="仿宋" w:eastAsia="仿宋" w:cs="仿宋"/>
          <w:b/>
          <w:bCs/>
          <w:highlight w:val="none"/>
        </w:rPr>
        <w:t>响应文件封面、响应函以及法定代表人授权委托书三处的项目名称、项目编号、标段（项目未分标段的除外）应当与谈判文件保持一致。</w:t>
      </w:r>
    </w:p>
    <w:p w14:paraId="2FF99640">
      <w:pPr>
        <w:pStyle w:val="7"/>
        <w:pageBreakBefore w:val="0"/>
        <w:kinsoku/>
        <w:overflowPunct/>
        <w:topLinePunct w:val="0"/>
        <w:autoSpaceDE/>
        <w:autoSpaceDN/>
        <w:bidi w:val="0"/>
        <w:spacing w:line="560" w:lineRule="exact"/>
        <w:textAlignment w:val="auto"/>
        <w:rPr>
          <w:highlight w:val="none"/>
        </w:rPr>
      </w:pPr>
      <w:bookmarkStart w:id="96" w:name="_Toc28681234"/>
      <w:r>
        <w:rPr>
          <w:rFonts w:hint="eastAsia"/>
          <w:highlight w:val="none"/>
        </w:rPr>
        <w:t>（三）谈判文件的修改、澄清</w:t>
      </w:r>
      <w:bookmarkEnd w:id="96"/>
    </w:p>
    <w:p w14:paraId="6FF968F4">
      <w:pPr>
        <w:pageBreakBefore w:val="0"/>
        <w:kinsoku/>
        <w:overflowPunct/>
        <w:topLinePunct w:val="0"/>
        <w:autoSpaceDE/>
        <w:autoSpaceDN/>
        <w:bidi w:val="0"/>
        <w:spacing w:line="560" w:lineRule="exact"/>
        <w:ind w:firstLine="566" w:firstLineChars="200"/>
        <w:textAlignment w:val="auto"/>
        <w:rPr>
          <w:rFonts w:ascii="仿宋" w:hAnsi="仿宋" w:eastAsia="仿宋" w:cs="仿宋"/>
          <w:highlight w:val="none"/>
        </w:rPr>
      </w:pPr>
      <w:r>
        <w:rPr>
          <w:rFonts w:hint="eastAsia" w:ascii="仿宋" w:hAnsi="仿宋" w:eastAsia="仿宋" w:cs="仿宋"/>
          <w:highlight w:val="none"/>
        </w:rPr>
        <w:t>1、提交响应文件截止之日前，陕西中发项目管理发展有限公司可对已发出的谈判文件进行必要的澄清或者修改，澄清或者修改的内容作为谈判文件的组成部分。澄清或修改的内容可能影响响应文件编制的，陕西中发项目管理发展有限公司应当在提交响应文件截止之日3个工作日前，以书面形式通知供应商，不足3个工作日的，应当顺延提交响应文件截止之日。</w:t>
      </w:r>
    </w:p>
    <w:p w14:paraId="5DFD63F7">
      <w:pPr>
        <w:pageBreakBefore w:val="0"/>
        <w:kinsoku/>
        <w:overflowPunct/>
        <w:topLinePunct w:val="0"/>
        <w:autoSpaceDE/>
        <w:autoSpaceDN/>
        <w:bidi w:val="0"/>
        <w:spacing w:line="560" w:lineRule="exact"/>
        <w:ind w:firstLine="566" w:firstLineChars="200"/>
        <w:textAlignment w:val="auto"/>
        <w:rPr>
          <w:rFonts w:ascii="仿宋" w:hAnsi="仿宋" w:eastAsia="仿宋" w:cs="仿宋"/>
          <w:highlight w:val="none"/>
        </w:rPr>
      </w:pPr>
      <w:r>
        <w:rPr>
          <w:rFonts w:hint="eastAsia" w:ascii="仿宋" w:hAnsi="仿宋" w:eastAsia="仿宋" w:cs="仿宋"/>
          <w:highlight w:val="none"/>
        </w:rPr>
        <w:t>2、</w:t>
      </w:r>
      <w:r>
        <w:rPr>
          <w:rFonts w:hint="eastAsia" w:ascii="仿宋" w:hAnsi="仿宋" w:eastAsia="仿宋"/>
          <w:highlight w:val="none"/>
        </w:rPr>
        <w:t>供应商</w:t>
      </w:r>
      <w:r>
        <w:rPr>
          <w:rFonts w:ascii="仿宋" w:hAnsi="仿宋" w:eastAsia="仿宋"/>
          <w:highlight w:val="none"/>
        </w:rPr>
        <w:t>对</w:t>
      </w:r>
      <w:r>
        <w:rPr>
          <w:rFonts w:hint="eastAsia" w:ascii="仿宋" w:hAnsi="仿宋" w:eastAsia="仿宋"/>
          <w:highlight w:val="none"/>
        </w:rPr>
        <w:t>谈判文件</w:t>
      </w:r>
      <w:r>
        <w:rPr>
          <w:rFonts w:ascii="仿宋" w:hAnsi="仿宋" w:eastAsia="仿宋"/>
          <w:highlight w:val="none"/>
        </w:rPr>
        <w:t>提出质疑的，应在</w:t>
      </w:r>
      <w:r>
        <w:rPr>
          <w:rFonts w:hint="eastAsia" w:ascii="仿宋" w:hAnsi="仿宋" w:eastAsia="仿宋"/>
          <w:highlight w:val="none"/>
        </w:rPr>
        <w:t>谈判文件</w:t>
      </w:r>
      <w:r>
        <w:rPr>
          <w:rFonts w:ascii="仿宋" w:hAnsi="仿宋" w:eastAsia="仿宋"/>
          <w:highlight w:val="none"/>
        </w:rPr>
        <w:t>公告期限届满之日起7个工作日内以书面形式提出，采购人或</w:t>
      </w:r>
      <w:r>
        <w:rPr>
          <w:rFonts w:hint="eastAsia" w:ascii="仿宋" w:hAnsi="仿宋" w:eastAsia="仿宋"/>
          <w:highlight w:val="none"/>
        </w:rPr>
        <w:t>陕西中发项目管理发展有限公司</w:t>
      </w:r>
      <w:r>
        <w:rPr>
          <w:rFonts w:ascii="仿宋" w:hAnsi="仿宋" w:eastAsia="仿宋"/>
          <w:highlight w:val="none"/>
        </w:rPr>
        <w:t>以书面形式予以答复；在此之后提出的针对</w:t>
      </w:r>
      <w:r>
        <w:rPr>
          <w:rFonts w:hint="eastAsia" w:ascii="仿宋" w:hAnsi="仿宋" w:eastAsia="仿宋"/>
          <w:highlight w:val="none"/>
        </w:rPr>
        <w:t>谈判文件</w:t>
      </w:r>
      <w:r>
        <w:rPr>
          <w:rFonts w:ascii="仿宋" w:hAnsi="仿宋" w:eastAsia="仿宋"/>
          <w:highlight w:val="none"/>
        </w:rPr>
        <w:t>的质疑为无效质疑。答复的内容可能影响</w:t>
      </w:r>
      <w:r>
        <w:rPr>
          <w:rFonts w:hint="eastAsia" w:ascii="仿宋" w:hAnsi="仿宋" w:eastAsia="仿宋"/>
          <w:highlight w:val="none"/>
        </w:rPr>
        <w:t>谈判文件</w:t>
      </w:r>
      <w:r>
        <w:rPr>
          <w:rFonts w:ascii="仿宋" w:hAnsi="仿宋" w:eastAsia="仿宋"/>
          <w:highlight w:val="none"/>
        </w:rPr>
        <w:t>编制的，</w:t>
      </w:r>
      <w:r>
        <w:rPr>
          <w:rFonts w:hint="eastAsia" w:ascii="仿宋" w:hAnsi="仿宋" w:eastAsia="仿宋"/>
          <w:highlight w:val="none"/>
        </w:rPr>
        <w:t>陕西中发项目管理发展有限公司</w:t>
      </w:r>
      <w:r>
        <w:rPr>
          <w:rFonts w:ascii="仿宋" w:hAnsi="仿宋" w:eastAsia="仿宋"/>
          <w:highlight w:val="none"/>
        </w:rPr>
        <w:t>将在财政部门指定的政府采购信息发布媒体上</w:t>
      </w:r>
      <w:r>
        <w:rPr>
          <w:rFonts w:ascii="仿宋" w:hAnsi="仿宋" w:eastAsia="仿宋"/>
          <w:b/>
          <w:bCs/>
          <w:highlight w:val="none"/>
        </w:rPr>
        <w:t>发布变更公告</w:t>
      </w:r>
      <w:r>
        <w:rPr>
          <w:rFonts w:ascii="仿宋" w:hAnsi="仿宋" w:eastAsia="仿宋"/>
          <w:highlight w:val="none"/>
        </w:rPr>
        <w:t>。</w:t>
      </w:r>
    </w:p>
    <w:p w14:paraId="6BA76C12">
      <w:pPr>
        <w:pageBreakBefore w:val="0"/>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ascii="仿宋" w:hAnsi="仿宋" w:eastAsia="仿宋" w:cs="仿宋"/>
          <w:highlight w:val="none"/>
        </w:rPr>
        <w:t>3</w:t>
      </w:r>
      <w:r>
        <w:rPr>
          <w:rFonts w:hint="eastAsia" w:ascii="仿宋" w:hAnsi="仿宋" w:eastAsia="仿宋" w:cs="仿宋"/>
          <w:highlight w:val="none"/>
        </w:rPr>
        <w:t>、</w:t>
      </w:r>
      <w:r>
        <w:rPr>
          <w:rFonts w:hint="eastAsia" w:eastAsia="仿宋" w:cs="Calibri Light"/>
          <w:highlight w:val="none"/>
        </w:rPr>
        <w:t>各供应商在提交投标文件截止时间之前，应随时关注发布的变更公告，陕西中发项目管理发展有限公司</w:t>
      </w:r>
      <w:r>
        <w:rPr>
          <w:rFonts w:hint="eastAsia" w:ascii="仿宋" w:hAnsi="华文仿宋" w:eastAsia="仿宋" w:cs="华文仿宋"/>
          <w:b/>
          <w:bCs/>
          <w:highlight w:val="none"/>
        </w:rPr>
        <w:t>不再单独通知，因供应商未及时关注所造成的一切后果由供应商自行承担：</w:t>
      </w:r>
    </w:p>
    <w:p w14:paraId="00E4C369">
      <w:pPr>
        <w:pStyle w:val="7"/>
        <w:pageBreakBefore w:val="0"/>
        <w:kinsoku/>
        <w:overflowPunct/>
        <w:topLinePunct w:val="0"/>
        <w:autoSpaceDE/>
        <w:autoSpaceDN/>
        <w:bidi w:val="0"/>
        <w:spacing w:line="560" w:lineRule="exact"/>
        <w:textAlignment w:val="auto"/>
        <w:rPr>
          <w:highlight w:val="none"/>
        </w:rPr>
      </w:pPr>
      <w:bookmarkStart w:id="97" w:name="_Toc28681235"/>
      <w:r>
        <w:rPr>
          <w:rFonts w:hint="eastAsia"/>
          <w:highlight w:val="none"/>
        </w:rPr>
        <w:t>（四）谈判文件的解释权归陕西中发项目管理发展有限公司。</w:t>
      </w:r>
      <w:bookmarkEnd w:id="97"/>
    </w:p>
    <w:p w14:paraId="489B841A">
      <w:pPr>
        <w:pStyle w:val="4"/>
        <w:pageBreakBefore w:val="0"/>
        <w:kinsoku/>
        <w:overflowPunct/>
        <w:topLinePunct w:val="0"/>
        <w:autoSpaceDE/>
        <w:autoSpaceDN/>
        <w:bidi w:val="0"/>
        <w:spacing w:line="560" w:lineRule="exact"/>
        <w:ind w:firstLine="566" w:firstLineChars="200"/>
        <w:textAlignment w:val="auto"/>
        <w:rPr>
          <w:highlight w:val="none"/>
        </w:rPr>
      </w:pPr>
      <w:bookmarkStart w:id="98" w:name="_Toc1794"/>
      <w:bookmarkStart w:id="99" w:name="_Toc3187"/>
      <w:bookmarkStart w:id="100" w:name="_Toc7136"/>
      <w:bookmarkStart w:id="101" w:name="_Toc6398"/>
      <w:bookmarkStart w:id="102" w:name="_Toc22582"/>
      <w:bookmarkStart w:id="103" w:name="_Toc28965"/>
      <w:bookmarkStart w:id="104" w:name="_Toc23003"/>
      <w:bookmarkStart w:id="105" w:name="_Toc11188"/>
      <w:bookmarkStart w:id="106" w:name="_Toc1453"/>
      <w:bookmarkStart w:id="107" w:name="_Toc23459"/>
      <w:bookmarkStart w:id="108" w:name="_Toc27193"/>
      <w:bookmarkStart w:id="109" w:name="_Toc28681236"/>
      <w:bookmarkStart w:id="110" w:name="_Toc27370"/>
      <w:bookmarkStart w:id="111" w:name="_Toc3107"/>
      <w:r>
        <w:rPr>
          <w:rFonts w:hint="eastAsia"/>
          <w:highlight w:val="none"/>
        </w:rPr>
        <w:t>四、谈判保证金</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55881737">
      <w:pPr>
        <w:pageBreakBefore w:val="0"/>
        <w:kinsoku/>
        <w:overflowPunct/>
        <w:topLinePunct w:val="0"/>
        <w:autoSpaceDE/>
        <w:autoSpaceDN/>
        <w:bidi w:val="0"/>
        <w:spacing w:line="560" w:lineRule="exact"/>
        <w:ind w:firstLine="566" w:firstLineChars="200"/>
        <w:textAlignment w:val="auto"/>
        <w:rPr>
          <w:rFonts w:ascii="仿宋" w:hAnsi="仿宋" w:eastAsia="仿宋" w:cs="仿宋"/>
          <w:highlight w:val="none"/>
        </w:rPr>
      </w:pPr>
      <w:bookmarkStart w:id="112" w:name="_Toc16727"/>
      <w:bookmarkStart w:id="113" w:name="_Toc22370"/>
      <w:bookmarkStart w:id="114" w:name="_Toc30514"/>
      <w:bookmarkStart w:id="115" w:name="_Toc1732"/>
      <w:bookmarkStart w:id="116" w:name="_Toc20935"/>
      <w:bookmarkStart w:id="117" w:name="_Toc28681238"/>
      <w:bookmarkStart w:id="118" w:name="_Toc21830"/>
      <w:r>
        <w:rPr>
          <w:rFonts w:hint="eastAsia" w:ascii="仿宋" w:hAnsi="仿宋" w:eastAsia="仿宋" w:cs="仿宋"/>
          <w:highlight w:val="none"/>
        </w:rPr>
        <w:t>本项目不收取保证金。</w:t>
      </w:r>
    </w:p>
    <w:p w14:paraId="46D64F46">
      <w:pPr>
        <w:pStyle w:val="4"/>
        <w:pageBreakBefore w:val="0"/>
        <w:kinsoku/>
        <w:overflowPunct/>
        <w:topLinePunct w:val="0"/>
        <w:autoSpaceDE/>
        <w:autoSpaceDN/>
        <w:bidi w:val="0"/>
        <w:spacing w:line="560" w:lineRule="exact"/>
        <w:ind w:firstLine="566" w:firstLineChars="200"/>
        <w:textAlignment w:val="auto"/>
        <w:rPr>
          <w:highlight w:val="none"/>
        </w:rPr>
      </w:pPr>
      <w:bookmarkStart w:id="119" w:name="_Toc5827"/>
      <w:bookmarkStart w:id="120" w:name="_Toc10318"/>
      <w:bookmarkStart w:id="121" w:name="_Toc20427"/>
      <w:bookmarkStart w:id="122" w:name="_Toc20841"/>
      <w:bookmarkStart w:id="123" w:name="_Toc28874"/>
      <w:bookmarkStart w:id="124" w:name="_Toc21143"/>
      <w:bookmarkStart w:id="125" w:name="_Toc27232"/>
      <w:r>
        <w:rPr>
          <w:rFonts w:hint="eastAsia"/>
          <w:highlight w:val="none"/>
        </w:rPr>
        <w:t>五、谈判报价</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1EC8A9CA">
      <w:pPr>
        <w:pageBreakBefore w:val="0"/>
        <w:kinsoku/>
        <w:overflowPunct/>
        <w:topLinePunct w:val="0"/>
        <w:autoSpaceDE/>
        <w:autoSpaceDN/>
        <w:bidi w:val="0"/>
        <w:spacing w:line="560" w:lineRule="exact"/>
        <w:ind w:firstLine="566" w:firstLineChars="200"/>
        <w:textAlignment w:val="auto"/>
        <w:rPr>
          <w:rFonts w:ascii="仿宋" w:hAnsi="仿宋" w:eastAsia="仿宋" w:cs="仿宋"/>
          <w:highlight w:val="none"/>
        </w:rPr>
      </w:pPr>
      <w:r>
        <w:rPr>
          <w:rFonts w:hint="eastAsia" w:ascii="仿宋" w:hAnsi="仿宋" w:eastAsia="仿宋" w:cs="仿宋"/>
          <w:highlight w:val="none"/>
        </w:rPr>
        <w:t>谈判报价是供应商响应采购项目要求的全部工作内容的价格体现，包括完成采购内容所需的直接费、间接费、利润、税金及其它相关的一切费用。供应商在报价时应充分考虑所有可能发生的费用，谈判文件未列明，而供应商认为应当计取的费用均应列入报价中。报价时不论是否计取，采购人均按已计取对待。</w:t>
      </w:r>
    </w:p>
    <w:p w14:paraId="0E7FD3C0">
      <w:pPr>
        <w:pageBreakBefore w:val="0"/>
        <w:kinsoku/>
        <w:overflowPunct/>
        <w:topLinePunct w:val="0"/>
        <w:autoSpaceDE/>
        <w:autoSpaceDN/>
        <w:bidi w:val="0"/>
        <w:spacing w:line="560" w:lineRule="exact"/>
        <w:ind w:firstLine="566" w:firstLineChars="200"/>
        <w:contextualSpacing/>
        <w:textAlignment w:val="auto"/>
        <w:rPr>
          <w:rFonts w:ascii="仿宋" w:hAnsi="仿宋" w:eastAsia="仿宋"/>
          <w:highlight w:val="none"/>
        </w:rPr>
      </w:pPr>
      <w:r>
        <w:rPr>
          <w:rFonts w:ascii="仿宋" w:hAnsi="仿宋" w:eastAsia="仿宋"/>
          <w:highlight w:val="none"/>
        </w:rPr>
        <w:t>（一）</w:t>
      </w:r>
      <w:r>
        <w:rPr>
          <w:rFonts w:hint="eastAsia" w:ascii="仿宋" w:hAnsi="仿宋" w:eastAsia="仿宋"/>
          <w:highlight w:val="none"/>
        </w:rPr>
        <w:t>供应商</w:t>
      </w:r>
      <w:r>
        <w:rPr>
          <w:rFonts w:ascii="仿宋" w:hAnsi="仿宋" w:eastAsia="仿宋"/>
          <w:highlight w:val="none"/>
        </w:rPr>
        <w:t>应在响应文件中的</w:t>
      </w:r>
      <w:r>
        <w:rPr>
          <w:rFonts w:hint="eastAsia" w:ascii="仿宋" w:hAnsi="仿宋" w:eastAsia="仿宋"/>
          <w:highlight w:val="none"/>
        </w:rPr>
        <w:t>《</w:t>
      </w:r>
      <w:r>
        <w:rPr>
          <w:rFonts w:ascii="仿宋" w:hAnsi="仿宋" w:eastAsia="仿宋"/>
          <w:highlight w:val="none"/>
        </w:rPr>
        <w:t>第一次</w:t>
      </w:r>
      <w:r>
        <w:rPr>
          <w:rFonts w:hint="eastAsia" w:ascii="仿宋" w:hAnsi="仿宋" w:eastAsia="仿宋"/>
          <w:highlight w:val="none"/>
        </w:rPr>
        <w:t>谈判</w:t>
      </w:r>
      <w:r>
        <w:rPr>
          <w:rFonts w:ascii="仿宋" w:hAnsi="仿宋" w:eastAsia="仿宋"/>
          <w:highlight w:val="none"/>
        </w:rPr>
        <w:t>报价表</w:t>
      </w:r>
      <w:r>
        <w:rPr>
          <w:rFonts w:hint="eastAsia" w:ascii="仿宋" w:hAnsi="仿宋" w:eastAsia="仿宋"/>
          <w:highlight w:val="none"/>
        </w:rPr>
        <w:t>》</w:t>
      </w:r>
      <w:r>
        <w:rPr>
          <w:rFonts w:ascii="仿宋" w:hAnsi="仿宋" w:eastAsia="仿宋"/>
          <w:highlight w:val="none"/>
        </w:rPr>
        <w:t>上标明</w:t>
      </w:r>
      <w:r>
        <w:rPr>
          <w:rFonts w:hint="eastAsia" w:ascii="仿宋" w:hAnsi="仿宋" w:eastAsia="仿宋"/>
          <w:highlight w:val="none"/>
        </w:rPr>
        <w:t>产品/服务</w:t>
      </w:r>
      <w:r>
        <w:rPr>
          <w:rFonts w:ascii="仿宋" w:hAnsi="仿宋" w:eastAsia="仿宋"/>
          <w:highlight w:val="none"/>
        </w:rPr>
        <w:t>报价。</w:t>
      </w:r>
    </w:p>
    <w:p w14:paraId="571DCBBC">
      <w:pPr>
        <w:pageBreakBefore w:val="0"/>
        <w:kinsoku/>
        <w:overflowPunct/>
        <w:topLinePunct w:val="0"/>
        <w:autoSpaceDE/>
        <w:autoSpaceDN/>
        <w:bidi w:val="0"/>
        <w:spacing w:line="560" w:lineRule="exact"/>
        <w:ind w:firstLine="566" w:firstLineChars="200"/>
        <w:textAlignment w:val="auto"/>
        <w:rPr>
          <w:rFonts w:ascii="仿宋" w:hAnsi="仿宋" w:eastAsia="仿宋"/>
          <w:highlight w:val="none"/>
        </w:rPr>
      </w:pPr>
      <w:r>
        <w:rPr>
          <w:rFonts w:ascii="仿宋" w:hAnsi="仿宋" w:eastAsia="仿宋"/>
          <w:highlight w:val="none"/>
        </w:rPr>
        <w:t>（二）一般情况下采取多次报价的办法，由谈判小组与供应商进行多轮谈判。</w:t>
      </w:r>
    </w:p>
    <w:p w14:paraId="7AC17074">
      <w:pPr>
        <w:pageBreakBefore w:val="0"/>
        <w:kinsoku/>
        <w:overflowPunct/>
        <w:topLinePunct w:val="0"/>
        <w:autoSpaceDE/>
        <w:autoSpaceDN/>
        <w:bidi w:val="0"/>
        <w:spacing w:line="560" w:lineRule="exact"/>
        <w:ind w:firstLine="566" w:firstLineChars="200"/>
        <w:contextualSpacing/>
        <w:textAlignment w:val="auto"/>
        <w:rPr>
          <w:rFonts w:ascii="仿宋" w:hAnsi="仿宋" w:eastAsia="仿宋"/>
          <w:highlight w:val="none"/>
        </w:rPr>
      </w:pPr>
      <w:r>
        <w:rPr>
          <w:rFonts w:ascii="仿宋" w:hAnsi="仿宋" w:eastAsia="仿宋"/>
          <w:highlight w:val="none"/>
        </w:rPr>
        <w:t>（三）</w:t>
      </w:r>
      <w:r>
        <w:rPr>
          <w:rFonts w:hint="eastAsia" w:ascii="仿宋" w:hAnsi="仿宋" w:eastAsia="仿宋"/>
          <w:highlight w:val="none"/>
        </w:rPr>
        <w:t>谈判</w:t>
      </w:r>
      <w:r>
        <w:rPr>
          <w:rFonts w:ascii="仿宋" w:hAnsi="仿宋" w:eastAsia="仿宋"/>
          <w:highlight w:val="none"/>
        </w:rPr>
        <w:t>报价货币：</w:t>
      </w:r>
      <w:r>
        <w:rPr>
          <w:rFonts w:hint="eastAsia" w:ascii="仿宋" w:hAnsi="仿宋" w:eastAsia="仿宋" w:cs="华文仿宋"/>
          <w:b/>
          <w:highlight w:val="none"/>
        </w:rPr>
        <w:t>人民币</w:t>
      </w:r>
      <w:r>
        <w:rPr>
          <w:rFonts w:hint="eastAsia" w:ascii="仿宋" w:hAnsi="仿宋" w:eastAsia="仿宋" w:cs="华文仿宋"/>
          <w:highlight w:val="none"/>
        </w:rPr>
        <w:t>；</w:t>
      </w:r>
      <w:r>
        <w:rPr>
          <w:rFonts w:hint="eastAsia" w:ascii="仿宋" w:hAnsi="仿宋" w:eastAsia="仿宋" w:cs="华文仿宋"/>
          <w:b/>
          <w:bCs/>
          <w:highlight w:val="none"/>
        </w:rPr>
        <w:t>单位：元</w:t>
      </w:r>
      <w:r>
        <w:rPr>
          <w:rFonts w:hint="eastAsia" w:ascii="仿宋" w:hAnsi="仿宋" w:eastAsia="仿宋" w:cs="华文仿宋"/>
          <w:bCs/>
          <w:highlight w:val="none"/>
        </w:rPr>
        <w:t>，</w:t>
      </w:r>
      <w:r>
        <w:rPr>
          <w:rFonts w:hint="eastAsia" w:ascii="仿宋" w:hAnsi="仿宋" w:eastAsia="仿宋" w:cs="华文仿宋"/>
          <w:b/>
          <w:highlight w:val="none"/>
        </w:rPr>
        <w:t>保留元</w:t>
      </w:r>
      <w:r>
        <w:rPr>
          <w:rFonts w:hint="eastAsia" w:ascii="仿宋" w:hAnsi="仿宋" w:eastAsia="仿宋" w:cs="华文仿宋"/>
          <w:highlight w:val="none"/>
        </w:rPr>
        <w:t>。</w:t>
      </w:r>
    </w:p>
    <w:p w14:paraId="0289E41F">
      <w:pPr>
        <w:pageBreakBefore w:val="0"/>
        <w:kinsoku/>
        <w:overflowPunct/>
        <w:topLinePunct w:val="0"/>
        <w:autoSpaceDE/>
        <w:autoSpaceDN/>
        <w:bidi w:val="0"/>
        <w:spacing w:line="560" w:lineRule="exact"/>
        <w:ind w:firstLine="566" w:firstLineChars="200"/>
        <w:contextualSpacing/>
        <w:textAlignment w:val="auto"/>
        <w:rPr>
          <w:rFonts w:ascii="仿宋" w:hAnsi="仿宋" w:eastAsia="仿宋"/>
          <w:highlight w:val="none"/>
        </w:rPr>
      </w:pPr>
      <w:r>
        <w:rPr>
          <w:rFonts w:ascii="仿宋" w:hAnsi="仿宋" w:eastAsia="仿宋"/>
          <w:highlight w:val="none"/>
        </w:rPr>
        <w:t>（四）</w:t>
      </w:r>
      <w:r>
        <w:rPr>
          <w:rFonts w:hint="eastAsia" w:ascii="仿宋" w:hAnsi="仿宋" w:eastAsia="仿宋"/>
          <w:highlight w:val="none"/>
        </w:rPr>
        <w:t>谈判</w:t>
      </w:r>
      <w:r>
        <w:rPr>
          <w:rFonts w:ascii="仿宋" w:hAnsi="仿宋" w:eastAsia="仿宋"/>
          <w:highlight w:val="none"/>
        </w:rPr>
        <w:t>报价金额的小写与大写不一致时，以大写为准。</w:t>
      </w:r>
    </w:p>
    <w:p w14:paraId="2EF5351F">
      <w:pPr>
        <w:pageBreakBefore w:val="0"/>
        <w:kinsoku/>
        <w:overflowPunct/>
        <w:topLinePunct w:val="0"/>
        <w:autoSpaceDE/>
        <w:autoSpaceDN/>
        <w:bidi w:val="0"/>
        <w:spacing w:line="560" w:lineRule="exact"/>
        <w:ind w:firstLine="566" w:firstLineChars="200"/>
        <w:contextualSpacing/>
        <w:textAlignment w:val="auto"/>
        <w:rPr>
          <w:rFonts w:ascii="仿宋" w:hAnsi="仿宋" w:eastAsia="仿宋"/>
          <w:highlight w:val="none"/>
        </w:rPr>
      </w:pPr>
      <w:r>
        <w:rPr>
          <w:rFonts w:hint="eastAsia" w:ascii="仿宋" w:hAnsi="仿宋" w:eastAsia="仿宋"/>
          <w:highlight w:val="none"/>
        </w:rPr>
        <w:t>（五</w:t>
      </w:r>
      <w:r>
        <w:rPr>
          <w:rFonts w:ascii="仿宋" w:hAnsi="仿宋" w:eastAsia="仿宋"/>
          <w:highlight w:val="none"/>
        </w:rPr>
        <w:t>）因</w:t>
      </w:r>
      <w:r>
        <w:rPr>
          <w:rFonts w:hint="eastAsia" w:ascii="仿宋" w:hAnsi="仿宋" w:eastAsia="仿宋"/>
          <w:highlight w:val="none"/>
        </w:rPr>
        <w:t>供应商</w:t>
      </w:r>
      <w:r>
        <w:rPr>
          <w:rFonts w:ascii="仿宋" w:hAnsi="仿宋" w:eastAsia="仿宋"/>
          <w:highlight w:val="none"/>
        </w:rPr>
        <w:t>对</w:t>
      </w:r>
      <w:r>
        <w:rPr>
          <w:rFonts w:hint="eastAsia" w:ascii="仿宋" w:hAnsi="仿宋" w:eastAsia="仿宋"/>
          <w:highlight w:val="none"/>
        </w:rPr>
        <w:t>谈判文件</w:t>
      </w:r>
      <w:r>
        <w:rPr>
          <w:rFonts w:ascii="仿宋" w:hAnsi="仿宋" w:eastAsia="仿宋"/>
          <w:highlight w:val="none"/>
        </w:rPr>
        <w:t>理解不透、误解、疏漏或对市场行情了解不清造成的后果和风险，均由</w:t>
      </w:r>
      <w:r>
        <w:rPr>
          <w:rFonts w:hint="eastAsia" w:ascii="仿宋" w:hAnsi="仿宋" w:eastAsia="仿宋"/>
          <w:highlight w:val="none"/>
        </w:rPr>
        <w:t>供应商</w:t>
      </w:r>
      <w:r>
        <w:rPr>
          <w:rFonts w:ascii="仿宋" w:hAnsi="仿宋" w:eastAsia="仿宋"/>
          <w:highlight w:val="none"/>
        </w:rPr>
        <w:t>自己负责。</w:t>
      </w:r>
    </w:p>
    <w:p w14:paraId="41FF0F28">
      <w:pPr>
        <w:pStyle w:val="4"/>
        <w:pageBreakBefore w:val="0"/>
        <w:kinsoku/>
        <w:overflowPunct/>
        <w:topLinePunct w:val="0"/>
        <w:autoSpaceDE/>
        <w:autoSpaceDN/>
        <w:bidi w:val="0"/>
        <w:spacing w:line="560" w:lineRule="exact"/>
        <w:ind w:firstLine="566" w:firstLineChars="200"/>
        <w:textAlignment w:val="auto"/>
        <w:rPr>
          <w:highlight w:val="none"/>
        </w:rPr>
      </w:pPr>
      <w:bookmarkStart w:id="126" w:name="_Toc13220"/>
      <w:bookmarkStart w:id="127" w:name="_Toc25887"/>
      <w:bookmarkStart w:id="128" w:name="_Toc3570"/>
      <w:bookmarkStart w:id="129" w:name="_Toc21645"/>
      <w:bookmarkStart w:id="130" w:name="_Toc3588"/>
      <w:bookmarkStart w:id="131" w:name="_Toc27551"/>
      <w:bookmarkStart w:id="132" w:name="_Toc25607"/>
      <w:bookmarkStart w:id="133" w:name="_Toc31158"/>
      <w:bookmarkStart w:id="134" w:name="_Toc10988"/>
      <w:bookmarkStart w:id="135" w:name="_Toc7151"/>
      <w:bookmarkStart w:id="136" w:name="_Toc17589"/>
      <w:bookmarkStart w:id="137" w:name="_Toc28681239"/>
      <w:bookmarkStart w:id="138" w:name="_Toc15436"/>
      <w:bookmarkStart w:id="139" w:name="_Toc26051"/>
      <w:r>
        <w:rPr>
          <w:rFonts w:hint="eastAsia"/>
          <w:highlight w:val="none"/>
        </w:rPr>
        <w:t>六、响应文件的式样、签署及有效期</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5FD7A4F0">
      <w:pPr>
        <w:pStyle w:val="7"/>
        <w:pageBreakBefore w:val="0"/>
        <w:kinsoku/>
        <w:overflowPunct/>
        <w:topLinePunct w:val="0"/>
        <w:autoSpaceDE/>
        <w:autoSpaceDN/>
        <w:bidi w:val="0"/>
        <w:spacing w:line="560" w:lineRule="exact"/>
        <w:textAlignment w:val="auto"/>
        <w:rPr>
          <w:highlight w:val="none"/>
        </w:rPr>
      </w:pPr>
      <w:bookmarkStart w:id="140" w:name="_Toc28681240"/>
      <w:r>
        <w:rPr>
          <w:rFonts w:hint="eastAsia"/>
          <w:highlight w:val="none"/>
        </w:rPr>
        <w:t>（一）响应文件式样</w:t>
      </w:r>
      <w:bookmarkEnd w:id="140"/>
    </w:p>
    <w:p w14:paraId="44D77645">
      <w:pPr>
        <w:pageBreakBefore w:val="0"/>
        <w:kinsoku/>
        <w:overflowPunct/>
        <w:topLinePunct w:val="0"/>
        <w:autoSpaceDE/>
        <w:autoSpaceDN/>
        <w:bidi w:val="0"/>
        <w:spacing w:line="560" w:lineRule="exact"/>
        <w:ind w:firstLine="566" w:firstLineChars="200"/>
        <w:textAlignment w:val="auto"/>
        <w:rPr>
          <w:rFonts w:ascii="仿宋" w:hAnsi="仿宋" w:eastAsia="仿宋" w:cs="仿宋"/>
          <w:highlight w:val="none"/>
        </w:rPr>
      </w:pPr>
      <w:r>
        <w:rPr>
          <w:rFonts w:hint="eastAsia" w:ascii="仿宋" w:hAnsi="仿宋" w:eastAsia="仿宋" w:cs="仿宋"/>
          <w:highlight w:val="none"/>
        </w:rPr>
        <w:t>1、供应商依照谈判文件第五章《响应文件构成及格式》给定形式进行编制，并按第一章《单一来源采购通知书》中规定的响应文件份数要求进行印刷，正本及各副本分别装订成册。项目分标段的，应按所投标</w:t>
      </w:r>
      <w:r>
        <w:rPr>
          <w:rFonts w:hint="eastAsia" w:ascii="仿宋" w:hAnsi="仿宋" w:eastAsia="仿宋" w:cs="仿宋"/>
          <w:w w:val="1"/>
          <w:highlight w:val="none"/>
        </w:rPr>
        <w:t xml:space="preserve"> </w:t>
      </w:r>
      <w:r>
        <w:rPr>
          <w:rFonts w:hint="eastAsia" w:ascii="仿宋" w:hAnsi="仿宋" w:eastAsia="仿宋" w:cs="仿宋"/>
          <w:highlight w:val="none"/>
        </w:rPr>
        <w:t>段分别准备响应文件。</w:t>
      </w:r>
    </w:p>
    <w:p w14:paraId="40AB1EF5">
      <w:pPr>
        <w:pageBreakBefore w:val="0"/>
        <w:kinsoku/>
        <w:overflowPunct/>
        <w:topLinePunct w:val="0"/>
        <w:autoSpaceDE/>
        <w:autoSpaceDN/>
        <w:bidi w:val="0"/>
        <w:spacing w:line="560" w:lineRule="exact"/>
        <w:ind w:firstLine="566" w:firstLineChars="200"/>
        <w:textAlignment w:val="auto"/>
        <w:rPr>
          <w:rFonts w:hint="eastAsia" w:ascii="仿宋" w:hAnsi="仿宋" w:eastAsia="仿宋" w:cs="仿宋"/>
          <w:highlight w:val="none"/>
        </w:rPr>
      </w:pPr>
      <w:r>
        <w:rPr>
          <w:rFonts w:hint="eastAsia" w:ascii="仿宋" w:hAnsi="仿宋" w:eastAsia="仿宋" w:cs="仿宋"/>
          <w:highlight w:val="none"/>
        </w:rPr>
        <w:t>响应文件正副本内容应当一致，若正本内容和副本内容不符，以正本为准。</w:t>
      </w:r>
    </w:p>
    <w:p w14:paraId="1CCAB0FB">
      <w:pPr>
        <w:pageBreakBefore w:val="0"/>
        <w:kinsoku/>
        <w:overflowPunct/>
        <w:topLinePunct w:val="0"/>
        <w:autoSpaceDE/>
        <w:autoSpaceDN/>
        <w:bidi w:val="0"/>
        <w:spacing w:line="560" w:lineRule="exact"/>
        <w:ind w:firstLine="566" w:firstLineChars="200"/>
        <w:textAlignment w:val="auto"/>
        <w:rPr>
          <w:rFonts w:ascii="仿宋" w:hAnsi="仿宋" w:eastAsia="仿宋" w:cs="仿宋"/>
          <w:highlight w:val="none"/>
        </w:rPr>
      </w:pPr>
      <w:r>
        <w:rPr>
          <w:rFonts w:hint="eastAsia" w:ascii="仿宋" w:hAnsi="仿宋" w:eastAsia="仿宋" w:cs="仿宋"/>
          <w:highlight w:val="none"/>
        </w:rPr>
        <w:t>2、响应文件的正本和全部的副本均须</w:t>
      </w:r>
      <w:r>
        <w:rPr>
          <w:rFonts w:hint="eastAsia" w:ascii="仿宋" w:hAnsi="仿宋" w:eastAsia="仿宋" w:cs="仿宋"/>
          <w:b/>
          <w:bCs/>
          <w:highlight w:val="none"/>
        </w:rPr>
        <w:t>打印</w:t>
      </w:r>
      <w:r>
        <w:rPr>
          <w:rFonts w:hint="eastAsia" w:ascii="仿宋" w:hAnsi="仿宋" w:eastAsia="仿宋" w:cs="仿宋"/>
          <w:highlight w:val="none"/>
        </w:rPr>
        <w:t>或</w:t>
      </w:r>
      <w:r>
        <w:rPr>
          <w:rFonts w:hint="eastAsia" w:ascii="仿宋" w:hAnsi="仿宋" w:eastAsia="仿宋" w:cs="仿宋"/>
          <w:b/>
          <w:bCs/>
          <w:highlight w:val="none"/>
        </w:rPr>
        <w:t>用蓝（黑）色墨水书写</w:t>
      </w:r>
      <w:r>
        <w:rPr>
          <w:rFonts w:hint="eastAsia" w:ascii="仿宋" w:hAnsi="仿宋" w:eastAsia="仿宋" w:cs="仿宋"/>
          <w:highlight w:val="none"/>
        </w:rPr>
        <w:t>，统一标码，在每页正下方标明页码。</w:t>
      </w:r>
      <w:r>
        <w:rPr>
          <w:rFonts w:hint="eastAsia" w:ascii="仿宋" w:hAnsi="仿宋" w:eastAsia="仿宋" w:cs="仿宋"/>
          <w:b/>
          <w:bCs/>
          <w:highlight w:val="none"/>
        </w:rPr>
        <w:t>鼓励双面打印。</w:t>
      </w:r>
      <w:r>
        <w:rPr>
          <w:rFonts w:hint="eastAsia" w:ascii="仿宋" w:hAnsi="仿宋" w:eastAsia="仿宋" w:cs="仿宋"/>
          <w:highlight w:val="none"/>
        </w:rPr>
        <w:t>因字迹潦草或表达不清所导致的不利后果，由投标供应商自行承担。</w:t>
      </w:r>
    </w:p>
    <w:p w14:paraId="22752B47">
      <w:pPr>
        <w:pageBreakBefore w:val="0"/>
        <w:kinsoku/>
        <w:overflowPunct/>
        <w:topLinePunct w:val="0"/>
        <w:autoSpaceDE/>
        <w:autoSpaceDN/>
        <w:bidi w:val="0"/>
        <w:spacing w:line="560" w:lineRule="exact"/>
        <w:ind w:firstLine="566" w:firstLineChars="200"/>
        <w:textAlignment w:val="auto"/>
        <w:rPr>
          <w:rFonts w:ascii="仿宋" w:hAnsi="仿宋" w:eastAsia="仿宋" w:cs="仿宋"/>
          <w:b/>
          <w:bCs/>
          <w:highlight w:val="none"/>
        </w:rPr>
      </w:pPr>
      <w:r>
        <w:rPr>
          <w:rFonts w:hint="eastAsia" w:ascii="仿宋" w:hAnsi="仿宋" w:eastAsia="仿宋" w:cs="仿宋"/>
          <w:highlight w:val="none"/>
        </w:rPr>
        <w:t>3、响应文件装订方式：</w:t>
      </w:r>
      <w:r>
        <w:rPr>
          <w:rFonts w:hint="eastAsia" w:ascii="仿宋" w:hAnsi="仿宋" w:eastAsia="仿宋" w:cs="仿宋"/>
          <w:b/>
          <w:bCs/>
          <w:highlight w:val="none"/>
        </w:rPr>
        <w:t>胶订</w:t>
      </w:r>
      <w:r>
        <w:rPr>
          <w:rFonts w:hint="eastAsia" w:ascii="仿宋" w:hAnsi="仿宋" w:eastAsia="仿宋" w:cs="仿宋"/>
          <w:highlight w:val="none"/>
        </w:rPr>
        <w:t>（图纸及特殊文件除外）。</w:t>
      </w:r>
    </w:p>
    <w:p w14:paraId="7028F7CC">
      <w:pPr>
        <w:pageBreakBefore w:val="0"/>
        <w:kinsoku/>
        <w:overflowPunct/>
        <w:topLinePunct w:val="0"/>
        <w:autoSpaceDE/>
        <w:autoSpaceDN/>
        <w:bidi w:val="0"/>
        <w:spacing w:line="560" w:lineRule="exact"/>
        <w:ind w:firstLine="566" w:firstLineChars="200"/>
        <w:textAlignment w:val="auto"/>
        <w:rPr>
          <w:rFonts w:ascii="仿宋" w:hAnsi="仿宋" w:eastAsia="仿宋" w:cs="仿宋"/>
          <w:highlight w:val="none"/>
        </w:rPr>
      </w:pPr>
      <w:r>
        <w:rPr>
          <w:rFonts w:hint="eastAsia" w:ascii="仿宋" w:hAnsi="仿宋" w:eastAsia="仿宋" w:cs="仿宋"/>
          <w:highlight w:val="none"/>
        </w:rPr>
        <w:t>4、谈判活动的所有文件、资料、函电文字均使用</w:t>
      </w:r>
      <w:r>
        <w:rPr>
          <w:rFonts w:hint="eastAsia" w:ascii="仿宋" w:hAnsi="仿宋" w:eastAsia="仿宋" w:cs="仿宋"/>
          <w:b/>
          <w:bCs/>
          <w:highlight w:val="none"/>
        </w:rPr>
        <w:t>简体中文</w:t>
      </w:r>
      <w:r>
        <w:rPr>
          <w:rFonts w:hint="eastAsia" w:ascii="仿宋" w:hAnsi="仿宋" w:eastAsia="仿宋" w:cs="仿宋"/>
          <w:highlight w:val="none"/>
        </w:rPr>
        <w:t>，确需提交用其他语言形成的资料，必须翻译成简体中文，如有差异，以简体中文为准。</w:t>
      </w:r>
    </w:p>
    <w:p w14:paraId="11CDBD19">
      <w:pPr>
        <w:pageBreakBefore w:val="0"/>
        <w:kinsoku/>
        <w:overflowPunct/>
        <w:topLinePunct w:val="0"/>
        <w:autoSpaceDE/>
        <w:autoSpaceDN/>
        <w:bidi w:val="0"/>
        <w:spacing w:line="560" w:lineRule="exact"/>
        <w:ind w:firstLine="566" w:firstLineChars="200"/>
        <w:textAlignment w:val="auto"/>
        <w:rPr>
          <w:rFonts w:ascii="仿宋" w:hAnsi="仿宋" w:eastAsia="仿宋" w:cs="仿宋"/>
          <w:highlight w:val="none"/>
        </w:rPr>
      </w:pPr>
      <w:r>
        <w:rPr>
          <w:rFonts w:hint="eastAsia" w:ascii="仿宋" w:hAnsi="仿宋" w:eastAsia="仿宋" w:cs="仿宋"/>
          <w:highlight w:val="none"/>
        </w:rPr>
        <w:t>5、响应文件的计量单位应使用中华人民共和国法定计量单位，但谈判文件另有规定的除外。</w:t>
      </w:r>
    </w:p>
    <w:p w14:paraId="7FB880B8">
      <w:pPr>
        <w:pStyle w:val="7"/>
        <w:pageBreakBefore w:val="0"/>
        <w:kinsoku/>
        <w:overflowPunct/>
        <w:topLinePunct w:val="0"/>
        <w:autoSpaceDE/>
        <w:autoSpaceDN/>
        <w:bidi w:val="0"/>
        <w:spacing w:line="560" w:lineRule="exact"/>
        <w:textAlignment w:val="auto"/>
        <w:rPr>
          <w:highlight w:val="none"/>
        </w:rPr>
      </w:pPr>
      <w:bookmarkStart w:id="141" w:name="_Toc28681241"/>
      <w:r>
        <w:rPr>
          <w:rFonts w:hint="eastAsia"/>
          <w:highlight w:val="none"/>
        </w:rPr>
        <w:t>（二）响应文件的签署</w:t>
      </w:r>
      <w:bookmarkEnd w:id="141"/>
    </w:p>
    <w:p w14:paraId="03A934ED">
      <w:pPr>
        <w:pageBreakBefore w:val="0"/>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hint="eastAsia" w:ascii="仿宋" w:hAnsi="华文仿宋" w:eastAsia="仿宋" w:cs="华文仿宋"/>
          <w:highlight w:val="none"/>
        </w:rPr>
        <w:t>供应商应按照谈判文件第一章“供应商资格要求”及第五章“响应文件构成及格式”中指明的要求进行签署、盖章。</w:t>
      </w:r>
    </w:p>
    <w:p w14:paraId="46039A87">
      <w:pPr>
        <w:pStyle w:val="7"/>
        <w:pageBreakBefore w:val="0"/>
        <w:kinsoku/>
        <w:overflowPunct/>
        <w:topLinePunct w:val="0"/>
        <w:autoSpaceDE/>
        <w:autoSpaceDN/>
        <w:bidi w:val="0"/>
        <w:spacing w:line="560" w:lineRule="exact"/>
        <w:textAlignment w:val="auto"/>
        <w:rPr>
          <w:highlight w:val="none"/>
        </w:rPr>
      </w:pPr>
      <w:bookmarkStart w:id="142" w:name="_Toc28681242"/>
      <w:r>
        <w:rPr>
          <w:rFonts w:hint="eastAsia"/>
          <w:highlight w:val="none"/>
        </w:rPr>
        <w:t>（三）响应文件有效期</w:t>
      </w:r>
      <w:bookmarkEnd w:id="142"/>
    </w:p>
    <w:p w14:paraId="4E92F381">
      <w:pPr>
        <w:pageBreakBefore w:val="0"/>
        <w:kinsoku/>
        <w:overflowPunct/>
        <w:topLinePunct w:val="0"/>
        <w:autoSpaceDE/>
        <w:autoSpaceDN/>
        <w:bidi w:val="0"/>
        <w:spacing w:line="560" w:lineRule="exact"/>
        <w:ind w:firstLine="566" w:firstLineChars="200"/>
        <w:textAlignment w:val="auto"/>
        <w:rPr>
          <w:rFonts w:ascii="仿宋" w:hAnsi="仿宋" w:eastAsia="仿宋" w:cs="仿宋"/>
          <w:highlight w:val="none"/>
        </w:rPr>
      </w:pPr>
      <w:r>
        <w:rPr>
          <w:rFonts w:hint="eastAsia" w:ascii="仿宋" w:hAnsi="仿宋" w:eastAsia="仿宋" w:cs="仿宋"/>
          <w:highlight w:val="none"/>
        </w:rPr>
        <w:t>响应文件有效期为</w:t>
      </w:r>
      <w:r>
        <w:rPr>
          <w:rFonts w:hint="eastAsia" w:ascii="仿宋" w:hAnsi="仿宋" w:eastAsia="仿宋" w:cs="仿宋"/>
          <w:b/>
          <w:bCs/>
          <w:highlight w:val="none"/>
        </w:rPr>
        <w:t>自谈判之日起90个日历日</w:t>
      </w:r>
      <w:r>
        <w:rPr>
          <w:rFonts w:hint="eastAsia" w:ascii="仿宋" w:hAnsi="仿宋" w:eastAsia="仿宋" w:cs="仿宋"/>
          <w:highlight w:val="none"/>
        </w:rPr>
        <w:t>。如成交，延长至合同执行完毕时止。</w:t>
      </w:r>
    </w:p>
    <w:p w14:paraId="7A2312F1">
      <w:pPr>
        <w:pStyle w:val="4"/>
        <w:pageBreakBefore w:val="0"/>
        <w:kinsoku/>
        <w:overflowPunct/>
        <w:topLinePunct w:val="0"/>
        <w:autoSpaceDE/>
        <w:autoSpaceDN/>
        <w:bidi w:val="0"/>
        <w:spacing w:line="560" w:lineRule="exact"/>
        <w:ind w:firstLine="566" w:firstLineChars="200"/>
        <w:textAlignment w:val="auto"/>
        <w:rPr>
          <w:highlight w:val="none"/>
        </w:rPr>
      </w:pPr>
      <w:bookmarkStart w:id="143" w:name="_Toc30194"/>
      <w:bookmarkStart w:id="144" w:name="_Toc10407"/>
      <w:bookmarkStart w:id="145" w:name="_Toc11150"/>
      <w:bookmarkStart w:id="146" w:name="_Toc7734"/>
      <w:bookmarkStart w:id="147" w:name="_Toc31388"/>
      <w:bookmarkStart w:id="148" w:name="_Toc16157"/>
      <w:bookmarkStart w:id="149" w:name="_Toc13987"/>
      <w:bookmarkStart w:id="150" w:name="_Toc14970"/>
      <w:bookmarkStart w:id="151" w:name="_Toc24227"/>
      <w:bookmarkStart w:id="152" w:name="_Toc7609"/>
      <w:bookmarkStart w:id="153" w:name="_Toc24070"/>
      <w:bookmarkStart w:id="154" w:name="_Toc7351"/>
      <w:bookmarkStart w:id="155" w:name="_Toc28681243"/>
      <w:bookmarkStart w:id="156" w:name="_Toc31677"/>
      <w:r>
        <w:rPr>
          <w:rFonts w:hint="eastAsia"/>
          <w:highlight w:val="none"/>
        </w:rPr>
        <w:t>七、响应文件的密封、提交、修改和撤回</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7E2BCA4C">
      <w:pPr>
        <w:pStyle w:val="7"/>
        <w:pageBreakBefore w:val="0"/>
        <w:kinsoku/>
        <w:overflowPunct/>
        <w:topLinePunct w:val="0"/>
        <w:autoSpaceDE/>
        <w:autoSpaceDN/>
        <w:bidi w:val="0"/>
        <w:spacing w:line="560" w:lineRule="exact"/>
        <w:textAlignment w:val="auto"/>
        <w:rPr>
          <w:highlight w:val="none"/>
        </w:rPr>
      </w:pPr>
      <w:bookmarkStart w:id="157" w:name="_Toc28681244"/>
      <w:r>
        <w:rPr>
          <w:rFonts w:hint="eastAsia"/>
          <w:highlight w:val="none"/>
        </w:rPr>
        <w:t>（一）响应文件的密封</w:t>
      </w:r>
      <w:bookmarkEnd w:id="157"/>
    </w:p>
    <w:p w14:paraId="545053E4">
      <w:pPr>
        <w:pageBreakBefore w:val="0"/>
        <w:kinsoku/>
        <w:overflowPunct/>
        <w:topLinePunct w:val="0"/>
        <w:autoSpaceDE/>
        <w:autoSpaceDN/>
        <w:bidi w:val="0"/>
        <w:spacing w:line="560" w:lineRule="exact"/>
        <w:ind w:firstLine="566" w:firstLineChars="200"/>
        <w:textAlignment w:val="auto"/>
        <w:rPr>
          <w:rFonts w:ascii="仿宋" w:hAnsi="仿宋" w:eastAsia="仿宋" w:cs="仿宋"/>
          <w:b/>
          <w:highlight w:val="none"/>
        </w:rPr>
      </w:pPr>
      <w:r>
        <w:rPr>
          <w:rFonts w:hint="eastAsia" w:ascii="仿宋" w:hAnsi="仿宋" w:eastAsia="仿宋" w:cs="仿宋"/>
          <w:highlight w:val="none"/>
        </w:rPr>
        <w:t>供应商应将响应文件的正本单独密封，副本一起密封，电子件单独封装后与副本一起密封。封口处应密封牢固，并按谈判文件第五章第四部分《响应文件封袋标识式样》在封袋正面或背面加贴标识，同时注明“</w:t>
      </w:r>
      <w:r>
        <w:rPr>
          <w:rFonts w:hint="eastAsia" w:ascii="仿宋" w:hAnsi="仿宋" w:eastAsia="仿宋" w:cs="仿宋"/>
          <w:b/>
          <w:bCs/>
          <w:highlight w:val="none"/>
        </w:rPr>
        <w:t>正本</w:t>
      </w:r>
      <w:r>
        <w:rPr>
          <w:rFonts w:hint="eastAsia" w:ascii="仿宋" w:hAnsi="仿宋" w:eastAsia="仿宋" w:cs="仿宋"/>
          <w:highlight w:val="none"/>
        </w:rPr>
        <w:t>”或“</w:t>
      </w:r>
      <w:r>
        <w:rPr>
          <w:rFonts w:hint="eastAsia" w:ascii="仿宋" w:hAnsi="仿宋" w:eastAsia="仿宋" w:cs="仿宋"/>
          <w:b/>
          <w:bCs/>
          <w:highlight w:val="none"/>
        </w:rPr>
        <w:t>副本</w:t>
      </w:r>
      <w:r>
        <w:rPr>
          <w:rFonts w:hint="eastAsia" w:ascii="仿宋" w:hAnsi="仿宋" w:eastAsia="仿宋" w:cs="仿宋"/>
          <w:highlight w:val="none"/>
        </w:rPr>
        <w:t>”字样。</w:t>
      </w:r>
    </w:p>
    <w:p w14:paraId="1465B96A">
      <w:pPr>
        <w:pStyle w:val="7"/>
        <w:pageBreakBefore w:val="0"/>
        <w:kinsoku/>
        <w:overflowPunct/>
        <w:topLinePunct w:val="0"/>
        <w:autoSpaceDE/>
        <w:autoSpaceDN/>
        <w:bidi w:val="0"/>
        <w:spacing w:line="560" w:lineRule="exact"/>
        <w:textAlignment w:val="auto"/>
        <w:rPr>
          <w:highlight w:val="none"/>
        </w:rPr>
      </w:pPr>
      <w:bookmarkStart w:id="158" w:name="_Toc28681245"/>
      <w:r>
        <w:rPr>
          <w:highlight w:val="none"/>
        </w:rPr>
        <w:t>（二）响应文件的提交</w:t>
      </w:r>
      <w:bookmarkEnd w:id="158"/>
    </w:p>
    <w:p w14:paraId="3E19201C">
      <w:pPr>
        <w:pageBreakBefore w:val="0"/>
        <w:kinsoku/>
        <w:overflowPunct/>
        <w:topLinePunct w:val="0"/>
        <w:autoSpaceDE/>
        <w:autoSpaceDN/>
        <w:bidi w:val="0"/>
        <w:spacing w:line="560" w:lineRule="exact"/>
        <w:ind w:firstLine="566" w:firstLineChars="200"/>
        <w:contextualSpacing/>
        <w:textAlignment w:val="auto"/>
        <w:rPr>
          <w:rFonts w:ascii="仿宋" w:hAnsi="仿宋" w:eastAsia="仿宋"/>
          <w:highlight w:val="none"/>
        </w:rPr>
      </w:pPr>
      <w:r>
        <w:rPr>
          <w:rFonts w:hint="eastAsia" w:ascii="仿宋" w:hAnsi="仿宋" w:eastAsia="仿宋"/>
          <w:highlight w:val="none"/>
        </w:rPr>
        <w:t>响应文件应当在开启当日，并于提交响应文件截止时间前送达开启地点。</w:t>
      </w:r>
      <w:r>
        <w:rPr>
          <w:rFonts w:hint="eastAsia" w:ascii="仿宋" w:hAnsi="仿宋" w:eastAsia="仿宋"/>
          <w:b/>
          <w:bCs/>
          <w:highlight w:val="none"/>
        </w:rPr>
        <w:t>不接受电子邮件、传真及邮寄等方式递交的响应文件。</w:t>
      </w:r>
    </w:p>
    <w:p w14:paraId="7AEF692B">
      <w:pPr>
        <w:pStyle w:val="7"/>
        <w:pageBreakBefore w:val="0"/>
        <w:kinsoku/>
        <w:overflowPunct/>
        <w:topLinePunct w:val="0"/>
        <w:autoSpaceDE/>
        <w:autoSpaceDN/>
        <w:bidi w:val="0"/>
        <w:spacing w:line="560" w:lineRule="exact"/>
        <w:textAlignment w:val="auto"/>
        <w:rPr>
          <w:highlight w:val="none"/>
        </w:rPr>
      </w:pPr>
      <w:bookmarkStart w:id="159" w:name="_Toc28681246"/>
      <w:r>
        <w:rPr>
          <w:highlight w:val="none"/>
        </w:rPr>
        <w:t>（三）</w:t>
      </w:r>
      <w:r>
        <w:rPr>
          <w:rFonts w:hint="eastAsia"/>
          <w:highlight w:val="none"/>
        </w:rPr>
        <w:t>响应</w:t>
      </w:r>
      <w:r>
        <w:rPr>
          <w:highlight w:val="none"/>
        </w:rPr>
        <w:t>文件的修改</w:t>
      </w:r>
      <w:r>
        <w:rPr>
          <w:rFonts w:hint="eastAsia"/>
          <w:highlight w:val="none"/>
        </w:rPr>
        <w:t>和</w:t>
      </w:r>
      <w:r>
        <w:rPr>
          <w:highlight w:val="none"/>
        </w:rPr>
        <w:t>撤回</w:t>
      </w:r>
      <w:bookmarkEnd w:id="159"/>
    </w:p>
    <w:p w14:paraId="695BA7D9">
      <w:pPr>
        <w:pageBreakBefore w:val="0"/>
        <w:kinsoku/>
        <w:overflowPunct/>
        <w:topLinePunct w:val="0"/>
        <w:autoSpaceDE/>
        <w:autoSpaceDN/>
        <w:bidi w:val="0"/>
        <w:spacing w:line="560" w:lineRule="exact"/>
        <w:ind w:firstLine="566" w:firstLineChars="200"/>
        <w:contextualSpacing/>
        <w:textAlignment w:val="auto"/>
        <w:rPr>
          <w:rFonts w:ascii="仿宋" w:hAnsi="仿宋" w:eastAsia="仿宋"/>
          <w:highlight w:val="none"/>
        </w:rPr>
      </w:pPr>
      <w:r>
        <w:rPr>
          <w:rFonts w:hint="eastAsia" w:ascii="仿宋" w:hAnsi="仿宋" w:eastAsia="仿宋"/>
          <w:highlight w:val="none"/>
        </w:rPr>
        <w:t>1、供应商</w:t>
      </w:r>
      <w:r>
        <w:rPr>
          <w:rFonts w:ascii="仿宋" w:hAnsi="仿宋" w:eastAsia="仿宋"/>
          <w:highlight w:val="none"/>
        </w:rPr>
        <w:t>在递交</w:t>
      </w:r>
      <w:r>
        <w:rPr>
          <w:rFonts w:hint="eastAsia" w:ascii="仿宋" w:hAnsi="仿宋" w:eastAsia="仿宋"/>
          <w:highlight w:val="none"/>
        </w:rPr>
        <w:t>响应</w:t>
      </w:r>
      <w:r>
        <w:rPr>
          <w:rFonts w:ascii="仿宋" w:hAnsi="仿宋" w:eastAsia="仿宋"/>
          <w:highlight w:val="none"/>
        </w:rPr>
        <w:t>文件后，</w:t>
      </w:r>
      <w:r>
        <w:rPr>
          <w:rFonts w:hint="eastAsia" w:ascii="仿宋" w:hAnsi="仿宋" w:eastAsia="仿宋"/>
          <w:highlight w:val="none"/>
        </w:rPr>
        <w:t>且在</w:t>
      </w:r>
      <w:r>
        <w:rPr>
          <w:rFonts w:ascii="仿宋" w:hAnsi="仿宋" w:eastAsia="仿宋"/>
          <w:highlight w:val="none"/>
        </w:rPr>
        <w:t>提交</w:t>
      </w:r>
      <w:r>
        <w:rPr>
          <w:rFonts w:hint="eastAsia" w:ascii="仿宋" w:hAnsi="仿宋" w:eastAsia="仿宋"/>
          <w:highlight w:val="none"/>
        </w:rPr>
        <w:t>响应</w:t>
      </w:r>
      <w:r>
        <w:rPr>
          <w:rFonts w:ascii="仿宋" w:hAnsi="仿宋" w:eastAsia="仿宋"/>
          <w:highlight w:val="none"/>
        </w:rPr>
        <w:t>文件截止时间前，</w:t>
      </w:r>
      <w:r>
        <w:rPr>
          <w:rFonts w:hint="eastAsia" w:ascii="仿宋" w:hAnsi="仿宋" w:eastAsia="仿宋"/>
          <w:highlight w:val="none"/>
        </w:rPr>
        <w:t>可以对所提交</w:t>
      </w:r>
      <w:r>
        <w:rPr>
          <w:rFonts w:ascii="仿宋" w:hAnsi="仿宋" w:eastAsia="仿宋"/>
          <w:highlight w:val="none"/>
        </w:rPr>
        <w:t>的</w:t>
      </w:r>
      <w:r>
        <w:rPr>
          <w:rFonts w:hint="eastAsia" w:ascii="仿宋" w:hAnsi="仿宋" w:eastAsia="仿宋"/>
          <w:highlight w:val="none"/>
        </w:rPr>
        <w:t>响应</w:t>
      </w:r>
      <w:r>
        <w:rPr>
          <w:rFonts w:ascii="仿宋" w:hAnsi="仿宋" w:eastAsia="仿宋"/>
          <w:highlight w:val="none"/>
        </w:rPr>
        <w:t>文件进行补充、修改或撤回，并以书面形式通知</w:t>
      </w:r>
      <w:r>
        <w:rPr>
          <w:rFonts w:hint="eastAsia" w:ascii="仿宋" w:hAnsi="仿宋" w:eastAsia="仿宋" w:cs="仿宋"/>
          <w:highlight w:val="none"/>
        </w:rPr>
        <w:t>陕西中发项目管理发展有限公司</w:t>
      </w:r>
      <w:r>
        <w:rPr>
          <w:rFonts w:hint="eastAsia" w:ascii="仿宋" w:hAnsi="仿宋" w:eastAsia="仿宋"/>
          <w:highlight w:val="none"/>
        </w:rPr>
        <w:t>。</w:t>
      </w:r>
      <w:r>
        <w:rPr>
          <w:rFonts w:ascii="仿宋" w:hAnsi="仿宋" w:eastAsia="仿宋"/>
          <w:highlight w:val="none"/>
        </w:rPr>
        <w:t>补充</w:t>
      </w:r>
      <w:r>
        <w:rPr>
          <w:rFonts w:hint="eastAsia" w:ascii="仿宋" w:hAnsi="仿宋" w:eastAsia="仿宋"/>
          <w:highlight w:val="none"/>
        </w:rPr>
        <w:t>、</w:t>
      </w:r>
      <w:r>
        <w:rPr>
          <w:rFonts w:ascii="仿宋" w:hAnsi="仿宋" w:eastAsia="仿宋"/>
          <w:highlight w:val="none"/>
        </w:rPr>
        <w:t>修改</w:t>
      </w:r>
      <w:r>
        <w:rPr>
          <w:rFonts w:hint="eastAsia" w:ascii="仿宋" w:hAnsi="仿宋" w:eastAsia="仿宋"/>
          <w:highlight w:val="none"/>
        </w:rPr>
        <w:t>的</w:t>
      </w:r>
      <w:r>
        <w:rPr>
          <w:rFonts w:ascii="仿宋" w:hAnsi="仿宋" w:eastAsia="仿宋"/>
          <w:highlight w:val="none"/>
        </w:rPr>
        <w:t>内容为</w:t>
      </w:r>
      <w:r>
        <w:rPr>
          <w:rFonts w:hint="eastAsia" w:ascii="仿宋" w:hAnsi="仿宋" w:eastAsia="仿宋"/>
          <w:highlight w:val="none"/>
        </w:rPr>
        <w:t>响应</w:t>
      </w:r>
      <w:r>
        <w:rPr>
          <w:rFonts w:ascii="仿宋" w:hAnsi="仿宋" w:eastAsia="仿宋"/>
          <w:highlight w:val="none"/>
        </w:rPr>
        <w:t>文件的组成部分</w:t>
      </w:r>
      <w:r>
        <w:rPr>
          <w:rFonts w:hint="eastAsia" w:ascii="仿宋" w:hAnsi="仿宋" w:eastAsia="仿宋"/>
          <w:highlight w:val="none"/>
        </w:rPr>
        <w:t>。补充、修改的内容与响应文件不一致的，以补充、修改的内容为准。</w:t>
      </w:r>
    </w:p>
    <w:p w14:paraId="61D01084">
      <w:pPr>
        <w:pageBreakBefore w:val="0"/>
        <w:kinsoku/>
        <w:overflowPunct/>
        <w:topLinePunct w:val="0"/>
        <w:autoSpaceDE/>
        <w:autoSpaceDN/>
        <w:bidi w:val="0"/>
        <w:spacing w:line="560" w:lineRule="exact"/>
        <w:ind w:firstLine="566" w:firstLineChars="200"/>
        <w:contextualSpacing/>
        <w:textAlignment w:val="auto"/>
        <w:rPr>
          <w:rFonts w:ascii="仿宋" w:hAnsi="仿宋" w:eastAsia="仿宋"/>
          <w:highlight w:val="none"/>
        </w:rPr>
      </w:pPr>
      <w:r>
        <w:rPr>
          <w:rFonts w:ascii="仿宋" w:hAnsi="仿宋" w:eastAsia="仿宋"/>
          <w:highlight w:val="none"/>
        </w:rPr>
        <w:t>2</w:t>
      </w:r>
      <w:r>
        <w:rPr>
          <w:rFonts w:hint="eastAsia" w:ascii="仿宋" w:hAnsi="仿宋" w:eastAsia="仿宋"/>
          <w:highlight w:val="none"/>
        </w:rPr>
        <w:t>、补充、</w:t>
      </w:r>
      <w:r>
        <w:rPr>
          <w:rFonts w:ascii="仿宋" w:hAnsi="仿宋" w:eastAsia="仿宋"/>
          <w:highlight w:val="none"/>
        </w:rPr>
        <w:t>修改</w:t>
      </w:r>
      <w:r>
        <w:rPr>
          <w:rFonts w:hint="eastAsia" w:ascii="仿宋" w:hAnsi="仿宋" w:eastAsia="仿宋"/>
          <w:highlight w:val="none"/>
        </w:rPr>
        <w:t>或</w:t>
      </w:r>
      <w:r>
        <w:rPr>
          <w:rFonts w:ascii="仿宋" w:hAnsi="仿宋" w:eastAsia="仿宋"/>
          <w:highlight w:val="none"/>
        </w:rPr>
        <w:t>撤回的内容应按</w:t>
      </w:r>
      <w:r>
        <w:rPr>
          <w:rFonts w:hint="eastAsia" w:ascii="仿宋" w:hAnsi="仿宋" w:eastAsia="仿宋"/>
          <w:highlight w:val="none"/>
        </w:rPr>
        <w:t>前述</w:t>
      </w:r>
      <w:r>
        <w:rPr>
          <w:rFonts w:ascii="仿宋" w:hAnsi="仿宋" w:eastAsia="仿宋"/>
          <w:highlight w:val="none"/>
        </w:rPr>
        <w:t>要求编制、</w:t>
      </w:r>
      <w:r>
        <w:rPr>
          <w:rFonts w:hint="eastAsia" w:ascii="仿宋" w:hAnsi="仿宋" w:eastAsia="仿宋"/>
          <w:highlight w:val="none"/>
        </w:rPr>
        <w:t>签署</w:t>
      </w:r>
      <w:r>
        <w:rPr>
          <w:rFonts w:ascii="仿宋" w:hAnsi="仿宋" w:eastAsia="仿宋"/>
          <w:highlight w:val="none"/>
        </w:rPr>
        <w:t>、密封、标记，并在封套上加注</w:t>
      </w:r>
      <w:r>
        <w:rPr>
          <w:rFonts w:hint="eastAsia" w:ascii="仿宋" w:hAnsi="仿宋" w:eastAsia="仿宋"/>
          <w:highlight w:val="none"/>
        </w:rPr>
        <w:t>“补充”、“修改”或“撤回”</w:t>
      </w:r>
      <w:r>
        <w:rPr>
          <w:rFonts w:ascii="仿宋" w:hAnsi="仿宋" w:eastAsia="仿宋"/>
          <w:highlight w:val="none"/>
        </w:rPr>
        <w:t>字样。</w:t>
      </w:r>
    </w:p>
    <w:p w14:paraId="347E58DB">
      <w:pPr>
        <w:pageBreakBefore w:val="0"/>
        <w:kinsoku/>
        <w:overflowPunct/>
        <w:topLinePunct w:val="0"/>
        <w:autoSpaceDE/>
        <w:autoSpaceDN/>
        <w:bidi w:val="0"/>
        <w:spacing w:line="560" w:lineRule="exact"/>
        <w:ind w:firstLine="566" w:firstLineChars="200"/>
        <w:contextualSpacing/>
        <w:textAlignment w:val="auto"/>
        <w:rPr>
          <w:rFonts w:ascii="仿宋" w:hAnsi="仿宋" w:eastAsia="仿宋"/>
          <w:highlight w:val="none"/>
        </w:rPr>
      </w:pPr>
      <w:r>
        <w:rPr>
          <w:rFonts w:hint="eastAsia" w:ascii="仿宋" w:hAnsi="仿宋" w:eastAsia="仿宋"/>
          <w:highlight w:val="none"/>
        </w:rPr>
        <w:t>3、响应文件提交截止时间后，供应商不得对其响应文件做任何修改。</w:t>
      </w:r>
    </w:p>
    <w:p w14:paraId="64F55EE5">
      <w:pPr>
        <w:pageBreakBefore w:val="0"/>
        <w:kinsoku/>
        <w:overflowPunct/>
        <w:topLinePunct w:val="0"/>
        <w:autoSpaceDE/>
        <w:autoSpaceDN/>
        <w:bidi w:val="0"/>
        <w:spacing w:line="560" w:lineRule="exact"/>
        <w:ind w:firstLine="566" w:firstLineChars="200"/>
        <w:contextualSpacing/>
        <w:textAlignment w:val="auto"/>
        <w:rPr>
          <w:rFonts w:ascii="仿宋" w:hAnsi="仿宋" w:eastAsia="仿宋"/>
          <w:b/>
          <w:highlight w:val="none"/>
        </w:rPr>
      </w:pPr>
      <w:r>
        <w:rPr>
          <w:rFonts w:ascii="仿宋" w:hAnsi="仿宋" w:eastAsia="仿宋"/>
          <w:b/>
          <w:highlight w:val="none"/>
        </w:rPr>
        <w:t>（四）</w:t>
      </w:r>
      <w:r>
        <w:rPr>
          <w:rFonts w:hint="eastAsia" w:ascii="仿宋" w:hAnsi="仿宋" w:eastAsia="仿宋"/>
          <w:b/>
          <w:highlight w:val="none"/>
        </w:rPr>
        <w:t>供应商</w:t>
      </w:r>
      <w:r>
        <w:rPr>
          <w:rFonts w:ascii="仿宋" w:hAnsi="仿宋" w:eastAsia="仿宋"/>
          <w:b/>
          <w:highlight w:val="none"/>
        </w:rPr>
        <w:t>提交响应文件时，出现下列情况之一的，其响应文件将被拒绝接收：</w:t>
      </w:r>
    </w:p>
    <w:p w14:paraId="6C050EB2">
      <w:pPr>
        <w:pageBreakBefore w:val="0"/>
        <w:kinsoku/>
        <w:overflowPunct/>
        <w:topLinePunct w:val="0"/>
        <w:autoSpaceDE/>
        <w:autoSpaceDN/>
        <w:bidi w:val="0"/>
        <w:spacing w:line="560" w:lineRule="exact"/>
        <w:ind w:firstLine="566" w:firstLineChars="200"/>
        <w:contextualSpacing/>
        <w:textAlignment w:val="auto"/>
        <w:rPr>
          <w:rFonts w:ascii="仿宋" w:hAnsi="仿宋" w:eastAsia="仿宋"/>
          <w:highlight w:val="none"/>
        </w:rPr>
      </w:pPr>
      <w:r>
        <w:rPr>
          <w:rFonts w:ascii="仿宋" w:hAnsi="仿宋" w:eastAsia="仿宋"/>
          <w:highlight w:val="none"/>
        </w:rPr>
        <w:t>1、逾期送达的；</w:t>
      </w:r>
    </w:p>
    <w:p w14:paraId="4FBB8AC9">
      <w:pPr>
        <w:pageBreakBefore w:val="0"/>
        <w:kinsoku/>
        <w:overflowPunct/>
        <w:topLinePunct w:val="0"/>
        <w:autoSpaceDE/>
        <w:autoSpaceDN/>
        <w:bidi w:val="0"/>
        <w:spacing w:line="560" w:lineRule="exact"/>
        <w:ind w:firstLine="566" w:firstLineChars="200"/>
        <w:contextualSpacing/>
        <w:textAlignment w:val="auto"/>
        <w:rPr>
          <w:rFonts w:ascii="仿宋" w:hAnsi="仿宋" w:eastAsia="仿宋"/>
          <w:highlight w:val="none"/>
        </w:rPr>
      </w:pPr>
      <w:r>
        <w:rPr>
          <w:rFonts w:ascii="仿宋" w:hAnsi="仿宋" w:eastAsia="仿宋"/>
          <w:highlight w:val="none"/>
        </w:rPr>
        <w:t>2、未按</w:t>
      </w:r>
      <w:r>
        <w:rPr>
          <w:rFonts w:hint="eastAsia" w:ascii="仿宋" w:hAnsi="仿宋" w:eastAsia="仿宋"/>
          <w:highlight w:val="none"/>
        </w:rPr>
        <w:t>谈判文件</w:t>
      </w:r>
      <w:r>
        <w:rPr>
          <w:rFonts w:ascii="仿宋" w:hAnsi="仿宋" w:eastAsia="仿宋"/>
          <w:highlight w:val="none"/>
        </w:rPr>
        <w:t>要求密封的；</w:t>
      </w:r>
    </w:p>
    <w:p w14:paraId="2A0109D3">
      <w:pPr>
        <w:pageBreakBefore w:val="0"/>
        <w:kinsoku/>
        <w:overflowPunct/>
        <w:topLinePunct w:val="0"/>
        <w:autoSpaceDE/>
        <w:autoSpaceDN/>
        <w:bidi w:val="0"/>
        <w:spacing w:line="560" w:lineRule="exact"/>
        <w:ind w:firstLine="566" w:firstLineChars="200"/>
        <w:contextualSpacing/>
        <w:textAlignment w:val="auto"/>
        <w:rPr>
          <w:rFonts w:ascii="仿宋" w:hAnsi="仿宋" w:eastAsia="仿宋"/>
          <w:highlight w:val="none"/>
        </w:rPr>
      </w:pPr>
      <w:r>
        <w:rPr>
          <w:rFonts w:ascii="仿宋" w:hAnsi="仿宋" w:eastAsia="仿宋"/>
          <w:highlight w:val="none"/>
        </w:rPr>
        <w:t>3、提交的响应文件与本项目不相符的；</w:t>
      </w:r>
    </w:p>
    <w:p w14:paraId="2EF6F7CA">
      <w:pPr>
        <w:pageBreakBefore w:val="0"/>
        <w:kinsoku/>
        <w:overflowPunct/>
        <w:topLinePunct w:val="0"/>
        <w:autoSpaceDE/>
        <w:autoSpaceDN/>
        <w:bidi w:val="0"/>
        <w:spacing w:line="560" w:lineRule="exact"/>
        <w:ind w:firstLine="566" w:firstLineChars="200"/>
        <w:contextualSpacing/>
        <w:textAlignment w:val="auto"/>
        <w:rPr>
          <w:rFonts w:ascii="仿宋" w:hAnsi="仿宋" w:eastAsia="仿宋"/>
          <w:highlight w:val="none"/>
        </w:rPr>
      </w:pPr>
      <w:r>
        <w:rPr>
          <w:rFonts w:ascii="仿宋" w:hAnsi="仿宋" w:eastAsia="仿宋"/>
          <w:highlight w:val="none"/>
        </w:rPr>
        <w:t>4、响应文件的封袋未按</w:t>
      </w:r>
      <w:r>
        <w:rPr>
          <w:rFonts w:hint="eastAsia" w:ascii="仿宋" w:hAnsi="仿宋" w:eastAsia="仿宋"/>
          <w:highlight w:val="none"/>
        </w:rPr>
        <w:t>谈判文件</w:t>
      </w:r>
      <w:r>
        <w:rPr>
          <w:rFonts w:ascii="仿宋" w:hAnsi="仿宋" w:eastAsia="仿宋"/>
          <w:highlight w:val="none"/>
        </w:rPr>
        <w:t>第五章第</w:t>
      </w:r>
      <w:r>
        <w:rPr>
          <w:rFonts w:hint="eastAsia" w:ascii="仿宋" w:hAnsi="仿宋" w:eastAsia="仿宋"/>
          <w:highlight w:val="none"/>
        </w:rPr>
        <w:t>四</w:t>
      </w:r>
      <w:r>
        <w:rPr>
          <w:rFonts w:ascii="仿宋" w:hAnsi="仿宋" w:eastAsia="仿宋"/>
          <w:highlight w:val="none"/>
        </w:rPr>
        <w:t>部分《响应文件封袋标识式样》标明的。</w:t>
      </w:r>
    </w:p>
    <w:p w14:paraId="6D00B498">
      <w:pPr>
        <w:pStyle w:val="4"/>
        <w:pageBreakBefore w:val="0"/>
        <w:kinsoku/>
        <w:overflowPunct/>
        <w:topLinePunct w:val="0"/>
        <w:autoSpaceDE/>
        <w:autoSpaceDN/>
        <w:bidi w:val="0"/>
        <w:spacing w:line="560" w:lineRule="exact"/>
        <w:ind w:firstLine="566" w:firstLineChars="200"/>
        <w:textAlignment w:val="auto"/>
        <w:rPr>
          <w:highlight w:val="none"/>
        </w:rPr>
      </w:pPr>
      <w:bookmarkStart w:id="160" w:name="_Toc3657"/>
      <w:bookmarkStart w:id="161" w:name="_Toc12652"/>
      <w:bookmarkStart w:id="162" w:name="_Toc15177"/>
      <w:bookmarkStart w:id="163" w:name="_Toc25045"/>
      <w:bookmarkStart w:id="164" w:name="_Toc2990"/>
      <w:bookmarkStart w:id="165" w:name="_Toc21699"/>
      <w:bookmarkStart w:id="166" w:name="_Toc3156"/>
      <w:bookmarkStart w:id="167" w:name="_Toc20597"/>
      <w:bookmarkStart w:id="168" w:name="_Toc3320"/>
      <w:bookmarkStart w:id="169" w:name="_Toc28681247"/>
      <w:bookmarkStart w:id="170" w:name="_Toc12892"/>
      <w:bookmarkStart w:id="171" w:name="_Toc7385"/>
      <w:bookmarkStart w:id="172" w:name="_Toc23196"/>
      <w:bookmarkStart w:id="173" w:name="_Toc26193"/>
      <w:r>
        <w:rPr>
          <w:rFonts w:hint="eastAsia" w:cs="仿宋"/>
          <w:highlight w:val="none"/>
        </w:rPr>
        <w:t>八、</w:t>
      </w:r>
      <w:r>
        <w:rPr>
          <w:rFonts w:hint="eastAsia"/>
          <w:highlight w:val="none"/>
        </w:rPr>
        <w:t>开启响应文件</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428C769A">
      <w:pPr>
        <w:pageBreakBefore w:val="0"/>
        <w:kinsoku/>
        <w:overflowPunct/>
        <w:topLinePunct w:val="0"/>
        <w:autoSpaceDE/>
        <w:autoSpaceDN/>
        <w:bidi w:val="0"/>
        <w:spacing w:line="560" w:lineRule="exact"/>
        <w:ind w:firstLine="566" w:firstLineChars="200"/>
        <w:contextualSpacing/>
        <w:textAlignment w:val="auto"/>
        <w:rPr>
          <w:rFonts w:ascii="仿宋" w:hAnsi="仿宋" w:eastAsia="仿宋"/>
          <w:highlight w:val="none"/>
        </w:rPr>
      </w:pPr>
      <w:r>
        <w:rPr>
          <w:rFonts w:hint="eastAsia" w:ascii="仿宋" w:hAnsi="仿宋" w:eastAsia="仿宋"/>
          <w:highlight w:val="none"/>
        </w:rPr>
        <w:t>（</w:t>
      </w:r>
      <w:r>
        <w:rPr>
          <w:rFonts w:ascii="仿宋" w:hAnsi="仿宋" w:eastAsia="仿宋"/>
          <w:highlight w:val="none"/>
        </w:rPr>
        <w:t>一）</w:t>
      </w:r>
      <w:r>
        <w:rPr>
          <w:rFonts w:hint="eastAsia" w:ascii="仿宋" w:hAnsi="仿宋" w:eastAsia="仿宋" w:cs="仿宋"/>
          <w:highlight w:val="none"/>
        </w:rPr>
        <w:t>陕西中发项目管理发展有限公司</w:t>
      </w:r>
      <w:r>
        <w:rPr>
          <w:rFonts w:ascii="仿宋" w:hAnsi="仿宋" w:eastAsia="仿宋"/>
          <w:highlight w:val="none"/>
        </w:rPr>
        <w:t>组织</w:t>
      </w:r>
      <w:r>
        <w:rPr>
          <w:rFonts w:hint="eastAsia" w:ascii="仿宋" w:hAnsi="仿宋" w:eastAsia="仿宋"/>
          <w:highlight w:val="none"/>
        </w:rPr>
        <w:t>谈判</w:t>
      </w:r>
      <w:r>
        <w:rPr>
          <w:rFonts w:ascii="仿宋" w:hAnsi="仿宋" w:eastAsia="仿宋"/>
          <w:highlight w:val="none"/>
        </w:rPr>
        <w:t>工作，整个过程受政府采购监管机构的监督、管理。</w:t>
      </w:r>
    </w:p>
    <w:p w14:paraId="55746C41">
      <w:pPr>
        <w:pageBreakBefore w:val="0"/>
        <w:kinsoku/>
        <w:overflowPunct/>
        <w:topLinePunct w:val="0"/>
        <w:autoSpaceDE/>
        <w:autoSpaceDN/>
        <w:bidi w:val="0"/>
        <w:spacing w:line="560" w:lineRule="exact"/>
        <w:ind w:firstLine="566" w:firstLineChars="200"/>
        <w:contextualSpacing/>
        <w:textAlignment w:val="auto"/>
        <w:rPr>
          <w:rFonts w:ascii="仿宋" w:hAnsi="仿宋" w:eastAsia="仿宋"/>
          <w:highlight w:val="none"/>
        </w:rPr>
      </w:pPr>
      <w:r>
        <w:rPr>
          <w:rFonts w:hint="eastAsia" w:ascii="仿宋" w:hAnsi="仿宋" w:eastAsia="仿宋"/>
          <w:highlight w:val="none"/>
        </w:rPr>
        <w:t>（二</w:t>
      </w:r>
      <w:r>
        <w:rPr>
          <w:rFonts w:ascii="仿宋" w:hAnsi="仿宋" w:eastAsia="仿宋"/>
          <w:highlight w:val="none"/>
        </w:rPr>
        <w:t>）</w:t>
      </w:r>
      <w:r>
        <w:rPr>
          <w:rFonts w:hint="eastAsia" w:ascii="仿宋" w:hAnsi="仿宋" w:eastAsia="仿宋" w:cs="仿宋"/>
          <w:highlight w:val="none"/>
        </w:rPr>
        <w:t>陕西中发项目管理发展有限公司</w:t>
      </w:r>
      <w:r>
        <w:rPr>
          <w:rFonts w:ascii="仿宋" w:hAnsi="仿宋" w:eastAsia="仿宋"/>
          <w:highlight w:val="none"/>
        </w:rPr>
        <w:t>在</w:t>
      </w:r>
      <w:r>
        <w:rPr>
          <w:rFonts w:hint="eastAsia" w:ascii="仿宋" w:hAnsi="仿宋" w:eastAsia="仿宋"/>
          <w:highlight w:val="none"/>
        </w:rPr>
        <w:t>谈判文件</w:t>
      </w:r>
      <w:r>
        <w:rPr>
          <w:rFonts w:ascii="仿宋" w:hAnsi="仿宋" w:eastAsia="仿宋"/>
          <w:highlight w:val="none"/>
        </w:rPr>
        <w:t>规定的时间和地点</w:t>
      </w:r>
      <w:r>
        <w:rPr>
          <w:rFonts w:hint="eastAsia" w:ascii="仿宋" w:hAnsi="仿宋" w:eastAsia="仿宋"/>
          <w:highlight w:val="none"/>
        </w:rPr>
        <w:t>接收响应文件</w:t>
      </w:r>
      <w:r>
        <w:rPr>
          <w:rFonts w:ascii="仿宋" w:hAnsi="仿宋" w:eastAsia="仿宋"/>
          <w:highlight w:val="none"/>
        </w:rPr>
        <w:t>，</w:t>
      </w:r>
      <w:r>
        <w:rPr>
          <w:rFonts w:hint="eastAsia" w:ascii="仿宋" w:hAnsi="仿宋" w:eastAsia="仿宋"/>
          <w:highlight w:val="none"/>
        </w:rPr>
        <w:t>对密封性进行审查后，开启响应文件，并宣布响应文件份数。供应商</w:t>
      </w:r>
      <w:r>
        <w:rPr>
          <w:rFonts w:ascii="仿宋" w:hAnsi="仿宋" w:eastAsia="仿宋"/>
          <w:highlight w:val="none"/>
        </w:rPr>
        <w:t>必须派法定代表人或</w:t>
      </w:r>
      <w:r>
        <w:rPr>
          <w:rFonts w:hint="eastAsia" w:ascii="仿宋" w:hAnsi="仿宋" w:eastAsia="仿宋"/>
          <w:highlight w:val="none"/>
        </w:rPr>
        <w:t>授权代表</w:t>
      </w:r>
      <w:r>
        <w:rPr>
          <w:rFonts w:ascii="仿宋" w:hAnsi="仿宋" w:eastAsia="仿宋"/>
          <w:highlight w:val="none"/>
        </w:rPr>
        <w:t>参加，并签名报到。</w:t>
      </w:r>
    </w:p>
    <w:p w14:paraId="3EB19A60">
      <w:pPr>
        <w:pageBreakBefore w:val="0"/>
        <w:kinsoku/>
        <w:overflowPunct/>
        <w:topLinePunct w:val="0"/>
        <w:autoSpaceDE/>
        <w:autoSpaceDN/>
        <w:bidi w:val="0"/>
        <w:spacing w:line="560" w:lineRule="exact"/>
        <w:ind w:firstLine="566" w:firstLineChars="200"/>
        <w:textAlignment w:val="auto"/>
        <w:rPr>
          <w:rFonts w:ascii="仿宋" w:hAnsi="仿宋" w:eastAsia="仿宋"/>
          <w:highlight w:val="none"/>
        </w:rPr>
      </w:pPr>
      <w:r>
        <w:rPr>
          <w:rFonts w:hint="eastAsia" w:ascii="仿宋" w:hAnsi="仿宋" w:eastAsia="仿宋"/>
          <w:highlight w:val="none"/>
        </w:rPr>
        <w:t>（三</w:t>
      </w:r>
      <w:r>
        <w:rPr>
          <w:rFonts w:ascii="仿宋" w:hAnsi="仿宋" w:eastAsia="仿宋"/>
          <w:highlight w:val="none"/>
        </w:rPr>
        <w:t>）</w:t>
      </w:r>
      <w:r>
        <w:rPr>
          <w:rFonts w:hint="eastAsia" w:ascii="仿宋" w:hAnsi="仿宋" w:eastAsia="仿宋"/>
          <w:highlight w:val="none"/>
        </w:rPr>
        <w:t>响应文件开启过程由</w:t>
      </w:r>
      <w:r>
        <w:rPr>
          <w:rFonts w:hint="eastAsia" w:ascii="仿宋" w:hAnsi="仿宋" w:eastAsia="仿宋" w:cs="仿宋"/>
          <w:highlight w:val="none"/>
        </w:rPr>
        <w:t>陕西中发项目管理发展有限公司</w:t>
      </w:r>
      <w:r>
        <w:rPr>
          <w:rFonts w:hint="eastAsia" w:ascii="仿宋" w:hAnsi="仿宋" w:eastAsia="仿宋"/>
          <w:highlight w:val="none"/>
        </w:rPr>
        <w:t>指定专人记录。供应商若有疑义，以及认为采购人、</w:t>
      </w:r>
      <w:r>
        <w:rPr>
          <w:rFonts w:hint="eastAsia" w:ascii="仿宋" w:hAnsi="仿宋" w:eastAsia="仿宋" w:cs="仿宋"/>
          <w:highlight w:val="none"/>
        </w:rPr>
        <w:t>陕西中发项目管理发展有限公司</w:t>
      </w:r>
      <w:r>
        <w:rPr>
          <w:rFonts w:hint="eastAsia" w:ascii="仿宋" w:hAnsi="仿宋" w:eastAsia="仿宋"/>
          <w:highlight w:val="none"/>
        </w:rPr>
        <w:t>相关工作人员有需要回避情形的，应当场提出询问或回避申请，采购人、</w:t>
      </w:r>
      <w:r>
        <w:rPr>
          <w:rFonts w:hint="eastAsia" w:ascii="仿宋" w:hAnsi="仿宋" w:eastAsia="仿宋" w:cs="仿宋"/>
          <w:highlight w:val="none"/>
        </w:rPr>
        <w:t>陕西中发项目管理发展有限公司</w:t>
      </w:r>
      <w:r>
        <w:rPr>
          <w:rFonts w:hint="eastAsia" w:ascii="仿宋" w:hAnsi="仿宋" w:eastAsia="仿宋"/>
          <w:highlight w:val="none"/>
        </w:rPr>
        <w:t>应当及时处理。</w:t>
      </w:r>
    </w:p>
    <w:p w14:paraId="4B68A974">
      <w:pPr>
        <w:pStyle w:val="4"/>
        <w:pageBreakBefore w:val="0"/>
        <w:kinsoku/>
        <w:overflowPunct/>
        <w:topLinePunct w:val="0"/>
        <w:autoSpaceDE/>
        <w:autoSpaceDN/>
        <w:bidi w:val="0"/>
        <w:spacing w:line="560" w:lineRule="exact"/>
        <w:ind w:firstLine="566" w:firstLineChars="200"/>
        <w:textAlignment w:val="auto"/>
        <w:rPr>
          <w:highlight w:val="none"/>
        </w:rPr>
      </w:pPr>
      <w:bookmarkStart w:id="174" w:name="_Toc2971"/>
      <w:bookmarkStart w:id="175" w:name="_Toc4397"/>
      <w:bookmarkStart w:id="176" w:name="_Toc15056"/>
      <w:bookmarkStart w:id="177" w:name="_Toc5104"/>
      <w:bookmarkStart w:id="178" w:name="_Toc31366"/>
      <w:bookmarkStart w:id="179" w:name="_Toc17752"/>
      <w:bookmarkStart w:id="180" w:name="_Toc2379"/>
      <w:bookmarkStart w:id="181" w:name="_Toc31027"/>
      <w:bookmarkStart w:id="182" w:name="_Toc31766"/>
      <w:bookmarkStart w:id="183" w:name="_Toc13215"/>
      <w:bookmarkStart w:id="184" w:name="_Toc28681248"/>
      <w:bookmarkStart w:id="185" w:name="_Toc23864"/>
      <w:bookmarkStart w:id="186" w:name="_Toc16513"/>
      <w:bookmarkStart w:id="187" w:name="_Toc29548"/>
      <w:r>
        <w:rPr>
          <w:rFonts w:hint="eastAsia"/>
          <w:highlight w:val="none"/>
        </w:rPr>
        <w:t>九、组织谈判</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0198FF88">
      <w:pPr>
        <w:pageBreakBefore w:val="0"/>
        <w:kinsoku/>
        <w:overflowPunct/>
        <w:topLinePunct w:val="0"/>
        <w:autoSpaceDE/>
        <w:autoSpaceDN/>
        <w:bidi w:val="0"/>
        <w:spacing w:line="560" w:lineRule="exact"/>
        <w:ind w:firstLine="566" w:firstLineChars="200"/>
        <w:textAlignment w:val="auto"/>
        <w:rPr>
          <w:rFonts w:eastAsia="仿宋"/>
          <w:highlight w:val="none"/>
        </w:rPr>
      </w:pPr>
      <w:r>
        <w:rPr>
          <w:rFonts w:hint="eastAsia" w:eastAsia="仿宋"/>
          <w:highlight w:val="none"/>
        </w:rPr>
        <w:t>（一）采购代理机构负责组织评标工作，并履行下列职责：</w:t>
      </w:r>
    </w:p>
    <w:p w14:paraId="04498F80">
      <w:pPr>
        <w:pageBreakBefore w:val="0"/>
        <w:kinsoku/>
        <w:overflowPunct/>
        <w:topLinePunct w:val="0"/>
        <w:autoSpaceDE/>
        <w:autoSpaceDN/>
        <w:bidi w:val="0"/>
        <w:spacing w:line="560" w:lineRule="exact"/>
        <w:ind w:firstLine="566" w:firstLineChars="200"/>
        <w:textAlignment w:val="auto"/>
        <w:rPr>
          <w:rFonts w:eastAsia="仿宋"/>
          <w:highlight w:val="none"/>
        </w:rPr>
      </w:pPr>
      <w:r>
        <w:rPr>
          <w:rFonts w:hint="eastAsia" w:eastAsia="仿宋"/>
          <w:highlight w:val="none"/>
        </w:rPr>
        <w:t>1、核对评审专家身份和采购人代表授权函，对评审专家在政府采购活动中的职责履行情况予以记录，并及时将有关违法违规行为向财政部门报告;</w:t>
      </w:r>
    </w:p>
    <w:p w14:paraId="33993D49">
      <w:pPr>
        <w:pageBreakBefore w:val="0"/>
        <w:kinsoku/>
        <w:overflowPunct/>
        <w:topLinePunct w:val="0"/>
        <w:autoSpaceDE/>
        <w:autoSpaceDN/>
        <w:bidi w:val="0"/>
        <w:spacing w:line="560" w:lineRule="exact"/>
        <w:ind w:firstLine="566" w:firstLineChars="200"/>
        <w:textAlignment w:val="auto"/>
        <w:rPr>
          <w:rFonts w:eastAsia="仿宋"/>
          <w:highlight w:val="none"/>
        </w:rPr>
      </w:pPr>
      <w:r>
        <w:rPr>
          <w:rFonts w:hint="eastAsia" w:eastAsia="仿宋"/>
          <w:highlight w:val="none"/>
        </w:rPr>
        <w:t>2、宣布评审纪律;</w:t>
      </w:r>
    </w:p>
    <w:p w14:paraId="10652426">
      <w:pPr>
        <w:pageBreakBefore w:val="0"/>
        <w:kinsoku/>
        <w:overflowPunct/>
        <w:topLinePunct w:val="0"/>
        <w:autoSpaceDE/>
        <w:autoSpaceDN/>
        <w:bidi w:val="0"/>
        <w:spacing w:line="560" w:lineRule="exact"/>
        <w:ind w:firstLine="566" w:firstLineChars="200"/>
        <w:textAlignment w:val="auto"/>
        <w:rPr>
          <w:rFonts w:eastAsia="仿宋"/>
          <w:highlight w:val="none"/>
        </w:rPr>
      </w:pPr>
      <w:r>
        <w:rPr>
          <w:rFonts w:hint="eastAsia" w:eastAsia="仿宋"/>
          <w:highlight w:val="none"/>
        </w:rPr>
        <w:t>3、公布</w:t>
      </w:r>
      <w:r>
        <w:rPr>
          <w:rFonts w:hint="eastAsia" w:eastAsia="仿宋"/>
          <w:highlight w:val="none"/>
          <w:lang w:eastAsia="zh-CN"/>
        </w:rPr>
        <w:t>供应商</w:t>
      </w:r>
      <w:r>
        <w:rPr>
          <w:rFonts w:hint="eastAsia" w:eastAsia="仿宋"/>
          <w:highlight w:val="none"/>
        </w:rPr>
        <w:t>名单，告知评审专家应当回避的情形;</w:t>
      </w:r>
    </w:p>
    <w:p w14:paraId="12187D58">
      <w:pPr>
        <w:pageBreakBefore w:val="0"/>
        <w:kinsoku/>
        <w:overflowPunct/>
        <w:topLinePunct w:val="0"/>
        <w:autoSpaceDE/>
        <w:autoSpaceDN/>
        <w:bidi w:val="0"/>
        <w:spacing w:line="560" w:lineRule="exact"/>
        <w:ind w:firstLine="566" w:firstLineChars="200"/>
        <w:textAlignment w:val="auto"/>
        <w:rPr>
          <w:rFonts w:eastAsia="仿宋"/>
          <w:highlight w:val="none"/>
        </w:rPr>
      </w:pPr>
      <w:r>
        <w:rPr>
          <w:rFonts w:hint="eastAsia" w:eastAsia="仿宋"/>
          <w:highlight w:val="none"/>
        </w:rPr>
        <w:t>4、组织谈判小组推选评审组长，采购人代表不得担任组长;</w:t>
      </w:r>
    </w:p>
    <w:p w14:paraId="5E112304">
      <w:pPr>
        <w:pageBreakBefore w:val="0"/>
        <w:kinsoku/>
        <w:overflowPunct/>
        <w:topLinePunct w:val="0"/>
        <w:autoSpaceDE/>
        <w:autoSpaceDN/>
        <w:bidi w:val="0"/>
        <w:spacing w:line="560" w:lineRule="exact"/>
        <w:ind w:firstLine="566" w:firstLineChars="200"/>
        <w:textAlignment w:val="auto"/>
        <w:rPr>
          <w:rFonts w:eastAsia="仿宋"/>
          <w:highlight w:val="none"/>
        </w:rPr>
      </w:pPr>
      <w:r>
        <w:rPr>
          <w:rFonts w:hint="eastAsia" w:eastAsia="仿宋"/>
          <w:highlight w:val="none"/>
        </w:rPr>
        <w:t>5、在评审期间采取必要的通讯管理措施，保证评审活动不受外界干扰;</w:t>
      </w:r>
    </w:p>
    <w:p w14:paraId="57DB873F">
      <w:pPr>
        <w:pageBreakBefore w:val="0"/>
        <w:kinsoku/>
        <w:overflowPunct/>
        <w:topLinePunct w:val="0"/>
        <w:autoSpaceDE/>
        <w:autoSpaceDN/>
        <w:bidi w:val="0"/>
        <w:spacing w:line="560" w:lineRule="exact"/>
        <w:ind w:firstLine="566" w:firstLineChars="200"/>
        <w:textAlignment w:val="auto"/>
        <w:rPr>
          <w:rFonts w:eastAsia="仿宋"/>
          <w:highlight w:val="none"/>
        </w:rPr>
      </w:pPr>
      <w:r>
        <w:rPr>
          <w:rFonts w:hint="eastAsia" w:eastAsia="仿宋"/>
          <w:highlight w:val="none"/>
        </w:rPr>
        <w:t>6、根据谈判小组的要求介绍政府采购相关政策法规、谈判文件;</w:t>
      </w:r>
    </w:p>
    <w:p w14:paraId="32F985BD">
      <w:pPr>
        <w:pageBreakBefore w:val="0"/>
        <w:kinsoku/>
        <w:overflowPunct/>
        <w:topLinePunct w:val="0"/>
        <w:autoSpaceDE/>
        <w:autoSpaceDN/>
        <w:bidi w:val="0"/>
        <w:spacing w:line="560" w:lineRule="exact"/>
        <w:ind w:firstLine="566" w:firstLineChars="200"/>
        <w:textAlignment w:val="auto"/>
        <w:rPr>
          <w:rFonts w:eastAsia="仿宋"/>
          <w:highlight w:val="none"/>
        </w:rPr>
      </w:pPr>
      <w:r>
        <w:rPr>
          <w:rFonts w:hint="eastAsia" w:eastAsia="仿宋"/>
          <w:highlight w:val="none"/>
        </w:rPr>
        <w:t>7、维护评审秩序，监督谈判小组依照谈判文件规定的评审程序、方法和标准进行独立评审，及时制止和纠正采购人代表、评审专家的倾向性言论或者违法违规行为;</w:t>
      </w:r>
    </w:p>
    <w:p w14:paraId="1026A706">
      <w:pPr>
        <w:pageBreakBefore w:val="0"/>
        <w:kinsoku/>
        <w:overflowPunct/>
        <w:topLinePunct w:val="0"/>
        <w:autoSpaceDE/>
        <w:autoSpaceDN/>
        <w:bidi w:val="0"/>
        <w:spacing w:line="560" w:lineRule="exact"/>
        <w:ind w:firstLine="566" w:firstLineChars="200"/>
        <w:textAlignment w:val="auto"/>
        <w:rPr>
          <w:rFonts w:eastAsia="仿宋"/>
          <w:highlight w:val="none"/>
        </w:rPr>
      </w:pPr>
      <w:r>
        <w:rPr>
          <w:rFonts w:hint="eastAsia" w:eastAsia="仿宋"/>
          <w:highlight w:val="none"/>
        </w:rPr>
        <w:t>8、核对评审结果;</w:t>
      </w:r>
    </w:p>
    <w:p w14:paraId="7EEEA8F2">
      <w:pPr>
        <w:pageBreakBefore w:val="0"/>
        <w:kinsoku/>
        <w:overflowPunct/>
        <w:topLinePunct w:val="0"/>
        <w:autoSpaceDE/>
        <w:autoSpaceDN/>
        <w:bidi w:val="0"/>
        <w:spacing w:line="560" w:lineRule="exact"/>
        <w:ind w:firstLine="566" w:firstLineChars="200"/>
        <w:textAlignment w:val="auto"/>
        <w:rPr>
          <w:rFonts w:eastAsia="仿宋"/>
          <w:highlight w:val="none"/>
        </w:rPr>
      </w:pPr>
      <w:r>
        <w:rPr>
          <w:rFonts w:hint="eastAsia" w:eastAsia="仿宋"/>
          <w:highlight w:val="none"/>
        </w:rPr>
        <w:t>9、评审工作完成后，按照规定向评审专家支付劳务报酬和异地评审差旅费，不得向评审专家以外的其他人员支付评审劳务报酬;</w:t>
      </w:r>
    </w:p>
    <w:p w14:paraId="485D97D8">
      <w:pPr>
        <w:pageBreakBefore w:val="0"/>
        <w:kinsoku/>
        <w:overflowPunct/>
        <w:topLinePunct w:val="0"/>
        <w:autoSpaceDE/>
        <w:autoSpaceDN/>
        <w:bidi w:val="0"/>
        <w:spacing w:line="560" w:lineRule="exact"/>
        <w:ind w:firstLine="566" w:firstLineChars="200"/>
        <w:textAlignment w:val="auto"/>
        <w:rPr>
          <w:rFonts w:eastAsia="仿宋"/>
          <w:highlight w:val="none"/>
        </w:rPr>
      </w:pPr>
      <w:r>
        <w:rPr>
          <w:rFonts w:hint="eastAsia" w:eastAsia="仿宋"/>
          <w:highlight w:val="none"/>
        </w:rPr>
        <w:t>10、处理与评审有关的其他事项。</w:t>
      </w:r>
    </w:p>
    <w:p w14:paraId="41297345">
      <w:pPr>
        <w:pageBreakBefore w:val="0"/>
        <w:kinsoku/>
        <w:overflowPunct/>
        <w:topLinePunct w:val="0"/>
        <w:autoSpaceDE/>
        <w:autoSpaceDN/>
        <w:bidi w:val="0"/>
        <w:spacing w:line="560" w:lineRule="exact"/>
        <w:ind w:firstLine="566" w:firstLineChars="200"/>
        <w:textAlignment w:val="auto"/>
        <w:rPr>
          <w:rFonts w:eastAsia="仿宋"/>
          <w:highlight w:val="none"/>
        </w:rPr>
      </w:pPr>
      <w:r>
        <w:rPr>
          <w:rFonts w:hint="eastAsia" w:eastAsia="仿宋"/>
          <w:highlight w:val="none"/>
        </w:rPr>
        <w:t>采购人可以在评审前说明项目背景和采购需求，说明内容不得含有歧视性、倾向性意见，不得超出谈判文件所述范围。说明应当提交书面材料，并随谈判文件一并存档。</w:t>
      </w:r>
    </w:p>
    <w:p w14:paraId="57158926">
      <w:pPr>
        <w:pageBreakBefore w:val="0"/>
        <w:kinsoku/>
        <w:overflowPunct/>
        <w:topLinePunct w:val="0"/>
        <w:autoSpaceDE/>
        <w:autoSpaceDN/>
        <w:bidi w:val="0"/>
        <w:spacing w:line="560" w:lineRule="exact"/>
        <w:ind w:firstLine="566" w:firstLineChars="200"/>
        <w:textAlignment w:val="auto"/>
        <w:rPr>
          <w:rFonts w:eastAsia="仿宋"/>
          <w:highlight w:val="none"/>
        </w:rPr>
      </w:pPr>
      <w:r>
        <w:rPr>
          <w:rFonts w:hint="eastAsia" w:eastAsia="仿宋"/>
          <w:highlight w:val="none"/>
        </w:rPr>
        <w:t>（二）谈判小组负责具体评审事务，并独立履行下列职责：</w:t>
      </w:r>
    </w:p>
    <w:p w14:paraId="221B0B9B">
      <w:pPr>
        <w:pageBreakBefore w:val="0"/>
        <w:kinsoku/>
        <w:overflowPunct/>
        <w:topLinePunct w:val="0"/>
        <w:autoSpaceDE/>
        <w:autoSpaceDN/>
        <w:bidi w:val="0"/>
        <w:spacing w:line="560" w:lineRule="exact"/>
        <w:ind w:firstLine="566" w:firstLineChars="200"/>
        <w:textAlignment w:val="auto"/>
        <w:rPr>
          <w:rFonts w:hint="eastAsia" w:eastAsia="仿宋"/>
          <w:highlight w:val="none"/>
        </w:rPr>
      </w:pPr>
      <w:r>
        <w:rPr>
          <w:rFonts w:hint="eastAsia" w:eastAsia="仿宋"/>
          <w:highlight w:val="none"/>
        </w:rPr>
        <w:t>1、严格遵守评审工作纪律,按照客观、公正、审慎的原则,根据谈判文件规定的评审程序、评审方法和评审标准进行独立评审；</w:t>
      </w:r>
    </w:p>
    <w:p w14:paraId="3808A532">
      <w:pPr>
        <w:pageBreakBefore w:val="0"/>
        <w:kinsoku/>
        <w:overflowPunct/>
        <w:topLinePunct w:val="0"/>
        <w:autoSpaceDE/>
        <w:autoSpaceDN/>
        <w:bidi w:val="0"/>
        <w:spacing w:line="560" w:lineRule="exact"/>
        <w:ind w:firstLine="566" w:firstLineChars="200"/>
        <w:textAlignment w:val="auto"/>
        <w:rPr>
          <w:rFonts w:eastAsia="仿宋"/>
          <w:highlight w:val="none"/>
        </w:rPr>
      </w:pPr>
      <w:r>
        <w:rPr>
          <w:rFonts w:hint="eastAsia" w:eastAsia="仿宋"/>
          <w:highlight w:val="none"/>
        </w:rPr>
        <w:t>2、现谈判文件内容违反国家有关强制性规定或者谈判文件存在歧义、重大缺陷导致评审工作无法进行时,应当停止评审并向采购人或者采购代理机构书面说明情况；</w:t>
      </w:r>
    </w:p>
    <w:p w14:paraId="263CF650">
      <w:pPr>
        <w:pageBreakBefore w:val="0"/>
        <w:kinsoku/>
        <w:overflowPunct/>
        <w:topLinePunct w:val="0"/>
        <w:autoSpaceDE/>
        <w:autoSpaceDN/>
        <w:bidi w:val="0"/>
        <w:spacing w:line="560" w:lineRule="exact"/>
        <w:ind w:firstLine="566" w:firstLineChars="200"/>
        <w:textAlignment w:val="auto"/>
        <w:rPr>
          <w:rFonts w:eastAsia="仿宋"/>
          <w:highlight w:val="none"/>
        </w:rPr>
      </w:pPr>
      <w:r>
        <w:rPr>
          <w:rFonts w:hint="eastAsia" w:eastAsia="仿宋"/>
          <w:highlight w:val="none"/>
        </w:rPr>
        <w:t>3、审查、评价响应文件是否符合谈判文件的商务、技术等实质性要求；</w:t>
      </w:r>
    </w:p>
    <w:p w14:paraId="0778DAA2">
      <w:pPr>
        <w:pageBreakBefore w:val="0"/>
        <w:kinsoku/>
        <w:overflowPunct/>
        <w:topLinePunct w:val="0"/>
        <w:autoSpaceDE/>
        <w:autoSpaceDN/>
        <w:bidi w:val="0"/>
        <w:spacing w:line="560" w:lineRule="exact"/>
        <w:ind w:firstLine="566" w:firstLineChars="200"/>
        <w:textAlignment w:val="auto"/>
        <w:rPr>
          <w:rFonts w:eastAsia="仿宋"/>
          <w:highlight w:val="none"/>
        </w:rPr>
      </w:pPr>
      <w:r>
        <w:rPr>
          <w:rFonts w:hint="eastAsia" w:eastAsia="仿宋"/>
          <w:highlight w:val="none"/>
        </w:rPr>
        <w:t>4、要求</w:t>
      </w:r>
      <w:r>
        <w:rPr>
          <w:rFonts w:hint="eastAsia" w:eastAsia="仿宋"/>
          <w:highlight w:val="none"/>
          <w:lang w:eastAsia="zh-CN"/>
        </w:rPr>
        <w:t>供应商</w:t>
      </w:r>
      <w:r>
        <w:rPr>
          <w:rFonts w:hint="eastAsia" w:eastAsia="仿宋"/>
          <w:highlight w:val="none"/>
        </w:rPr>
        <w:t>对响应文件有关事项作出澄清或者说明；</w:t>
      </w:r>
    </w:p>
    <w:p w14:paraId="5C3FC574">
      <w:pPr>
        <w:pageBreakBefore w:val="0"/>
        <w:kinsoku/>
        <w:overflowPunct/>
        <w:topLinePunct w:val="0"/>
        <w:autoSpaceDE/>
        <w:autoSpaceDN/>
        <w:bidi w:val="0"/>
        <w:spacing w:line="560" w:lineRule="exact"/>
        <w:ind w:firstLine="566" w:firstLineChars="200"/>
        <w:textAlignment w:val="auto"/>
        <w:rPr>
          <w:rFonts w:eastAsia="仿宋"/>
          <w:highlight w:val="none"/>
        </w:rPr>
      </w:pPr>
      <w:r>
        <w:rPr>
          <w:rFonts w:hint="eastAsia" w:eastAsia="仿宋"/>
          <w:highlight w:val="none"/>
        </w:rPr>
        <w:t>5、对响应文件进行评价；</w:t>
      </w:r>
    </w:p>
    <w:p w14:paraId="424D375B">
      <w:pPr>
        <w:pageBreakBefore w:val="0"/>
        <w:kinsoku/>
        <w:overflowPunct/>
        <w:topLinePunct w:val="0"/>
        <w:autoSpaceDE/>
        <w:autoSpaceDN/>
        <w:bidi w:val="0"/>
        <w:spacing w:line="560" w:lineRule="exact"/>
        <w:ind w:firstLine="566" w:firstLineChars="200"/>
        <w:textAlignment w:val="auto"/>
        <w:rPr>
          <w:rFonts w:eastAsia="仿宋"/>
          <w:highlight w:val="none"/>
        </w:rPr>
      </w:pPr>
      <w:r>
        <w:rPr>
          <w:rFonts w:hint="eastAsia" w:eastAsia="仿宋"/>
          <w:highlight w:val="none"/>
        </w:rPr>
        <w:t>6、确定中标候选人名单，以及根据采购人委托直接确定中标供应商；</w:t>
      </w:r>
    </w:p>
    <w:p w14:paraId="0A04106B">
      <w:pPr>
        <w:pageBreakBefore w:val="0"/>
        <w:kinsoku/>
        <w:overflowPunct/>
        <w:topLinePunct w:val="0"/>
        <w:autoSpaceDE/>
        <w:autoSpaceDN/>
        <w:bidi w:val="0"/>
        <w:spacing w:line="560" w:lineRule="exact"/>
        <w:ind w:firstLine="566" w:firstLineChars="200"/>
        <w:textAlignment w:val="auto"/>
        <w:rPr>
          <w:rFonts w:eastAsia="仿宋"/>
          <w:highlight w:val="none"/>
        </w:rPr>
      </w:pPr>
      <w:r>
        <w:rPr>
          <w:rFonts w:hint="eastAsia" w:eastAsia="仿宋"/>
          <w:highlight w:val="none"/>
        </w:rPr>
        <w:t>7、配合答复供应商的询问、质疑和投诉等事项,不得泄露评审文件、评审情况和在评审过程中获悉的商业秘密；</w:t>
      </w:r>
    </w:p>
    <w:p w14:paraId="4F42A3E3">
      <w:pPr>
        <w:pageBreakBefore w:val="0"/>
        <w:kinsoku/>
        <w:overflowPunct/>
        <w:topLinePunct w:val="0"/>
        <w:autoSpaceDE/>
        <w:autoSpaceDN/>
        <w:bidi w:val="0"/>
        <w:spacing w:line="560" w:lineRule="exact"/>
        <w:ind w:firstLine="566" w:firstLineChars="200"/>
        <w:textAlignment w:val="auto"/>
        <w:rPr>
          <w:rFonts w:eastAsia="仿宋"/>
          <w:highlight w:val="none"/>
        </w:rPr>
      </w:pPr>
      <w:r>
        <w:rPr>
          <w:rFonts w:hint="eastAsia" w:eastAsia="仿宋"/>
          <w:highlight w:val="none"/>
        </w:rPr>
        <w:t>8、向采购人、采购代理机构或者有关部门报告评审中发现的违法行为。</w:t>
      </w:r>
    </w:p>
    <w:p w14:paraId="79A3B9B7">
      <w:pPr>
        <w:pageBreakBefore w:val="0"/>
        <w:kinsoku/>
        <w:overflowPunct/>
        <w:topLinePunct w:val="0"/>
        <w:autoSpaceDE/>
        <w:autoSpaceDN/>
        <w:bidi w:val="0"/>
        <w:spacing w:line="560" w:lineRule="exact"/>
        <w:ind w:firstLine="566" w:firstLineChars="200"/>
        <w:textAlignment w:val="auto"/>
        <w:rPr>
          <w:rFonts w:eastAsia="仿宋"/>
          <w:highlight w:val="none"/>
        </w:rPr>
      </w:pPr>
      <w:r>
        <w:rPr>
          <w:rFonts w:hint="eastAsia" w:eastAsia="仿宋"/>
          <w:highlight w:val="none"/>
        </w:rPr>
        <w:t>（三）成立谈判小组</w:t>
      </w:r>
    </w:p>
    <w:p w14:paraId="514B7984">
      <w:pPr>
        <w:pageBreakBefore w:val="0"/>
        <w:kinsoku/>
        <w:overflowPunct/>
        <w:topLinePunct w:val="0"/>
        <w:autoSpaceDE/>
        <w:autoSpaceDN/>
        <w:bidi w:val="0"/>
        <w:spacing w:line="560" w:lineRule="exact"/>
        <w:ind w:firstLine="566" w:firstLineChars="200"/>
        <w:textAlignment w:val="auto"/>
        <w:rPr>
          <w:rFonts w:eastAsia="仿宋"/>
          <w:highlight w:val="none"/>
        </w:rPr>
      </w:pPr>
      <w:r>
        <w:rPr>
          <w:rFonts w:hint="eastAsia" w:eastAsia="仿宋"/>
          <w:highlight w:val="none"/>
        </w:rPr>
        <w:t>为了确保谈判工作的公平、公正，依据政府采购法和政府采购相关法规、规章，成立谈判小组，谈判小组由采购人代表和自行推荐的评审专家共3人以上单数组成。达到公开招标数额标准的货物或者服务采购项目，或者达到招标规模标准的政府采购工程，谈判小组应当由5人以上单数组成。</w:t>
      </w:r>
    </w:p>
    <w:p w14:paraId="75CC7C5A">
      <w:pPr>
        <w:pageBreakBefore w:val="0"/>
        <w:kinsoku/>
        <w:overflowPunct/>
        <w:topLinePunct w:val="0"/>
        <w:autoSpaceDE/>
        <w:autoSpaceDN/>
        <w:bidi w:val="0"/>
        <w:spacing w:line="560" w:lineRule="exact"/>
        <w:ind w:firstLine="566" w:firstLineChars="200"/>
        <w:textAlignment w:val="auto"/>
        <w:rPr>
          <w:rFonts w:eastAsia="仿宋"/>
          <w:highlight w:val="none"/>
        </w:rPr>
      </w:pPr>
      <w:r>
        <w:rPr>
          <w:rFonts w:hint="eastAsia" w:eastAsia="仿宋"/>
          <w:highlight w:val="none"/>
        </w:rPr>
        <w:t>（四）谈判程序</w:t>
      </w:r>
    </w:p>
    <w:p w14:paraId="55F527A4">
      <w:pPr>
        <w:pageBreakBefore w:val="0"/>
        <w:kinsoku/>
        <w:overflowPunct/>
        <w:topLinePunct w:val="0"/>
        <w:autoSpaceDE/>
        <w:autoSpaceDN/>
        <w:bidi w:val="0"/>
        <w:spacing w:line="560" w:lineRule="exact"/>
        <w:ind w:firstLine="566" w:firstLineChars="200"/>
        <w:textAlignment w:val="auto"/>
        <w:rPr>
          <w:rFonts w:eastAsia="仿宋"/>
          <w:highlight w:val="none"/>
        </w:rPr>
      </w:pPr>
      <w:r>
        <w:rPr>
          <w:rFonts w:hint="eastAsia" w:eastAsia="仿宋"/>
          <w:highlight w:val="none"/>
        </w:rPr>
        <w:t>1、资格性审查</w:t>
      </w:r>
    </w:p>
    <w:p w14:paraId="1DC594D6">
      <w:pPr>
        <w:pageBreakBefore w:val="0"/>
        <w:kinsoku/>
        <w:overflowPunct/>
        <w:topLinePunct w:val="0"/>
        <w:autoSpaceDE/>
        <w:autoSpaceDN/>
        <w:bidi w:val="0"/>
        <w:spacing w:line="560" w:lineRule="exact"/>
        <w:ind w:firstLine="566" w:firstLineChars="200"/>
        <w:textAlignment w:val="auto"/>
        <w:rPr>
          <w:rFonts w:eastAsia="仿宋"/>
          <w:highlight w:val="none"/>
        </w:rPr>
      </w:pPr>
      <w:r>
        <w:rPr>
          <w:rFonts w:hint="eastAsia" w:eastAsia="仿宋"/>
          <w:highlight w:val="none"/>
        </w:rPr>
        <w:t>依据法律法规和谈判文件的规定，对响应文件正本中的供应商资格证明进行审查。</w:t>
      </w:r>
    </w:p>
    <w:p w14:paraId="2F1941F2">
      <w:pPr>
        <w:rPr>
          <w:rFonts w:hint="eastAsia" w:ascii="宋体" w:hAnsi="宋体" w:eastAsia="宋体" w:cs="宋体"/>
          <w:b/>
          <w:bCs/>
          <w:highlight w:val="none"/>
        </w:rPr>
      </w:pPr>
      <w:r>
        <w:rPr>
          <w:rFonts w:hint="eastAsia" w:ascii="宋体" w:hAnsi="宋体" w:eastAsia="宋体" w:cs="宋体"/>
          <w:b/>
          <w:bCs/>
          <w:highlight w:val="none"/>
        </w:rPr>
        <w:br w:type="page"/>
      </w:r>
    </w:p>
    <w:p w14:paraId="5CBC8DE8">
      <w:pPr>
        <w:pStyle w:val="22"/>
        <w:pageBreakBefore w:val="0"/>
        <w:kinsoku/>
        <w:overflowPunct/>
        <w:topLinePunct w:val="0"/>
        <w:autoSpaceDE/>
        <w:autoSpaceDN/>
        <w:bidi w:val="0"/>
        <w:spacing w:line="560" w:lineRule="exact"/>
        <w:jc w:val="center"/>
        <w:textAlignment w:val="auto"/>
        <w:outlineLvl w:val="2"/>
        <w:rPr>
          <w:rFonts w:ascii="宋体" w:hAnsi="宋体" w:eastAsia="宋体" w:cs="宋体"/>
          <w:highlight w:val="none"/>
        </w:rPr>
      </w:pPr>
      <w:r>
        <w:rPr>
          <w:rFonts w:hint="eastAsia" w:ascii="宋体" w:hAnsi="宋体" w:eastAsia="宋体" w:cs="宋体"/>
          <w:b/>
          <w:bCs/>
          <w:highlight w:val="none"/>
        </w:rPr>
        <w:t>资格性审查表</w:t>
      </w:r>
    </w:p>
    <w:tbl>
      <w:tblPr>
        <w:tblStyle w:val="23"/>
        <w:tblW w:w="10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2152"/>
        <w:gridCol w:w="5241"/>
        <w:gridCol w:w="917"/>
        <w:gridCol w:w="1076"/>
      </w:tblGrid>
      <w:tr w14:paraId="06848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831" w:type="dxa"/>
            <w:shd w:val="clear" w:color="auto" w:fill="D7D7D7" w:themeFill="background1" w:themeFillShade="D8"/>
            <w:vAlign w:val="center"/>
          </w:tcPr>
          <w:p w14:paraId="758EC546">
            <w:pPr>
              <w:pStyle w:val="22"/>
              <w:pageBreakBefore w:val="0"/>
              <w:kinsoku/>
              <w:overflowPunct/>
              <w:topLinePunct w:val="0"/>
              <w:autoSpaceDE/>
              <w:autoSpaceDN/>
              <w:bidi w:val="0"/>
              <w:spacing w:line="560" w:lineRule="exact"/>
              <w:ind w:firstLine="0" w:firstLineChars="0"/>
              <w:jc w:val="center"/>
              <w:textAlignment w:val="auto"/>
              <w:rPr>
                <w:rFonts w:ascii="宋体" w:hAnsi="宋体" w:eastAsia="宋体" w:cs="宋体"/>
                <w:sz w:val="24"/>
                <w:szCs w:val="24"/>
                <w:highlight w:val="none"/>
              </w:rPr>
            </w:pPr>
            <w:r>
              <w:rPr>
                <w:rFonts w:hint="eastAsia" w:ascii="宋体" w:hAnsi="宋体" w:eastAsia="宋体" w:cs="宋体"/>
                <w:b/>
                <w:kern w:val="28"/>
                <w:sz w:val="24"/>
                <w:szCs w:val="24"/>
                <w:highlight w:val="none"/>
              </w:rPr>
              <w:t>序号</w:t>
            </w:r>
          </w:p>
        </w:tc>
        <w:tc>
          <w:tcPr>
            <w:tcW w:w="2152" w:type="dxa"/>
            <w:shd w:val="clear" w:color="auto" w:fill="D7D7D7" w:themeFill="background1" w:themeFillShade="D8"/>
            <w:vAlign w:val="center"/>
          </w:tcPr>
          <w:p w14:paraId="6E0059BA">
            <w:pPr>
              <w:pageBreakBefore w:val="0"/>
              <w:kinsoku/>
              <w:overflowPunct/>
              <w:topLinePunct w:val="0"/>
              <w:autoSpaceDE/>
              <w:autoSpaceDN/>
              <w:bidi w:val="0"/>
              <w:spacing w:line="560" w:lineRule="exact"/>
              <w:jc w:val="center"/>
              <w:textAlignment w:val="auto"/>
              <w:rPr>
                <w:rFonts w:ascii="宋体" w:hAnsi="宋体" w:eastAsia="宋体" w:cs="宋体"/>
                <w:b/>
                <w:kern w:val="28"/>
                <w:sz w:val="24"/>
                <w:szCs w:val="24"/>
                <w:highlight w:val="none"/>
              </w:rPr>
            </w:pPr>
            <w:r>
              <w:rPr>
                <w:rFonts w:hint="eastAsia" w:ascii="宋体" w:hAnsi="宋体" w:eastAsia="宋体" w:cs="宋体"/>
                <w:b/>
                <w:kern w:val="28"/>
                <w:sz w:val="24"/>
                <w:szCs w:val="24"/>
                <w:highlight w:val="none"/>
              </w:rPr>
              <w:t>资格审查项</w:t>
            </w:r>
          </w:p>
        </w:tc>
        <w:tc>
          <w:tcPr>
            <w:tcW w:w="5241" w:type="dxa"/>
            <w:shd w:val="clear" w:color="auto" w:fill="D7D7D7" w:themeFill="background1" w:themeFillShade="D8"/>
            <w:vAlign w:val="center"/>
          </w:tcPr>
          <w:p w14:paraId="70A6A7C1">
            <w:pPr>
              <w:pageBreakBefore w:val="0"/>
              <w:kinsoku/>
              <w:overflowPunct/>
              <w:topLinePunct w:val="0"/>
              <w:autoSpaceDE/>
              <w:autoSpaceDN/>
              <w:bidi w:val="0"/>
              <w:spacing w:line="560" w:lineRule="exact"/>
              <w:jc w:val="center"/>
              <w:textAlignment w:val="auto"/>
              <w:rPr>
                <w:rFonts w:ascii="宋体" w:hAnsi="宋体" w:eastAsia="宋体" w:cs="宋体"/>
                <w:b/>
                <w:kern w:val="28"/>
                <w:sz w:val="24"/>
                <w:szCs w:val="24"/>
                <w:highlight w:val="none"/>
              </w:rPr>
            </w:pPr>
            <w:r>
              <w:rPr>
                <w:rFonts w:hint="eastAsia" w:ascii="宋体" w:hAnsi="宋体" w:eastAsia="宋体" w:cs="宋体"/>
                <w:b/>
                <w:kern w:val="28"/>
                <w:sz w:val="24"/>
                <w:szCs w:val="24"/>
                <w:highlight w:val="none"/>
              </w:rPr>
              <w:t>通过条件</w:t>
            </w:r>
          </w:p>
        </w:tc>
        <w:tc>
          <w:tcPr>
            <w:tcW w:w="917" w:type="dxa"/>
            <w:shd w:val="clear" w:color="auto" w:fill="D7D7D7" w:themeFill="background1" w:themeFillShade="D8"/>
            <w:vAlign w:val="center"/>
          </w:tcPr>
          <w:p w14:paraId="7D3D79B9">
            <w:pPr>
              <w:pageBreakBefore w:val="0"/>
              <w:kinsoku/>
              <w:overflowPunct/>
              <w:topLinePunct w:val="0"/>
              <w:autoSpaceDE/>
              <w:autoSpaceDN/>
              <w:bidi w:val="0"/>
              <w:spacing w:before="40" w:after="40" w:line="560" w:lineRule="exact"/>
              <w:jc w:val="center"/>
              <w:textAlignment w:val="auto"/>
              <w:rPr>
                <w:rFonts w:ascii="宋体" w:hAnsi="宋体" w:eastAsia="宋体" w:cs="宋体"/>
                <w:b/>
                <w:sz w:val="24"/>
                <w:szCs w:val="24"/>
                <w:highlight w:val="none"/>
              </w:rPr>
            </w:pPr>
            <w:r>
              <w:rPr>
                <w:rFonts w:hint="eastAsia" w:ascii="宋体" w:hAnsi="宋体" w:eastAsia="宋体" w:cs="宋体"/>
                <w:b/>
                <w:sz w:val="24"/>
                <w:szCs w:val="24"/>
                <w:highlight w:val="none"/>
              </w:rPr>
              <w:t>结论</w:t>
            </w:r>
          </w:p>
        </w:tc>
        <w:tc>
          <w:tcPr>
            <w:tcW w:w="1076" w:type="dxa"/>
            <w:shd w:val="clear" w:color="auto" w:fill="D7D7D7" w:themeFill="background1" w:themeFillShade="D8"/>
            <w:vAlign w:val="center"/>
          </w:tcPr>
          <w:p w14:paraId="358EE937">
            <w:pPr>
              <w:pageBreakBefore w:val="0"/>
              <w:kinsoku/>
              <w:overflowPunct/>
              <w:topLinePunct w:val="0"/>
              <w:autoSpaceDE/>
              <w:autoSpaceDN/>
              <w:bidi w:val="0"/>
              <w:spacing w:before="40" w:after="40" w:line="560" w:lineRule="exact"/>
              <w:jc w:val="center"/>
              <w:textAlignment w:val="auto"/>
              <w:rPr>
                <w:rFonts w:ascii="宋体" w:hAnsi="宋体" w:eastAsia="宋体" w:cs="宋体"/>
                <w:b/>
                <w:sz w:val="24"/>
                <w:szCs w:val="24"/>
                <w:highlight w:val="none"/>
              </w:rPr>
            </w:pPr>
            <w:r>
              <w:rPr>
                <w:rFonts w:hint="eastAsia" w:ascii="宋体" w:hAnsi="宋体" w:eastAsia="宋体" w:cs="宋体"/>
                <w:b/>
                <w:sz w:val="24"/>
                <w:szCs w:val="24"/>
                <w:highlight w:val="none"/>
              </w:rPr>
              <w:t>不通过原因</w:t>
            </w:r>
          </w:p>
        </w:tc>
      </w:tr>
      <w:tr w14:paraId="7DE09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1" w:type="dxa"/>
            <w:vAlign w:val="center"/>
          </w:tcPr>
          <w:p w14:paraId="24F172DC">
            <w:pPr>
              <w:pageBreakBefore w:val="0"/>
              <w:kinsoku/>
              <w:overflowPunct/>
              <w:topLinePunct w:val="0"/>
              <w:autoSpaceDE/>
              <w:autoSpaceDN/>
              <w:bidi w:val="0"/>
              <w:spacing w:line="560" w:lineRule="exact"/>
              <w:jc w:val="center"/>
              <w:textAlignment w:val="auto"/>
              <w:rPr>
                <w:rFonts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2152" w:type="dxa"/>
            <w:vAlign w:val="center"/>
          </w:tcPr>
          <w:p w14:paraId="32B960BC">
            <w:pPr>
              <w:pageBreakBefore w:val="0"/>
              <w:kinsoku/>
              <w:overflowPunct/>
              <w:topLinePunct w:val="0"/>
              <w:autoSpaceDE/>
              <w:autoSpaceDN/>
              <w:bidi w:val="0"/>
              <w:spacing w:line="560" w:lineRule="exact"/>
              <w:jc w:val="center"/>
              <w:textAlignment w:val="auto"/>
              <w:rPr>
                <w:rFonts w:ascii="宋体" w:hAnsi="宋体" w:eastAsia="宋体" w:cs="宋体"/>
                <w:kern w:val="28"/>
                <w:sz w:val="24"/>
                <w:szCs w:val="24"/>
                <w:highlight w:val="none"/>
              </w:rPr>
            </w:pPr>
            <w:r>
              <w:rPr>
                <w:rFonts w:hint="eastAsia" w:ascii="宋体" w:hAnsi="宋体" w:eastAsia="宋体" w:cs="宋体"/>
                <w:kern w:val="28"/>
                <w:sz w:val="24"/>
                <w:szCs w:val="24"/>
                <w:highlight w:val="none"/>
              </w:rPr>
              <w:t>营业执照等主体资格证明文件</w:t>
            </w:r>
          </w:p>
        </w:tc>
        <w:tc>
          <w:tcPr>
            <w:tcW w:w="5241" w:type="dxa"/>
            <w:vAlign w:val="center"/>
          </w:tcPr>
          <w:p w14:paraId="154F9F8B">
            <w:pPr>
              <w:pageBreakBefore w:val="0"/>
              <w:kinsoku/>
              <w:overflowPunct/>
              <w:topLinePunct w:val="0"/>
              <w:autoSpaceDE/>
              <w:autoSpaceDN/>
              <w:bidi w:val="0"/>
              <w:spacing w:line="560" w:lineRule="exact"/>
              <w:textAlignment w:val="auto"/>
              <w:rPr>
                <w:rFonts w:ascii="宋体" w:hAnsi="宋体" w:eastAsia="宋体" w:cs="宋体"/>
                <w:kern w:val="28"/>
                <w:sz w:val="24"/>
                <w:szCs w:val="24"/>
                <w:highlight w:val="none"/>
              </w:rPr>
            </w:pPr>
            <w:r>
              <w:rPr>
                <w:rFonts w:hint="eastAsia" w:ascii="宋体" w:hAnsi="宋体" w:eastAsia="宋体" w:cs="宋体"/>
                <w:kern w:val="28"/>
                <w:sz w:val="24"/>
                <w:szCs w:val="24"/>
                <w:highlight w:val="none"/>
              </w:rPr>
              <w:t>提供有效存续的企业营业执照（副本）/事业单位法人证书/专业服务机构执业许可证/民办非企业单位登记证书。（复印件加盖供应商公章）</w:t>
            </w:r>
          </w:p>
        </w:tc>
        <w:tc>
          <w:tcPr>
            <w:tcW w:w="917" w:type="dxa"/>
            <w:vAlign w:val="center"/>
          </w:tcPr>
          <w:p w14:paraId="647ABA1A">
            <w:pPr>
              <w:pageBreakBefore w:val="0"/>
              <w:kinsoku/>
              <w:overflowPunct/>
              <w:topLinePunct w:val="0"/>
              <w:autoSpaceDE/>
              <w:autoSpaceDN/>
              <w:bidi w:val="0"/>
              <w:spacing w:before="40" w:after="40" w:line="560" w:lineRule="exact"/>
              <w:textAlignment w:val="auto"/>
              <w:rPr>
                <w:rFonts w:ascii="仿宋" w:hAnsi="仿宋" w:eastAsia="仿宋" w:cs="华文仿宋"/>
                <w:b/>
                <w:sz w:val="24"/>
                <w:szCs w:val="24"/>
                <w:highlight w:val="none"/>
              </w:rPr>
            </w:pPr>
          </w:p>
        </w:tc>
        <w:tc>
          <w:tcPr>
            <w:tcW w:w="1076" w:type="dxa"/>
            <w:vAlign w:val="center"/>
          </w:tcPr>
          <w:p w14:paraId="1C959C5A">
            <w:pPr>
              <w:pageBreakBefore w:val="0"/>
              <w:kinsoku/>
              <w:overflowPunct/>
              <w:topLinePunct w:val="0"/>
              <w:autoSpaceDE/>
              <w:autoSpaceDN/>
              <w:bidi w:val="0"/>
              <w:spacing w:before="40" w:after="40" w:line="560" w:lineRule="exact"/>
              <w:textAlignment w:val="auto"/>
              <w:rPr>
                <w:rFonts w:ascii="仿宋" w:hAnsi="仿宋" w:eastAsia="仿宋" w:cs="华文仿宋"/>
                <w:b/>
                <w:sz w:val="24"/>
                <w:szCs w:val="24"/>
                <w:highlight w:val="none"/>
              </w:rPr>
            </w:pPr>
          </w:p>
        </w:tc>
      </w:tr>
      <w:tr w14:paraId="5FBD2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6" w:hRule="atLeast"/>
          <w:jc w:val="center"/>
        </w:trPr>
        <w:tc>
          <w:tcPr>
            <w:tcW w:w="831" w:type="dxa"/>
            <w:vAlign w:val="center"/>
          </w:tcPr>
          <w:p w14:paraId="58D557BD">
            <w:pPr>
              <w:pageBreakBefore w:val="0"/>
              <w:kinsoku/>
              <w:overflowPunct/>
              <w:topLinePunct w:val="0"/>
              <w:autoSpaceDE/>
              <w:autoSpaceDN/>
              <w:bidi w:val="0"/>
              <w:spacing w:line="560" w:lineRule="exact"/>
              <w:jc w:val="center"/>
              <w:textAlignment w:val="auto"/>
              <w:rPr>
                <w:rFonts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2152" w:type="dxa"/>
            <w:vAlign w:val="center"/>
          </w:tcPr>
          <w:p w14:paraId="313BF74B">
            <w:pPr>
              <w:pageBreakBefore w:val="0"/>
              <w:kinsoku/>
              <w:overflowPunct/>
              <w:topLinePunct w:val="0"/>
              <w:autoSpaceDE/>
              <w:autoSpaceDN/>
              <w:bidi w:val="0"/>
              <w:spacing w:line="560" w:lineRule="exact"/>
              <w:jc w:val="center"/>
              <w:textAlignment w:val="auto"/>
              <w:rPr>
                <w:rFonts w:ascii="宋体" w:hAnsi="宋体" w:eastAsia="宋体" w:cs="宋体"/>
                <w:kern w:val="28"/>
                <w:sz w:val="24"/>
                <w:szCs w:val="24"/>
                <w:highlight w:val="none"/>
              </w:rPr>
            </w:pPr>
            <w:r>
              <w:rPr>
                <w:rFonts w:hint="eastAsia" w:ascii="宋体" w:hAnsi="宋体" w:eastAsia="宋体" w:cs="宋体"/>
                <w:kern w:val="28"/>
                <w:sz w:val="24"/>
                <w:szCs w:val="24"/>
                <w:highlight w:val="none"/>
              </w:rPr>
              <w:t>财务状况报告</w:t>
            </w:r>
          </w:p>
        </w:tc>
        <w:tc>
          <w:tcPr>
            <w:tcW w:w="5241" w:type="dxa"/>
            <w:vAlign w:val="center"/>
          </w:tcPr>
          <w:p w14:paraId="17C6322C">
            <w:pPr>
              <w:pageBreakBefore w:val="0"/>
              <w:kinsoku/>
              <w:overflowPunct/>
              <w:topLinePunct w:val="0"/>
              <w:autoSpaceDE/>
              <w:autoSpaceDN/>
              <w:bidi w:val="0"/>
              <w:spacing w:line="560" w:lineRule="exact"/>
              <w:textAlignment w:val="auto"/>
              <w:rPr>
                <w:rFonts w:ascii="宋体" w:hAnsi="宋体" w:eastAsia="宋体" w:cs="宋体"/>
                <w:kern w:val="28"/>
                <w:sz w:val="24"/>
                <w:szCs w:val="24"/>
                <w:highlight w:val="none"/>
              </w:rPr>
            </w:pPr>
            <w:r>
              <w:rPr>
                <w:rFonts w:hint="eastAsia" w:ascii="宋体" w:hAnsi="宋体" w:eastAsia="宋体" w:cs="宋体"/>
                <w:sz w:val="24"/>
                <w:szCs w:val="24"/>
                <w:highlight w:val="none"/>
              </w:rPr>
              <w:t>提供</w:t>
            </w:r>
            <w:r>
              <w:rPr>
                <w:rFonts w:hint="eastAsia" w:ascii="宋体" w:hAnsi="宋体" w:eastAsia="宋体" w:cs="宋体"/>
                <w:kern w:val="28"/>
                <w:sz w:val="24"/>
                <w:szCs w:val="24"/>
                <w:highlight w:val="none"/>
                <w:lang w:eastAsia="zh-CN"/>
              </w:rPr>
              <w:t>2024年度或2023年度</w:t>
            </w:r>
            <w:r>
              <w:rPr>
                <w:rFonts w:hint="eastAsia" w:ascii="宋体" w:hAnsi="宋体" w:eastAsia="宋体" w:cs="宋体"/>
                <w:kern w:val="28"/>
                <w:sz w:val="24"/>
                <w:szCs w:val="24"/>
                <w:highlight w:val="none"/>
              </w:rPr>
              <w:t>经审计的财务报告（包括审计报告、资产负债表、利润表、现金流量表、所有者权益变动表及其附注，成立时间至提交响应文件截止时间不足一年的可提供成立后任意时段的资产负债表），或其开标前三个月内基本存款账户开户银行出具的资信证明，或信用担保机构出具的投标担保函。（以上三种形式的资料提供任何一种即可）</w:t>
            </w:r>
          </w:p>
        </w:tc>
        <w:tc>
          <w:tcPr>
            <w:tcW w:w="917" w:type="dxa"/>
            <w:vAlign w:val="center"/>
          </w:tcPr>
          <w:p w14:paraId="112609AB">
            <w:pPr>
              <w:pageBreakBefore w:val="0"/>
              <w:kinsoku/>
              <w:overflowPunct/>
              <w:topLinePunct w:val="0"/>
              <w:autoSpaceDE/>
              <w:autoSpaceDN/>
              <w:bidi w:val="0"/>
              <w:spacing w:before="40" w:after="40" w:line="560" w:lineRule="exact"/>
              <w:textAlignment w:val="auto"/>
              <w:rPr>
                <w:rFonts w:ascii="仿宋" w:hAnsi="仿宋" w:eastAsia="仿宋" w:cs="华文仿宋"/>
                <w:b/>
                <w:sz w:val="24"/>
                <w:szCs w:val="24"/>
                <w:highlight w:val="none"/>
              </w:rPr>
            </w:pPr>
          </w:p>
        </w:tc>
        <w:tc>
          <w:tcPr>
            <w:tcW w:w="1076" w:type="dxa"/>
            <w:vAlign w:val="center"/>
          </w:tcPr>
          <w:p w14:paraId="6617F20B">
            <w:pPr>
              <w:pageBreakBefore w:val="0"/>
              <w:kinsoku/>
              <w:overflowPunct/>
              <w:topLinePunct w:val="0"/>
              <w:autoSpaceDE/>
              <w:autoSpaceDN/>
              <w:bidi w:val="0"/>
              <w:spacing w:before="40" w:after="40" w:line="560" w:lineRule="exact"/>
              <w:textAlignment w:val="auto"/>
              <w:rPr>
                <w:rFonts w:ascii="仿宋" w:hAnsi="仿宋" w:eastAsia="仿宋" w:cs="华文仿宋"/>
                <w:b/>
                <w:sz w:val="24"/>
                <w:szCs w:val="24"/>
                <w:highlight w:val="none"/>
              </w:rPr>
            </w:pPr>
          </w:p>
        </w:tc>
      </w:tr>
      <w:tr w14:paraId="5811B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2" w:hRule="atLeast"/>
          <w:jc w:val="center"/>
        </w:trPr>
        <w:tc>
          <w:tcPr>
            <w:tcW w:w="831" w:type="dxa"/>
            <w:vAlign w:val="center"/>
          </w:tcPr>
          <w:p w14:paraId="2EA582C6">
            <w:pPr>
              <w:pageBreakBefore w:val="0"/>
              <w:kinsoku/>
              <w:overflowPunct/>
              <w:topLinePunct w:val="0"/>
              <w:autoSpaceDE/>
              <w:autoSpaceDN/>
              <w:bidi w:val="0"/>
              <w:spacing w:line="560" w:lineRule="exact"/>
              <w:jc w:val="center"/>
              <w:textAlignment w:val="auto"/>
              <w:rPr>
                <w:rFonts w:ascii="宋体" w:hAnsi="宋体" w:eastAsia="宋体" w:cs="宋体"/>
                <w:bCs/>
                <w:sz w:val="24"/>
                <w:szCs w:val="24"/>
                <w:highlight w:val="none"/>
              </w:rPr>
            </w:pPr>
            <w:r>
              <w:rPr>
                <w:rFonts w:hint="eastAsia" w:ascii="宋体" w:hAnsi="宋体" w:eastAsia="宋体" w:cs="宋体"/>
                <w:bCs/>
                <w:sz w:val="24"/>
                <w:szCs w:val="24"/>
                <w:highlight w:val="none"/>
              </w:rPr>
              <w:t>3</w:t>
            </w:r>
          </w:p>
        </w:tc>
        <w:tc>
          <w:tcPr>
            <w:tcW w:w="2152" w:type="dxa"/>
            <w:vAlign w:val="center"/>
          </w:tcPr>
          <w:p w14:paraId="05FB55C8">
            <w:pPr>
              <w:pageBreakBefore w:val="0"/>
              <w:kinsoku/>
              <w:overflowPunct/>
              <w:topLinePunct w:val="0"/>
              <w:autoSpaceDE/>
              <w:autoSpaceDN/>
              <w:bidi w:val="0"/>
              <w:spacing w:line="560" w:lineRule="exact"/>
              <w:jc w:val="center"/>
              <w:textAlignment w:val="auto"/>
              <w:rPr>
                <w:rFonts w:ascii="宋体" w:hAnsi="宋体" w:eastAsia="宋体" w:cs="宋体"/>
                <w:kern w:val="28"/>
                <w:sz w:val="24"/>
                <w:szCs w:val="24"/>
                <w:highlight w:val="none"/>
              </w:rPr>
            </w:pPr>
            <w:r>
              <w:rPr>
                <w:rFonts w:hint="eastAsia" w:ascii="宋体" w:hAnsi="宋体" w:eastAsia="宋体" w:cs="宋体"/>
                <w:kern w:val="28"/>
                <w:sz w:val="24"/>
                <w:szCs w:val="24"/>
                <w:highlight w:val="none"/>
              </w:rPr>
              <w:t>社保缴纳证明</w:t>
            </w:r>
          </w:p>
        </w:tc>
        <w:tc>
          <w:tcPr>
            <w:tcW w:w="5241" w:type="dxa"/>
            <w:vAlign w:val="center"/>
          </w:tcPr>
          <w:p w14:paraId="3D723049">
            <w:pPr>
              <w:pageBreakBefore w:val="0"/>
              <w:kinsoku/>
              <w:overflowPunct/>
              <w:topLinePunct w:val="0"/>
              <w:autoSpaceDE/>
              <w:autoSpaceDN/>
              <w:bidi w:val="0"/>
              <w:spacing w:line="560" w:lineRule="exact"/>
              <w:textAlignment w:val="auto"/>
              <w:rPr>
                <w:rFonts w:ascii="宋体" w:hAnsi="宋体" w:eastAsia="宋体" w:cs="宋体"/>
                <w:kern w:val="28"/>
                <w:sz w:val="24"/>
                <w:szCs w:val="24"/>
                <w:highlight w:val="none"/>
              </w:rPr>
            </w:pPr>
            <w:r>
              <w:rPr>
                <w:rFonts w:hint="eastAsia" w:ascii="宋体" w:hAnsi="宋体" w:eastAsia="宋体" w:cs="宋体"/>
                <w:kern w:val="28"/>
                <w:sz w:val="24"/>
                <w:szCs w:val="24"/>
                <w:highlight w:val="none"/>
              </w:rPr>
              <w:t>提供已缴存的近一年以来至少一个月的社会保障资金缴存单据或社保机构开具的社会保险参保缴费情况证明。依法不需要缴纳社会保障资金的供应商应提供相关文件证明。</w:t>
            </w:r>
          </w:p>
        </w:tc>
        <w:tc>
          <w:tcPr>
            <w:tcW w:w="917" w:type="dxa"/>
            <w:vAlign w:val="center"/>
          </w:tcPr>
          <w:p w14:paraId="3924F89E">
            <w:pPr>
              <w:pageBreakBefore w:val="0"/>
              <w:kinsoku/>
              <w:overflowPunct/>
              <w:topLinePunct w:val="0"/>
              <w:autoSpaceDE/>
              <w:autoSpaceDN/>
              <w:bidi w:val="0"/>
              <w:spacing w:before="40" w:after="40" w:line="560" w:lineRule="exact"/>
              <w:textAlignment w:val="auto"/>
              <w:rPr>
                <w:rFonts w:ascii="仿宋" w:hAnsi="仿宋" w:eastAsia="仿宋" w:cs="华文仿宋"/>
                <w:b/>
                <w:sz w:val="24"/>
                <w:szCs w:val="24"/>
                <w:highlight w:val="none"/>
              </w:rPr>
            </w:pPr>
          </w:p>
        </w:tc>
        <w:tc>
          <w:tcPr>
            <w:tcW w:w="1076" w:type="dxa"/>
            <w:vAlign w:val="center"/>
          </w:tcPr>
          <w:p w14:paraId="276755FC">
            <w:pPr>
              <w:pageBreakBefore w:val="0"/>
              <w:kinsoku/>
              <w:overflowPunct/>
              <w:topLinePunct w:val="0"/>
              <w:autoSpaceDE/>
              <w:autoSpaceDN/>
              <w:bidi w:val="0"/>
              <w:spacing w:before="40" w:after="40" w:line="560" w:lineRule="exact"/>
              <w:textAlignment w:val="auto"/>
              <w:rPr>
                <w:rFonts w:ascii="仿宋" w:hAnsi="仿宋" w:eastAsia="仿宋" w:cs="华文仿宋"/>
                <w:b/>
                <w:sz w:val="24"/>
                <w:szCs w:val="24"/>
                <w:highlight w:val="none"/>
              </w:rPr>
            </w:pPr>
          </w:p>
        </w:tc>
      </w:tr>
      <w:tr w14:paraId="7B7BC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1" w:type="dxa"/>
            <w:vAlign w:val="center"/>
          </w:tcPr>
          <w:p w14:paraId="35DA8E70">
            <w:pPr>
              <w:pageBreakBefore w:val="0"/>
              <w:kinsoku/>
              <w:overflowPunct/>
              <w:topLinePunct w:val="0"/>
              <w:autoSpaceDE/>
              <w:autoSpaceDN/>
              <w:bidi w:val="0"/>
              <w:spacing w:line="560" w:lineRule="exact"/>
              <w:jc w:val="center"/>
              <w:textAlignment w:val="auto"/>
              <w:rPr>
                <w:rFonts w:ascii="宋体" w:hAnsi="宋体" w:eastAsia="宋体" w:cs="宋体"/>
                <w:bCs/>
                <w:sz w:val="24"/>
                <w:szCs w:val="24"/>
                <w:highlight w:val="none"/>
              </w:rPr>
            </w:pPr>
            <w:r>
              <w:rPr>
                <w:rFonts w:hint="eastAsia" w:ascii="宋体" w:hAnsi="宋体" w:eastAsia="宋体" w:cs="宋体"/>
                <w:bCs/>
                <w:sz w:val="24"/>
                <w:szCs w:val="24"/>
                <w:highlight w:val="none"/>
              </w:rPr>
              <w:t>4</w:t>
            </w:r>
          </w:p>
        </w:tc>
        <w:tc>
          <w:tcPr>
            <w:tcW w:w="2152" w:type="dxa"/>
            <w:vAlign w:val="center"/>
          </w:tcPr>
          <w:p w14:paraId="7570900C">
            <w:pPr>
              <w:pageBreakBefore w:val="0"/>
              <w:kinsoku/>
              <w:overflowPunct/>
              <w:topLinePunct w:val="0"/>
              <w:autoSpaceDE/>
              <w:autoSpaceDN/>
              <w:bidi w:val="0"/>
              <w:spacing w:line="560" w:lineRule="exact"/>
              <w:jc w:val="center"/>
              <w:textAlignment w:val="auto"/>
              <w:rPr>
                <w:rFonts w:ascii="宋体" w:hAnsi="宋体" w:eastAsia="宋体" w:cs="宋体"/>
                <w:kern w:val="28"/>
                <w:sz w:val="24"/>
                <w:szCs w:val="24"/>
                <w:highlight w:val="none"/>
              </w:rPr>
            </w:pPr>
            <w:r>
              <w:rPr>
                <w:rFonts w:hint="eastAsia" w:ascii="宋体" w:hAnsi="宋体" w:eastAsia="宋体" w:cs="宋体"/>
                <w:kern w:val="28"/>
                <w:sz w:val="24"/>
                <w:szCs w:val="24"/>
                <w:highlight w:val="none"/>
              </w:rPr>
              <w:t>税收缴纳证明</w:t>
            </w:r>
          </w:p>
        </w:tc>
        <w:tc>
          <w:tcPr>
            <w:tcW w:w="5241" w:type="dxa"/>
            <w:vAlign w:val="center"/>
          </w:tcPr>
          <w:p w14:paraId="7EAFE050">
            <w:pPr>
              <w:pageBreakBefore w:val="0"/>
              <w:kinsoku/>
              <w:overflowPunct/>
              <w:topLinePunct w:val="0"/>
              <w:autoSpaceDE/>
              <w:autoSpaceDN/>
              <w:bidi w:val="0"/>
              <w:spacing w:line="560" w:lineRule="exact"/>
              <w:textAlignment w:val="auto"/>
              <w:rPr>
                <w:rFonts w:ascii="宋体" w:hAnsi="宋体" w:eastAsia="宋体" w:cs="宋体"/>
                <w:kern w:val="28"/>
                <w:sz w:val="24"/>
                <w:szCs w:val="24"/>
                <w:highlight w:val="none"/>
              </w:rPr>
            </w:pPr>
            <w:r>
              <w:rPr>
                <w:rFonts w:hint="eastAsia" w:ascii="宋体" w:hAnsi="宋体" w:eastAsia="宋体" w:cs="宋体"/>
                <w:kern w:val="28"/>
                <w:sz w:val="24"/>
                <w:szCs w:val="24"/>
                <w:highlight w:val="none"/>
              </w:rPr>
              <w:t>提供已缴纳近一年以来至少一个月的纳税证明或完税证明（提供增值税、企业所得税至少一种），纳税证明或完税证明上应有代收机构或税务机关的公章或业务专用章。依法免税的供应商应提供相关文件证明。</w:t>
            </w:r>
          </w:p>
        </w:tc>
        <w:tc>
          <w:tcPr>
            <w:tcW w:w="917" w:type="dxa"/>
            <w:vAlign w:val="center"/>
          </w:tcPr>
          <w:p w14:paraId="791D4D70">
            <w:pPr>
              <w:pageBreakBefore w:val="0"/>
              <w:kinsoku/>
              <w:overflowPunct/>
              <w:topLinePunct w:val="0"/>
              <w:autoSpaceDE/>
              <w:autoSpaceDN/>
              <w:bidi w:val="0"/>
              <w:spacing w:before="40" w:after="40" w:line="560" w:lineRule="exact"/>
              <w:textAlignment w:val="auto"/>
              <w:rPr>
                <w:rFonts w:ascii="仿宋" w:hAnsi="仿宋" w:eastAsia="仿宋" w:cs="华文仿宋"/>
                <w:b/>
                <w:sz w:val="24"/>
                <w:szCs w:val="24"/>
                <w:highlight w:val="none"/>
              </w:rPr>
            </w:pPr>
          </w:p>
        </w:tc>
        <w:tc>
          <w:tcPr>
            <w:tcW w:w="1076" w:type="dxa"/>
            <w:vAlign w:val="center"/>
          </w:tcPr>
          <w:p w14:paraId="5A934744">
            <w:pPr>
              <w:pageBreakBefore w:val="0"/>
              <w:kinsoku/>
              <w:overflowPunct/>
              <w:topLinePunct w:val="0"/>
              <w:autoSpaceDE/>
              <w:autoSpaceDN/>
              <w:bidi w:val="0"/>
              <w:spacing w:before="40" w:after="40" w:line="560" w:lineRule="exact"/>
              <w:textAlignment w:val="auto"/>
              <w:rPr>
                <w:rFonts w:ascii="仿宋" w:hAnsi="仿宋" w:eastAsia="仿宋" w:cs="华文仿宋"/>
                <w:b/>
                <w:sz w:val="24"/>
                <w:szCs w:val="24"/>
                <w:highlight w:val="none"/>
              </w:rPr>
            </w:pPr>
          </w:p>
        </w:tc>
      </w:tr>
      <w:tr w14:paraId="4FF10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1" w:type="dxa"/>
            <w:vAlign w:val="center"/>
          </w:tcPr>
          <w:p w14:paraId="53956AB8">
            <w:pPr>
              <w:pageBreakBefore w:val="0"/>
              <w:kinsoku/>
              <w:overflowPunct/>
              <w:topLinePunct w:val="0"/>
              <w:autoSpaceDE/>
              <w:autoSpaceDN/>
              <w:bidi w:val="0"/>
              <w:spacing w:line="560" w:lineRule="exact"/>
              <w:jc w:val="center"/>
              <w:textAlignment w:val="auto"/>
              <w:rPr>
                <w:rFonts w:ascii="宋体" w:hAnsi="宋体" w:eastAsia="宋体" w:cs="宋体"/>
                <w:bCs/>
                <w:sz w:val="24"/>
                <w:szCs w:val="24"/>
                <w:highlight w:val="none"/>
              </w:rPr>
            </w:pPr>
            <w:r>
              <w:rPr>
                <w:rFonts w:hint="eastAsia" w:ascii="宋体" w:hAnsi="宋体" w:eastAsia="宋体" w:cs="宋体"/>
                <w:bCs/>
                <w:sz w:val="24"/>
                <w:szCs w:val="24"/>
                <w:highlight w:val="none"/>
              </w:rPr>
              <w:t>5</w:t>
            </w:r>
          </w:p>
        </w:tc>
        <w:tc>
          <w:tcPr>
            <w:tcW w:w="2152" w:type="dxa"/>
            <w:vAlign w:val="center"/>
          </w:tcPr>
          <w:p w14:paraId="64B2823B">
            <w:pPr>
              <w:pageBreakBefore w:val="0"/>
              <w:kinsoku/>
              <w:overflowPunct/>
              <w:topLinePunct w:val="0"/>
              <w:autoSpaceDE/>
              <w:autoSpaceDN/>
              <w:bidi w:val="0"/>
              <w:spacing w:line="560" w:lineRule="exact"/>
              <w:jc w:val="center"/>
              <w:textAlignment w:val="auto"/>
              <w:rPr>
                <w:rFonts w:ascii="宋体" w:hAnsi="宋体" w:eastAsia="宋体" w:cs="宋体"/>
                <w:kern w:val="28"/>
                <w:sz w:val="24"/>
                <w:szCs w:val="24"/>
                <w:highlight w:val="none"/>
              </w:rPr>
            </w:pPr>
            <w:r>
              <w:rPr>
                <w:rFonts w:hint="eastAsia" w:ascii="宋体" w:hAnsi="宋体" w:eastAsia="宋体" w:cs="宋体"/>
                <w:kern w:val="28"/>
                <w:sz w:val="24"/>
                <w:szCs w:val="24"/>
                <w:highlight w:val="none"/>
              </w:rPr>
              <w:t>信用记录</w:t>
            </w:r>
          </w:p>
        </w:tc>
        <w:tc>
          <w:tcPr>
            <w:tcW w:w="5241" w:type="dxa"/>
            <w:vAlign w:val="center"/>
          </w:tcPr>
          <w:p w14:paraId="2DA192BD">
            <w:pPr>
              <w:pageBreakBefore w:val="0"/>
              <w:kinsoku/>
              <w:overflowPunct/>
              <w:topLinePunct w:val="0"/>
              <w:autoSpaceDE/>
              <w:autoSpaceDN/>
              <w:bidi w:val="0"/>
              <w:spacing w:line="560" w:lineRule="exact"/>
              <w:textAlignment w:val="auto"/>
              <w:rPr>
                <w:rFonts w:ascii="宋体" w:hAnsi="宋体" w:eastAsia="宋体" w:cs="宋体"/>
                <w:kern w:val="28"/>
                <w:sz w:val="24"/>
                <w:szCs w:val="24"/>
                <w:highlight w:val="none"/>
              </w:rPr>
            </w:pPr>
            <w:r>
              <w:rPr>
                <w:rFonts w:hint="eastAsia" w:ascii="宋体" w:hAnsi="宋体" w:eastAsia="宋体" w:cs="宋体"/>
                <w:kern w:val="28"/>
                <w:sz w:val="24"/>
                <w:szCs w:val="24"/>
                <w:highlight w:val="none"/>
              </w:rPr>
              <w:t>提供《</w:t>
            </w:r>
            <w:r>
              <w:rPr>
                <w:rFonts w:hint="eastAsia" w:ascii="宋体" w:hAnsi="宋体" w:eastAsia="宋体" w:cs="宋体"/>
                <w:sz w:val="24"/>
                <w:szCs w:val="24"/>
                <w:highlight w:val="none"/>
              </w:rPr>
              <w:t>供应商书面声明函</w:t>
            </w:r>
            <w:r>
              <w:rPr>
                <w:rFonts w:hint="eastAsia" w:ascii="宋体" w:hAnsi="宋体" w:eastAsia="宋体" w:cs="宋体"/>
                <w:kern w:val="28"/>
                <w:sz w:val="24"/>
                <w:szCs w:val="24"/>
                <w:highlight w:val="none"/>
              </w:rPr>
              <w:t>》（按格式填写，提供原件）。经查，供应商未被列入“信用中国”网站(www.creditchina.gov.cn)“记录失信被执行人、重大税收违法案件当事人名单或政府采购严重违法失信行为”记录名单；不处于中国政府采购网(www.ccgp.gov.cn)“政府采购严重违法失信行为信息记录”中的禁止参加政府采购活动期间。</w:t>
            </w:r>
          </w:p>
        </w:tc>
        <w:tc>
          <w:tcPr>
            <w:tcW w:w="917" w:type="dxa"/>
            <w:vAlign w:val="center"/>
          </w:tcPr>
          <w:p w14:paraId="1F818DED">
            <w:pPr>
              <w:pageBreakBefore w:val="0"/>
              <w:kinsoku/>
              <w:overflowPunct/>
              <w:topLinePunct w:val="0"/>
              <w:autoSpaceDE/>
              <w:autoSpaceDN/>
              <w:bidi w:val="0"/>
              <w:spacing w:before="40" w:after="40" w:line="560" w:lineRule="exact"/>
              <w:textAlignment w:val="auto"/>
              <w:rPr>
                <w:rFonts w:ascii="仿宋" w:hAnsi="仿宋" w:eastAsia="仿宋" w:cs="华文仿宋"/>
                <w:b/>
                <w:sz w:val="24"/>
                <w:szCs w:val="24"/>
                <w:highlight w:val="none"/>
              </w:rPr>
            </w:pPr>
          </w:p>
        </w:tc>
        <w:tc>
          <w:tcPr>
            <w:tcW w:w="1076" w:type="dxa"/>
            <w:vAlign w:val="center"/>
          </w:tcPr>
          <w:p w14:paraId="50F7AAC3">
            <w:pPr>
              <w:pageBreakBefore w:val="0"/>
              <w:kinsoku/>
              <w:overflowPunct/>
              <w:topLinePunct w:val="0"/>
              <w:autoSpaceDE/>
              <w:autoSpaceDN/>
              <w:bidi w:val="0"/>
              <w:spacing w:before="40" w:after="40" w:line="560" w:lineRule="exact"/>
              <w:textAlignment w:val="auto"/>
              <w:rPr>
                <w:rFonts w:ascii="仿宋" w:hAnsi="仿宋" w:eastAsia="仿宋" w:cs="华文仿宋"/>
                <w:b/>
                <w:sz w:val="24"/>
                <w:szCs w:val="24"/>
                <w:highlight w:val="none"/>
              </w:rPr>
            </w:pPr>
          </w:p>
        </w:tc>
      </w:tr>
      <w:tr w14:paraId="033DB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1" w:type="dxa"/>
            <w:vAlign w:val="center"/>
          </w:tcPr>
          <w:p w14:paraId="3A55B7FC">
            <w:pPr>
              <w:pageBreakBefore w:val="0"/>
              <w:kinsoku/>
              <w:overflowPunct/>
              <w:topLinePunct w:val="0"/>
              <w:autoSpaceDE/>
              <w:autoSpaceDN/>
              <w:bidi w:val="0"/>
              <w:spacing w:line="560" w:lineRule="exact"/>
              <w:jc w:val="center"/>
              <w:textAlignment w:val="auto"/>
              <w:rPr>
                <w:rFonts w:ascii="宋体" w:hAnsi="宋体" w:eastAsia="宋体" w:cs="宋体"/>
                <w:bCs/>
                <w:sz w:val="24"/>
                <w:szCs w:val="24"/>
                <w:highlight w:val="none"/>
              </w:rPr>
            </w:pPr>
            <w:r>
              <w:rPr>
                <w:rFonts w:hint="eastAsia" w:ascii="宋体" w:hAnsi="宋体" w:eastAsia="宋体" w:cs="宋体"/>
                <w:bCs/>
                <w:sz w:val="24"/>
                <w:szCs w:val="24"/>
                <w:highlight w:val="none"/>
              </w:rPr>
              <w:t>6</w:t>
            </w:r>
          </w:p>
        </w:tc>
        <w:tc>
          <w:tcPr>
            <w:tcW w:w="2152" w:type="dxa"/>
            <w:vAlign w:val="center"/>
          </w:tcPr>
          <w:p w14:paraId="263C9B66">
            <w:pPr>
              <w:pageBreakBefore w:val="0"/>
              <w:kinsoku/>
              <w:overflowPunct/>
              <w:topLinePunct w:val="0"/>
              <w:autoSpaceDE/>
              <w:autoSpaceDN/>
              <w:bidi w:val="0"/>
              <w:spacing w:line="560" w:lineRule="exact"/>
              <w:jc w:val="center"/>
              <w:textAlignment w:val="auto"/>
              <w:rPr>
                <w:rFonts w:ascii="宋体" w:hAnsi="宋体" w:eastAsia="宋体" w:cs="宋体"/>
                <w:kern w:val="28"/>
                <w:sz w:val="24"/>
                <w:szCs w:val="24"/>
                <w:highlight w:val="none"/>
              </w:rPr>
            </w:pPr>
            <w:r>
              <w:rPr>
                <w:rFonts w:hint="eastAsia" w:ascii="宋体" w:hAnsi="宋体" w:eastAsia="宋体" w:cs="宋体"/>
                <w:kern w:val="28"/>
                <w:sz w:val="24"/>
                <w:szCs w:val="24"/>
                <w:highlight w:val="none"/>
              </w:rPr>
              <w:t>法定代表人授权委托书</w:t>
            </w:r>
          </w:p>
        </w:tc>
        <w:tc>
          <w:tcPr>
            <w:tcW w:w="5241" w:type="dxa"/>
            <w:vAlign w:val="center"/>
          </w:tcPr>
          <w:p w14:paraId="41304AE5">
            <w:pPr>
              <w:pageBreakBefore w:val="0"/>
              <w:kinsoku/>
              <w:overflowPunct/>
              <w:topLinePunct w:val="0"/>
              <w:autoSpaceDE/>
              <w:autoSpaceDN/>
              <w:bidi w:val="0"/>
              <w:spacing w:line="560" w:lineRule="exact"/>
              <w:textAlignment w:val="auto"/>
              <w:rPr>
                <w:rFonts w:ascii="宋体" w:hAnsi="宋体" w:eastAsia="宋体" w:cs="宋体"/>
                <w:kern w:val="28"/>
                <w:sz w:val="24"/>
                <w:szCs w:val="24"/>
                <w:highlight w:val="none"/>
              </w:rPr>
            </w:pPr>
            <w:r>
              <w:rPr>
                <w:rFonts w:hint="eastAsia" w:ascii="宋体" w:hAnsi="宋体" w:eastAsia="宋体" w:cs="宋体"/>
                <w:kern w:val="28"/>
                <w:sz w:val="24"/>
                <w:szCs w:val="24"/>
                <w:highlight w:val="none"/>
              </w:rPr>
              <w:t>法定代表人参加投标的，提供本人身份证复印件；法定代表人授权他人参加投标的，提供法定代表人授权委托书（按格式填写，提供原件）。</w:t>
            </w:r>
          </w:p>
        </w:tc>
        <w:tc>
          <w:tcPr>
            <w:tcW w:w="917" w:type="dxa"/>
            <w:vAlign w:val="center"/>
          </w:tcPr>
          <w:p w14:paraId="391CE5AE">
            <w:pPr>
              <w:pageBreakBefore w:val="0"/>
              <w:kinsoku/>
              <w:overflowPunct/>
              <w:topLinePunct w:val="0"/>
              <w:autoSpaceDE/>
              <w:autoSpaceDN/>
              <w:bidi w:val="0"/>
              <w:spacing w:before="40" w:after="40" w:line="560" w:lineRule="exact"/>
              <w:textAlignment w:val="auto"/>
              <w:rPr>
                <w:rFonts w:ascii="仿宋" w:hAnsi="仿宋" w:eastAsia="仿宋" w:cs="华文仿宋"/>
                <w:b/>
                <w:sz w:val="24"/>
                <w:szCs w:val="24"/>
                <w:highlight w:val="none"/>
              </w:rPr>
            </w:pPr>
          </w:p>
        </w:tc>
        <w:tc>
          <w:tcPr>
            <w:tcW w:w="1076" w:type="dxa"/>
            <w:vAlign w:val="center"/>
          </w:tcPr>
          <w:p w14:paraId="4DEB42ED">
            <w:pPr>
              <w:pageBreakBefore w:val="0"/>
              <w:kinsoku/>
              <w:overflowPunct/>
              <w:topLinePunct w:val="0"/>
              <w:autoSpaceDE/>
              <w:autoSpaceDN/>
              <w:bidi w:val="0"/>
              <w:spacing w:before="40" w:after="40" w:line="560" w:lineRule="exact"/>
              <w:textAlignment w:val="auto"/>
              <w:rPr>
                <w:rFonts w:ascii="仿宋" w:hAnsi="仿宋" w:eastAsia="仿宋" w:cs="华文仿宋"/>
                <w:b/>
                <w:sz w:val="24"/>
                <w:szCs w:val="24"/>
                <w:highlight w:val="none"/>
              </w:rPr>
            </w:pPr>
          </w:p>
        </w:tc>
      </w:tr>
      <w:tr w14:paraId="45AA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10217" w:type="dxa"/>
            <w:gridSpan w:val="5"/>
            <w:vAlign w:val="center"/>
          </w:tcPr>
          <w:p w14:paraId="353E569C">
            <w:pPr>
              <w:pageBreakBefore w:val="0"/>
              <w:kinsoku/>
              <w:overflowPunct/>
              <w:topLinePunct w:val="0"/>
              <w:autoSpaceDE/>
              <w:autoSpaceDN/>
              <w:bidi w:val="0"/>
              <w:spacing w:line="560" w:lineRule="exact"/>
              <w:jc w:val="left"/>
              <w:textAlignment w:val="auto"/>
              <w:rPr>
                <w:rFonts w:ascii="仿宋" w:hAnsi="仿宋" w:eastAsia="仿宋" w:cs="华文仿宋"/>
                <w:b/>
                <w:sz w:val="24"/>
                <w:szCs w:val="24"/>
                <w:highlight w:val="none"/>
              </w:rPr>
            </w:pPr>
            <w:r>
              <w:rPr>
                <w:rFonts w:hint="eastAsia" w:ascii="宋体" w:hAnsi="宋体" w:eastAsia="宋体" w:cs="宋体"/>
                <w:b/>
                <w:bCs/>
                <w:kern w:val="0"/>
                <w:sz w:val="24"/>
                <w:szCs w:val="24"/>
                <w:highlight w:val="none"/>
              </w:rPr>
              <w:t>谈判小组成员：（签字或盖章）</w:t>
            </w:r>
          </w:p>
        </w:tc>
      </w:tr>
    </w:tbl>
    <w:p w14:paraId="07DDD3C6">
      <w:pPr>
        <w:pageBreakBefore w:val="0"/>
        <w:kinsoku/>
        <w:overflowPunct/>
        <w:topLinePunct w:val="0"/>
        <w:autoSpaceDE/>
        <w:autoSpaceDN/>
        <w:bidi w:val="0"/>
        <w:spacing w:line="560" w:lineRule="exact"/>
        <w:ind w:firstLine="566" w:firstLineChars="200"/>
        <w:textAlignment w:val="auto"/>
        <w:rPr>
          <w:rFonts w:ascii="仿宋" w:hAnsi="仿宋" w:eastAsia="仿宋"/>
          <w:b/>
          <w:bCs/>
          <w:highlight w:val="none"/>
        </w:rPr>
      </w:pPr>
      <w:r>
        <w:rPr>
          <w:rFonts w:hint="eastAsia" w:ascii="仿宋" w:hAnsi="仿宋" w:eastAsia="仿宋"/>
          <w:b/>
          <w:bCs/>
          <w:highlight w:val="none"/>
        </w:rPr>
        <w:t>出现下列情形的，响应文件将被视为无效：</w:t>
      </w:r>
    </w:p>
    <w:p w14:paraId="71E2E0B7">
      <w:pPr>
        <w:pageBreakBefore w:val="0"/>
        <w:kinsoku/>
        <w:overflowPunct/>
        <w:topLinePunct w:val="0"/>
        <w:autoSpaceDE/>
        <w:autoSpaceDN/>
        <w:bidi w:val="0"/>
        <w:spacing w:line="560" w:lineRule="exact"/>
        <w:ind w:firstLine="566" w:firstLineChars="200"/>
        <w:textAlignment w:val="auto"/>
        <w:rPr>
          <w:rFonts w:ascii="仿宋" w:hAnsi="仿宋" w:eastAsia="仿宋"/>
          <w:highlight w:val="none"/>
        </w:rPr>
      </w:pPr>
      <w:r>
        <w:rPr>
          <w:rFonts w:ascii="仿宋" w:hAnsi="仿宋" w:eastAsia="仿宋"/>
          <w:highlight w:val="none"/>
        </w:rPr>
        <w:t>（</w:t>
      </w:r>
      <w:r>
        <w:rPr>
          <w:rFonts w:hint="eastAsia" w:ascii="仿宋" w:hAnsi="仿宋" w:eastAsia="仿宋"/>
          <w:highlight w:val="none"/>
        </w:rPr>
        <w:t>1</w:t>
      </w:r>
      <w:r>
        <w:rPr>
          <w:rFonts w:ascii="仿宋" w:hAnsi="仿宋" w:eastAsia="仿宋"/>
          <w:highlight w:val="none"/>
        </w:rPr>
        <w:t>）</w:t>
      </w:r>
      <w:r>
        <w:rPr>
          <w:rFonts w:hint="eastAsia" w:ascii="仿宋" w:hAnsi="仿宋" w:eastAsia="仿宋"/>
          <w:highlight w:val="none"/>
        </w:rPr>
        <w:t>不具备谈判文件中规定的资格要求的；</w:t>
      </w:r>
    </w:p>
    <w:p w14:paraId="51CBCCC3">
      <w:pPr>
        <w:pageBreakBefore w:val="0"/>
        <w:kinsoku/>
        <w:overflowPunct/>
        <w:topLinePunct w:val="0"/>
        <w:autoSpaceDE/>
        <w:autoSpaceDN/>
        <w:bidi w:val="0"/>
        <w:spacing w:line="560" w:lineRule="exact"/>
        <w:ind w:firstLine="566" w:firstLineChars="200"/>
        <w:textAlignment w:val="auto"/>
        <w:rPr>
          <w:rFonts w:ascii="仿宋" w:hAnsi="仿宋" w:eastAsia="仿宋"/>
          <w:highlight w:val="none"/>
        </w:rPr>
      </w:pPr>
      <w:r>
        <w:rPr>
          <w:rFonts w:hint="eastAsia" w:ascii="仿宋" w:hAnsi="仿宋" w:eastAsia="仿宋"/>
          <w:highlight w:val="none"/>
        </w:rPr>
        <w:t>（</w:t>
      </w:r>
      <w:r>
        <w:rPr>
          <w:rFonts w:ascii="仿宋" w:hAnsi="仿宋" w:eastAsia="仿宋"/>
          <w:highlight w:val="none"/>
        </w:rPr>
        <w:t>2</w:t>
      </w:r>
      <w:r>
        <w:rPr>
          <w:rFonts w:hint="eastAsia" w:ascii="仿宋" w:hAnsi="仿宋" w:eastAsia="仿宋"/>
          <w:highlight w:val="none"/>
        </w:rPr>
        <w:t>）未按谈判文件要求提供</w:t>
      </w:r>
      <w:r>
        <w:rPr>
          <w:rFonts w:ascii="仿宋" w:hAnsi="仿宋" w:eastAsia="仿宋"/>
          <w:highlight w:val="none"/>
        </w:rPr>
        <w:t>资格</w:t>
      </w:r>
      <w:r>
        <w:rPr>
          <w:rFonts w:hint="eastAsia" w:ascii="仿宋" w:hAnsi="仿宋" w:eastAsia="仿宋"/>
          <w:highlight w:val="none"/>
        </w:rPr>
        <w:t>证明文件原件，或未按谈判文件要求加盖公章的；</w:t>
      </w:r>
    </w:p>
    <w:p w14:paraId="5BE17B90">
      <w:pPr>
        <w:pageBreakBefore w:val="0"/>
        <w:kinsoku/>
        <w:overflowPunct/>
        <w:topLinePunct w:val="0"/>
        <w:autoSpaceDE/>
        <w:autoSpaceDN/>
        <w:bidi w:val="0"/>
        <w:spacing w:line="560" w:lineRule="exact"/>
        <w:ind w:firstLine="566" w:firstLineChars="200"/>
        <w:contextualSpacing/>
        <w:textAlignment w:val="auto"/>
        <w:rPr>
          <w:rFonts w:ascii="仿宋" w:hAnsi="仿宋" w:eastAsia="仿宋"/>
          <w:highlight w:val="none"/>
        </w:rPr>
      </w:pPr>
      <w:r>
        <w:rPr>
          <w:rFonts w:ascii="仿宋" w:hAnsi="仿宋" w:eastAsia="仿宋"/>
          <w:highlight w:val="none"/>
        </w:rPr>
        <w:t>（3）</w:t>
      </w:r>
      <w:r>
        <w:rPr>
          <w:rFonts w:hint="eastAsia" w:ascii="仿宋" w:hAnsi="仿宋" w:eastAsia="仿宋"/>
          <w:highlight w:val="none"/>
        </w:rPr>
        <w:t>谈判小组认为供应商的资格证明文件存在疑点，要求供应商现场提供原件，供应商不能在规定时限内提供原件或其所提供的原件无法证实响应文件所附证明文件有效性的。</w:t>
      </w:r>
    </w:p>
    <w:p w14:paraId="05DF9DFB">
      <w:pPr>
        <w:pageBreakBefore w:val="0"/>
        <w:kinsoku/>
        <w:overflowPunct/>
        <w:topLinePunct w:val="0"/>
        <w:autoSpaceDE/>
        <w:autoSpaceDN/>
        <w:bidi w:val="0"/>
        <w:spacing w:line="560" w:lineRule="exact"/>
        <w:ind w:firstLine="566" w:firstLineChars="200"/>
        <w:contextualSpacing/>
        <w:textAlignment w:val="auto"/>
        <w:rPr>
          <w:rFonts w:ascii="仿宋" w:hAnsi="仿宋" w:eastAsia="仿宋"/>
          <w:b/>
          <w:highlight w:val="none"/>
        </w:rPr>
      </w:pPr>
      <w:r>
        <w:rPr>
          <w:rFonts w:ascii="仿宋" w:hAnsi="仿宋" w:eastAsia="仿宋"/>
          <w:b/>
          <w:highlight w:val="none"/>
        </w:rPr>
        <w:t>2</w:t>
      </w:r>
      <w:r>
        <w:rPr>
          <w:rFonts w:hint="eastAsia" w:ascii="仿宋" w:hAnsi="仿宋" w:eastAsia="仿宋"/>
          <w:b/>
          <w:highlight w:val="none"/>
        </w:rPr>
        <w:t>、响应文件的符合性审查</w:t>
      </w:r>
    </w:p>
    <w:p w14:paraId="73E042C7">
      <w:pPr>
        <w:pageBreakBefore w:val="0"/>
        <w:kinsoku/>
        <w:overflowPunct/>
        <w:topLinePunct w:val="0"/>
        <w:autoSpaceDE/>
        <w:autoSpaceDN/>
        <w:bidi w:val="0"/>
        <w:spacing w:line="560" w:lineRule="exact"/>
        <w:ind w:firstLine="566" w:firstLineChars="200"/>
        <w:contextualSpacing/>
        <w:textAlignment w:val="auto"/>
        <w:rPr>
          <w:rFonts w:ascii="仿宋" w:hAnsi="仿宋" w:eastAsia="仿宋"/>
          <w:highlight w:val="none"/>
        </w:rPr>
      </w:pPr>
      <w:r>
        <w:rPr>
          <w:rFonts w:hint="eastAsia" w:ascii="仿宋" w:hAnsi="仿宋" w:eastAsia="仿宋"/>
          <w:highlight w:val="none"/>
        </w:rPr>
        <w:t>依据谈判文件的规定，对响应文件的有效性、完整性和对谈判文件的响应程度</w:t>
      </w:r>
      <w:r>
        <w:rPr>
          <w:rFonts w:ascii="仿宋" w:hAnsi="仿宋" w:eastAsia="仿宋"/>
          <w:highlight w:val="none"/>
        </w:rPr>
        <w:t>进行审查</w:t>
      </w:r>
      <w:r>
        <w:rPr>
          <w:rFonts w:hint="eastAsia" w:ascii="仿宋" w:hAnsi="仿宋" w:eastAsia="仿宋"/>
          <w:highlight w:val="none"/>
        </w:rPr>
        <w:t>。</w:t>
      </w:r>
    </w:p>
    <w:p w14:paraId="178E6EEB">
      <w:pPr>
        <w:pageBreakBefore w:val="0"/>
        <w:kinsoku/>
        <w:overflowPunct/>
        <w:topLinePunct w:val="0"/>
        <w:autoSpaceDE/>
        <w:autoSpaceDN/>
        <w:bidi w:val="0"/>
        <w:spacing w:line="560" w:lineRule="exact"/>
        <w:ind w:firstLine="566" w:firstLineChars="200"/>
        <w:contextualSpacing/>
        <w:textAlignment w:val="auto"/>
        <w:rPr>
          <w:rFonts w:hint="eastAsia" w:ascii="仿宋" w:hAnsi="仿宋" w:eastAsia="仿宋"/>
          <w:highlight w:val="none"/>
        </w:rPr>
      </w:pPr>
      <w:r>
        <w:rPr>
          <w:rFonts w:hint="eastAsia" w:ascii="仿宋" w:hAnsi="仿宋" w:eastAsia="仿宋"/>
          <w:highlight w:val="none"/>
        </w:rPr>
        <w:t>谈判小组要审查响应文件是否实质上响应了谈判文件的要求。实质上没有响应谈判文件要求的响应文件作无效响应处理，谈判小组要告知有关供应商未通过审查的原因。供应商不得通过修正或撤销不符之处而使其成为实质上响应。</w:t>
      </w:r>
    </w:p>
    <w:p w14:paraId="1193085B">
      <w:pPr>
        <w:pageBreakBefore w:val="0"/>
        <w:kinsoku/>
        <w:overflowPunct/>
        <w:topLinePunct w:val="0"/>
        <w:autoSpaceDE/>
        <w:autoSpaceDN/>
        <w:bidi w:val="0"/>
        <w:spacing w:line="560" w:lineRule="exact"/>
        <w:ind w:firstLine="566" w:firstLineChars="200"/>
        <w:contextualSpacing/>
        <w:jc w:val="center"/>
        <w:textAlignment w:val="auto"/>
        <w:outlineLvl w:val="2"/>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符合性审查表</w:t>
      </w:r>
    </w:p>
    <w:tbl>
      <w:tblPr>
        <w:tblStyle w:val="23"/>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2568"/>
        <w:gridCol w:w="3837"/>
        <w:gridCol w:w="1199"/>
        <w:gridCol w:w="1182"/>
      </w:tblGrid>
      <w:tr w14:paraId="389D8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blHeader/>
          <w:jc w:val="center"/>
        </w:trPr>
        <w:tc>
          <w:tcPr>
            <w:tcW w:w="691" w:type="dxa"/>
            <w:shd w:val="clear" w:color="auto" w:fill="D7D7D7" w:themeFill="background1" w:themeFillShade="D8"/>
            <w:vAlign w:val="center"/>
          </w:tcPr>
          <w:p w14:paraId="3D16DB92">
            <w:pPr>
              <w:pageBreakBefore w:val="0"/>
              <w:kinsoku/>
              <w:overflowPunct/>
              <w:topLinePunct w:val="0"/>
              <w:autoSpaceDE/>
              <w:autoSpaceDN/>
              <w:bidi w:val="0"/>
              <w:spacing w:line="560" w:lineRule="exact"/>
              <w:jc w:val="center"/>
              <w:textAlignment w:val="auto"/>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序号</w:t>
            </w:r>
          </w:p>
        </w:tc>
        <w:tc>
          <w:tcPr>
            <w:tcW w:w="2568" w:type="dxa"/>
            <w:shd w:val="clear" w:color="auto" w:fill="D7D7D7" w:themeFill="background1" w:themeFillShade="D8"/>
            <w:vAlign w:val="center"/>
          </w:tcPr>
          <w:p w14:paraId="42211D8E">
            <w:pPr>
              <w:pageBreakBefore w:val="0"/>
              <w:kinsoku/>
              <w:overflowPunct/>
              <w:topLinePunct w:val="0"/>
              <w:autoSpaceDE/>
              <w:autoSpaceDN/>
              <w:bidi w:val="0"/>
              <w:spacing w:line="560" w:lineRule="exact"/>
              <w:jc w:val="center"/>
              <w:textAlignment w:val="auto"/>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符合性审查项</w:t>
            </w:r>
          </w:p>
        </w:tc>
        <w:tc>
          <w:tcPr>
            <w:tcW w:w="3837" w:type="dxa"/>
            <w:shd w:val="clear" w:color="auto" w:fill="D7D7D7" w:themeFill="background1" w:themeFillShade="D8"/>
            <w:vAlign w:val="center"/>
          </w:tcPr>
          <w:p w14:paraId="420B12CD">
            <w:pPr>
              <w:pageBreakBefore w:val="0"/>
              <w:kinsoku/>
              <w:overflowPunct/>
              <w:topLinePunct w:val="0"/>
              <w:autoSpaceDE/>
              <w:autoSpaceDN/>
              <w:bidi w:val="0"/>
              <w:spacing w:line="560" w:lineRule="exact"/>
              <w:jc w:val="center"/>
              <w:textAlignment w:val="auto"/>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通过条件</w:t>
            </w:r>
          </w:p>
        </w:tc>
        <w:tc>
          <w:tcPr>
            <w:tcW w:w="1199" w:type="dxa"/>
            <w:shd w:val="clear" w:color="auto" w:fill="D7D7D7" w:themeFill="background1" w:themeFillShade="D8"/>
            <w:vAlign w:val="center"/>
          </w:tcPr>
          <w:p w14:paraId="0FEE57C7">
            <w:pPr>
              <w:pageBreakBefore w:val="0"/>
              <w:kinsoku/>
              <w:overflowPunct/>
              <w:topLinePunct w:val="0"/>
              <w:autoSpaceDE/>
              <w:autoSpaceDN/>
              <w:bidi w:val="0"/>
              <w:spacing w:line="560" w:lineRule="exact"/>
              <w:jc w:val="center"/>
              <w:textAlignment w:val="auto"/>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结论</w:t>
            </w:r>
          </w:p>
        </w:tc>
        <w:tc>
          <w:tcPr>
            <w:tcW w:w="1182" w:type="dxa"/>
            <w:shd w:val="clear" w:color="auto" w:fill="D7D7D7" w:themeFill="background1" w:themeFillShade="D8"/>
            <w:vAlign w:val="center"/>
          </w:tcPr>
          <w:p w14:paraId="02D54B25">
            <w:pPr>
              <w:pageBreakBefore w:val="0"/>
              <w:kinsoku/>
              <w:overflowPunct/>
              <w:topLinePunct w:val="0"/>
              <w:autoSpaceDE/>
              <w:autoSpaceDN/>
              <w:bidi w:val="0"/>
              <w:spacing w:line="560" w:lineRule="exact"/>
              <w:jc w:val="center"/>
              <w:textAlignment w:val="auto"/>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未通过原因</w:t>
            </w:r>
          </w:p>
        </w:tc>
      </w:tr>
      <w:tr w14:paraId="2929E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691" w:type="dxa"/>
            <w:vAlign w:val="center"/>
          </w:tcPr>
          <w:p w14:paraId="2060D494">
            <w:pPr>
              <w:pageBreakBefore w:val="0"/>
              <w:kinsoku/>
              <w:overflowPunct/>
              <w:topLinePunct w:val="0"/>
              <w:autoSpaceDE/>
              <w:autoSpaceDN/>
              <w:bidi w:val="0"/>
              <w:spacing w:line="560" w:lineRule="exact"/>
              <w:jc w:val="center"/>
              <w:textAlignment w:val="auto"/>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1</w:t>
            </w:r>
          </w:p>
        </w:tc>
        <w:tc>
          <w:tcPr>
            <w:tcW w:w="2568" w:type="dxa"/>
            <w:vAlign w:val="center"/>
          </w:tcPr>
          <w:p w14:paraId="70ECBEDE">
            <w:pPr>
              <w:pageBreakBefore w:val="0"/>
              <w:kinsoku/>
              <w:overflowPunct/>
              <w:topLinePunct w:val="0"/>
              <w:autoSpaceDE/>
              <w:autoSpaceDN/>
              <w:bidi w:val="0"/>
              <w:spacing w:line="560" w:lineRule="exact"/>
              <w:jc w:val="center"/>
              <w:textAlignment w:val="auto"/>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响应文件正、副本数量</w:t>
            </w:r>
          </w:p>
        </w:tc>
        <w:tc>
          <w:tcPr>
            <w:tcW w:w="3837" w:type="dxa"/>
            <w:vAlign w:val="center"/>
          </w:tcPr>
          <w:p w14:paraId="69C8E6DD">
            <w:pPr>
              <w:pageBreakBefore w:val="0"/>
              <w:kinsoku/>
              <w:overflowPunct/>
              <w:topLinePunct w:val="0"/>
              <w:autoSpaceDE/>
              <w:autoSpaceDN/>
              <w:bidi w:val="0"/>
              <w:spacing w:line="560" w:lineRule="exact"/>
              <w:jc w:val="left"/>
              <w:textAlignment w:val="auto"/>
              <w:rPr>
                <w:rFonts w:ascii="宋体" w:hAnsi="宋体" w:eastAsia="宋体" w:cs="宋体"/>
                <w:bCs/>
                <w:kern w:val="0"/>
                <w:sz w:val="24"/>
                <w:szCs w:val="24"/>
                <w:highlight w:val="none"/>
              </w:rPr>
            </w:pPr>
            <w:r>
              <w:rPr>
                <w:rFonts w:hint="eastAsia" w:ascii="宋体" w:hAnsi="宋体" w:eastAsia="宋体" w:cs="宋体"/>
                <w:sz w:val="24"/>
                <w:szCs w:val="24"/>
                <w:highlight w:val="none"/>
              </w:rPr>
              <w:t>均符合谈判文件要求。</w:t>
            </w:r>
          </w:p>
        </w:tc>
        <w:tc>
          <w:tcPr>
            <w:tcW w:w="1199" w:type="dxa"/>
            <w:vAlign w:val="center"/>
          </w:tcPr>
          <w:p w14:paraId="1083EB72">
            <w:pPr>
              <w:pageBreakBefore w:val="0"/>
              <w:kinsoku/>
              <w:overflowPunct/>
              <w:topLinePunct w:val="0"/>
              <w:autoSpaceDE/>
              <w:autoSpaceDN/>
              <w:bidi w:val="0"/>
              <w:spacing w:line="560" w:lineRule="exact"/>
              <w:jc w:val="center"/>
              <w:textAlignment w:val="auto"/>
              <w:rPr>
                <w:rFonts w:ascii="仿宋" w:hAnsi="仿宋" w:eastAsia="仿宋" w:cs="宋体"/>
                <w:b/>
                <w:bCs/>
                <w:kern w:val="0"/>
                <w:sz w:val="24"/>
                <w:szCs w:val="24"/>
                <w:highlight w:val="none"/>
              </w:rPr>
            </w:pPr>
          </w:p>
        </w:tc>
        <w:tc>
          <w:tcPr>
            <w:tcW w:w="1182" w:type="dxa"/>
            <w:vAlign w:val="center"/>
          </w:tcPr>
          <w:p w14:paraId="5CC2605C">
            <w:pPr>
              <w:pageBreakBefore w:val="0"/>
              <w:kinsoku/>
              <w:overflowPunct/>
              <w:topLinePunct w:val="0"/>
              <w:autoSpaceDE/>
              <w:autoSpaceDN/>
              <w:bidi w:val="0"/>
              <w:spacing w:line="560" w:lineRule="exact"/>
              <w:jc w:val="center"/>
              <w:textAlignment w:val="auto"/>
              <w:rPr>
                <w:rFonts w:ascii="仿宋" w:hAnsi="仿宋" w:eastAsia="仿宋" w:cs="宋体"/>
                <w:b/>
                <w:bCs/>
                <w:kern w:val="0"/>
                <w:sz w:val="24"/>
                <w:szCs w:val="24"/>
                <w:highlight w:val="none"/>
              </w:rPr>
            </w:pPr>
          </w:p>
        </w:tc>
      </w:tr>
      <w:tr w14:paraId="44947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691" w:type="dxa"/>
            <w:vAlign w:val="center"/>
          </w:tcPr>
          <w:p w14:paraId="1A3C8DC8">
            <w:pPr>
              <w:pageBreakBefore w:val="0"/>
              <w:kinsoku/>
              <w:overflowPunct/>
              <w:topLinePunct w:val="0"/>
              <w:autoSpaceDE/>
              <w:autoSpaceDN/>
              <w:bidi w:val="0"/>
              <w:spacing w:line="560" w:lineRule="exact"/>
              <w:jc w:val="center"/>
              <w:textAlignment w:val="auto"/>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2</w:t>
            </w:r>
          </w:p>
        </w:tc>
        <w:tc>
          <w:tcPr>
            <w:tcW w:w="2568" w:type="dxa"/>
            <w:vAlign w:val="center"/>
          </w:tcPr>
          <w:p w14:paraId="1B331224">
            <w:pPr>
              <w:pageBreakBefore w:val="0"/>
              <w:kinsoku/>
              <w:overflowPunct/>
              <w:topLinePunct w:val="0"/>
              <w:autoSpaceDE/>
              <w:autoSpaceDN/>
              <w:bidi w:val="0"/>
              <w:spacing w:line="560" w:lineRule="exact"/>
              <w:jc w:val="center"/>
              <w:textAlignment w:val="auto"/>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响应文件语言、有效期</w:t>
            </w:r>
          </w:p>
        </w:tc>
        <w:tc>
          <w:tcPr>
            <w:tcW w:w="3837" w:type="dxa"/>
            <w:vAlign w:val="center"/>
          </w:tcPr>
          <w:p w14:paraId="0D85B08E">
            <w:pPr>
              <w:pageBreakBefore w:val="0"/>
              <w:kinsoku/>
              <w:overflowPunct/>
              <w:topLinePunct w:val="0"/>
              <w:autoSpaceDE/>
              <w:autoSpaceDN/>
              <w:bidi w:val="0"/>
              <w:spacing w:line="560" w:lineRule="exact"/>
              <w:ind w:left="33"/>
              <w:textAlignment w:val="auto"/>
              <w:rPr>
                <w:rFonts w:ascii="宋体" w:hAnsi="宋体" w:eastAsia="宋体" w:cs="宋体"/>
                <w:sz w:val="24"/>
                <w:szCs w:val="24"/>
                <w:highlight w:val="none"/>
              </w:rPr>
            </w:pPr>
            <w:r>
              <w:rPr>
                <w:rFonts w:hint="eastAsia" w:ascii="宋体" w:hAnsi="宋体" w:eastAsia="宋体" w:cs="宋体"/>
                <w:sz w:val="24"/>
                <w:szCs w:val="24"/>
                <w:highlight w:val="none"/>
              </w:rPr>
              <w:t>响应文件语言、有效期符合谈判文件的要求。</w:t>
            </w:r>
          </w:p>
        </w:tc>
        <w:tc>
          <w:tcPr>
            <w:tcW w:w="1199" w:type="dxa"/>
            <w:vAlign w:val="center"/>
          </w:tcPr>
          <w:p w14:paraId="30997BC4">
            <w:pPr>
              <w:pageBreakBefore w:val="0"/>
              <w:kinsoku/>
              <w:overflowPunct/>
              <w:topLinePunct w:val="0"/>
              <w:autoSpaceDE/>
              <w:autoSpaceDN/>
              <w:bidi w:val="0"/>
              <w:spacing w:line="560" w:lineRule="exact"/>
              <w:jc w:val="center"/>
              <w:textAlignment w:val="auto"/>
              <w:rPr>
                <w:rFonts w:ascii="仿宋" w:hAnsi="仿宋" w:eastAsia="仿宋" w:cs="宋体"/>
                <w:b/>
                <w:bCs/>
                <w:kern w:val="0"/>
                <w:sz w:val="24"/>
                <w:szCs w:val="24"/>
                <w:highlight w:val="none"/>
              </w:rPr>
            </w:pPr>
          </w:p>
        </w:tc>
        <w:tc>
          <w:tcPr>
            <w:tcW w:w="1182" w:type="dxa"/>
            <w:vAlign w:val="center"/>
          </w:tcPr>
          <w:p w14:paraId="5F459088">
            <w:pPr>
              <w:pageBreakBefore w:val="0"/>
              <w:kinsoku/>
              <w:overflowPunct/>
              <w:topLinePunct w:val="0"/>
              <w:autoSpaceDE/>
              <w:autoSpaceDN/>
              <w:bidi w:val="0"/>
              <w:spacing w:line="560" w:lineRule="exact"/>
              <w:jc w:val="center"/>
              <w:textAlignment w:val="auto"/>
              <w:rPr>
                <w:rFonts w:ascii="仿宋" w:hAnsi="仿宋" w:eastAsia="仿宋" w:cs="宋体"/>
                <w:b/>
                <w:bCs/>
                <w:kern w:val="0"/>
                <w:sz w:val="24"/>
                <w:szCs w:val="24"/>
                <w:highlight w:val="none"/>
              </w:rPr>
            </w:pPr>
          </w:p>
        </w:tc>
      </w:tr>
      <w:tr w14:paraId="64E34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jc w:val="center"/>
        </w:trPr>
        <w:tc>
          <w:tcPr>
            <w:tcW w:w="691" w:type="dxa"/>
            <w:vAlign w:val="center"/>
          </w:tcPr>
          <w:p w14:paraId="65610DF0">
            <w:pPr>
              <w:pageBreakBefore w:val="0"/>
              <w:kinsoku/>
              <w:overflowPunct/>
              <w:topLinePunct w:val="0"/>
              <w:autoSpaceDE/>
              <w:autoSpaceDN/>
              <w:bidi w:val="0"/>
              <w:spacing w:line="560" w:lineRule="exact"/>
              <w:jc w:val="center"/>
              <w:textAlignment w:val="auto"/>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3</w:t>
            </w:r>
          </w:p>
        </w:tc>
        <w:tc>
          <w:tcPr>
            <w:tcW w:w="2568" w:type="dxa"/>
            <w:vAlign w:val="center"/>
          </w:tcPr>
          <w:p w14:paraId="21BD0AAA">
            <w:pPr>
              <w:pageBreakBefore w:val="0"/>
              <w:kinsoku/>
              <w:overflowPunct/>
              <w:topLinePunct w:val="0"/>
              <w:autoSpaceDE/>
              <w:autoSpaceDN/>
              <w:bidi w:val="0"/>
              <w:spacing w:line="560" w:lineRule="exact"/>
              <w:jc w:val="center"/>
              <w:textAlignment w:val="auto"/>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响应文件封面、响应函、法定代表人授权委托书三处的项目名称、项目编号</w:t>
            </w:r>
          </w:p>
        </w:tc>
        <w:tc>
          <w:tcPr>
            <w:tcW w:w="3837" w:type="dxa"/>
            <w:vAlign w:val="center"/>
          </w:tcPr>
          <w:p w14:paraId="7E06001C">
            <w:pPr>
              <w:pageBreakBefore w:val="0"/>
              <w:kinsoku/>
              <w:overflowPunct/>
              <w:topLinePunct w:val="0"/>
              <w:autoSpaceDE/>
              <w:autoSpaceDN/>
              <w:bidi w:val="0"/>
              <w:spacing w:line="560" w:lineRule="exact"/>
              <w:jc w:val="left"/>
              <w:textAlignment w:val="auto"/>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三处均无遗漏，且与所投项目名称、项目编号完全一致。</w:t>
            </w:r>
          </w:p>
        </w:tc>
        <w:tc>
          <w:tcPr>
            <w:tcW w:w="1199" w:type="dxa"/>
            <w:vAlign w:val="center"/>
          </w:tcPr>
          <w:p w14:paraId="0F5046C0">
            <w:pPr>
              <w:pageBreakBefore w:val="0"/>
              <w:kinsoku/>
              <w:overflowPunct/>
              <w:topLinePunct w:val="0"/>
              <w:autoSpaceDE/>
              <w:autoSpaceDN/>
              <w:bidi w:val="0"/>
              <w:spacing w:line="560" w:lineRule="exact"/>
              <w:jc w:val="center"/>
              <w:textAlignment w:val="auto"/>
              <w:rPr>
                <w:rFonts w:ascii="仿宋" w:hAnsi="仿宋" w:eastAsia="仿宋" w:cs="宋体"/>
                <w:b/>
                <w:bCs/>
                <w:kern w:val="0"/>
                <w:sz w:val="24"/>
                <w:szCs w:val="24"/>
                <w:highlight w:val="none"/>
              </w:rPr>
            </w:pPr>
          </w:p>
        </w:tc>
        <w:tc>
          <w:tcPr>
            <w:tcW w:w="1182" w:type="dxa"/>
            <w:vAlign w:val="center"/>
          </w:tcPr>
          <w:p w14:paraId="0322F5F1">
            <w:pPr>
              <w:pageBreakBefore w:val="0"/>
              <w:kinsoku/>
              <w:overflowPunct/>
              <w:topLinePunct w:val="0"/>
              <w:autoSpaceDE/>
              <w:autoSpaceDN/>
              <w:bidi w:val="0"/>
              <w:spacing w:line="560" w:lineRule="exact"/>
              <w:jc w:val="center"/>
              <w:textAlignment w:val="auto"/>
              <w:rPr>
                <w:rFonts w:ascii="仿宋" w:hAnsi="仿宋" w:eastAsia="仿宋" w:cs="宋体"/>
                <w:b/>
                <w:bCs/>
                <w:kern w:val="0"/>
                <w:sz w:val="24"/>
                <w:szCs w:val="24"/>
                <w:highlight w:val="none"/>
              </w:rPr>
            </w:pPr>
          </w:p>
        </w:tc>
      </w:tr>
      <w:tr w14:paraId="30E6E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91" w:type="dxa"/>
            <w:vAlign w:val="center"/>
          </w:tcPr>
          <w:p w14:paraId="30C5C93F">
            <w:pPr>
              <w:pageBreakBefore w:val="0"/>
              <w:kinsoku/>
              <w:overflowPunct/>
              <w:topLinePunct w:val="0"/>
              <w:autoSpaceDE/>
              <w:autoSpaceDN/>
              <w:bidi w:val="0"/>
              <w:spacing w:line="560" w:lineRule="exact"/>
              <w:jc w:val="center"/>
              <w:textAlignment w:val="auto"/>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4</w:t>
            </w:r>
          </w:p>
        </w:tc>
        <w:tc>
          <w:tcPr>
            <w:tcW w:w="2568" w:type="dxa"/>
            <w:vAlign w:val="center"/>
          </w:tcPr>
          <w:p w14:paraId="0FB5FA11">
            <w:pPr>
              <w:pageBreakBefore w:val="0"/>
              <w:kinsoku/>
              <w:overflowPunct/>
              <w:topLinePunct w:val="0"/>
              <w:autoSpaceDE/>
              <w:autoSpaceDN/>
              <w:bidi w:val="0"/>
              <w:spacing w:line="560" w:lineRule="exact"/>
              <w:jc w:val="center"/>
              <w:textAlignment w:val="auto"/>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响应文件签署、盖章</w:t>
            </w:r>
          </w:p>
        </w:tc>
        <w:tc>
          <w:tcPr>
            <w:tcW w:w="3837" w:type="dxa"/>
            <w:vAlign w:val="center"/>
          </w:tcPr>
          <w:p w14:paraId="1CE5B1EA">
            <w:pPr>
              <w:pageBreakBefore w:val="0"/>
              <w:kinsoku/>
              <w:overflowPunct/>
              <w:topLinePunct w:val="0"/>
              <w:autoSpaceDE/>
              <w:autoSpaceDN/>
              <w:bidi w:val="0"/>
              <w:spacing w:line="560" w:lineRule="exact"/>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均按谈判文件要求签字、盖章</w:t>
            </w:r>
          </w:p>
        </w:tc>
        <w:tc>
          <w:tcPr>
            <w:tcW w:w="1199" w:type="dxa"/>
            <w:vAlign w:val="center"/>
          </w:tcPr>
          <w:p w14:paraId="50E6DA50">
            <w:pPr>
              <w:pageBreakBefore w:val="0"/>
              <w:kinsoku/>
              <w:overflowPunct/>
              <w:topLinePunct w:val="0"/>
              <w:autoSpaceDE/>
              <w:autoSpaceDN/>
              <w:bidi w:val="0"/>
              <w:spacing w:line="560" w:lineRule="exact"/>
              <w:jc w:val="center"/>
              <w:textAlignment w:val="auto"/>
              <w:rPr>
                <w:rFonts w:ascii="仿宋" w:hAnsi="仿宋" w:eastAsia="仿宋" w:cs="宋体"/>
                <w:b/>
                <w:bCs/>
                <w:kern w:val="0"/>
                <w:sz w:val="24"/>
                <w:szCs w:val="24"/>
                <w:highlight w:val="none"/>
              </w:rPr>
            </w:pPr>
          </w:p>
        </w:tc>
        <w:tc>
          <w:tcPr>
            <w:tcW w:w="1182" w:type="dxa"/>
            <w:vAlign w:val="center"/>
          </w:tcPr>
          <w:p w14:paraId="2E2EA562">
            <w:pPr>
              <w:pageBreakBefore w:val="0"/>
              <w:kinsoku/>
              <w:overflowPunct/>
              <w:topLinePunct w:val="0"/>
              <w:autoSpaceDE/>
              <w:autoSpaceDN/>
              <w:bidi w:val="0"/>
              <w:spacing w:line="560" w:lineRule="exact"/>
              <w:jc w:val="center"/>
              <w:textAlignment w:val="auto"/>
              <w:rPr>
                <w:rFonts w:ascii="仿宋" w:hAnsi="仿宋" w:eastAsia="仿宋" w:cs="宋体"/>
                <w:b/>
                <w:bCs/>
                <w:kern w:val="0"/>
                <w:sz w:val="24"/>
                <w:szCs w:val="24"/>
                <w:highlight w:val="none"/>
              </w:rPr>
            </w:pPr>
          </w:p>
        </w:tc>
      </w:tr>
      <w:tr w14:paraId="7C21F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jc w:val="center"/>
        </w:trPr>
        <w:tc>
          <w:tcPr>
            <w:tcW w:w="691" w:type="dxa"/>
            <w:vAlign w:val="center"/>
          </w:tcPr>
          <w:p w14:paraId="4FDE758B">
            <w:pPr>
              <w:pageBreakBefore w:val="0"/>
              <w:kinsoku/>
              <w:overflowPunct/>
              <w:topLinePunct w:val="0"/>
              <w:autoSpaceDE/>
              <w:autoSpaceDN/>
              <w:bidi w:val="0"/>
              <w:spacing w:line="560" w:lineRule="exact"/>
              <w:jc w:val="center"/>
              <w:textAlignment w:val="auto"/>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5</w:t>
            </w:r>
          </w:p>
        </w:tc>
        <w:tc>
          <w:tcPr>
            <w:tcW w:w="2568" w:type="dxa"/>
            <w:vAlign w:val="center"/>
          </w:tcPr>
          <w:p w14:paraId="2CE56FF0">
            <w:pPr>
              <w:pageBreakBefore w:val="0"/>
              <w:kinsoku/>
              <w:overflowPunct/>
              <w:topLinePunct w:val="0"/>
              <w:autoSpaceDE/>
              <w:autoSpaceDN/>
              <w:bidi w:val="0"/>
              <w:spacing w:line="560" w:lineRule="exact"/>
              <w:jc w:val="center"/>
              <w:textAlignment w:val="auto"/>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第一次谈判报价</w:t>
            </w:r>
          </w:p>
        </w:tc>
        <w:tc>
          <w:tcPr>
            <w:tcW w:w="3837" w:type="dxa"/>
            <w:vAlign w:val="center"/>
          </w:tcPr>
          <w:p w14:paraId="588EACAC">
            <w:pPr>
              <w:pageBreakBefore w:val="0"/>
              <w:kinsoku/>
              <w:overflowPunct/>
              <w:topLinePunct w:val="0"/>
              <w:autoSpaceDE/>
              <w:autoSpaceDN/>
              <w:bidi w:val="0"/>
              <w:spacing w:line="560" w:lineRule="exact"/>
              <w:textAlignment w:val="auto"/>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（1）第一次谈判报价表填写符合要求；</w:t>
            </w:r>
          </w:p>
          <w:p w14:paraId="696D19D9">
            <w:pPr>
              <w:pageBreakBefore w:val="0"/>
              <w:kinsoku/>
              <w:overflowPunct/>
              <w:topLinePunct w:val="0"/>
              <w:autoSpaceDE/>
              <w:autoSpaceDN/>
              <w:bidi w:val="0"/>
              <w:spacing w:line="560" w:lineRule="exact"/>
              <w:textAlignment w:val="auto"/>
              <w:rPr>
                <w:rFonts w:ascii="宋体" w:hAnsi="宋体" w:eastAsia="宋体" w:cs="宋体"/>
                <w:sz w:val="24"/>
                <w:szCs w:val="24"/>
                <w:highlight w:val="none"/>
              </w:rPr>
            </w:pPr>
            <w:r>
              <w:rPr>
                <w:rFonts w:hint="eastAsia" w:ascii="宋体" w:hAnsi="宋体" w:eastAsia="宋体" w:cs="宋体"/>
                <w:bCs/>
                <w:kern w:val="0"/>
                <w:sz w:val="24"/>
                <w:szCs w:val="24"/>
                <w:highlight w:val="none"/>
              </w:rPr>
              <w:t>（2）未超出采购预算或谈判文件规定的最高限价。</w:t>
            </w:r>
          </w:p>
        </w:tc>
        <w:tc>
          <w:tcPr>
            <w:tcW w:w="1199" w:type="dxa"/>
            <w:vAlign w:val="center"/>
          </w:tcPr>
          <w:p w14:paraId="1190FA8D">
            <w:pPr>
              <w:pageBreakBefore w:val="0"/>
              <w:kinsoku/>
              <w:overflowPunct/>
              <w:topLinePunct w:val="0"/>
              <w:autoSpaceDE/>
              <w:autoSpaceDN/>
              <w:bidi w:val="0"/>
              <w:spacing w:line="560" w:lineRule="exact"/>
              <w:jc w:val="center"/>
              <w:textAlignment w:val="auto"/>
              <w:rPr>
                <w:rFonts w:ascii="仿宋" w:hAnsi="仿宋" w:eastAsia="仿宋" w:cs="宋体"/>
                <w:b/>
                <w:bCs/>
                <w:kern w:val="0"/>
                <w:sz w:val="24"/>
                <w:szCs w:val="24"/>
                <w:highlight w:val="none"/>
              </w:rPr>
            </w:pPr>
          </w:p>
        </w:tc>
        <w:tc>
          <w:tcPr>
            <w:tcW w:w="1182" w:type="dxa"/>
            <w:vAlign w:val="center"/>
          </w:tcPr>
          <w:p w14:paraId="0BC27677">
            <w:pPr>
              <w:pageBreakBefore w:val="0"/>
              <w:kinsoku/>
              <w:overflowPunct/>
              <w:topLinePunct w:val="0"/>
              <w:autoSpaceDE/>
              <w:autoSpaceDN/>
              <w:bidi w:val="0"/>
              <w:spacing w:line="560" w:lineRule="exact"/>
              <w:jc w:val="center"/>
              <w:textAlignment w:val="auto"/>
              <w:rPr>
                <w:rFonts w:ascii="仿宋" w:hAnsi="仿宋" w:eastAsia="仿宋" w:cs="宋体"/>
                <w:b/>
                <w:bCs/>
                <w:kern w:val="0"/>
                <w:sz w:val="24"/>
                <w:szCs w:val="24"/>
                <w:highlight w:val="none"/>
              </w:rPr>
            </w:pPr>
          </w:p>
        </w:tc>
      </w:tr>
      <w:tr w14:paraId="75BB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7" w:hRule="atLeast"/>
          <w:jc w:val="center"/>
        </w:trPr>
        <w:tc>
          <w:tcPr>
            <w:tcW w:w="691" w:type="dxa"/>
            <w:vAlign w:val="center"/>
          </w:tcPr>
          <w:p w14:paraId="45436961">
            <w:pPr>
              <w:pageBreakBefore w:val="0"/>
              <w:kinsoku/>
              <w:overflowPunct/>
              <w:topLinePunct w:val="0"/>
              <w:autoSpaceDE/>
              <w:autoSpaceDN/>
              <w:bidi w:val="0"/>
              <w:spacing w:line="560" w:lineRule="exact"/>
              <w:jc w:val="center"/>
              <w:textAlignment w:val="auto"/>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6</w:t>
            </w:r>
          </w:p>
        </w:tc>
        <w:tc>
          <w:tcPr>
            <w:tcW w:w="2568" w:type="dxa"/>
            <w:vAlign w:val="center"/>
          </w:tcPr>
          <w:p w14:paraId="2612E40F">
            <w:pPr>
              <w:pageBreakBefore w:val="0"/>
              <w:kinsoku/>
              <w:overflowPunct/>
              <w:topLinePunct w:val="0"/>
              <w:autoSpaceDE/>
              <w:autoSpaceDN/>
              <w:bidi w:val="0"/>
              <w:spacing w:line="560" w:lineRule="exact"/>
              <w:jc w:val="center"/>
              <w:textAlignment w:val="auto"/>
              <w:rPr>
                <w:rFonts w:ascii="宋体" w:hAnsi="宋体" w:eastAsia="宋体" w:cs="宋体"/>
                <w:bCs/>
                <w:kern w:val="0"/>
                <w:sz w:val="24"/>
                <w:szCs w:val="24"/>
                <w:highlight w:val="none"/>
              </w:rPr>
            </w:pPr>
            <w:r>
              <w:rPr>
                <w:rFonts w:hint="eastAsia" w:ascii="宋体" w:hAnsi="宋体" w:eastAsia="宋体" w:cs="宋体"/>
                <w:sz w:val="24"/>
                <w:szCs w:val="24"/>
                <w:highlight w:val="none"/>
              </w:rPr>
              <w:t>技术服务要求</w:t>
            </w:r>
          </w:p>
        </w:tc>
        <w:tc>
          <w:tcPr>
            <w:tcW w:w="3837" w:type="dxa"/>
            <w:vAlign w:val="center"/>
          </w:tcPr>
          <w:p w14:paraId="5F0A33DF">
            <w:pPr>
              <w:pageBreakBefore w:val="0"/>
              <w:kinsoku/>
              <w:overflowPunct/>
              <w:topLinePunct w:val="0"/>
              <w:autoSpaceDE/>
              <w:autoSpaceDN/>
              <w:bidi w:val="0"/>
              <w:spacing w:line="560" w:lineRule="exact"/>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完全理解并接受对合格供应商、合格的货物、工程或服务要求，根据供应商响应文件《技术服务偏差表》，结合谈判文件第三章的实质性要求没有负偏离。</w:t>
            </w:r>
          </w:p>
        </w:tc>
        <w:tc>
          <w:tcPr>
            <w:tcW w:w="1199" w:type="dxa"/>
            <w:vAlign w:val="center"/>
          </w:tcPr>
          <w:p w14:paraId="65ECF8B8">
            <w:pPr>
              <w:pageBreakBefore w:val="0"/>
              <w:kinsoku/>
              <w:overflowPunct/>
              <w:topLinePunct w:val="0"/>
              <w:autoSpaceDE/>
              <w:autoSpaceDN/>
              <w:bidi w:val="0"/>
              <w:spacing w:line="560" w:lineRule="exact"/>
              <w:jc w:val="center"/>
              <w:textAlignment w:val="auto"/>
              <w:rPr>
                <w:rFonts w:ascii="仿宋" w:hAnsi="仿宋" w:eastAsia="仿宋" w:cs="宋体"/>
                <w:b/>
                <w:bCs/>
                <w:kern w:val="0"/>
                <w:sz w:val="24"/>
                <w:szCs w:val="24"/>
                <w:highlight w:val="none"/>
              </w:rPr>
            </w:pPr>
          </w:p>
        </w:tc>
        <w:tc>
          <w:tcPr>
            <w:tcW w:w="1182" w:type="dxa"/>
            <w:vAlign w:val="center"/>
          </w:tcPr>
          <w:p w14:paraId="00DAA953">
            <w:pPr>
              <w:pageBreakBefore w:val="0"/>
              <w:kinsoku/>
              <w:overflowPunct/>
              <w:topLinePunct w:val="0"/>
              <w:autoSpaceDE/>
              <w:autoSpaceDN/>
              <w:bidi w:val="0"/>
              <w:spacing w:line="560" w:lineRule="exact"/>
              <w:jc w:val="center"/>
              <w:textAlignment w:val="auto"/>
              <w:rPr>
                <w:rFonts w:ascii="仿宋" w:hAnsi="仿宋" w:eastAsia="仿宋" w:cs="宋体"/>
                <w:b/>
                <w:bCs/>
                <w:kern w:val="0"/>
                <w:sz w:val="24"/>
                <w:szCs w:val="24"/>
                <w:highlight w:val="none"/>
              </w:rPr>
            </w:pPr>
          </w:p>
        </w:tc>
      </w:tr>
      <w:tr w14:paraId="14070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691" w:type="dxa"/>
            <w:vAlign w:val="center"/>
          </w:tcPr>
          <w:p w14:paraId="40D4E657">
            <w:pPr>
              <w:pageBreakBefore w:val="0"/>
              <w:kinsoku/>
              <w:overflowPunct/>
              <w:topLinePunct w:val="0"/>
              <w:autoSpaceDE/>
              <w:autoSpaceDN/>
              <w:bidi w:val="0"/>
              <w:spacing w:line="560" w:lineRule="exact"/>
              <w:jc w:val="center"/>
              <w:textAlignment w:val="auto"/>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7</w:t>
            </w:r>
          </w:p>
        </w:tc>
        <w:tc>
          <w:tcPr>
            <w:tcW w:w="2568" w:type="dxa"/>
            <w:vAlign w:val="center"/>
          </w:tcPr>
          <w:p w14:paraId="668C4545">
            <w:pPr>
              <w:pageBreakBefore w:val="0"/>
              <w:kinsoku/>
              <w:overflowPunct/>
              <w:topLinePunct w:val="0"/>
              <w:autoSpaceDE/>
              <w:autoSpaceDN/>
              <w:bidi w:val="0"/>
              <w:spacing w:line="560" w:lineRule="exact"/>
              <w:jc w:val="center"/>
              <w:textAlignment w:val="auto"/>
              <w:rPr>
                <w:rFonts w:ascii="宋体" w:hAnsi="宋体" w:eastAsia="宋体" w:cs="宋体"/>
                <w:bCs/>
                <w:kern w:val="0"/>
                <w:sz w:val="24"/>
                <w:szCs w:val="24"/>
                <w:highlight w:val="none"/>
              </w:rPr>
            </w:pPr>
            <w:r>
              <w:rPr>
                <w:rFonts w:hint="eastAsia" w:ascii="宋体" w:hAnsi="宋体" w:eastAsia="宋体" w:cs="宋体"/>
                <w:sz w:val="24"/>
                <w:szCs w:val="24"/>
                <w:highlight w:val="none"/>
              </w:rPr>
              <w:t>无其他谈判文件或法规明确规定响应无效的事项</w:t>
            </w:r>
          </w:p>
        </w:tc>
        <w:tc>
          <w:tcPr>
            <w:tcW w:w="3837" w:type="dxa"/>
            <w:vAlign w:val="center"/>
          </w:tcPr>
          <w:p w14:paraId="7AD96664">
            <w:pPr>
              <w:pageBreakBefore w:val="0"/>
              <w:kinsoku/>
              <w:overflowPunct/>
              <w:topLinePunct w:val="0"/>
              <w:autoSpaceDE/>
              <w:autoSpaceDN/>
              <w:bidi w:val="0"/>
              <w:spacing w:line="560" w:lineRule="exact"/>
              <w:jc w:val="left"/>
              <w:textAlignment w:val="auto"/>
              <w:rPr>
                <w:rFonts w:ascii="宋体" w:hAnsi="宋体" w:eastAsia="宋体" w:cs="宋体"/>
                <w:bCs/>
                <w:kern w:val="0"/>
                <w:sz w:val="24"/>
                <w:szCs w:val="24"/>
                <w:highlight w:val="none"/>
              </w:rPr>
            </w:pPr>
            <w:r>
              <w:rPr>
                <w:rFonts w:hint="eastAsia" w:ascii="宋体" w:hAnsi="宋体" w:eastAsia="宋体" w:cs="宋体"/>
                <w:sz w:val="24"/>
                <w:szCs w:val="24"/>
                <w:highlight w:val="none"/>
              </w:rPr>
              <w:t>没有不符合谈判文件规定的被视为无效投标响应的其他条款。</w:t>
            </w:r>
          </w:p>
        </w:tc>
        <w:tc>
          <w:tcPr>
            <w:tcW w:w="1199" w:type="dxa"/>
            <w:vAlign w:val="center"/>
          </w:tcPr>
          <w:p w14:paraId="6CE45EBB">
            <w:pPr>
              <w:pageBreakBefore w:val="0"/>
              <w:kinsoku/>
              <w:overflowPunct/>
              <w:topLinePunct w:val="0"/>
              <w:autoSpaceDE/>
              <w:autoSpaceDN/>
              <w:bidi w:val="0"/>
              <w:spacing w:line="560" w:lineRule="exact"/>
              <w:jc w:val="center"/>
              <w:textAlignment w:val="auto"/>
              <w:rPr>
                <w:rFonts w:ascii="仿宋" w:hAnsi="仿宋" w:eastAsia="仿宋" w:cs="宋体"/>
                <w:b/>
                <w:bCs/>
                <w:kern w:val="0"/>
                <w:sz w:val="24"/>
                <w:szCs w:val="24"/>
                <w:highlight w:val="none"/>
              </w:rPr>
            </w:pPr>
          </w:p>
        </w:tc>
        <w:tc>
          <w:tcPr>
            <w:tcW w:w="1182" w:type="dxa"/>
            <w:vAlign w:val="center"/>
          </w:tcPr>
          <w:p w14:paraId="3BDD0AAA">
            <w:pPr>
              <w:pageBreakBefore w:val="0"/>
              <w:kinsoku/>
              <w:overflowPunct/>
              <w:topLinePunct w:val="0"/>
              <w:autoSpaceDE/>
              <w:autoSpaceDN/>
              <w:bidi w:val="0"/>
              <w:spacing w:line="560" w:lineRule="exact"/>
              <w:jc w:val="center"/>
              <w:textAlignment w:val="auto"/>
              <w:rPr>
                <w:rFonts w:ascii="仿宋" w:hAnsi="仿宋" w:eastAsia="仿宋" w:cs="宋体"/>
                <w:b/>
                <w:bCs/>
                <w:kern w:val="0"/>
                <w:sz w:val="24"/>
                <w:szCs w:val="24"/>
                <w:highlight w:val="none"/>
              </w:rPr>
            </w:pPr>
          </w:p>
        </w:tc>
      </w:tr>
      <w:tr w14:paraId="5FAE5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691" w:type="dxa"/>
            <w:vAlign w:val="center"/>
          </w:tcPr>
          <w:p w14:paraId="4D45D897">
            <w:pPr>
              <w:pageBreakBefore w:val="0"/>
              <w:kinsoku/>
              <w:overflowPunct/>
              <w:topLinePunct w:val="0"/>
              <w:autoSpaceDE/>
              <w:autoSpaceDN/>
              <w:bidi w:val="0"/>
              <w:spacing w:line="560" w:lineRule="exact"/>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8</w:t>
            </w:r>
          </w:p>
        </w:tc>
        <w:tc>
          <w:tcPr>
            <w:tcW w:w="2568" w:type="dxa"/>
            <w:vAlign w:val="center"/>
          </w:tcPr>
          <w:p w14:paraId="5CF43BE4">
            <w:pPr>
              <w:pageBreakBefore w:val="0"/>
              <w:kinsoku/>
              <w:overflowPunct/>
              <w:topLinePunct w:val="0"/>
              <w:autoSpaceDE/>
              <w:autoSpaceDN/>
              <w:bidi w:val="0"/>
              <w:spacing w:line="560" w:lineRule="exact"/>
              <w:jc w:val="center"/>
              <w:textAlignment w:val="auto"/>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合同条款响应</w:t>
            </w:r>
          </w:p>
        </w:tc>
        <w:tc>
          <w:tcPr>
            <w:tcW w:w="3837" w:type="dxa"/>
            <w:vAlign w:val="center"/>
          </w:tcPr>
          <w:p w14:paraId="1B05FF83">
            <w:pPr>
              <w:pageBreakBefore w:val="0"/>
              <w:kinsoku/>
              <w:overflowPunct/>
              <w:topLinePunct w:val="0"/>
              <w:autoSpaceDE/>
              <w:autoSpaceDN/>
              <w:bidi w:val="0"/>
              <w:spacing w:line="560" w:lineRule="exact"/>
              <w:textAlignment w:val="auto"/>
              <w:rPr>
                <w:rFonts w:ascii="宋体" w:hAnsi="宋体" w:eastAsia="宋体" w:cs="宋体"/>
                <w:sz w:val="24"/>
                <w:szCs w:val="24"/>
                <w:highlight w:val="none"/>
              </w:rPr>
            </w:pPr>
            <w:r>
              <w:rPr>
                <w:rFonts w:hint="eastAsia" w:ascii="宋体" w:hAnsi="宋体" w:eastAsia="宋体" w:cs="宋体"/>
                <w:sz w:val="24"/>
                <w:szCs w:val="24"/>
                <w:highlight w:val="none"/>
              </w:rPr>
              <w:t>有完全理解并接受谈判文件合同基本条款要求的描述。</w:t>
            </w:r>
          </w:p>
        </w:tc>
        <w:tc>
          <w:tcPr>
            <w:tcW w:w="1199" w:type="dxa"/>
            <w:vAlign w:val="center"/>
          </w:tcPr>
          <w:p w14:paraId="20B333A1">
            <w:pPr>
              <w:pageBreakBefore w:val="0"/>
              <w:kinsoku/>
              <w:overflowPunct/>
              <w:topLinePunct w:val="0"/>
              <w:autoSpaceDE/>
              <w:autoSpaceDN/>
              <w:bidi w:val="0"/>
              <w:spacing w:line="560" w:lineRule="exact"/>
              <w:jc w:val="center"/>
              <w:textAlignment w:val="auto"/>
              <w:rPr>
                <w:rFonts w:ascii="仿宋" w:hAnsi="仿宋" w:eastAsia="仿宋" w:cs="宋体"/>
                <w:b/>
                <w:bCs/>
                <w:kern w:val="0"/>
                <w:sz w:val="24"/>
                <w:szCs w:val="24"/>
                <w:highlight w:val="none"/>
              </w:rPr>
            </w:pPr>
          </w:p>
        </w:tc>
        <w:tc>
          <w:tcPr>
            <w:tcW w:w="1182" w:type="dxa"/>
            <w:vAlign w:val="center"/>
          </w:tcPr>
          <w:p w14:paraId="0DB4CE38">
            <w:pPr>
              <w:pageBreakBefore w:val="0"/>
              <w:kinsoku/>
              <w:overflowPunct/>
              <w:topLinePunct w:val="0"/>
              <w:autoSpaceDE/>
              <w:autoSpaceDN/>
              <w:bidi w:val="0"/>
              <w:spacing w:line="560" w:lineRule="exact"/>
              <w:jc w:val="center"/>
              <w:textAlignment w:val="auto"/>
              <w:rPr>
                <w:rFonts w:ascii="仿宋" w:hAnsi="仿宋" w:eastAsia="仿宋" w:cs="宋体"/>
                <w:b/>
                <w:bCs/>
                <w:kern w:val="0"/>
                <w:sz w:val="24"/>
                <w:szCs w:val="24"/>
                <w:highlight w:val="none"/>
              </w:rPr>
            </w:pPr>
          </w:p>
        </w:tc>
      </w:tr>
      <w:tr w14:paraId="653DD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9477" w:type="dxa"/>
            <w:gridSpan w:val="5"/>
            <w:vAlign w:val="center"/>
          </w:tcPr>
          <w:p w14:paraId="3081DB82">
            <w:pPr>
              <w:pageBreakBefore w:val="0"/>
              <w:kinsoku/>
              <w:overflowPunct/>
              <w:topLinePunct w:val="0"/>
              <w:autoSpaceDE/>
              <w:autoSpaceDN/>
              <w:bidi w:val="0"/>
              <w:spacing w:line="560" w:lineRule="exact"/>
              <w:jc w:val="left"/>
              <w:textAlignment w:val="auto"/>
              <w:rPr>
                <w:rFonts w:ascii="仿宋" w:hAnsi="仿宋" w:eastAsia="仿宋" w:cs="宋体"/>
                <w:b/>
                <w:bCs/>
                <w:kern w:val="0"/>
                <w:sz w:val="24"/>
                <w:szCs w:val="24"/>
                <w:highlight w:val="none"/>
              </w:rPr>
            </w:pPr>
            <w:r>
              <w:rPr>
                <w:rFonts w:hint="eastAsia" w:ascii="宋体" w:hAnsi="宋体" w:eastAsia="宋体" w:cs="宋体"/>
                <w:b/>
                <w:bCs/>
                <w:kern w:val="0"/>
                <w:sz w:val="24"/>
                <w:szCs w:val="24"/>
                <w:highlight w:val="none"/>
              </w:rPr>
              <w:t>谈判小组成员：（签字或盖章）</w:t>
            </w:r>
          </w:p>
        </w:tc>
      </w:tr>
    </w:tbl>
    <w:p w14:paraId="3E539C78">
      <w:pPr>
        <w:pageBreakBefore w:val="0"/>
        <w:kinsoku/>
        <w:overflowPunct/>
        <w:topLinePunct w:val="0"/>
        <w:autoSpaceDE/>
        <w:autoSpaceDN/>
        <w:bidi w:val="0"/>
        <w:spacing w:line="560" w:lineRule="exact"/>
        <w:ind w:firstLine="566" w:firstLineChars="200"/>
        <w:textAlignment w:val="auto"/>
        <w:rPr>
          <w:rFonts w:ascii="仿宋" w:hAnsi="仿宋" w:eastAsia="仿宋"/>
          <w:b/>
          <w:highlight w:val="none"/>
        </w:rPr>
      </w:pPr>
      <w:r>
        <w:rPr>
          <w:rFonts w:hint="eastAsia" w:ascii="仿宋" w:hAnsi="仿宋" w:eastAsia="仿宋"/>
          <w:b/>
          <w:highlight w:val="none"/>
        </w:rPr>
        <w:t>3、响应文件的澄清</w:t>
      </w:r>
    </w:p>
    <w:p w14:paraId="4C10E72F">
      <w:pPr>
        <w:pageBreakBefore w:val="0"/>
        <w:widowControl/>
        <w:kinsoku/>
        <w:wordWrap/>
        <w:overflowPunct/>
        <w:topLinePunct w:val="0"/>
        <w:autoSpaceDE/>
        <w:autoSpaceDN/>
        <w:bidi w:val="0"/>
        <w:adjustRightInd/>
        <w:snapToGrid/>
        <w:spacing w:line="560" w:lineRule="exact"/>
        <w:ind w:firstLine="566" w:firstLineChars="200"/>
        <w:contextualSpacing/>
        <w:textAlignment w:val="auto"/>
        <w:rPr>
          <w:rFonts w:ascii="仿宋" w:hAnsi="仿宋" w:eastAsia="仿宋"/>
          <w:highlight w:val="none"/>
        </w:rPr>
      </w:pPr>
      <w:r>
        <w:rPr>
          <w:rFonts w:hint="eastAsia" w:ascii="仿宋" w:hAnsi="仿宋" w:eastAsia="仿宋"/>
          <w:highlight w:val="none"/>
        </w:rPr>
        <w:t>（</w:t>
      </w:r>
      <w:r>
        <w:rPr>
          <w:rFonts w:ascii="仿宋" w:hAnsi="仿宋" w:eastAsia="仿宋"/>
          <w:highlight w:val="none"/>
        </w:rPr>
        <w:t>1</w:t>
      </w:r>
      <w:r>
        <w:rPr>
          <w:rFonts w:hint="eastAsia" w:ascii="仿宋" w:hAnsi="仿宋" w:eastAsia="仿宋"/>
          <w:highlight w:val="none"/>
        </w:rPr>
        <w:t>）谈判小组在对响应文件的符合性和响应性进行审查时，可以要求供应商对响应文件中含义不明确、同类问题表述不一致或者有明显文字和计算错误的内容等做出必要的澄清、说明或者更正。</w:t>
      </w:r>
    </w:p>
    <w:p w14:paraId="2998171B">
      <w:pPr>
        <w:pageBreakBefore w:val="0"/>
        <w:widowControl/>
        <w:kinsoku/>
        <w:wordWrap/>
        <w:overflowPunct/>
        <w:topLinePunct w:val="0"/>
        <w:autoSpaceDE/>
        <w:autoSpaceDN/>
        <w:bidi w:val="0"/>
        <w:adjustRightInd/>
        <w:snapToGrid/>
        <w:spacing w:line="560" w:lineRule="exact"/>
        <w:ind w:firstLine="566" w:firstLineChars="200"/>
        <w:contextualSpacing/>
        <w:textAlignment w:val="auto"/>
        <w:rPr>
          <w:rFonts w:ascii="仿宋" w:hAnsi="仿宋" w:eastAsia="仿宋"/>
          <w:highlight w:val="none"/>
        </w:rPr>
      </w:pPr>
      <w:r>
        <w:rPr>
          <w:rFonts w:hint="eastAsia" w:ascii="仿宋" w:hAnsi="仿宋" w:eastAsia="仿宋"/>
          <w:highlight w:val="none"/>
        </w:rPr>
        <w:t>（2</w:t>
      </w:r>
      <w:r>
        <w:rPr>
          <w:rFonts w:ascii="仿宋" w:hAnsi="仿宋" w:eastAsia="仿宋"/>
          <w:highlight w:val="none"/>
        </w:rPr>
        <w:t>）</w:t>
      </w:r>
      <w:r>
        <w:rPr>
          <w:rFonts w:hint="eastAsia" w:ascii="仿宋" w:hAnsi="仿宋" w:eastAsia="仿宋"/>
          <w:highlight w:val="none"/>
        </w:rPr>
        <w:t>谈判小组要求供应商澄清、说明或者补正响应文件应以书面形式作出。供应商应当在规定的澄清时限内以书面形式提交，供应商的澄清、说明或者更正应当由法定代表人或其授权代表签字（或盖章），或者加盖公章。</w:t>
      </w:r>
    </w:p>
    <w:p w14:paraId="217AA13F">
      <w:pPr>
        <w:pageBreakBefore w:val="0"/>
        <w:widowControl/>
        <w:kinsoku/>
        <w:wordWrap/>
        <w:overflowPunct/>
        <w:topLinePunct w:val="0"/>
        <w:autoSpaceDE/>
        <w:autoSpaceDN/>
        <w:bidi w:val="0"/>
        <w:adjustRightInd/>
        <w:snapToGrid/>
        <w:spacing w:line="560" w:lineRule="exact"/>
        <w:ind w:firstLine="566" w:firstLineChars="200"/>
        <w:textAlignment w:val="auto"/>
        <w:rPr>
          <w:rFonts w:ascii="仿宋" w:hAnsi="仿宋" w:eastAsia="仿宋"/>
          <w:highlight w:val="none"/>
        </w:rPr>
      </w:pPr>
      <w:r>
        <w:rPr>
          <w:rFonts w:hint="eastAsia" w:ascii="仿宋" w:hAnsi="仿宋" w:eastAsia="仿宋"/>
          <w:highlight w:val="none"/>
        </w:rPr>
        <w:t>（</w:t>
      </w:r>
      <w:r>
        <w:rPr>
          <w:rFonts w:ascii="仿宋" w:hAnsi="仿宋" w:eastAsia="仿宋"/>
          <w:highlight w:val="none"/>
        </w:rPr>
        <w:t>3）</w:t>
      </w:r>
      <w:r>
        <w:rPr>
          <w:rFonts w:hint="eastAsia" w:ascii="仿宋" w:hAnsi="仿宋" w:eastAsia="仿宋"/>
          <w:highlight w:val="none"/>
        </w:rPr>
        <w:t>谈判小组</w:t>
      </w:r>
      <w:r>
        <w:rPr>
          <w:rFonts w:ascii="仿宋" w:hAnsi="仿宋" w:eastAsia="仿宋"/>
          <w:highlight w:val="none"/>
        </w:rPr>
        <w:t>要求</w:t>
      </w:r>
      <w:r>
        <w:rPr>
          <w:rFonts w:hint="eastAsia" w:ascii="仿宋" w:hAnsi="仿宋" w:eastAsia="仿宋"/>
          <w:highlight w:val="none"/>
        </w:rPr>
        <w:t>供应商</w:t>
      </w:r>
      <w:r>
        <w:rPr>
          <w:rFonts w:ascii="仿宋" w:hAnsi="仿宋" w:eastAsia="仿宋"/>
          <w:highlight w:val="none"/>
        </w:rPr>
        <w:t>澄清、说明或者</w:t>
      </w:r>
      <w:r>
        <w:rPr>
          <w:rFonts w:hint="eastAsia" w:ascii="仿宋" w:hAnsi="仿宋" w:eastAsia="仿宋"/>
          <w:highlight w:val="none"/>
        </w:rPr>
        <w:t>补正响应</w:t>
      </w:r>
      <w:r>
        <w:rPr>
          <w:rFonts w:ascii="仿宋" w:hAnsi="仿宋" w:eastAsia="仿宋"/>
          <w:highlight w:val="none"/>
        </w:rPr>
        <w:t>文件应当以书面形式</w:t>
      </w:r>
      <w:r>
        <w:rPr>
          <w:rFonts w:hint="eastAsia" w:ascii="仿宋" w:hAnsi="仿宋" w:eastAsia="仿宋"/>
          <w:highlight w:val="none"/>
        </w:rPr>
        <w:t>做出</w:t>
      </w:r>
      <w:r>
        <w:rPr>
          <w:rFonts w:ascii="仿宋" w:hAnsi="仿宋" w:eastAsia="仿宋"/>
          <w:highlight w:val="none"/>
        </w:rPr>
        <w:t>。</w:t>
      </w:r>
      <w:r>
        <w:rPr>
          <w:rFonts w:hint="eastAsia" w:ascii="仿宋" w:hAnsi="仿宋" w:eastAsia="仿宋"/>
          <w:highlight w:val="none"/>
        </w:rPr>
        <w:t>供应商</w:t>
      </w:r>
      <w:r>
        <w:rPr>
          <w:rFonts w:ascii="仿宋" w:hAnsi="仿宋" w:eastAsia="仿宋"/>
          <w:highlight w:val="none"/>
        </w:rPr>
        <w:t>应当在规定的澄清时限内以书面形式提交，</w:t>
      </w:r>
      <w:r>
        <w:rPr>
          <w:rFonts w:hint="eastAsia" w:ascii="仿宋" w:hAnsi="仿宋" w:eastAsia="仿宋"/>
          <w:highlight w:val="none"/>
        </w:rPr>
        <w:t>供应商</w:t>
      </w:r>
      <w:r>
        <w:rPr>
          <w:rFonts w:ascii="仿宋" w:hAnsi="仿宋" w:eastAsia="仿宋"/>
          <w:highlight w:val="none"/>
        </w:rPr>
        <w:t>的澄清、说明或者更正应当由法定代表人或其授权代表签字（或盖章），或者加盖公章。</w:t>
      </w:r>
    </w:p>
    <w:p w14:paraId="0F7D5D4C">
      <w:pPr>
        <w:pageBreakBefore w:val="0"/>
        <w:widowControl/>
        <w:kinsoku/>
        <w:wordWrap/>
        <w:overflowPunct/>
        <w:topLinePunct w:val="0"/>
        <w:autoSpaceDE/>
        <w:autoSpaceDN/>
        <w:bidi w:val="0"/>
        <w:adjustRightInd/>
        <w:snapToGrid/>
        <w:spacing w:line="560" w:lineRule="exact"/>
        <w:ind w:firstLine="566" w:firstLineChars="200"/>
        <w:contextualSpacing/>
        <w:textAlignment w:val="auto"/>
        <w:rPr>
          <w:rFonts w:ascii="仿宋" w:hAnsi="仿宋" w:eastAsia="仿宋"/>
          <w:highlight w:val="none"/>
        </w:rPr>
      </w:pPr>
      <w:r>
        <w:rPr>
          <w:rFonts w:hint="eastAsia" w:ascii="仿宋" w:hAnsi="仿宋" w:eastAsia="仿宋"/>
          <w:highlight w:val="none"/>
        </w:rPr>
        <w:t>（</w:t>
      </w:r>
      <w:r>
        <w:rPr>
          <w:rFonts w:ascii="仿宋" w:hAnsi="仿宋" w:eastAsia="仿宋"/>
          <w:highlight w:val="none"/>
        </w:rPr>
        <w:t>4）</w:t>
      </w:r>
      <w:r>
        <w:rPr>
          <w:rFonts w:hint="eastAsia" w:ascii="仿宋" w:hAnsi="仿宋" w:eastAsia="仿宋"/>
          <w:highlight w:val="none"/>
        </w:rPr>
        <w:t>供应商的澄清、说明或者补正不得超出响应文件的范围或者改变响应文件的实质性内容。澄清、说明或者补正的内容将作为</w:t>
      </w:r>
      <w:r>
        <w:rPr>
          <w:rFonts w:hint="eastAsia" w:ascii="仿宋" w:hAnsi="仿宋" w:eastAsia="仿宋"/>
          <w:kern w:val="0"/>
          <w:highlight w:val="none"/>
        </w:rPr>
        <w:t>合同</w:t>
      </w:r>
      <w:r>
        <w:rPr>
          <w:rFonts w:hint="eastAsia" w:ascii="仿宋" w:hAnsi="仿宋" w:eastAsia="仿宋"/>
          <w:highlight w:val="none"/>
        </w:rPr>
        <w:t>履行的重要依据。</w:t>
      </w:r>
    </w:p>
    <w:p w14:paraId="4C367CA8">
      <w:pPr>
        <w:pageBreakBefore w:val="0"/>
        <w:widowControl/>
        <w:kinsoku/>
        <w:wordWrap/>
        <w:overflowPunct/>
        <w:topLinePunct w:val="0"/>
        <w:autoSpaceDE/>
        <w:autoSpaceDN/>
        <w:bidi w:val="0"/>
        <w:adjustRightInd/>
        <w:snapToGrid/>
        <w:spacing w:line="560" w:lineRule="exact"/>
        <w:ind w:firstLine="566" w:firstLineChars="200"/>
        <w:contextualSpacing/>
        <w:textAlignment w:val="auto"/>
        <w:rPr>
          <w:rFonts w:ascii="仿宋" w:hAnsi="仿宋" w:eastAsia="仿宋"/>
          <w:b/>
          <w:highlight w:val="none"/>
        </w:rPr>
      </w:pPr>
      <w:r>
        <w:rPr>
          <w:rFonts w:hint="eastAsia" w:ascii="仿宋" w:hAnsi="仿宋" w:eastAsia="仿宋"/>
          <w:b/>
          <w:highlight w:val="none"/>
        </w:rPr>
        <w:t>4、进行协商</w:t>
      </w:r>
    </w:p>
    <w:p w14:paraId="1456C2FE">
      <w:pPr>
        <w:pageBreakBefore w:val="0"/>
        <w:widowControl/>
        <w:kinsoku/>
        <w:wordWrap/>
        <w:overflowPunct/>
        <w:topLinePunct w:val="0"/>
        <w:autoSpaceDE/>
        <w:autoSpaceDN/>
        <w:bidi w:val="0"/>
        <w:adjustRightInd/>
        <w:snapToGrid/>
        <w:spacing w:line="560" w:lineRule="exact"/>
        <w:ind w:firstLine="566" w:firstLineChars="200"/>
        <w:textAlignment w:val="auto"/>
        <w:rPr>
          <w:rFonts w:ascii="仿宋" w:hAnsi="仿宋" w:eastAsia="仿宋"/>
          <w:bCs/>
          <w:highlight w:val="none"/>
        </w:rPr>
      </w:pPr>
      <w:r>
        <w:rPr>
          <w:rFonts w:hint="eastAsia" w:ascii="仿宋" w:hAnsi="仿宋" w:eastAsia="仿宋"/>
          <w:bCs/>
          <w:highlight w:val="none"/>
        </w:rPr>
        <w:t>谈判小组</w:t>
      </w:r>
      <w:r>
        <w:rPr>
          <w:rFonts w:hint="eastAsia" w:ascii="仿宋" w:hAnsi="仿宋" w:eastAsia="仿宋"/>
          <w:highlight w:val="none"/>
        </w:rPr>
        <w:t>与供应商商定合理的成交价格并保证采购项目质量。</w:t>
      </w:r>
    </w:p>
    <w:p w14:paraId="7D798B45">
      <w:pPr>
        <w:pageBreakBefore w:val="0"/>
        <w:widowControl/>
        <w:kinsoku/>
        <w:wordWrap/>
        <w:overflowPunct/>
        <w:topLinePunct w:val="0"/>
        <w:autoSpaceDE/>
        <w:autoSpaceDN/>
        <w:bidi w:val="0"/>
        <w:adjustRightInd/>
        <w:snapToGrid/>
        <w:spacing w:line="560" w:lineRule="exact"/>
        <w:ind w:firstLine="566" w:firstLineChars="200"/>
        <w:textAlignment w:val="auto"/>
        <w:rPr>
          <w:rFonts w:ascii="仿宋" w:hAnsi="仿宋" w:eastAsia="仿宋"/>
          <w:b/>
          <w:highlight w:val="none"/>
        </w:rPr>
      </w:pPr>
      <w:r>
        <w:rPr>
          <w:rFonts w:hint="eastAsia" w:ascii="仿宋" w:hAnsi="仿宋" w:eastAsia="仿宋"/>
          <w:b/>
          <w:highlight w:val="none"/>
        </w:rPr>
        <w:t>5、编写协商情况记录</w:t>
      </w:r>
    </w:p>
    <w:p w14:paraId="159132CC">
      <w:pPr>
        <w:pageBreakBefore w:val="0"/>
        <w:widowControl/>
        <w:kinsoku/>
        <w:wordWrap/>
        <w:overflowPunct/>
        <w:topLinePunct w:val="0"/>
        <w:autoSpaceDE/>
        <w:autoSpaceDN/>
        <w:bidi w:val="0"/>
        <w:adjustRightInd/>
        <w:snapToGrid/>
        <w:spacing w:line="560" w:lineRule="exact"/>
        <w:ind w:firstLine="566" w:firstLineChars="200"/>
        <w:textAlignment w:val="auto"/>
        <w:rPr>
          <w:rFonts w:ascii="仿宋" w:hAnsi="仿宋" w:eastAsia="仿宋"/>
          <w:highlight w:val="none"/>
        </w:rPr>
      </w:pPr>
      <w:r>
        <w:rPr>
          <w:rFonts w:hint="eastAsia" w:ascii="仿宋" w:hAnsi="仿宋" w:eastAsia="仿宋"/>
          <w:highlight w:val="none"/>
        </w:rPr>
        <w:t>谈判小组根据协商情况编制协商情况记录，协商情况记录应当由谈判小组全体人员签字认可。对记录有异议的谈判小组成员，应当签署不同意见并说明理由。谈判小组成员拒绝在记录上签字又不书面说明其不同意见和理由的，视为同意。</w:t>
      </w:r>
    </w:p>
    <w:p w14:paraId="3DB31CE2">
      <w:pPr>
        <w:pageBreakBefore w:val="0"/>
        <w:widowControl/>
        <w:kinsoku/>
        <w:wordWrap/>
        <w:overflowPunct/>
        <w:topLinePunct w:val="0"/>
        <w:autoSpaceDE/>
        <w:autoSpaceDN/>
        <w:bidi w:val="0"/>
        <w:adjustRightInd/>
        <w:snapToGrid/>
        <w:spacing w:line="560" w:lineRule="exact"/>
        <w:ind w:firstLine="566" w:firstLineChars="200"/>
        <w:textAlignment w:val="auto"/>
        <w:rPr>
          <w:rFonts w:ascii="仿宋" w:hAnsi="仿宋" w:eastAsia="仿宋"/>
          <w:b/>
          <w:highlight w:val="none"/>
        </w:rPr>
      </w:pPr>
      <w:r>
        <w:rPr>
          <w:rFonts w:hint="eastAsia" w:ascii="仿宋" w:hAnsi="仿宋" w:eastAsia="仿宋"/>
          <w:b/>
          <w:highlight w:val="none"/>
        </w:rPr>
        <w:t>（五）在评审过程</w:t>
      </w:r>
      <w:r>
        <w:rPr>
          <w:rFonts w:ascii="仿宋" w:hAnsi="仿宋" w:eastAsia="仿宋"/>
          <w:b/>
          <w:highlight w:val="none"/>
        </w:rPr>
        <w:t>中，</w:t>
      </w:r>
      <w:r>
        <w:rPr>
          <w:rFonts w:hint="eastAsia" w:ascii="仿宋" w:hAnsi="仿宋" w:eastAsia="仿宋"/>
          <w:b/>
          <w:highlight w:val="none"/>
        </w:rPr>
        <w:t>出现下列情况之一的，响应文件视为无效：</w:t>
      </w:r>
    </w:p>
    <w:p w14:paraId="1E5DBFA0">
      <w:pPr>
        <w:pageBreakBefore w:val="0"/>
        <w:widowControl/>
        <w:kinsoku/>
        <w:wordWrap/>
        <w:overflowPunct/>
        <w:topLinePunct w:val="0"/>
        <w:autoSpaceDE/>
        <w:autoSpaceDN/>
        <w:bidi w:val="0"/>
        <w:adjustRightInd/>
        <w:snapToGrid/>
        <w:spacing w:line="560" w:lineRule="exact"/>
        <w:ind w:firstLine="566" w:firstLineChars="200"/>
        <w:textAlignment w:val="auto"/>
        <w:rPr>
          <w:rFonts w:ascii="仿宋" w:hAnsi="仿宋" w:eastAsia="仿宋"/>
          <w:highlight w:val="none"/>
        </w:rPr>
      </w:pPr>
      <w:r>
        <w:rPr>
          <w:rFonts w:ascii="仿宋" w:hAnsi="仿宋" w:eastAsia="仿宋"/>
          <w:highlight w:val="none"/>
        </w:rPr>
        <w:t>1</w:t>
      </w:r>
      <w:r>
        <w:rPr>
          <w:rFonts w:hint="eastAsia" w:ascii="仿宋" w:hAnsi="仿宋" w:eastAsia="仿宋"/>
          <w:highlight w:val="none"/>
        </w:rPr>
        <w:t>、未按照谈判文件要求装订、签署、盖章的；</w:t>
      </w:r>
    </w:p>
    <w:p w14:paraId="23F3A302">
      <w:pPr>
        <w:pageBreakBefore w:val="0"/>
        <w:widowControl/>
        <w:kinsoku/>
        <w:wordWrap/>
        <w:overflowPunct/>
        <w:topLinePunct w:val="0"/>
        <w:autoSpaceDE/>
        <w:autoSpaceDN/>
        <w:bidi w:val="0"/>
        <w:adjustRightInd/>
        <w:snapToGrid/>
        <w:spacing w:line="560" w:lineRule="exact"/>
        <w:ind w:firstLine="566" w:firstLineChars="200"/>
        <w:textAlignment w:val="auto"/>
        <w:rPr>
          <w:rFonts w:ascii="仿宋" w:hAnsi="仿宋" w:eastAsia="仿宋"/>
          <w:highlight w:val="none"/>
        </w:rPr>
      </w:pPr>
      <w:r>
        <w:rPr>
          <w:rFonts w:ascii="仿宋" w:hAnsi="仿宋" w:eastAsia="仿宋"/>
          <w:highlight w:val="none"/>
        </w:rPr>
        <w:t>2</w:t>
      </w:r>
      <w:r>
        <w:rPr>
          <w:rFonts w:hint="eastAsia" w:ascii="仿宋" w:hAnsi="仿宋" w:eastAsia="仿宋"/>
          <w:highlight w:val="none"/>
        </w:rPr>
        <w:t>、响应文件中无响应有效期或有效期达不到谈判文件要求的；</w:t>
      </w:r>
    </w:p>
    <w:p w14:paraId="08D84AF4">
      <w:pPr>
        <w:pageBreakBefore w:val="0"/>
        <w:widowControl/>
        <w:kinsoku/>
        <w:wordWrap/>
        <w:overflowPunct/>
        <w:topLinePunct w:val="0"/>
        <w:autoSpaceDE/>
        <w:autoSpaceDN/>
        <w:bidi w:val="0"/>
        <w:adjustRightInd/>
        <w:snapToGrid/>
        <w:spacing w:line="560" w:lineRule="exact"/>
        <w:ind w:firstLine="566" w:firstLineChars="200"/>
        <w:textAlignment w:val="auto"/>
        <w:rPr>
          <w:rFonts w:ascii="仿宋" w:hAnsi="仿宋" w:eastAsia="仿宋"/>
          <w:highlight w:val="none"/>
        </w:rPr>
      </w:pPr>
      <w:r>
        <w:rPr>
          <w:rFonts w:hint="eastAsia" w:ascii="仿宋" w:hAnsi="仿宋" w:eastAsia="仿宋"/>
          <w:highlight w:val="none"/>
        </w:rPr>
        <w:t>3</w:t>
      </w:r>
      <w:r>
        <w:rPr>
          <w:rFonts w:ascii="仿宋" w:hAnsi="仿宋" w:eastAsia="仿宋"/>
          <w:highlight w:val="none"/>
        </w:rPr>
        <w:t>、</w:t>
      </w:r>
      <w:r>
        <w:rPr>
          <w:rFonts w:hint="eastAsia" w:ascii="仿宋" w:hAnsi="仿宋" w:eastAsia="仿宋"/>
          <w:highlight w:val="none"/>
        </w:rPr>
        <w:t>响应文件封面、响应函、法定代表人授权委托书三处的项目名称、项目编号、标段（如有）与所投项目名称、项目编号以及标段不完全一致的；</w:t>
      </w:r>
    </w:p>
    <w:p w14:paraId="5BE5BEB3">
      <w:pPr>
        <w:pageBreakBefore w:val="0"/>
        <w:widowControl/>
        <w:kinsoku/>
        <w:wordWrap/>
        <w:overflowPunct/>
        <w:topLinePunct w:val="0"/>
        <w:autoSpaceDE/>
        <w:autoSpaceDN/>
        <w:bidi w:val="0"/>
        <w:adjustRightInd/>
        <w:snapToGrid/>
        <w:spacing w:line="560" w:lineRule="exact"/>
        <w:ind w:firstLine="566" w:firstLineChars="200"/>
        <w:textAlignment w:val="auto"/>
        <w:rPr>
          <w:rFonts w:ascii="仿宋" w:hAnsi="仿宋" w:eastAsia="仿宋"/>
          <w:highlight w:val="none"/>
        </w:rPr>
      </w:pPr>
      <w:r>
        <w:rPr>
          <w:rFonts w:hint="eastAsia" w:ascii="仿宋" w:hAnsi="仿宋" w:eastAsia="仿宋"/>
          <w:highlight w:val="none"/>
        </w:rPr>
        <w:t>4</w:t>
      </w:r>
      <w:r>
        <w:rPr>
          <w:rFonts w:ascii="仿宋" w:hAnsi="仿宋" w:eastAsia="仿宋"/>
          <w:highlight w:val="none"/>
        </w:rPr>
        <w:t>、</w:t>
      </w:r>
      <w:r>
        <w:rPr>
          <w:rFonts w:hint="eastAsia" w:ascii="仿宋" w:hAnsi="仿宋" w:eastAsia="仿宋"/>
          <w:highlight w:val="none"/>
        </w:rPr>
        <w:t>供应商</w:t>
      </w:r>
      <w:r>
        <w:rPr>
          <w:rFonts w:ascii="仿宋" w:hAnsi="仿宋" w:eastAsia="仿宋"/>
          <w:highlight w:val="none"/>
        </w:rPr>
        <w:t>不具备</w:t>
      </w:r>
      <w:r>
        <w:rPr>
          <w:rFonts w:hint="eastAsia" w:ascii="仿宋" w:hAnsi="仿宋" w:eastAsia="仿宋"/>
          <w:highlight w:val="none"/>
        </w:rPr>
        <w:t>谈判文件</w:t>
      </w:r>
      <w:r>
        <w:rPr>
          <w:rFonts w:ascii="仿宋" w:hAnsi="仿宋" w:eastAsia="仿宋"/>
          <w:highlight w:val="none"/>
        </w:rPr>
        <w:t>中规定的资格条件的。</w:t>
      </w:r>
      <w:r>
        <w:rPr>
          <w:rFonts w:hint="eastAsia" w:ascii="仿宋" w:hAnsi="仿宋" w:eastAsia="仿宋"/>
          <w:highlight w:val="none"/>
        </w:rPr>
        <w:t>如果谈判小组认为供应商的资格证明文件复印件存在疑点，可以要求其现场提供原件进行核查，两者出现不同或在谈判小组规定的时间内未能及时提供原件的，响应文件视为无效；</w:t>
      </w:r>
    </w:p>
    <w:p w14:paraId="5DD5FB9F">
      <w:pPr>
        <w:pageBreakBefore w:val="0"/>
        <w:widowControl/>
        <w:kinsoku/>
        <w:wordWrap/>
        <w:overflowPunct/>
        <w:topLinePunct w:val="0"/>
        <w:autoSpaceDE/>
        <w:autoSpaceDN/>
        <w:bidi w:val="0"/>
        <w:adjustRightInd/>
        <w:snapToGrid/>
        <w:spacing w:line="560" w:lineRule="exact"/>
        <w:ind w:firstLine="566" w:firstLineChars="200"/>
        <w:textAlignment w:val="auto"/>
        <w:rPr>
          <w:rFonts w:ascii="仿宋" w:hAnsi="仿宋" w:eastAsia="仿宋"/>
          <w:highlight w:val="none"/>
        </w:rPr>
      </w:pPr>
      <w:r>
        <w:rPr>
          <w:rFonts w:hint="eastAsia" w:ascii="仿宋" w:hAnsi="仿宋" w:eastAsia="仿宋"/>
          <w:highlight w:val="none"/>
        </w:rPr>
        <w:t>5、</w:t>
      </w:r>
      <w:r>
        <w:rPr>
          <w:rFonts w:ascii="仿宋" w:hAnsi="仿宋" w:eastAsia="仿宋"/>
          <w:highlight w:val="none"/>
        </w:rPr>
        <w:t>政府采购法律法规及</w:t>
      </w:r>
      <w:r>
        <w:rPr>
          <w:rFonts w:hint="eastAsia" w:ascii="仿宋" w:hAnsi="仿宋" w:eastAsia="仿宋"/>
          <w:highlight w:val="none"/>
        </w:rPr>
        <w:t>谈判文件</w:t>
      </w:r>
      <w:r>
        <w:rPr>
          <w:rFonts w:ascii="仿宋" w:hAnsi="仿宋" w:eastAsia="仿宋"/>
          <w:highlight w:val="none"/>
        </w:rPr>
        <w:t>规定的其他情形。</w:t>
      </w:r>
    </w:p>
    <w:p w14:paraId="2857A2AE">
      <w:pPr>
        <w:pStyle w:val="4"/>
        <w:pageBreakBefore w:val="0"/>
        <w:widowControl/>
        <w:kinsoku/>
        <w:wordWrap/>
        <w:overflowPunct/>
        <w:topLinePunct w:val="0"/>
        <w:autoSpaceDE/>
        <w:autoSpaceDN/>
        <w:bidi w:val="0"/>
        <w:adjustRightInd/>
        <w:snapToGrid/>
        <w:spacing w:line="560" w:lineRule="exact"/>
        <w:ind w:firstLine="566" w:firstLineChars="200"/>
        <w:textAlignment w:val="auto"/>
        <w:rPr>
          <w:highlight w:val="none"/>
        </w:rPr>
      </w:pPr>
      <w:bookmarkStart w:id="188" w:name="_Toc30998"/>
      <w:bookmarkStart w:id="189" w:name="_Toc5983"/>
      <w:bookmarkStart w:id="190" w:name="_Toc18292"/>
      <w:bookmarkStart w:id="191" w:name="_Toc7264"/>
      <w:bookmarkStart w:id="192" w:name="_Toc28681249"/>
      <w:bookmarkStart w:id="193" w:name="_Toc16311"/>
      <w:bookmarkStart w:id="194" w:name="_Toc27202"/>
      <w:bookmarkStart w:id="195" w:name="_Toc19747"/>
      <w:bookmarkStart w:id="196" w:name="_Toc25282"/>
      <w:bookmarkStart w:id="197" w:name="_Toc22846"/>
      <w:bookmarkStart w:id="198" w:name="_Toc974"/>
      <w:bookmarkStart w:id="199" w:name="_Toc27546"/>
      <w:bookmarkStart w:id="200" w:name="_Toc32618"/>
      <w:bookmarkStart w:id="201" w:name="_Toc2173"/>
      <w:r>
        <w:rPr>
          <w:highlight w:val="none"/>
        </w:rPr>
        <w:t>十、成交</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5B9DCD7E">
      <w:pPr>
        <w:pageBreakBefore w:val="0"/>
        <w:widowControl/>
        <w:kinsoku/>
        <w:wordWrap/>
        <w:overflowPunct/>
        <w:topLinePunct w:val="0"/>
        <w:autoSpaceDE/>
        <w:autoSpaceDN/>
        <w:bidi w:val="0"/>
        <w:adjustRightInd/>
        <w:snapToGrid/>
        <w:spacing w:line="560" w:lineRule="exact"/>
        <w:ind w:firstLine="566" w:firstLineChars="200"/>
        <w:textAlignment w:val="auto"/>
        <w:rPr>
          <w:rFonts w:ascii="仿宋" w:hAnsi="仿宋" w:eastAsia="仿宋"/>
          <w:highlight w:val="none"/>
        </w:rPr>
      </w:pPr>
      <w:r>
        <w:rPr>
          <w:rFonts w:ascii="仿宋" w:hAnsi="仿宋" w:eastAsia="仿宋"/>
          <w:highlight w:val="none"/>
        </w:rPr>
        <w:t>（一）</w:t>
      </w:r>
      <w:r>
        <w:rPr>
          <w:rFonts w:hint="eastAsia" w:ascii="仿宋" w:hAnsi="仿宋" w:eastAsia="仿宋" w:cs="仿宋"/>
          <w:highlight w:val="none"/>
        </w:rPr>
        <w:t>陕西中发项目管理发展有限公司</w:t>
      </w:r>
      <w:r>
        <w:rPr>
          <w:rFonts w:hint="eastAsia" w:ascii="仿宋" w:hAnsi="仿宋" w:eastAsia="仿宋"/>
          <w:highlight w:val="none"/>
        </w:rPr>
        <w:t>在评审结束后2个工作日内将协商情况记录送采购人确认。</w:t>
      </w:r>
    </w:p>
    <w:p w14:paraId="106468D4">
      <w:pPr>
        <w:pageBreakBefore w:val="0"/>
        <w:widowControl/>
        <w:kinsoku/>
        <w:wordWrap/>
        <w:overflowPunct/>
        <w:topLinePunct w:val="0"/>
        <w:autoSpaceDE/>
        <w:autoSpaceDN/>
        <w:bidi w:val="0"/>
        <w:adjustRightInd/>
        <w:snapToGrid/>
        <w:spacing w:line="560" w:lineRule="exact"/>
        <w:ind w:firstLine="566" w:firstLineChars="200"/>
        <w:textAlignment w:val="auto"/>
        <w:rPr>
          <w:rFonts w:ascii="仿宋" w:hAnsi="仿宋" w:eastAsia="仿宋"/>
          <w:highlight w:val="none"/>
        </w:rPr>
      </w:pPr>
      <w:r>
        <w:rPr>
          <w:rFonts w:ascii="仿宋" w:hAnsi="仿宋" w:eastAsia="仿宋"/>
          <w:highlight w:val="none"/>
        </w:rPr>
        <w:t>（二）</w:t>
      </w:r>
      <w:r>
        <w:rPr>
          <w:rFonts w:hint="eastAsia" w:ascii="仿宋" w:hAnsi="仿宋" w:eastAsia="仿宋"/>
          <w:highlight w:val="none"/>
        </w:rPr>
        <w:t>采购人在收到协商情况记录后5个工作日内，按照协商情况记录确定成交供应商，也可以书面授权谈判小组直接确定成交供应商。</w:t>
      </w:r>
    </w:p>
    <w:p w14:paraId="78B394A5">
      <w:pPr>
        <w:pageBreakBefore w:val="0"/>
        <w:widowControl/>
        <w:kinsoku/>
        <w:wordWrap/>
        <w:overflowPunct/>
        <w:topLinePunct w:val="0"/>
        <w:autoSpaceDE/>
        <w:autoSpaceDN/>
        <w:bidi w:val="0"/>
        <w:adjustRightInd/>
        <w:snapToGrid/>
        <w:spacing w:line="560" w:lineRule="exact"/>
        <w:ind w:firstLine="566" w:firstLineChars="200"/>
        <w:textAlignment w:val="auto"/>
        <w:rPr>
          <w:rFonts w:ascii="仿宋" w:hAnsi="仿宋" w:eastAsia="仿宋"/>
          <w:highlight w:val="none"/>
        </w:rPr>
      </w:pPr>
      <w:r>
        <w:rPr>
          <w:rFonts w:hint="eastAsia" w:ascii="仿宋" w:hAnsi="仿宋" w:eastAsia="仿宋"/>
          <w:highlight w:val="none"/>
        </w:rPr>
        <w:t>（三）在确定成交供应商后，</w:t>
      </w:r>
      <w:r>
        <w:rPr>
          <w:rFonts w:hint="eastAsia" w:ascii="仿宋" w:hAnsi="仿宋" w:eastAsia="仿宋" w:cs="仿宋"/>
          <w:highlight w:val="none"/>
        </w:rPr>
        <w:t>陕西中发项目管理发展有限公司</w:t>
      </w:r>
      <w:r>
        <w:rPr>
          <w:rFonts w:hint="eastAsia" w:ascii="仿宋" w:hAnsi="仿宋" w:eastAsia="仿宋"/>
          <w:highlight w:val="none"/>
        </w:rPr>
        <w:t>在2个工作日内，在【全国公共资源交易平台（陕西省）（http：//www.sxggzyjy.cn/）】上发布成交公告，成交公告期限为1个工作日。同时，</w:t>
      </w:r>
      <w:r>
        <w:rPr>
          <w:rFonts w:hint="eastAsia" w:ascii="仿宋" w:hAnsi="仿宋" w:eastAsia="仿宋" w:cs="仿宋"/>
          <w:highlight w:val="none"/>
        </w:rPr>
        <w:t>陕西中发项目管理发展有限公司</w:t>
      </w:r>
      <w:r>
        <w:rPr>
          <w:rFonts w:hint="eastAsia" w:ascii="仿宋" w:hAnsi="仿宋" w:eastAsia="仿宋"/>
          <w:highlight w:val="none"/>
        </w:rPr>
        <w:t xml:space="preserve">向成交供应商发出“成交通知书”。 </w:t>
      </w:r>
    </w:p>
    <w:p w14:paraId="09EC5C35">
      <w:pPr>
        <w:pStyle w:val="4"/>
        <w:pageBreakBefore w:val="0"/>
        <w:widowControl/>
        <w:kinsoku/>
        <w:wordWrap/>
        <w:overflowPunct/>
        <w:topLinePunct w:val="0"/>
        <w:autoSpaceDE/>
        <w:autoSpaceDN/>
        <w:bidi w:val="0"/>
        <w:adjustRightInd/>
        <w:snapToGrid/>
        <w:spacing w:line="560" w:lineRule="exact"/>
        <w:ind w:firstLine="566" w:firstLineChars="200"/>
        <w:textAlignment w:val="auto"/>
        <w:rPr>
          <w:highlight w:val="none"/>
        </w:rPr>
      </w:pPr>
      <w:bookmarkStart w:id="202" w:name="_Toc872"/>
      <w:bookmarkStart w:id="203" w:name="_Toc9491"/>
      <w:bookmarkStart w:id="204" w:name="_Toc18167"/>
      <w:bookmarkStart w:id="205" w:name="_Toc25836"/>
      <w:bookmarkStart w:id="206" w:name="_Toc13654"/>
      <w:bookmarkStart w:id="207" w:name="_Toc16308"/>
      <w:bookmarkStart w:id="208" w:name="_Toc507"/>
      <w:bookmarkStart w:id="209" w:name="_Toc30666"/>
      <w:bookmarkStart w:id="210" w:name="_Toc25403"/>
      <w:bookmarkStart w:id="211" w:name="_Toc28681250"/>
      <w:bookmarkStart w:id="212" w:name="_Toc8458"/>
      <w:bookmarkStart w:id="213" w:name="_Toc18280"/>
      <w:bookmarkStart w:id="214" w:name="_Toc30613"/>
      <w:bookmarkStart w:id="215" w:name="_Toc4349"/>
      <w:r>
        <w:rPr>
          <w:highlight w:val="none"/>
        </w:rPr>
        <w:t>十一、签订政府采购合同</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4283E3C0">
      <w:pPr>
        <w:pageBreakBefore w:val="0"/>
        <w:widowControl/>
        <w:kinsoku/>
        <w:wordWrap/>
        <w:overflowPunct/>
        <w:topLinePunct w:val="0"/>
        <w:autoSpaceDE/>
        <w:autoSpaceDN/>
        <w:bidi w:val="0"/>
        <w:adjustRightInd/>
        <w:snapToGrid/>
        <w:spacing w:line="560" w:lineRule="exact"/>
        <w:ind w:firstLine="566" w:firstLineChars="200"/>
        <w:textAlignment w:val="auto"/>
        <w:rPr>
          <w:rFonts w:ascii="仿宋" w:hAnsi="仿宋" w:eastAsia="仿宋"/>
          <w:highlight w:val="none"/>
        </w:rPr>
      </w:pPr>
      <w:r>
        <w:rPr>
          <w:rFonts w:hint="eastAsia" w:ascii="仿宋" w:hAnsi="仿宋" w:eastAsia="仿宋"/>
          <w:highlight w:val="none"/>
        </w:rPr>
        <w:t>（</w:t>
      </w:r>
      <w:r>
        <w:rPr>
          <w:rFonts w:ascii="仿宋" w:hAnsi="仿宋" w:eastAsia="仿宋"/>
          <w:highlight w:val="none"/>
        </w:rPr>
        <w:t>一）采购人与成交</w:t>
      </w:r>
      <w:r>
        <w:rPr>
          <w:rFonts w:hint="eastAsia" w:ascii="仿宋" w:hAnsi="仿宋" w:eastAsia="仿宋"/>
          <w:highlight w:val="none"/>
        </w:rPr>
        <w:t>供应商</w:t>
      </w:r>
      <w:r>
        <w:rPr>
          <w:rFonts w:ascii="仿宋" w:hAnsi="仿宋" w:eastAsia="仿宋"/>
          <w:highlight w:val="none"/>
        </w:rPr>
        <w:t>应当在自成交通知书发出之日起</w:t>
      </w:r>
      <w:r>
        <w:rPr>
          <w:rFonts w:hint="eastAsia" w:ascii="仿宋" w:hAnsi="仿宋" w:eastAsia="仿宋"/>
          <w:highlight w:val="none"/>
        </w:rPr>
        <w:t>3</w:t>
      </w:r>
      <w:r>
        <w:rPr>
          <w:rFonts w:ascii="仿宋" w:hAnsi="仿宋" w:eastAsia="仿宋"/>
          <w:highlight w:val="none"/>
        </w:rPr>
        <w:t>0日内，按照</w:t>
      </w:r>
      <w:r>
        <w:rPr>
          <w:rFonts w:hint="eastAsia" w:ascii="仿宋" w:hAnsi="仿宋" w:eastAsia="仿宋"/>
          <w:highlight w:val="none"/>
        </w:rPr>
        <w:t>谈判文件</w:t>
      </w:r>
      <w:r>
        <w:rPr>
          <w:rFonts w:ascii="仿宋" w:hAnsi="仿宋" w:eastAsia="仿宋"/>
          <w:highlight w:val="none"/>
        </w:rPr>
        <w:t>确定的合同文本及成交</w:t>
      </w:r>
      <w:r>
        <w:rPr>
          <w:rFonts w:hint="eastAsia" w:ascii="仿宋" w:hAnsi="仿宋" w:eastAsia="仿宋"/>
          <w:highlight w:val="none"/>
        </w:rPr>
        <w:t>供应商</w:t>
      </w:r>
      <w:r>
        <w:rPr>
          <w:rFonts w:ascii="仿宋" w:hAnsi="仿宋" w:eastAsia="仿宋"/>
          <w:highlight w:val="none"/>
        </w:rPr>
        <w:t>的响应情况签订政府采购合同。</w:t>
      </w:r>
    </w:p>
    <w:p w14:paraId="4E00262E">
      <w:pPr>
        <w:pageBreakBefore w:val="0"/>
        <w:widowControl/>
        <w:kinsoku/>
        <w:wordWrap/>
        <w:overflowPunct/>
        <w:topLinePunct w:val="0"/>
        <w:autoSpaceDE/>
        <w:autoSpaceDN/>
        <w:bidi w:val="0"/>
        <w:adjustRightInd/>
        <w:snapToGrid/>
        <w:spacing w:line="560" w:lineRule="exact"/>
        <w:ind w:firstLine="566" w:firstLineChars="200"/>
        <w:textAlignment w:val="auto"/>
        <w:rPr>
          <w:rFonts w:ascii="仿宋" w:hAnsi="仿宋" w:eastAsia="仿宋"/>
          <w:highlight w:val="none"/>
        </w:rPr>
      </w:pPr>
      <w:r>
        <w:rPr>
          <w:rFonts w:hint="eastAsia" w:ascii="仿宋" w:hAnsi="仿宋" w:eastAsia="仿宋"/>
          <w:highlight w:val="none"/>
        </w:rPr>
        <w:t>（</w:t>
      </w:r>
      <w:r>
        <w:rPr>
          <w:rFonts w:ascii="仿宋" w:hAnsi="仿宋" w:eastAsia="仿宋"/>
          <w:highlight w:val="none"/>
        </w:rPr>
        <w:t>二）采购人不得向成交</w:t>
      </w:r>
      <w:r>
        <w:rPr>
          <w:rFonts w:hint="eastAsia" w:ascii="仿宋" w:hAnsi="仿宋" w:eastAsia="仿宋"/>
          <w:highlight w:val="none"/>
        </w:rPr>
        <w:t>供应商</w:t>
      </w:r>
      <w:r>
        <w:rPr>
          <w:rFonts w:ascii="仿宋" w:hAnsi="仿宋" w:eastAsia="仿宋"/>
          <w:highlight w:val="none"/>
        </w:rPr>
        <w:t>提出超出</w:t>
      </w:r>
      <w:r>
        <w:rPr>
          <w:rFonts w:hint="eastAsia" w:ascii="仿宋" w:hAnsi="仿宋" w:eastAsia="仿宋"/>
          <w:highlight w:val="none"/>
        </w:rPr>
        <w:t>谈判文件</w:t>
      </w:r>
      <w:r>
        <w:rPr>
          <w:rFonts w:ascii="仿宋" w:hAnsi="仿宋" w:eastAsia="仿宋"/>
          <w:highlight w:val="none"/>
        </w:rPr>
        <w:t>以外的任何要求作为签订合同的条件，不得与成交</w:t>
      </w:r>
      <w:r>
        <w:rPr>
          <w:rFonts w:hint="eastAsia" w:ascii="仿宋" w:hAnsi="仿宋" w:eastAsia="仿宋"/>
          <w:highlight w:val="none"/>
        </w:rPr>
        <w:t>供应商</w:t>
      </w:r>
      <w:r>
        <w:rPr>
          <w:rFonts w:ascii="仿宋" w:hAnsi="仿宋" w:eastAsia="仿宋"/>
          <w:highlight w:val="none"/>
        </w:rPr>
        <w:t>订立背离</w:t>
      </w:r>
      <w:r>
        <w:rPr>
          <w:rFonts w:hint="eastAsia" w:ascii="仿宋" w:hAnsi="仿宋" w:eastAsia="仿宋"/>
          <w:highlight w:val="none"/>
        </w:rPr>
        <w:t>谈判文件</w:t>
      </w:r>
      <w:r>
        <w:rPr>
          <w:rFonts w:ascii="仿宋" w:hAnsi="仿宋" w:eastAsia="仿宋"/>
          <w:highlight w:val="none"/>
        </w:rPr>
        <w:t>确定的合同文本以及采购标的、采购金额、技术和服务要求等实质性内容的协议。</w:t>
      </w:r>
    </w:p>
    <w:p w14:paraId="33E1A416">
      <w:pPr>
        <w:pageBreakBefore w:val="0"/>
        <w:widowControl/>
        <w:kinsoku/>
        <w:wordWrap/>
        <w:overflowPunct/>
        <w:topLinePunct w:val="0"/>
        <w:autoSpaceDE/>
        <w:autoSpaceDN/>
        <w:bidi w:val="0"/>
        <w:adjustRightInd/>
        <w:snapToGrid/>
        <w:spacing w:line="560" w:lineRule="exact"/>
        <w:ind w:firstLine="566" w:firstLineChars="200"/>
        <w:textAlignment w:val="auto"/>
        <w:rPr>
          <w:rFonts w:ascii="仿宋" w:hAnsi="仿宋" w:eastAsia="仿宋"/>
          <w:highlight w:val="none"/>
        </w:rPr>
      </w:pPr>
      <w:r>
        <w:rPr>
          <w:rFonts w:hint="eastAsia" w:ascii="仿宋" w:hAnsi="仿宋" w:eastAsia="仿宋"/>
          <w:highlight w:val="none"/>
        </w:rPr>
        <w:t>（</w:t>
      </w:r>
      <w:r>
        <w:rPr>
          <w:rFonts w:ascii="仿宋" w:hAnsi="仿宋" w:eastAsia="仿宋"/>
          <w:highlight w:val="none"/>
        </w:rPr>
        <w:t>三）政府采购合同在执行过程中，确需修改、变更时，应当按照相应的审核批准程序办理。</w:t>
      </w:r>
    </w:p>
    <w:p w14:paraId="79B0EFA8">
      <w:pPr>
        <w:pageBreakBefore w:val="0"/>
        <w:widowControl/>
        <w:kinsoku/>
        <w:wordWrap/>
        <w:overflowPunct/>
        <w:topLinePunct w:val="0"/>
        <w:autoSpaceDE/>
        <w:autoSpaceDN/>
        <w:bidi w:val="0"/>
        <w:adjustRightInd/>
        <w:snapToGrid/>
        <w:spacing w:line="560" w:lineRule="exact"/>
        <w:ind w:firstLine="566" w:firstLineChars="200"/>
        <w:textAlignment w:val="auto"/>
        <w:rPr>
          <w:rFonts w:ascii="仿宋" w:hAnsi="仿宋" w:eastAsia="仿宋"/>
          <w:highlight w:val="none"/>
        </w:rPr>
      </w:pPr>
      <w:r>
        <w:rPr>
          <w:rFonts w:hint="eastAsia" w:ascii="仿宋" w:hAnsi="仿宋" w:eastAsia="仿宋"/>
          <w:highlight w:val="none"/>
        </w:rPr>
        <w:t>（四</w:t>
      </w:r>
      <w:r>
        <w:rPr>
          <w:rFonts w:ascii="仿宋" w:hAnsi="仿宋" w:eastAsia="仿宋"/>
          <w:highlight w:val="none"/>
        </w:rPr>
        <w:t>）</w:t>
      </w:r>
      <w:r>
        <w:rPr>
          <w:rFonts w:hint="eastAsia" w:ascii="仿宋" w:hAnsi="仿宋" w:eastAsia="仿宋"/>
          <w:highlight w:val="none"/>
        </w:rPr>
        <w:t>谈判文件</w:t>
      </w:r>
      <w:r>
        <w:rPr>
          <w:rFonts w:ascii="仿宋" w:hAnsi="仿宋" w:eastAsia="仿宋"/>
          <w:highlight w:val="none"/>
        </w:rPr>
        <w:t>、响应文件、澄清等为政府采购合同的组成部分，具有同等法律效力。</w:t>
      </w:r>
    </w:p>
    <w:p w14:paraId="6D8901F3">
      <w:pPr>
        <w:pageBreakBefore w:val="0"/>
        <w:widowControl/>
        <w:kinsoku/>
        <w:wordWrap/>
        <w:overflowPunct/>
        <w:topLinePunct w:val="0"/>
        <w:autoSpaceDE/>
        <w:autoSpaceDN/>
        <w:bidi w:val="0"/>
        <w:adjustRightInd/>
        <w:snapToGrid/>
        <w:spacing w:line="560" w:lineRule="exact"/>
        <w:ind w:firstLine="566" w:firstLineChars="200"/>
        <w:textAlignment w:val="auto"/>
        <w:rPr>
          <w:rFonts w:ascii="仿宋" w:hAnsi="仿宋" w:eastAsia="仿宋"/>
          <w:highlight w:val="none"/>
        </w:rPr>
      </w:pPr>
      <w:r>
        <w:rPr>
          <w:rFonts w:hint="eastAsia" w:ascii="仿宋" w:hAnsi="仿宋" w:eastAsia="仿宋"/>
          <w:highlight w:val="none"/>
        </w:rPr>
        <w:t>（五</w:t>
      </w:r>
      <w:r>
        <w:rPr>
          <w:rFonts w:ascii="仿宋" w:hAnsi="仿宋" w:eastAsia="仿宋"/>
          <w:highlight w:val="none"/>
        </w:rPr>
        <w:t>）采购人按有关规定将政府采购合同报送监管机构备案。</w:t>
      </w:r>
    </w:p>
    <w:p w14:paraId="146A562A">
      <w:pPr>
        <w:pStyle w:val="4"/>
        <w:pageBreakBefore w:val="0"/>
        <w:widowControl/>
        <w:kinsoku/>
        <w:wordWrap/>
        <w:overflowPunct/>
        <w:topLinePunct w:val="0"/>
        <w:autoSpaceDE/>
        <w:autoSpaceDN/>
        <w:bidi w:val="0"/>
        <w:adjustRightInd/>
        <w:snapToGrid/>
        <w:spacing w:line="560" w:lineRule="exact"/>
        <w:ind w:firstLine="566" w:firstLineChars="200"/>
        <w:textAlignment w:val="auto"/>
        <w:rPr>
          <w:highlight w:val="none"/>
        </w:rPr>
      </w:pPr>
      <w:bookmarkStart w:id="216" w:name="_Toc4530"/>
      <w:bookmarkStart w:id="217" w:name="_Toc19286"/>
      <w:bookmarkStart w:id="218" w:name="_Toc25345"/>
      <w:bookmarkStart w:id="219" w:name="_Toc9134"/>
      <w:bookmarkStart w:id="220" w:name="_Toc10624"/>
      <w:bookmarkStart w:id="221" w:name="_Toc23648"/>
      <w:bookmarkStart w:id="222" w:name="_Toc11298"/>
      <w:bookmarkStart w:id="223" w:name="_Toc28681251"/>
      <w:bookmarkStart w:id="224" w:name="_Toc4219"/>
      <w:bookmarkStart w:id="225" w:name="_Toc4557"/>
      <w:bookmarkStart w:id="226" w:name="_Toc23336"/>
      <w:bookmarkStart w:id="227" w:name="_Toc30800"/>
      <w:bookmarkStart w:id="228" w:name="_Toc19273"/>
      <w:bookmarkStart w:id="229" w:name="_Toc7453"/>
      <w:r>
        <w:rPr>
          <w:rFonts w:hint="eastAsia"/>
          <w:highlight w:val="none"/>
        </w:rPr>
        <w:t>十二、其他</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5808D27A">
      <w:pPr>
        <w:pageBreakBefore w:val="0"/>
        <w:widowControl/>
        <w:kinsoku/>
        <w:wordWrap/>
        <w:overflowPunct/>
        <w:topLinePunct w:val="0"/>
        <w:autoSpaceDE/>
        <w:autoSpaceDN/>
        <w:bidi w:val="0"/>
        <w:adjustRightInd/>
        <w:snapToGrid/>
        <w:spacing w:line="560" w:lineRule="exact"/>
        <w:ind w:firstLine="566" w:firstLineChars="200"/>
        <w:textAlignment w:val="auto"/>
        <w:rPr>
          <w:rFonts w:ascii="仿宋" w:hAnsi="仿宋" w:eastAsia="仿宋" w:cs="仿宋"/>
          <w:highlight w:val="none"/>
        </w:rPr>
      </w:pPr>
      <w:r>
        <w:rPr>
          <w:rFonts w:hint="eastAsia" w:ascii="仿宋" w:hAnsi="仿宋" w:eastAsia="仿宋" w:cs="仿宋"/>
          <w:highlight w:val="none"/>
        </w:rPr>
        <w:t>（一）根据《政府采购非招标采购方式管理办法》（财政部74号令）第二十三条、第四十三条，出现下列情况之一的，将终止采购活动：</w:t>
      </w:r>
    </w:p>
    <w:p w14:paraId="29702440">
      <w:pPr>
        <w:pageBreakBefore w:val="0"/>
        <w:widowControl/>
        <w:kinsoku/>
        <w:wordWrap/>
        <w:overflowPunct/>
        <w:topLinePunct w:val="0"/>
        <w:autoSpaceDE/>
        <w:autoSpaceDN/>
        <w:bidi w:val="0"/>
        <w:adjustRightInd/>
        <w:snapToGrid/>
        <w:spacing w:line="560" w:lineRule="exact"/>
        <w:ind w:firstLine="566" w:firstLineChars="200"/>
        <w:textAlignment w:val="auto"/>
        <w:rPr>
          <w:rFonts w:ascii="仿宋" w:hAnsi="仿宋" w:eastAsia="仿宋" w:cs="仿宋"/>
          <w:highlight w:val="none"/>
        </w:rPr>
      </w:pPr>
      <w:r>
        <w:rPr>
          <w:rFonts w:hint="eastAsia" w:ascii="仿宋" w:hAnsi="仿宋" w:eastAsia="仿宋" w:cs="仿宋"/>
          <w:highlight w:val="none"/>
        </w:rPr>
        <w:t>1、因情况变化，不再符合规定的单一来源采购方式适用情形的；</w:t>
      </w:r>
    </w:p>
    <w:p w14:paraId="07C4CB04">
      <w:pPr>
        <w:pageBreakBefore w:val="0"/>
        <w:widowControl/>
        <w:kinsoku/>
        <w:wordWrap/>
        <w:overflowPunct/>
        <w:topLinePunct w:val="0"/>
        <w:autoSpaceDE/>
        <w:autoSpaceDN/>
        <w:bidi w:val="0"/>
        <w:adjustRightInd/>
        <w:snapToGrid/>
        <w:spacing w:line="560" w:lineRule="exact"/>
        <w:ind w:firstLine="566" w:firstLineChars="200"/>
        <w:textAlignment w:val="auto"/>
        <w:rPr>
          <w:rFonts w:ascii="仿宋" w:hAnsi="仿宋" w:eastAsia="仿宋" w:cs="仿宋"/>
          <w:highlight w:val="none"/>
        </w:rPr>
      </w:pPr>
      <w:r>
        <w:rPr>
          <w:rFonts w:hint="eastAsia" w:ascii="仿宋" w:hAnsi="仿宋" w:eastAsia="仿宋" w:cs="仿宋"/>
          <w:highlight w:val="none"/>
        </w:rPr>
        <w:t>2、出现影响采购公正的违法、违规行为的；</w:t>
      </w:r>
    </w:p>
    <w:p w14:paraId="12F7A5BD">
      <w:pPr>
        <w:pageBreakBefore w:val="0"/>
        <w:widowControl/>
        <w:kinsoku/>
        <w:wordWrap/>
        <w:overflowPunct/>
        <w:topLinePunct w:val="0"/>
        <w:autoSpaceDE/>
        <w:autoSpaceDN/>
        <w:bidi w:val="0"/>
        <w:adjustRightInd/>
        <w:snapToGrid/>
        <w:spacing w:line="560" w:lineRule="exact"/>
        <w:ind w:firstLine="566" w:firstLineChars="200"/>
        <w:textAlignment w:val="auto"/>
        <w:rPr>
          <w:rFonts w:ascii="仿宋" w:hAnsi="仿宋" w:eastAsia="仿宋" w:cs="仿宋"/>
          <w:highlight w:val="none"/>
        </w:rPr>
      </w:pPr>
      <w:r>
        <w:rPr>
          <w:rFonts w:hint="eastAsia" w:ascii="仿宋" w:hAnsi="仿宋" w:eastAsia="仿宋" w:cs="仿宋"/>
          <w:highlight w:val="none"/>
        </w:rPr>
        <w:t>3、报价超过采购预算的；</w:t>
      </w:r>
    </w:p>
    <w:p w14:paraId="726292FD">
      <w:pPr>
        <w:pageBreakBefore w:val="0"/>
        <w:widowControl/>
        <w:kinsoku/>
        <w:wordWrap/>
        <w:overflowPunct/>
        <w:topLinePunct w:val="0"/>
        <w:autoSpaceDE/>
        <w:autoSpaceDN/>
        <w:bidi w:val="0"/>
        <w:adjustRightInd/>
        <w:snapToGrid/>
        <w:spacing w:line="560" w:lineRule="exact"/>
        <w:ind w:firstLine="566" w:firstLineChars="200"/>
        <w:textAlignment w:val="auto"/>
        <w:rPr>
          <w:rFonts w:ascii="仿宋" w:hAnsi="仿宋" w:eastAsia="仿宋" w:cs="仿宋"/>
          <w:highlight w:val="none"/>
        </w:rPr>
      </w:pPr>
      <w:r>
        <w:rPr>
          <w:rFonts w:hint="eastAsia" w:ascii="仿宋" w:hAnsi="仿宋" w:eastAsia="仿宋" w:cs="仿宋"/>
          <w:highlight w:val="none"/>
        </w:rPr>
        <w:t>4、因重大变故，采购任务取消的。</w:t>
      </w:r>
    </w:p>
    <w:p w14:paraId="0F1004AE">
      <w:pPr>
        <w:pageBreakBefore w:val="0"/>
        <w:widowControl/>
        <w:kinsoku/>
        <w:wordWrap/>
        <w:overflowPunct/>
        <w:topLinePunct w:val="0"/>
        <w:autoSpaceDE/>
        <w:autoSpaceDN/>
        <w:bidi w:val="0"/>
        <w:adjustRightInd/>
        <w:snapToGrid/>
        <w:spacing w:line="560" w:lineRule="exact"/>
        <w:ind w:firstLine="566" w:firstLineChars="200"/>
        <w:textAlignment w:val="auto"/>
        <w:rPr>
          <w:rFonts w:ascii="仿宋" w:hAnsi="仿宋" w:eastAsia="仿宋" w:cs="仿宋"/>
          <w:highlight w:val="none"/>
        </w:rPr>
      </w:pPr>
      <w:r>
        <w:rPr>
          <w:rFonts w:hint="eastAsia" w:ascii="仿宋" w:hAnsi="仿宋" w:eastAsia="仿宋" w:cs="仿宋"/>
          <w:highlight w:val="none"/>
        </w:rPr>
        <w:t>（二）采购活动终止后，除采购任务取消外，将重新组织采购。</w:t>
      </w:r>
    </w:p>
    <w:p w14:paraId="595B173C">
      <w:pPr>
        <w:pageBreakBefore w:val="0"/>
        <w:widowControl/>
        <w:kinsoku/>
        <w:wordWrap/>
        <w:overflowPunct/>
        <w:topLinePunct w:val="0"/>
        <w:autoSpaceDE/>
        <w:autoSpaceDN/>
        <w:bidi w:val="0"/>
        <w:adjustRightInd/>
        <w:snapToGrid/>
        <w:spacing w:line="560" w:lineRule="exact"/>
        <w:ind w:firstLine="566" w:firstLineChars="200"/>
        <w:textAlignment w:val="auto"/>
        <w:rPr>
          <w:rFonts w:ascii="仿宋" w:hAnsi="仿宋" w:eastAsia="仿宋"/>
          <w:highlight w:val="none"/>
        </w:rPr>
      </w:pPr>
      <w:r>
        <w:rPr>
          <w:rFonts w:hint="eastAsia" w:ascii="仿宋" w:hAnsi="仿宋" w:eastAsia="仿宋" w:cs="仿宋"/>
          <w:highlight w:val="none"/>
        </w:rPr>
        <w:t>（三）谈判小组成员以及评审工作有关的人员不得泄露评审情况以及评审过程中获悉的国家秘密、商业秘密。</w:t>
      </w:r>
    </w:p>
    <w:p w14:paraId="6223F335">
      <w:pPr>
        <w:pageBreakBefore w:val="0"/>
        <w:widowControl/>
        <w:kinsoku/>
        <w:wordWrap/>
        <w:overflowPunct/>
        <w:topLinePunct w:val="0"/>
        <w:autoSpaceDE/>
        <w:autoSpaceDN/>
        <w:bidi w:val="0"/>
        <w:adjustRightInd/>
        <w:snapToGrid/>
        <w:spacing w:line="560" w:lineRule="exact"/>
        <w:ind w:firstLine="566" w:firstLineChars="200"/>
        <w:textAlignment w:val="auto"/>
        <w:rPr>
          <w:rFonts w:ascii="仿宋" w:hAnsi="仿宋" w:eastAsia="仿宋" w:cs="仿宋"/>
          <w:highlight w:val="none"/>
        </w:rPr>
      </w:pPr>
      <w:r>
        <w:rPr>
          <w:rFonts w:hint="eastAsia" w:ascii="仿宋" w:hAnsi="仿宋" w:eastAsia="仿宋" w:cs="仿宋"/>
          <w:highlight w:val="none"/>
        </w:rPr>
        <w:t>（四）谈判文件未明确的其他事项，按《政府采购法》及其相关法律法规执行。</w:t>
      </w:r>
      <w:r>
        <w:rPr>
          <w:rFonts w:hint="eastAsia" w:ascii="仿宋" w:hAnsi="仿宋" w:eastAsia="仿宋" w:cs="仿宋"/>
          <w:highlight w:val="none"/>
        </w:rPr>
        <w:br w:type="page"/>
      </w:r>
    </w:p>
    <w:p w14:paraId="1DE82F51">
      <w:pPr>
        <w:pStyle w:val="3"/>
        <w:pageBreakBefore w:val="0"/>
        <w:kinsoku/>
        <w:overflowPunct/>
        <w:topLinePunct w:val="0"/>
        <w:autoSpaceDE/>
        <w:autoSpaceDN/>
        <w:bidi w:val="0"/>
        <w:spacing w:beforeAutospacing="0" w:afterAutospacing="0" w:line="560" w:lineRule="exact"/>
        <w:ind w:firstLine="646" w:firstLineChars="200"/>
        <w:textAlignment w:val="auto"/>
        <w:rPr>
          <w:rFonts w:ascii="黑体" w:hAnsi="黑体" w:eastAsia="黑体" w:cs="黑体"/>
          <w:b w:val="0"/>
          <w:bCs w:val="0"/>
          <w:sz w:val="32"/>
          <w:szCs w:val="32"/>
          <w:highlight w:val="none"/>
        </w:rPr>
      </w:pPr>
      <w:bookmarkStart w:id="230" w:name="_Toc28681252"/>
      <w:bookmarkStart w:id="231" w:name="_Toc8613"/>
      <w:bookmarkStart w:id="232" w:name="_Toc10224"/>
      <w:bookmarkStart w:id="233" w:name="_Toc11593"/>
      <w:bookmarkStart w:id="234" w:name="_Toc22261"/>
      <w:bookmarkStart w:id="235" w:name="_Toc24957"/>
      <w:bookmarkStart w:id="236" w:name="_Toc19541"/>
      <w:bookmarkStart w:id="237" w:name="_Toc15280"/>
      <w:bookmarkStart w:id="238" w:name="_Toc9194"/>
      <w:bookmarkStart w:id="239" w:name="_Toc28800"/>
      <w:bookmarkStart w:id="240" w:name="_Toc23502"/>
      <w:bookmarkStart w:id="241" w:name="_Toc31074"/>
      <w:bookmarkStart w:id="242" w:name="_Toc31507"/>
      <w:bookmarkStart w:id="243" w:name="_Toc2958"/>
      <w:bookmarkStart w:id="244" w:name="_Toc29409"/>
      <w:bookmarkStart w:id="245" w:name="_Toc28312"/>
      <w:r>
        <w:rPr>
          <w:rFonts w:hint="eastAsia" w:ascii="黑体" w:hAnsi="黑体" w:eastAsia="黑体" w:cs="黑体"/>
          <w:b w:val="0"/>
          <w:bCs w:val="0"/>
          <w:sz w:val="32"/>
          <w:szCs w:val="32"/>
          <w:highlight w:val="none"/>
        </w:rPr>
        <w:t>第三章 采购内容及采购要求</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119E7B30">
      <w:pPr>
        <w:pStyle w:val="4"/>
        <w:pageBreakBefore w:val="0"/>
        <w:widowControl/>
        <w:kinsoku/>
        <w:wordWrap/>
        <w:overflowPunct/>
        <w:topLinePunct w:val="0"/>
        <w:autoSpaceDE/>
        <w:autoSpaceDN/>
        <w:bidi w:val="0"/>
        <w:adjustRightInd/>
        <w:snapToGrid/>
        <w:spacing w:beforeAutospacing="0" w:afterAutospacing="0" w:line="560" w:lineRule="exact"/>
        <w:ind w:firstLine="566" w:firstLineChars="200"/>
        <w:textAlignment w:val="auto"/>
        <w:rPr>
          <w:rFonts w:hint="eastAsia" w:ascii="仿宋" w:hAnsi="华文仿宋" w:eastAsia="仿宋" w:cs="华文仿宋"/>
          <w:sz w:val="28"/>
          <w:szCs w:val="28"/>
          <w:highlight w:val="none"/>
          <w:lang w:val="en-US" w:eastAsia="zh-CN"/>
        </w:rPr>
      </w:pPr>
      <w:bookmarkStart w:id="246" w:name="_Toc27466"/>
      <w:bookmarkStart w:id="247" w:name="_Toc2880"/>
      <w:bookmarkStart w:id="248" w:name="_Toc7930"/>
      <w:bookmarkStart w:id="249" w:name="_Toc24348"/>
      <w:bookmarkStart w:id="250" w:name="_Toc13362"/>
      <w:bookmarkStart w:id="251" w:name="_Toc14915"/>
      <w:bookmarkStart w:id="252" w:name="_Toc13248"/>
      <w:bookmarkStart w:id="253" w:name="_Toc19079"/>
      <w:bookmarkStart w:id="254" w:name="_Toc16280"/>
      <w:bookmarkStart w:id="255" w:name="_Toc462"/>
      <w:bookmarkStart w:id="256" w:name="_Toc30919"/>
      <w:bookmarkStart w:id="257" w:name="_Toc28681253"/>
      <w:bookmarkStart w:id="258" w:name="_Toc14093"/>
      <w:bookmarkStart w:id="259" w:name="_Toc28501"/>
      <w:bookmarkStart w:id="260" w:name="_Toc14691"/>
      <w:r>
        <w:rPr>
          <w:rFonts w:hint="eastAsia" w:ascii="仿宋" w:hAnsi="华文仿宋" w:eastAsia="仿宋" w:cs="华文仿宋"/>
          <w:sz w:val="28"/>
          <w:szCs w:val="28"/>
          <w:highlight w:val="none"/>
        </w:rPr>
        <w:t>一、项目</w:t>
      </w:r>
      <w:bookmarkEnd w:id="246"/>
      <w:bookmarkEnd w:id="247"/>
      <w:bookmarkEnd w:id="248"/>
      <w:bookmarkEnd w:id="249"/>
      <w:bookmarkEnd w:id="250"/>
      <w:bookmarkEnd w:id="251"/>
      <w:bookmarkEnd w:id="252"/>
      <w:bookmarkEnd w:id="253"/>
      <w:r>
        <w:rPr>
          <w:rFonts w:hint="eastAsia" w:ascii="仿宋" w:hAnsi="华文仿宋" w:eastAsia="仿宋" w:cs="华文仿宋"/>
          <w:sz w:val="28"/>
          <w:szCs w:val="28"/>
          <w:highlight w:val="none"/>
          <w:lang w:val="en-US" w:eastAsia="zh-CN"/>
        </w:rPr>
        <w:t>背景</w:t>
      </w:r>
      <w:bookmarkEnd w:id="254"/>
    </w:p>
    <w:p w14:paraId="5359F76E">
      <w:pPr>
        <w:pageBreakBefore w:val="0"/>
        <w:widowControl/>
        <w:kinsoku/>
        <w:wordWrap/>
        <w:overflowPunct/>
        <w:topLinePunct w:val="0"/>
        <w:autoSpaceDE/>
        <w:autoSpaceDN/>
        <w:bidi w:val="0"/>
        <w:adjustRightInd/>
        <w:snapToGrid/>
        <w:spacing w:beforeAutospacing="0" w:afterAutospacing="0" w:line="560" w:lineRule="exact"/>
        <w:ind w:firstLine="566" w:firstLineChars="200"/>
        <w:textAlignment w:val="auto"/>
        <w:rPr>
          <w:rFonts w:hint="eastAsia" w:ascii="仿宋" w:hAnsi="仿宋" w:eastAsia="仿宋"/>
          <w:highlight w:val="none"/>
          <w:lang w:eastAsia="zh-CN"/>
        </w:rPr>
      </w:pPr>
      <w:r>
        <w:rPr>
          <w:rFonts w:hint="eastAsia" w:ascii="仿宋" w:hAnsi="仿宋" w:eastAsia="仿宋"/>
          <w:highlight w:val="none"/>
          <w:lang w:eastAsia="zh-CN"/>
        </w:rPr>
        <w:t>根据《陕西省人民政府办公厅关于印发整合建立统一的公共资源交易平台实施方案的通知》文件相关要求，陕西省公共资源交易平台于2016年开始建设，2019年全省上线运行；政府采购及相关系统（包括政府采购、国有产权、土地、矿业权和工程等）</w:t>
      </w:r>
      <w:r>
        <w:rPr>
          <w:rFonts w:hint="eastAsia" w:ascii="仿宋" w:hAnsi="仿宋" w:eastAsia="仿宋"/>
          <w:highlight w:val="none"/>
          <w:lang w:val="en-US" w:eastAsia="zh-CN"/>
        </w:rPr>
        <w:t>自平台建设之初至今，一直由</w:t>
      </w:r>
      <w:r>
        <w:rPr>
          <w:rFonts w:hint="eastAsia" w:ascii="仿宋_GB2312" w:hAnsi="仿宋_GB2312" w:eastAsia="仿宋_GB2312" w:cs="仿宋_GB2312"/>
          <w:bCs/>
          <w:highlight w:val="none"/>
          <w:lang w:val="en-US" w:eastAsia="zh-CN"/>
        </w:rPr>
        <w:t>国泰新点软件股份有限公司</w:t>
      </w:r>
      <w:r>
        <w:rPr>
          <w:rFonts w:hint="eastAsia" w:ascii="仿宋" w:hAnsi="仿宋" w:eastAsia="仿宋"/>
          <w:highlight w:val="none"/>
          <w:lang w:eastAsia="zh-CN"/>
        </w:rPr>
        <w:t>负责这部分系统的维护工作，至今已维护6年。为确保</w:t>
      </w:r>
      <w:r>
        <w:rPr>
          <w:rFonts w:hint="eastAsia" w:ascii="仿宋" w:hAnsi="仿宋" w:eastAsia="仿宋"/>
          <w:highlight w:val="none"/>
          <w:lang w:val="en-US" w:eastAsia="zh-CN"/>
        </w:rPr>
        <w:t>交易</w:t>
      </w:r>
      <w:r>
        <w:rPr>
          <w:rFonts w:hint="eastAsia" w:ascii="仿宋" w:hAnsi="仿宋" w:eastAsia="仿宋"/>
          <w:highlight w:val="none"/>
          <w:lang w:eastAsia="zh-CN"/>
        </w:rPr>
        <w:t>中心业务系统正常使用，现对2025年度政府采购及相关系统运维服务进行采购。</w:t>
      </w:r>
    </w:p>
    <w:p w14:paraId="047FDDA0">
      <w:pPr>
        <w:pStyle w:val="4"/>
        <w:pageBreakBefore w:val="0"/>
        <w:widowControl/>
        <w:numPr>
          <w:ilvl w:val="0"/>
          <w:numId w:val="1"/>
        </w:numPr>
        <w:kinsoku/>
        <w:wordWrap/>
        <w:overflowPunct/>
        <w:topLinePunct w:val="0"/>
        <w:autoSpaceDE/>
        <w:autoSpaceDN/>
        <w:bidi w:val="0"/>
        <w:adjustRightInd/>
        <w:snapToGrid/>
        <w:spacing w:beforeAutospacing="0" w:afterAutospacing="0" w:line="560" w:lineRule="exact"/>
        <w:ind w:firstLine="566" w:firstLineChars="200"/>
        <w:textAlignment w:val="auto"/>
        <w:rPr>
          <w:rFonts w:ascii="仿宋" w:hAnsi="华文仿宋" w:cs="华文仿宋"/>
          <w:sz w:val="28"/>
          <w:szCs w:val="28"/>
          <w:highlight w:val="none"/>
          <w:lang w:val="zh-CN"/>
        </w:rPr>
      </w:pPr>
      <w:bookmarkStart w:id="261" w:name="_Toc31258"/>
      <w:bookmarkStart w:id="262" w:name="_Toc9282"/>
      <w:bookmarkStart w:id="263" w:name="_Toc25298"/>
      <w:bookmarkStart w:id="264" w:name="_Toc26153"/>
      <w:bookmarkStart w:id="265" w:name="_Toc10843"/>
      <w:r>
        <w:rPr>
          <w:rFonts w:hint="eastAsia" w:ascii="仿宋" w:hAnsi="华文仿宋" w:cs="华文仿宋"/>
          <w:sz w:val="28"/>
          <w:szCs w:val="28"/>
          <w:highlight w:val="none"/>
          <w:lang w:val="en-US" w:eastAsia="zh-CN"/>
        </w:rPr>
        <w:t>建设需求</w:t>
      </w:r>
      <w:bookmarkEnd w:id="261"/>
    </w:p>
    <w:bookmarkEnd w:id="262"/>
    <w:bookmarkEnd w:id="263"/>
    <w:bookmarkEnd w:id="264"/>
    <w:bookmarkEnd w:id="265"/>
    <w:p w14:paraId="0B3C912E">
      <w:pPr>
        <w:pageBreakBefore w:val="0"/>
        <w:widowControl/>
        <w:kinsoku/>
        <w:wordWrap/>
        <w:overflowPunct/>
        <w:topLinePunct w:val="0"/>
        <w:autoSpaceDE/>
        <w:autoSpaceDN/>
        <w:bidi w:val="0"/>
        <w:adjustRightInd/>
        <w:snapToGrid/>
        <w:spacing w:beforeAutospacing="0" w:afterAutospacing="0" w:line="560" w:lineRule="exact"/>
        <w:ind w:firstLine="566" w:firstLineChars="200"/>
        <w:textAlignment w:val="auto"/>
        <w:rPr>
          <w:rFonts w:hint="eastAsia" w:ascii="仿宋" w:hAnsi="仿宋" w:eastAsia="仿宋"/>
          <w:highlight w:val="none"/>
          <w:lang w:eastAsia="zh-CN"/>
        </w:rPr>
      </w:pPr>
      <w:r>
        <w:rPr>
          <w:rFonts w:hint="eastAsia" w:ascii="仿宋" w:hAnsi="仿宋" w:eastAsia="仿宋"/>
          <w:highlight w:val="none"/>
          <w:lang w:eastAsia="zh-CN"/>
        </w:rPr>
        <w:t>此次2025年度政府采购及相关系统运维服务包括政府采购、国有产权、土地、矿业权和工程等系统的日常运行稳定；提供运维人员长期驻场，及时解决系统使用过程中遇到的各类问题，提供远程、现场支持工作：通过需求开发的形式，对政府采购及相关系统调整优化；对专用设备进行日常维护，保障专用设备的稳定运行。</w:t>
      </w:r>
    </w:p>
    <w:p w14:paraId="0243848A">
      <w:pPr>
        <w:pStyle w:val="4"/>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566" w:firstLineChars="200"/>
        <w:textAlignment w:val="auto"/>
        <w:rPr>
          <w:rFonts w:hint="eastAsia" w:ascii="仿宋" w:hAnsi="华文仿宋" w:cs="华文仿宋"/>
          <w:sz w:val="28"/>
          <w:szCs w:val="28"/>
          <w:highlight w:val="none"/>
          <w:lang w:val="en-US" w:eastAsia="zh-CN"/>
        </w:rPr>
      </w:pPr>
      <w:bookmarkStart w:id="266" w:name="_Toc173517415"/>
      <w:r>
        <w:rPr>
          <w:rFonts w:hint="eastAsia" w:ascii="仿宋" w:hAnsi="华文仿宋" w:cs="华文仿宋"/>
          <w:sz w:val="28"/>
          <w:szCs w:val="28"/>
          <w:highlight w:val="none"/>
          <w:lang w:val="en-US" w:eastAsia="zh-CN"/>
        </w:rPr>
        <w:t>（一）</w:t>
      </w:r>
      <w:bookmarkEnd w:id="266"/>
      <w:r>
        <w:rPr>
          <w:rFonts w:hint="eastAsia" w:ascii="仿宋" w:hAnsi="华文仿宋" w:cs="华文仿宋"/>
          <w:sz w:val="28"/>
          <w:szCs w:val="28"/>
          <w:highlight w:val="none"/>
          <w:lang w:val="en-US" w:eastAsia="zh-CN"/>
        </w:rPr>
        <w:t>系统日常维护</w:t>
      </w:r>
    </w:p>
    <w:p w14:paraId="46E2A4BD">
      <w:pPr>
        <w:pStyle w:val="2"/>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 w:hAnsi="仿宋" w:eastAsia="仿宋" w:cstheme="minorBidi"/>
          <w:kern w:val="2"/>
          <w:sz w:val="28"/>
          <w:szCs w:val="28"/>
          <w:highlight w:val="none"/>
          <w:lang w:val="en-US" w:eastAsia="zh-CN" w:bidi="ar-SA"/>
        </w:rPr>
      </w:pPr>
      <w:r>
        <w:rPr>
          <w:rFonts w:hint="eastAsia" w:ascii="仿宋" w:hAnsi="仿宋" w:eastAsia="仿宋" w:cstheme="minorBidi"/>
          <w:kern w:val="2"/>
          <w:sz w:val="28"/>
          <w:szCs w:val="28"/>
          <w:highlight w:val="none"/>
          <w:lang w:val="en-US" w:eastAsia="zh-CN" w:bidi="ar-SA"/>
        </w:rPr>
        <w:t>系统日常维护内容包括保障政府采购、国有产权、土地、矿业权和工程等系统的日常运行稳定，保障专家管理系统、网上开评标系统、不见面开评标系统、招投标文件编制工具、全国CA互认和第三方接口等相关系统与工具的维护及保障工作，受理日常系统运维问题，并针对系统问题进行记录、处理及回复。</w:t>
      </w:r>
    </w:p>
    <w:p w14:paraId="6133BF42">
      <w:pPr>
        <w:pStyle w:val="4"/>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566" w:firstLineChars="200"/>
        <w:textAlignment w:val="auto"/>
        <w:rPr>
          <w:rFonts w:hint="eastAsia" w:ascii="仿宋" w:hAnsi="华文仿宋" w:cs="华文仿宋"/>
          <w:sz w:val="28"/>
          <w:szCs w:val="28"/>
          <w:highlight w:val="none"/>
          <w:lang w:val="en-US" w:eastAsia="zh-CN"/>
        </w:rPr>
      </w:pPr>
      <w:r>
        <w:rPr>
          <w:rFonts w:hint="eastAsia" w:ascii="仿宋" w:hAnsi="华文仿宋" w:cs="华文仿宋"/>
          <w:sz w:val="28"/>
          <w:szCs w:val="28"/>
          <w:highlight w:val="none"/>
          <w:lang w:val="en-US" w:eastAsia="zh-CN"/>
        </w:rPr>
        <w:t>（二）运维人员要求</w:t>
      </w:r>
    </w:p>
    <w:p w14:paraId="2FAB6D27">
      <w:pPr>
        <w:pStyle w:val="2"/>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 w:hAnsi="仿宋" w:eastAsia="仿宋" w:cstheme="minorBidi"/>
          <w:kern w:val="2"/>
          <w:sz w:val="28"/>
          <w:szCs w:val="28"/>
          <w:highlight w:val="none"/>
          <w:lang w:val="en-US" w:eastAsia="zh-CN" w:bidi="ar-SA"/>
        </w:rPr>
      </w:pPr>
      <w:r>
        <w:rPr>
          <w:rFonts w:hint="eastAsia" w:ascii="仿宋" w:hAnsi="仿宋" w:eastAsia="仿宋" w:cstheme="minorBidi"/>
          <w:kern w:val="2"/>
          <w:sz w:val="28"/>
          <w:szCs w:val="28"/>
          <w:highlight w:val="none"/>
          <w:lang w:val="en-US" w:eastAsia="zh-CN" w:bidi="ar-SA"/>
        </w:rPr>
        <w:t>需成立专职运维保障团队，运维服务以运维人员现场服务、研发人员远程支撑为主，现场运维保障人员不少于3人，提供5</w:t>
      </w:r>
      <w:r>
        <w:rPr>
          <w:rFonts w:hint="default" w:ascii="仿宋" w:hAnsi="仿宋" w:eastAsia="仿宋" w:cstheme="minorBidi"/>
          <w:kern w:val="2"/>
          <w:sz w:val="28"/>
          <w:szCs w:val="28"/>
          <w:highlight w:val="none"/>
          <w:lang w:val="en-US" w:eastAsia="zh-CN" w:bidi="ar-SA"/>
        </w:rPr>
        <w:t>×</w:t>
      </w:r>
      <w:r>
        <w:rPr>
          <w:rFonts w:hint="eastAsia" w:ascii="仿宋" w:hAnsi="仿宋" w:eastAsia="仿宋" w:cstheme="minorBidi"/>
          <w:kern w:val="2"/>
          <w:sz w:val="28"/>
          <w:szCs w:val="28"/>
          <w:highlight w:val="none"/>
          <w:lang w:val="en-US" w:eastAsia="zh-CN" w:bidi="ar-SA"/>
        </w:rPr>
        <w:t>8小时服务，及时解决系统使用过程中遇到的各类问题，包括省中心及全省各地市远程与现场支持、开展系统关联业务培训、交易主体与专家问题答疑、远程异地评标保障、夜间与节假日评标保障、完善新专家管理系统并对外提供对接服务、配合进行全省多CA共享互认与多浏览器兼容、配合各地市交易中心与审计部门数据统计、配合完成营商环境考核、配合进行攻防演练与等保三级调整等工作，对系统运维提供全面服务保障。</w:t>
      </w:r>
    </w:p>
    <w:p w14:paraId="76EC9C3C">
      <w:pPr>
        <w:pStyle w:val="2"/>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 w:hAnsi="仿宋" w:eastAsia="仿宋" w:cstheme="minorBidi"/>
          <w:kern w:val="2"/>
          <w:sz w:val="28"/>
          <w:szCs w:val="28"/>
          <w:highlight w:val="none"/>
          <w:lang w:val="en-US" w:eastAsia="zh-CN" w:bidi="ar-SA"/>
        </w:rPr>
      </w:pPr>
      <w:r>
        <w:rPr>
          <w:rFonts w:hint="eastAsia" w:ascii="仿宋" w:hAnsi="仿宋" w:eastAsia="仿宋" w:cstheme="minorBidi"/>
          <w:kern w:val="2"/>
          <w:sz w:val="28"/>
          <w:szCs w:val="28"/>
          <w:highlight w:val="none"/>
          <w:lang w:val="en-US" w:eastAsia="zh-CN" w:bidi="ar-SA"/>
        </w:rPr>
        <w:t>凡系统发生故障，若无需现场服务，接到采购人报修后，服务响应时间不超过2小时;若需现场服务,接到采购人报修后2小时内派专业维修人员到达现场，排除故障的时间最长不得超过三个工作日。</w:t>
      </w:r>
    </w:p>
    <w:p w14:paraId="7A1AE48D">
      <w:pPr>
        <w:pStyle w:val="2"/>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 w:hAnsi="仿宋" w:eastAsia="仿宋" w:cstheme="minorBidi"/>
          <w:kern w:val="2"/>
          <w:sz w:val="28"/>
          <w:szCs w:val="28"/>
          <w:highlight w:val="none"/>
          <w:lang w:val="en-US" w:eastAsia="zh-CN" w:bidi="ar-SA"/>
        </w:rPr>
      </w:pPr>
      <w:r>
        <w:rPr>
          <w:rFonts w:hint="eastAsia" w:ascii="仿宋" w:hAnsi="仿宋" w:eastAsia="仿宋" w:cstheme="minorBidi"/>
          <w:kern w:val="2"/>
          <w:sz w:val="28"/>
          <w:szCs w:val="28"/>
          <w:highlight w:val="none"/>
          <w:lang w:val="en-US" w:eastAsia="zh-CN" w:bidi="ar-SA"/>
        </w:rPr>
        <w:t>供应商应按采购人的需求组织项目团队开展工作，并保持团队服务人员的稳定。如因疾病、意外、离职等不可控因素造成人员短缺，应及时补充相应人员，确保不影响合同正常履行。</w:t>
      </w:r>
    </w:p>
    <w:p w14:paraId="7E7F831C">
      <w:pPr>
        <w:pStyle w:val="4"/>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566" w:firstLineChars="200"/>
        <w:textAlignment w:val="auto"/>
        <w:rPr>
          <w:rFonts w:hint="default" w:ascii="仿宋" w:hAnsi="华文仿宋" w:cs="华文仿宋"/>
          <w:sz w:val="28"/>
          <w:szCs w:val="28"/>
          <w:highlight w:val="none"/>
          <w:lang w:val="en-US" w:eastAsia="zh-CN"/>
        </w:rPr>
      </w:pPr>
      <w:r>
        <w:rPr>
          <w:rFonts w:hint="eastAsia" w:ascii="仿宋" w:hAnsi="华文仿宋" w:cs="华文仿宋"/>
          <w:sz w:val="28"/>
          <w:szCs w:val="28"/>
          <w:highlight w:val="none"/>
          <w:lang w:val="en-US" w:eastAsia="zh-CN"/>
        </w:rPr>
        <w:t>（三）开发</w:t>
      </w:r>
      <w:r>
        <w:rPr>
          <w:rFonts w:hint="eastAsia" w:hAnsi="华文仿宋" w:cs="华文仿宋"/>
          <w:sz w:val="28"/>
          <w:szCs w:val="28"/>
          <w:highlight w:val="none"/>
          <w:lang w:val="en-US" w:eastAsia="zh-CN"/>
        </w:rPr>
        <w:t>需求</w:t>
      </w:r>
    </w:p>
    <w:p w14:paraId="5677598E">
      <w:pPr>
        <w:pStyle w:val="2"/>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 w:hAnsi="仿宋" w:eastAsia="仿宋" w:cstheme="minorBidi"/>
          <w:kern w:val="2"/>
          <w:sz w:val="28"/>
          <w:szCs w:val="28"/>
          <w:highlight w:val="none"/>
          <w:lang w:val="en-US" w:eastAsia="zh-CN" w:bidi="ar-SA"/>
        </w:rPr>
      </w:pPr>
      <w:r>
        <w:rPr>
          <w:rFonts w:hint="eastAsia" w:ascii="仿宋" w:hAnsi="仿宋" w:eastAsia="仿宋" w:cstheme="minorBidi"/>
          <w:kern w:val="2"/>
          <w:sz w:val="28"/>
          <w:szCs w:val="28"/>
          <w:highlight w:val="none"/>
          <w:lang w:val="en-US" w:eastAsia="zh-CN" w:bidi="ar-SA"/>
        </w:rPr>
        <w:t>为确保交易平台能够满足国家政策的执行、交易业务的不断优化调整，保证市场主体良好的交易体验，在合同服务期限内，采购人对现有系统如需开发新增功能，供应商应遵循客观公正、实事求是的原则，通过新增需求、需求变更等形式，与开发团队沟通，对采购人需求变更或新增产生的相关内容进行初步可行性研究和工作量评估，并对业务的优化调整进行记录和备案。</w:t>
      </w:r>
    </w:p>
    <w:p w14:paraId="449CD99A">
      <w:pPr>
        <w:pStyle w:val="2"/>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 w:hAnsi="仿宋" w:eastAsia="仿宋" w:cstheme="minorBidi"/>
          <w:kern w:val="2"/>
          <w:sz w:val="28"/>
          <w:szCs w:val="28"/>
          <w:highlight w:val="none"/>
          <w:lang w:val="en-US" w:eastAsia="zh-CN" w:bidi="ar-SA"/>
        </w:rPr>
      </w:pPr>
      <w:r>
        <w:rPr>
          <w:rFonts w:hint="eastAsia" w:ascii="仿宋" w:hAnsi="仿宋" w:eastAsia="仿宋" w:cstheme="minorBidi"/>
          <w:kern w:val="2"/>
          <w:sz w:val="28"/>
          <w:szCs w:val="28"/>
          <w:highlight w:val="none"/>
          <w:lang w:val="en-US" w:eastAsia="zh-CN" w:bidi="ar-SA"/>
        </w:rPr>
        <w:t>针对陕西省公共资源交易平台建设工程系统、政府采购系统、权益类交易系统、开评标系统、陕西省公共资源服务平台、专家抽取系统及三方对接接口进行必要的升级及需求调整。</w:t>
      </w:r>
    </w:p>
    <w:p w14:paraId="2D437CF9">
      <w:pPr>
        <w:pStyle w:val="2"/>
        <w:pageBreakBefore w:val="0"/>
        <w:widowControl/>
        <w:kinsoku/>
        <w:wordWrap/>
        <w:overflowPunct/>
        <w:topLinePunct w:val="0"/>
        <w:autoSpaceDE/>
        <w:autoSpaceDN/>
        <w:bidi w:val="0"/>
        <w:adjustRightInd/>
        <w:snapToGrid/>
        <w:spacing w:line="560" w:lineRule="exact"/>
        <w:ind w:firstLine="566" w:firstLineChars="200"/>
        <w:textAlignment w:val="auto"/>
        <w:rPr>
          <w:rFonts w:hint="default" w:ascii="仿宋" w:hAnsi="仿宋" w:eastAsia="仿宋" w:cstheme="minorBidi"/>
          <w:kern w:val="2"/>
          <w:sz w:val="28"/>
          <w:szCs w:val="28"/>
          <w:highlight w:val="none"/>
          <w:lang w:val="en-US" w:eastAsia="zh-CN" w:bidi="ar-SA"/>
        </w:rPr>
      </w:pPr>
      <w:r>
        <w:rPr>
          <w:rFonts w:hint="eastAsia" w:ascii="仿宋" w:hAnsi="仿宋" w:eastAsia="仿宋" w:cstheme="minorBidi"/>
          <w:kern w:val="2"/>
          <w:sz w:val="28"/>
          <w:szCs w:val="28"/>
          <w:highlight w:val="none"/>
          <w:lang w:val="en-US" w:eastAsia="zh-CN" w:bidi="ar-SA"/>
        </w:rPr>
        <w:t>针对陕西省公共资源交易新增杨凌地区电子档案功能开发及对接需求、新增网站对接三方app需求、新增电子监管系统围串标分析功能及页面、数据分析功能及页面及电子监察点功能及页面需求调整功能开发。</w:t>
      </w:r>
    </w:p>
    <w:p w14:paraId="38E1B462">
      <w:pPr>
        <w:pStyle w:val="4"/>
        <w:pageBreakBefore w:val="0"/>
        <w:widowControl/>
        <w:numPr>
          <w:ilvl w:val="0"/>
          <w:numId w:val="0"/>
        </w:numPr>
        <w:kinsoku/>
        <w:wordWrap/>
        <w:overflowPunct/>
        <w:topLinePunct w:val="0"/>
        <w:autoSpaceDE/>
        <w:autoSpaceDN/>
        <w:bidi w:val="0"/>
        <w:adjustRightInd/>
        <w:snapToGrid/>
        <w:spacing w:beforeAutospacing="0" w:afterAutospacing="0" w:line="560" w:lineRule="exact"/>
        <w:textAlignment w:val="auto"/>
        <w:rPr>
          <w:rFonts w:hint="eastAsia" w:ascii="仿宋" w:hAnsi="华文仿宋" w:cs="华文仿宋"/>
          <w:sz w:val="28"/>
          <w:szCs w:val="28"/>
          <w:highlight w:val="none"/>
          <w:lang w:val="en-US" w:eastAsia="zh-CN"/>
        </w:rPr>
      </w:pPr>
      <w:r>
        <w:rPr>
          <w:rFonts w:hint="eastAsia" w:ascii="仿宋" w:hAnsi="华文仿宋" w:cs="华文仿宋"/>
          <w:sz w:val="28"/>
          <w:szCs w:val="28"/>
          <w:highlight w:val="none"/>
          <w:lang w:val="en-US" w:eastAsia="zh-CN"/>
        </w:rPr>
        <w:t>（四）专有设备维护</w:t>
      </w:r>
    </w:p>
    <w:p w14:paraId="5350CC3F">
      <w:pPr>
        <w:pageBreakBefore w:val="0"/>
        <w:widowControl/>
        <w:kinsoku/>
        <w:wordWrap/>
        <w:overflowPunct/>
        <w:topLinePunct w:val="0"/>
        <w:autoSpaceDE/>
        <w:autoSpaceDN/>
        <w:bidi w:val="0"/>
        <w:adjustRightInd/>
        <w:snapToGrid/>
        <w:spacing w:line="560" w:lineRule="exact"/>
        <w:ind w:firstLine="566" w:firstLineChars="200"/>
        <w:textAlignment w:val="auto"/>
        <w:outlineLvl w:val="9"/>
        <w:rPr>
          <w:rFonts w:hint="eastAsia" w:ascii="仿宋" w:hAnsi="仿宋" w:eastAsia="仿宋" w:cstheme="minorBidi"/>
          <w:kern w:val="2"/>
          <w:sz w:val="28"/>
          <w:szCs w:val="28"/>
          <w:highlight w:val="none"/>
          <w:lang w:val="en-US" w:eastAsia="zh-CN" w:bidi="ar-SA"/>
        </w:rPr>
      </w:pPr>
      <w:r>
        <w:rPr>
          <w:rFonts w:hint="eastAsia" w:ascii="仿宋" w:hAnsi="仿宋" w:eastAsia="仿宋" w:cstheme="minorBidi"/>
          <w:kern w:val="2"/>
          <w:sz w:val="28"/>
          <w:szCs w:val="28"/>
          <w:highlight w:val="none"/>
          <w:lang w:val="en-US" w:eastAsia="zh-CN" w:bidi="ar-SA"/>
        </w:rPr>
        <w:t>交易中心大楼内的自助一体机、解密一体机、吊装窗口屏、不见面开标系统腾讯会议费用等国泰新点专用设备由供应商进行运维，供应商按照采购人要求对专用设备进行日常巡检、问题排查与处理，保障专用硬件设备的稳定运行，并提供5万元额度的国泰新点专用设备损坏硬件更换服务。</w:t>
      </w:r>
    </w:p>
    <w:p w14:paraId="18C9979E">
      <w:pPr>
        <w:pStyle w:val="4"/>
        <w:pageBreakBefore w:val="0"/>
        <w:widowControl/>
        <w:numPr>
          <w:ilvl w:val="0"/>
          <w:numId w:val="1"/>
        </w:numPr>
        <w:kinsoku/>
        <w:wordWrap/>
        <w:overflowPunct/>
        <w:topLinePunct w:val="0"/>
        <w:autoSpaceDE/>
        <w:autoSpaceDN/>
        <w:bidi w:val="0"/>
        <w:adjustRightInd/>
        <w:snapToGrid/>
        <w:spacing w:beforeAutospacing="0" w:afterAutospacing="0" w:line="560" w:lineRule="exact"/>
        <w:ind w:firstLine="566" w:firstLineChars="200"/>
        <w:textAlignment w:val="auto"/>
        <w:rPr>
          <w:rFonts w:ascii="仿宋" w:hAnsi="华文仿宋" w:cs="华文仿宋"/>
          <w:sz w:val="28"/>
          <w:szCs w:val="28"/>
          <w:highlight w:val="none"/>
          <w:lang w:val="zh-CN"/>
        </w:rPr>
      </w:pPr>
      <w:r>
        <w:rPr>
          <w:rFonts w:hint="eastAsia" w:hAnsi="华文仿宋" w:cs="华文仿宋"/>
          <w:sz w:val="28"/>
          <w:szCs w:val="28"/>
          <w:highlight w:val="none"/>
          <w:lang w:eastAsia="zh-CN"/>
        </w:rPr>
        <w:t>服务期</w:t>
      </w:r>
    </w:p>
    <w:p w14:paraId="75367C69">
      <w:pPr>
        <w:pageBreakBefore w:val="0"/>
        <w:widowControl/>
        <w:kinsoku/>
        <w:wordWrap/>
        <w:overflowPunct/>
        <w:topLinePunct w:val="0"/>
        <w:autoSpaceDE/>
        <w:autoSpaceDN/>
        <w:bidi w:val="0"/>
        <w:adjustRightInd/>
        <w:snapToGrid/>
        <w:spacing w:beforeAutospacing="0" w:afterAutospacing="0" w:line="560" w:lineRule="exact"/>
        <w:ind w:firstLine="566" w:firstLineChars="200"/>
        <w:textAlignment w:val="auto"/>
        <w:rPr>
          <w:rFonts w:eastAsia="仿宋"/>
          <w:highlight w:val="none"/>
        </w:rPr>
      </w:pPr>
      <w:r>
        <w:rPr>
          <w:rFonts w:hint="eastAsia" w:ascii="仿宋" w:hAnsi="仿宋" w:eastAsia="仿宋" w:cs="仿宋"/>
          <w:kern w:val="2"/>
          <w:sz w:val="28"/>
          <w:szCs w:val="28"/>
          <w:highlight w:val="none"/>
          <w:lang w:val="en-US" w:eastAsia="zh-CN" w:bidi="ar-SA"/>
        </w:rPr>
        <w:t>一年</w:t>
      </w:r>
      <w:r>
        <w:rPr>
          <w:rFonts w:hint="eastAsia" w:ascii="黑体" w:hAnsi="黑体" w:eastAsia="黑体" w:cs="黑体"/>
          <w:sz w:val="32"/>
          <w:szCs w:val="32"/>
          <w:highlight w:val="none"/>
        </w:rPr>
        <w:br w:type="page"/>
      </w:r>
    </w:p>
    <w:p w14:paraId="6C535B7B">
      <w:pPr>
        <w:pStyle w:val="3"/>
        <w:pageBreakBefore w:val="0"/>
        <w:kinsoku/>
        <w:overflowPunct/>
        <w:topLinePunct w:val="0"/>
        <w:autoSpaceDE/>
        <w:autoSpaceDN/>
        <w:bidi w:val="0"/>
        <w:spacing w:line="560" w:lineRule="exact"/>
        <w:ind w:firstLine="646" w:firstLineChars="200"/>
        <w:textAlignment w:val="auto"/>
        <w:rPr>
          <w:rFonts w:ascii="仿宋" w:hAnsi="仿宋" w:eastAsia="仿宋" w:cs="仿宋"/>
          <w:highlight w:val="none"/>
        </w:rPr>
      </w:pPr>
      <w:bookmarkStart w:id="267" w:name="_Toc12675"/>
      <w:bookmarkStart w:id="268" w:name="_Toc13492"/>
      <w:bookmarkStart w:id="269" w:name="_Toc21221"/>
      <w:bookmarkStart w:id="270" w:name="_Toc8940"/>
      <w:bookmarkStart w:id="271" w:name="_Toc12383"/>
      <w:bookmarkStart w:id="272" w:name="_Toc32538"/>
      <w:bookmarkStart w:id="273" w:name="_Toc881"/>
      <w:bookmarkStart w:id="274" w:name="_Toc22040"/>
      <w:bookmarkStart w:id="275" w:name="_Toc11232"/>
      <w:bookmarkStart w:id="276" w:name="_Toc23956"/>
      <w:bookmarkStart w:id="277" w:name="_Toc31044"/>
      <w:r>
        <w:rPr>
          <w:rFonts w:hint="eastAsia" w:ascii="黑体" w:hAnsi="黑体" w:eastAsia="黑体" w:cs="黑体"/>
          <w:b w:val="0"/>
          <w:bCs w:val="0"/>
          <w:sz w:val="32"/>
          <w:szCs w:val="32"/>
          <w:highlight w:val="none"/>
        </w:rPr>
        <w:t>第四章 合同基本条款</w:t>
      </w:r>
      <w:bookmarkEnd w:id="267"/>
      <w:bookmarkEnd w:id="268"/>
      <w:bookmarkEnd w:id="269"/>
      <w:bookmarkEnd w:id="270"/>
      <w:bookmarkEnd w:id="271"/>
      <w:bookmarkEnd w:id="272"/>
      <w:bookmarkEnd w:id="273"/>
      <w:bookmarkEnd w:id="274"/>
      <w:bookmarkEnd w:id="275"/>
      <w:bookmarkEnd w:id="276"/>
      <w:bookmarkEnd w:id="277"/>
    </w:p>
    <w:bookmarkEnd w:id="255"/>
    <w:bookmarkEnd w:id="256"/>
    <w:bookmarkEnd w:id="257"/>
    <w:bookmarkEnd w:id="258"/>
    <w:bookmarkEnd w:id="259"/>
    <w:bookmarkEnd w:id="260"/>
    <w:p w14:paraId="46CF70FD">
      <w:pPr>
        <w:pStyle w:val="4"/>
        <w:pageBreakBefore w:val="0"/>
        <w:kinsoku/>
        <w:overflowPunct/>
        <w:topLinePunct w:val="0"/>
        <w:autoSpaceDE/>
        <w:autoSpaceDN/>
        <w:bidi w:val="0"/>
        <w:spacing w:line="560" w:lineRule="exact"/>
        <w:ind w:firstLine="566" w:firstLineChars="200"/>
        <w:textAlignment w:val="auto"/>
        <w:rPr>
          <w:rFonts w:ascii="Calibri Light" w:hAnsi="Calibri Light"/>
          <w:highlight w:val="none"/>
        </w:rPr>
      </w:pPr>
      <w:bookmarkStart w:id="278" w:name="_Toc16792"/>
      <w:bookmarkStart w:id="279" w:name="_Toc11440"/>
      <w:bookmarkStart w:id="280" w:name="_Toc31093"/>
      <w:bookmarkStart w:id="281" w:name="_Toc17776"/>
      <w:bookmarkStart w:id="282" w:name="_Toc24790"/>
      <w:bookmarkStart w:id="283" w:name="_Toc16248"/>
      <w:bookmarkStart w:id="284" w:name="_Toc8683"/>
      <w:bookmarkStart w:id="285" w:name="_Toc14110"/>
      <w:bookmarkStart w:id="286" w:name="_Toc31248"/>
      <w:bookmarkStart w:id="287" w:name="_Toc4766"/>
      <w:bookmarkStart w:id="288" w:name="_Toc23723"/>
      <w:bookmarkStart w:id="289" w:name="_Toc17681"/>
      <w:bookmarkStart w:id="290" w:name="_Toc27907"/>
      <w:bookmarkStart w:id="291" w:name="_Toc27676"/>
      <w:r>
        <w:rPr>
          <w:rFonts w:ascii="Calibri Light" w:hAnsi="Calibri Light"/>
          <w:highlight w:val="none"/>
        </w:rPr>
        <w:t>一、</w:t>
      </w:r>
      <w:r>
        <w:rPr>
          <w:rFonts w:hint="eastAsia" w:ascii="Calibri Light" w:hAnsi="Calibri Light"/>
          <w:highlight w:val="none"/>
        </w:rPr>
        <w:t>交货</w:t>
      </w:r>
      <w:r>
        <w:rPr>
          <w:rFonts w:ascii="Calibri Light" w:hAnsi="Calibri Light"/>
          <w:highlight w:val="none"/>
        </w:rPr>
        <w:t>条件</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0AC1102D">
      <w:pPr>
        <w:pStyle w:val="46"/>
        <w:pageBreakBefore w:val="0"/>
        <w:kinsoku/>
        <w:overflowPunct/>
        <w:topLinePunct w:val="0"/>
        <w:autoSpaceDE/>
        <w:autoSpaceDN/>
        <w:bidi w:val="0"/>
        <w:spacing w:line="560" w:lineRule="exact"/>
        <w:ind w:firstLine="567"/>
        <w:textAlignment w:val="auto"/>
        <w:rPr>
          <w:rFonts w:ascii="仿宋" w:hAnsi="华文仿宋" w:eastAsia="仿宋" w:cs="华文仿宋"/>
          <w:highlight w:val="none"/>
        </w:rPr>
      </w:pPr>
      <w:r>
        <w:rPr>
          <w:rFonts w:hint="eastAsia" w:ascii="仿宋" w:hAnsi="华文仿宋" w:eastAsia="仿宋" w:cs="华文仿宋"/>
          <w:highlight w:val="none"/>
        </w:rPr>
        <w:t>（一）服务地点：采购人指定地点交货。</w:t>
      </w:r>
    </w:p>
    <w:p w14:paraId="54454C77">
      <w:pPr>
        <w:pStyle w:val="22"/>
        <w:pageBreakBefore w:val="0"/>
        <w:kinsoku/>
        <w:overflowPunct/>
        <w:topLinePunct w:val="0"/>
        <w:autoSpaceDE/>
        <w:autoSpaceDN/>
        <w:bidi w:val="0"/>
        <w:spacing w:after="0" w:line="560" w:lineRule="exact"/>
        <w:ind w:firstLine="566" w:firstLineChars="200"/>
        <w:textAlignment w:val="auto"/>
        <w:rPr>
          <w:rFonts w:hint="default" w:ascii="仿宋" w:hAnsi="仿宋" w:eastAsia="仿宋" w:cs="仿宋"/>
          <w:highlight w:val="none"/>
          <w:u w:val="single"/>
          <w:lang w:val="en-US" w:eastAsia="zh-CN"/>
        </w:rPr>
      </w:pPr>
      <w:r>
        <w:rPr>
          <w:rFonts w:hint="eastAsia" w:ascii="仿宋" w:hAnsi="华文仿宋" w:eastAsia="仿宋" w:cs="华文仿宋"/>
          <w:highlight w:val="none"/>
        </w:rPr>
        <w:t>（二）服务期：</w:t>
      </w:r>
      <w:r>
        <w:rPr>
          <w:rFonts w:hint="eastAsia" w:ascii="仿宋" w:hAnsi="仿宋" w:eastAsia="仿宋" w:cs="仿宋"/>
          <w:kern w:val="2"/>
          <w:sz w:val="28"/>
          <w:szCs w:val="28"/>
          <w:highlight w:val="none"/>
          <w:lang w:val="en-US" w:eastAsia="zh-CN" w:bidi="ar-SA"/>
        </w:rPr>
        <w:t>一年</w:t>
      </w:r>
    </w:p>
    <w:p w14:paraId="2F936318">
      <w:pPr>
        <w:pStyle w:val="46"/>
        <w:pageBreakBefore w:val="0"/>
        <w:kinsoku/>
        <w:overflowPunct/>
        <w:topLinePunct w:val="0"/>
        <w:autoSpaceDE/>
        <w:autoSpaceDN/>
        <w:bidi w:val="0"/>
        <w:spacing w:line="560" w:lineRule="exact"/>
        <w:ind w:firstLine="567"/>
        <w:textAlignment w:val="auto"/>
        <w:rPr>
          <w:rFonts w:ascii="仿宋" w:hAnsi="华文仿宋" w:eastAsia="仿宋" w:cs="华文仿宋"/>
          <w:highlight w:val="none"/>
        </w:rPr>
      </w:pPr>
      <w:r>
        <w:rPr>
          <w:rFonts w:hint="eastAsia" w:ascii="仿宋" w:hAnsi="华文仿宋" w:eastAsia="仿宋" w:cs="华文仿宋"/>
          <w:highlight w:val="none"/>
        </w:rPr>
        <w:t>（三）服务内容及服务人员（后附名单）</w:t>
      </w:r>
    </w:p>
    <w:p w14:paraId="50B9828A">
      <w:pPr>
        <w:pStyle w:val="4"/>
        <w:pageBreakBefore w:val="0"/>
        <w:kinsoku/>
        <w:overflowPunct/>
        <w:topLinePunct w:val="0"/>
        <w:autoSpaceDE/>
        <w:autoSpaceDN/>
        <w:bidi w:val="0"/>
        <w:spacing w:line="560" w:lineRule="exact"/>
        <w:ind w:firstLine="566" w:firstLineChars="200"/>
        <w:textAlignment w:val="auto"/>
        <w:rPr>
          <w:rFonts w:ascii="Calibri Light" w:hAnsi="Calibri Light"/>
          <w:highlight w:val="none"/>
        </w:rPr>
      </w:pPr>
      <w:bookmarkStart w:id="292" w:name="_Toc3683"/>
      <w:bookmarkStart w:id="293" w:name="_Toc10368"/>
      <w:bookmarkStart w:id="294" w:name="_Toc6215"/>
      <w:bookmarkStart w:id="295" w:name="_Toc27553"/>
      <w:bookmarkStart w:id="296" w:name="_Toc22772"/>
      <w:bookmarkStart w:id="297" w:name="_Toc4020"/>
      <w:bookmarkStart w:id="298" w:name="_Toc23348"/>
      <w:bookmarkStart w:id="299" w:name="_Toc13885"/>
      <w:bookmarkStart w:id="300" w:name="_Toc26382"/>
      <w:bookmarkStart w:id="301" w:name="_Toc10364"/>
      <w:bookmarkStart w:id="302" w:name="_Toc13797"/>
      <w:bookmarkStart w:id="303" w:name="_Toc19226"/>
      <w:bookmarkStart w:id="304" w:name="_Toc3604"/>
      <w:bookmarkStart w:id="305" w:name="_Toc29861"/>
      <w:r>
        <w:rPr>
          <w:rFonts w:ascii="Calibri Light" w:hAnsi="Calibri Light"/>
          <w:highlight w:val="none"/>
        </w:rPr>
        <w:t>二、合同价款</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18BBE3C6">
      <w:pPr>
        <w:pageBreakBefore w:val="0"/>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hint="eastAsia" w:ascii="仿宋" w:hAnsi="华文仿宋" w:eastAsia="仿宋" w:cs="华文仿宋"/>
          <w:highlight w:val="none"/>
        </w:rPr>
        <w:t>合同总价一次性包死，不受市场价格变化因素的影响。</w:t>
      </w:r>
    </w:p>
    <w:p w14:paraId="6F2804AB">
      <w:pPr>
        <w:pStyle w:val="4"/>
        <w:pageBreakBefore w:val="0"/>
        <w:kinsoku/>
        <w:overflowPunct/>
        <w:topLinePunct w:val="0"/>
        <w:autoSpaceDE/>
        <w:autoSpaceDN/>
        <w:bidi w:val="0"/>
        <w:spacing w:line="560" w:lineRule="exact"/>
        <w:ind w:firstLine="566" w:firstLineChars="200"/>
        <w:textAlignment w:val="auto"/>
        <w:rPr>
          <w:highlight w:val="none"/>
        </w:rPr>
      </w:pPr>
      <w:bookmarkStart w:id="306" w:name="_Toc6150"/>
      <w:bookmarkStart w:id="307" w:name="_Toc9704"/>
      <w:bookmarkStart w:id="308" w:name="_Toc28510"/>
      <w:bookmarkStart w:id="309" w:name="_Toc7528"/>
      <w:bookmarkStart w:id="310" w:name="_Toc9356"/>
      <w:bookmarkStart w:id="311" w:name="_Toc30781"/>
      <w:bookmarkStart w:id="312" w:name="_Toc2370"/>
      <w:bookmarkStart w:id="313" w:name="_Toc20919"/>
      <w:bookmarkStart w:id="314" w:name="_Toc20587"/>
      <w:bookmarkStart w:id="315" w:name="_Toc29282"/>
      <w:bookmarkStart w:id="316" w:name="_Toc185"/>
      <w:bookmarkStart w:id="317" w:name="_Toc28383"/>
      <w:bookmarkStart w:id="318" w:name="_Toc9401"/>
      <w:bookmarkStart w:id="319" w:name="_Toc31033"/>
      <w:r>
        <w:rPr>
          <w:rFonts w:hint="eastAsia" w:ascii="Calibri Light" w:hAnsi="Calibri Light"/>
          <w:highlight w:val="none"/>
        </w:rPr>
        <w:t>三、</w:t>
      </w:r>
      <w:r>
        <w:rPr>
          <w:rFonts w:ascii="Calibri Light" w:hAnsi="Calibri Light"/>
          <w:highlight w:val="none"/>
        </w:rPr>
        <w:t>款项结算</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14:paraId="70E841D5">
      <w:pPr>
        <w:pStyle w:val="46"/>
        <w:pageBreakBefore w:val="0"/>
        <w:kinsoku/>
        <w:overflowPunct/>
        <w:topLinePunct w:val="0"/>
        <w:autoSpaceDE/>
        <w:autoSpaceDN/>
        <w:bidi w:val="0"/>
        <w:spacing w:line="560" w:lineRule="exact"/>
        <w:ind w:firstLine="567"/>
        <w:textAlignment w:val="auto"/>
        <w:rPr>
          <w:rFonts w:ascii="仿宋" w:hAnsi="华文仿宋" w:eastAsia="仿宋" w:cs="华文仿宋"/>
          <w:highlight w:val="none"/>
        </w:rPr>
      </w:pPr>
      <w:r>
        <w:rPr>
          <w:rFonts w:hint="eastAsia" w:ascii="仿宋" w:hAnsi="华文仿宋" w:eastAsia="仿宋" w:cs="华文仿宋"/>
          <w:highlight w:val="none"/>
        </w:rPr>
        <w:t>（一）支付方式：银行转账</w:t>
      </w:r>
    </w:p>
    <w:p w14:paraId="7280CD8D">
      <w:pPr>
        <w:pStyle w:val="46"/>
        <w:pageBreakBefore w:val="0"/>
        <w:kinsoku/>
        <w:overflowPunct/>
        <w:topLinePunct w:val="0"/>
        <w:autoSpaceDE/>
        <w:autoSpaceDN/>
        <w:bidi w:val="0"/>
        <w:spacing w:line="560" w:lineRule="exact"/>
        <w:ind w:firstLine="567"/>
        <w:textAlignment w:val="auto"/>
        <w:rPr>
          <w:rFonts w:ascii="仿宋" w:hAnsi="华文仿宋" w:eastAsia="仿宋" w:cs="华文仿宋"/>
          <w:highlight w:val="none"/>
        </w:rPr>
      </w:pPr>
      <w:r>
        <w:rPr>
          <w:rFonts w:hint="eastAsia" w:ascii="仿宋" w:hAnsi="华文仿宋" w:eastAsia="仿宋" w:cs="华文仿宋"/>
          <w:highlight w:val="none"/>
        </w:rPr>
        <w:t>（二）货币单位：人民币</w:t>
      </w:r>
    </w:p>
    <w:p w14:paraId="2DFB1C54">
      <w:pPr>
        <w:pageBreakBefore w:val="0"/>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hint="eastAsia" w:ascii="仿宋" w:hAnsi="华文仿宋" w:eastAsia="仿宋" w:cs="华文仿宋"/>
          <w:highlight w:val="none"/>
        </w:rPr>
        <w:t>（三）结算方式：</w:t>
      </w:r>
      <w:bookmarkStart w:id="320" w:name="_Toc19805"/>
      <w:bookmarkStart w:id="321" w:name="_Toc27759"/>
      <w:bookmarkStart w:id="322" w:name="_Toc17983_WPSOffice_Level2"/>
    </w:p>
    <w:p w14:paraId="0312AA4D">
      <w:pPr>
        <w:pageBreakBefore w:val="0"/>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hint="eastAsia" w:ascii="仿宋" w:hAnsi="华文仿宋" w:eastAsia="仿宋" w:cs="华文仿宋"/>
          <w:highlight w:val="none"/>
        </w:rPr>
        <w:t>1、合同款甲方以人民币结算。在付款时，乙方须出具付款申请并开具付款金额等额发票给甲方。</w:t>
      </w:r>
    </w:p>
    <w:p w14:paraId="5DB7B1CF">
      <w:pPr>
        <w:pageBreakBefore w:val="0"/>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hint="eastAsia" w:ascii="仿宋" w:hAnsi="华文仿宋" w:eastAsia="仿宋" w:cs="华文仿宋"/>
          <w:highlight w:val="none"/>
        </w:rPr>
        <w:t>2、付款方式：</w:t>
      </w:r>
    </w:p>
    <w:bookmarkEnd w:id="320"/>
    <w:bookmarkEnd w:id="321"/>
    <w:bookmarkEnd w:id="322"/>
    <w:p w14:paraId="4D627C68">
      <w:pPr>
        <w:pageBreakBefore w:val="0"/>
        <w:kinsoku/>
        <w:overflowPunct/>
        <w:topLinePunct w:val="0"/>
        <w:autoSpaceDE/>
        <w:autoSpaceDN/>
        <w:bidi w:val="0"/>
        <w:spacing w:line="560" w:lineRule="exact"/>
        <w:ind w:firstLine="566" w:firstLineChars="200"/>
        <w:textAlignment w:val="auto"/>
        <w:outlineLvl w:val="9"/>
        <w:rPr>
          <w:rFonts w:hint="eastAsia" w:ascii="仿宋" w:hAnsi="华文仿宋" w:eastAsia="仿宋" w:cs="华文仿宋"/>
          <w:b w:val="0"/>
          <w:bCs w:val="0"/>
          <w:kern w:val="2"/>
          <w:sz w:val="28"/>
          <w:szCs w:val="28"/>
          <w:highlight w:val="none"/>
          <w:lang w:val="en-US" w:eastAsia="zh-CN" w:bidi="ar-SA"/>
        </w:rPr>
      </w:pPr>
      <w:bookmarkStart w:id="323" w:name="_Toc29238"/>
      <w:bookmarkStart w:id="324" w:name="_Toc7178"/>
      <w:bookmarkStart w:id="325" w:name="_Toc5232"/>
      <w:bookmarkStart w:id="326" w:name="_Toc8229"/>
      <w:bookmarkStart w:id="327" w:name="_Toc32122"/>
      <w:bookmarkStart w:id="328" w:name="_Toc4595"/>
      <w:bookmarkStart w:id="329" w:name="_Toc21536"/>
      <w:bookmarkStart w:id="330" w:name="_Toc4874"/>
      <w:bookmarkStart w:id="331" w:name="_Toc24110"/>
      <w:bookmarkStart w:id="332" w:name="_Toc8604"/>
      <w:bookmarkStart w:id="333" w:name="_Toc9670"/>
      <w:bookmarkStart w:id="334" w:name="_Toc18479"/>
      <w:bookmarkStart w:id="335" w:name="_Toc31253"/>
      <w:bookmarkStart w:id="336" w:name="_Toc1013"/>
      <w:bookmarkStart w:id="337" w:name="_Toc745"/>
      <w:bookmarkStart w:id="338" w:name="_Toc1928"/>
      <w:bookmarkStart w:id="339" w:name="_Toc9859"/>
      <w:r>
        <w:rPr>
          <w:rFonts w:hint="eastAsia" w:hAnsi="华文仿宋" w:cs="华文仿宋"/>
          <w:b w:val="0"/>
          <w:bCs w:val="0"/>
          <w:kern w:val="2"/>
          <w:sz w:val="28"/>
          <w:szCs w:val="28"/>
          <w:highlight w:val="none"/>
          <w:lang w:val="en-US" w:eastAsia="zh-CN" w:bidi="ar-SA"/>
        </w:rPr>
        <w:t>（1）</w:t>
      </w:r>
      <w:r>
        <w:rPr>
          <w:rFonts w:hint="eastAsia" w:ascii="仿宋" w:hAnsi="华文仿宋" w:eastAsia="仿宋" w:cs="华文仿宋"/>
          <w:b w:val="0"/>
          <w:bCs w:val="0"/>
          <w:kern w:val="2"/>
          <w:sz w:val="28"/>
          <w:szCs w:val="28"/>
          <w:highlight w:val="none"/>
          <w:lang w:val="en-US" w:eastAsia="zh-CN" w:bidi="ar-SA"/>
        </w:rPr>
        <w:t>自双方合同生效后20个工作日内，根据成交供应商提交的付款申请，以及开具的同等金额增值税发票，采购人向成交供应商支付合同总额的90%；</w:t>
      </w:r>
    </w:p>
    <w:p w14:paraId="3F5BA13C">
      <w:pPr>
        <w:pageBreakBefore w:val="0"/>
        <w:kinsoku/>
        <w:overflowPunct/>
        <w:topLinePunct w:val="0"/>
        <w:autoSpaceDE/>
        <w:autoSpaceDN/>
        <w:bidi w:val="0"/>
        <w:spacing w:line="560" w:lineRule="exact"/>
        <w:ind w:firstLine="566" w:firstLineChars="200"/>
        <w:textAlignment w:val="auto"/>
        <w:outlineLvl w:val="9"/>
        <w:rPr>
          <w:rFonts w:hint="eastAsia" w:ascii="仿宋" w:hAnsi="华文仿宋" w:eastAsia="仿宋" w:cs="华文仿宋"/>
          <w:b w:val="0"/>
          <w:bCs w:val="0"/>
          <w:kern w:val="2"/>
          <w:sz w:val="28"/>
          <w:szCs w:val="28"/>
          <w:highlight w:val="none"/>
          <w:lang w:val="en-US" w:eastAsia="zh-CN" w:bidi="ar-SA"/>
        </w:rPr>
      </w:pPr>
      <w:r>
        <w:rPr>
          <w:rFonts w:hint="eastAsia" w:hAnsi="华文仿宋" w:cs="华文仿宋"/>
          <w:b w:val="0"/>
          <w:bCs w:val="0"/>
          <w:kern w:val="2"/>
          <w:sz w:val="28"/>
          <w:szCs w:val="28"/>
          <w:highlight w:val="none"/>
          <w:lang w:val="en-US" w:eastAsia="zh-CN" w:bidi="ar-SA"/>
        </w:rPr>
        <w:t>（2）</w:t>
      </w:r>
      <w:r>
        <w:rPr>
          <w:rFonts w:hint="eastAsia" w:ascii="仿宋" w:hAnsi="华文仿宋" w:eastAsia="仿宋" w:cs="华文仿宋"/>
          <w:b w:val="0"/>
          <w:bCs w:val="0"/>
          <w:kern w:val="2"/>
          <w:sz w:val="28"/>
          <w:szCs w:val="28"/>
          <w:highlight w:val="none"/>
          <w:lang w:val="en-US" w:eastAsia="zh-CN" w:bidi="ar-SA"/>
        </w:rPr>
        <w:t>在合同到期前30个工作日内，采购人组织相关人员对成交供应商的服务进行考核，服务标准和服务方式达到采购要求后，根据成交供应商提交的付款申请，以及开具的同等金额增值税发票，采购人向成交供应商支付合同剩余金额的10%。</w:t>
      </w:r>
    </w:p>
    <w:p w14:paraId="52C4312E">
      <w:pPr>
        <w:pStyle w:val="4"/>
        <w:pageBreakBefore w:val="0"/>
        <w:kinsoku/>
        <w:overflowPunct/>
        <w:topLinePunct w:val="0"/>
        <w:autoSpaceDE/>
        <w:autoSpaceDN/>
        <w:bidi w:val="0"/>
        <w:spacing w:line="560" w:lineRule="exact"/>
        <w:ind w:firstLine="566" w:firstLineChars="200"/>
        <w:textAlignment w:val="auto"/>
        <w:rPr>
          <w:rFonts w:ascii="Calibri Light" w:hAnsi="Calibri Light"/>
          <w:highlight w:val="none"/>
        </w:rPr>
      </w:pPr>
      <w:r>
        <w:rPr>
          <w:rFonts w:hint="eastAsia" w:ascii="Calibri Light" w:hAnsi="Calibri Light"/>
          <w:highlight w:val="none"/>
        </w:rPr>
        <w:t>四、双方权利及义务：</w:t>
      </w:r>
      <w:bookmarkEnd w:id="323"/>
      <w:bookmarkEnd w:id="324"/>
      <w:bookmarkEnd w:id="325"/>
      <w:bookmarkEnd w:id="326"/>
      <w:bookmarkEnd w:id="327"/>
      <w:bookmarkEnd w:id="328"/>
      <w:bookmarkEnd w:id="329"/>
      <w:bookmarkEnd w:id="330"/>
      <w:bookmarkEnd w:id="331"/>
    </w:p>
    <w:p w14:paraId="4F340159">
      <w:pPr>
        <w:pStyle w:val="5"/>
        <w:pageBreakBefore w:val="0"/>
        <w:kinsoku/>
        <w:overflowPunct/>
        <w:topLinePunct w:val="0"/>
        <w:autoSpaceDE/>
        <w:autoSpaceDN/>
        <w:bidi w:val="0"/>
        <w:spacing w:line="560" w:lineRule="exact"/>
        <w:ind w:firstLine="566" w:firstLineChars="200"/>
        <w:textAlignment w:val="auto"/>
        <w:rPr>
          <w:rFonts w:eastAsia="仿宋"/>
          <w:highlight w:val="none"/>
        </w:rPr>
      </w:pPr>
      <w:r>
        <w:rPr>
          <w:rFonts w:hint="eastAsia" w:eastAsia="仿宋"/>
          <w:highlight w:val="none"/>
        </w:rPr>
        <w:t>1、甲方权利及义务：</w:t>
      </w:r>
    </w:p>
    <w:p w14:paraId="72B2A6BA">
      <w:pPr>
        <w:pStyle w:val="5"/>
        <w:pageBreakBefore w:val="0"/>
        <w:kinsoku/>
        <w:overflowPunct/>
        <w:topLinePunct w:val="0"/>
        <w:autoSpaceDE/>
        <w:autoSpaceDN/>
        <w:bidi w:val="0"/>
        <w:spacing w:line="560" w:lineRule="exact"/>
        <w:ind w:firstLine="566" w:firstLineChars="200"/>
        <w:textAlignment w:val="auto"/>
        <w:rPr>
          <w:rFonts w:eastAsia="仿宋"/>
          <w:highlight w:val="none"/>
        </w:rPr>
      </w:pPr>
      <w:r>
        <w:rPr>
          <w:rFonts w:hint="eastAsia" w:eastAsia="仿宋"/>
          <w:highlight w:val="none"/>
        </w:rPr>
        <w:t>（1）</w:t>
      </w:r>
      <w:r>
        <w:rPr>
          <w:rFonts w:eastAsia="仿宋"/>
          <w:highlight w:val="none"/>
        </w:rPr>
        <w:t>有权监督乙方的工作进度和工作质量，由项目代表对乙方按照合同约定所完成的工作内容予以阶段确认。</w:t>
      </w:r>
    </w:p>
    <w:p w14:paraId="51C995EA">
      <w:pPr>
        <w:pStyle w:val="5"/>
        <w:pageBreakBefore w:val="0"/>
        <w:kinsoku/>
        <w:overflowPunct/>
        <w:topLinePunct w:val="0"/>
        <w:autoSpaceDE/>
        <w:autoSpaceDN/>
        <w:bidi w:val="0"/>
        <w:spacing w:line="560" w:lineRule="exact"/>
        <w:ind w:firstLine="566" w:firstLineChars="200"/>
        <w:textAlignment w:val="auto"/>
        <w:rPr>
          <w:rFonts w:eastAsia="仿宋"/>
          <w:highlight w:val="none"/>
        </w:rPr>
      </w:pPr>
      <w:r>
        <w:rPr>
          <w:rFonts w:hint="eastAsia" w:eastAsia="仿宋"/>
          <w:highlight w:val="none"/>
        </w:rPr>
        <w:t>（2）</w:t>
      </w:r>
      <w:r>
        <w:rPr>
          <w:rFonts w:eastAsia="仿宋"/>
          <w:highlight w:val="none"/>
        </w:rPr>
        <w:t>有权在技术服务过程中，提出修改意见。</w:t>
      </w:r>
    </w:p>
    <w:p w14:paraId="2EA4574B">
      <w:pPr>
        <w:pStyle w:val="5"/>
        <w:pageBreakBefore w:val="0"/>
        <w:kinsoku/>
        <w:overflowPunct/>
        <w:topLinePunct w:val="0"/>
        <w:autoSpaceDE/>
        <w:autoSpaceDN/>
        <w:bidi w:val="0"/>
        <w:spacing w:line="560" w:lineRule="exact"/>
        <w:ind w:firstLine="566" w:firstLineChars="200"/>
        <w:textAlignment w:val="auto"/>
        <w:rPr>
          <w:rFonts w:eastAsia="仿宋"/>
          <w:highlight w:val="none"/>
        </w:rPr>
      </w:pPr>
      <w:r>
        <w:rPr>
          <w:rFonts w:hint="eastAsia" w:eastAsia="仿宋"/>
          <w:highlight w:val="none"/>
        </w:rPr>
        <w:t>（3）应向乙方提供并允许乙方为完成本项目使用双方商议确认的信息、数据、资料；协助乙方解决项目实施中需由甲方协助解决的问题。</w:t>
      </w:r>
    </w:p>
    <w:p w14:paraId="0CED7028">
      <w:pPr>
        <w:pStyle w:val="5"/>
        <w:pageBreakBefore w:val="0"/>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hint="eastAsia" w:eastAsia="仿宋"/>
          <w:highlight w:val="none"/>
        </w:rPr>
        <w:t>（4）</w:t>
      </w:r>
      <w:r>
        <w:rPr>
          <w:rFonts w:hint="eastAsia" w:ascii="仿宋" w:hAnsi="华文仿宋" w:eastAsia="仿宋" w:cs="华文仿宋"/>
          <w:highlight w:val="none"/>
        </w:rPr>
        <w:t>应按本合同的约定向乙方支付合同款和组织项目验收。</w:t>
      </w:r>
    </w:p>
    <w:p w14:paraId="027EAD0B">
      <w:pPr>
        <w:pStyle w:val="5"/>
        <w:pageBreakBefore w:val="0"/>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hint="eastAsia" w:ascii="仿宋" w:hAnsi="华文仿宋" w:eastAsia="仿宋" w:cs="华文仿宋"/>
          <w:highlight w:val="none"/>
        </w:rPr>
        <w:t>（5）遵守本合同约定的知识产权，履行保密义务</w:t>
      </w:r>
    </w:p>
    <w:p w14:paraId="6DA928A9">
      <w:pPr>
        <w:pStyle w:val="5"/>
        <w:pageBreakBefore w:val="0"/>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hint="eastAsia" w:ascii="仿宋" w:hAnsi="华文仿宋" w:eastAsia="仿宋" w:cs="华文仿宋"/>
          <w:highlight w:val="none"/>
        </w:rPr>
        <w:t>2、乙方的权利及义务：</w:t>
      </w:r>
    </w:p>
    <w:p w14:paraId="25A35EDC">
      <w:pPr>
        <w:pStyle w:val="5"/>
        <w:pageBreakBefore w:val="0"/>
        <w:kinsoku/>
        <w:overflowPunct/>
        <w:topLinePunct w:val="0"/>
        <w:autoSpaceDE/>
        <w:autoSpaceDN/>
        <w:bidi w:val="0"/>
        <w:spacing w:line="560" w:lineRule="exact"/>
        <w:ind w:firstLine="566" w:firstLineChars="200"/>
        <w:textAlignment w:val="auto"/>
        <w:rPr>
          <w:rFonts w:eastAsia="仿宋"/>
          <w:highlight w:val="none"/>
        </w:rPr>
      </w:pPr>
      <w:r>
        <w:rPr>
          <w:rFonts w:hint="eastAsia" w:eastAsia="仿宋"/>
          <w:highlight w:val="none"/>
        </w:rPr>
        <w:t>（1）指定专人负责本项目的实施，乙方应在合同约定的时间内，向甲方提交书面的项目工作方案相关规定制定的货物，服务人员名单及职责分工。</w:t>
      </w:r>
    </w:p>
    <w:p w14:paraId="52D12FCF">
      <w:pPr>
        <w:pStyle w:val="5"/>
        <w:pageBreakBefore w:val="0"/>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hint="eastAsia" w:ascii="仿宋" w:hAnsi="华文仿宋" w:eastAsia="仿宋" w:cs="华文仿宋"/>
          <w:highlight w:val="none"/>
        </w:rPr>
        <w:t>（2）应按照工作方案，向甲方交付合格的产品和技术资料。保证服务内容与本合同约定的质量要求和数量一致。</w:t>
      </w:r>
    </w:p>
    <w:p w14:paraId="68A05CA8">
      <w:pPr>
        <w:pStyle w:val="5"/>
        <w:pageBreakBefore w:val="0"/>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hint="eastAsia" w:ascii="仿宋" w:hAnsi="华文仿宋" w:eastAsia="仿宋" w:cs="华文仿宋"/>
          <w:highlight w:val="none"/>
        </w:rPr>
        <w:t>（3）保证在合同履行期间，拥有采购人要求的资质和开发能力，并保证不会侵犯任何第三方知识产权。</w:t>
      </w:r>
    </w:p>
    <w:p w14:paraId="50F124D1">
      <w:pPr>
        <w:pageBreakBefore w:val="0"/>
        <w:tabs>
          <w:tab w:val="left" w:pos="840"/>
        </w:tabs>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hint="eastAsia" w:ascii="仿宋" w:hAnsi="华文仿宋" w:eastAsia="仿宋" w:cs="华文仿宋"/>
          <w:highlight w:val="none"/>
        </w:rPr>
        <w:t>（4）按照本合同约定为采购人提供符合要求的场地及人员。人员为乙方聘用员工且符合甲方要求的相应技术，乙方与服务人员按照《劳动法》相关条款规定为其缴纳社会保险。</w:t>
      </w:r>
    </w:p>
    <w:p w14:paraId="0B93861E">
      <w:pPr>
        <w:pageBreakBefore w:val="0"/>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hint="eastAsia" w:ascii="仿宋" w:hAnsi="华文仿宋" w:eastAsia="仿宋" w:cs="华文仿宋"/>
          <w:highlight w:val="none"/>
        </w:rPr>
        <w:t>⑸遵守本合同约定的知识产权，履行保密义务。</w:t>
      </w:r>
    </w:p>
    <w:p w14:paraId="79C2910A">
      <w:pPr>
        <w:pageBreakBefore w:val="0"/>
        <w:kinsoku/>
        <w:overflowPunct/>
        <w:topLinePunct w:val="0"/>
        <w:autoSpaceDE/>
        <w:autoSpaceDN/>
        <w:bidi w:val="0"/>
        <w:spacing w:line="560" w:lineRule="exact"/>
        <w:ind w:firstLine="566" w:firstLineChars="200"/>
        <w:textAlignment w:val="auto"/>
        <w:outlineLvl w:val="1"/>
        <w:rPr>
          <w:rFonts w:ascii="仿宋" w:hAnsi="华文仿宋" w:eastAsia="仿宋" w:cs="华文仿宋"/>
          <w:b/>
          <w:highlight w:val="none"/>
        </w:rPr>
      </w:pPr>
      <w:bookmarkStart w:id="340" w:name="_Toc24678"/>
      <w:bookmarkStart w:id="341" w:name="_Toc530"/>
      <w:bookmarkStart w:id="342" w:name="_Toc7429"/>
      <w:bookmarkStart w:id="343" w:name="_Toc15726"/>
      <w:bookmarkStart w:id="344" w:name="_Toc9223"/>
      <w:bookmarkStart w:id="345" w:name="_Toc28731"/>
      <w:bookmarkStart w:id="346" w:name="_Toc32313"/>
      <w:bookmarkStart w:id="347" w:name="_Toc21929"/>
      <w:bookmarkStart w:id="348" w:name="_Toc27743"/>
      <w:bookmarkStart w:id="349" w:name="_Toc29580"/>
      <w:bookmarkStart w:id="350" w:name="_Toc6759"/>
      <w:r>
        <w:rPr>
          <w:rFonts w:hint="eastAsia" w:ascii="仿宋" w:hAnsi="华文仿宋" w:eastAsia="仿宋" w:cs="华文仿宋"/>
          <w:b/>
          <w:highlight w:val="none"/>
        </w:rPr>
        <w:t>五、服务保证</w:t>
      </w:r>
      <w:bookmarkEnd w:id="340"/>
      <w:bookmarkEnd w:id="341"/>
      <w:bookmarkEnd w:id="342"/>
      <w:bookmarkEnd w:id="343"/>
      <w:bookmarkEnd w:id="344"/>
      <w:bookmarkEnd w:id="345"/>
      <w:bookmarkEnd w:id="346"/>
      <w:bookmarkEnd w:id="347"/>
      <w:bookmarkEnd w:id="348"/>
      <w:bookmarkEnd w:id="349"/>
      <w:bookmarkEnd w:id="350"/>
    </w:p>
    <w:p w14:paraId="5A8488FB">
      <w:pPr>
        <w:pageBreakBefore w:val="0"/>
        <w:tabs>
          <w:tab w:val="left" w:pos="840"/>
        </w:tabs>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hint="eastAsia" w:ascii="仿宋" w:hAnsi="华文仿宋" w:eastAsia="仿宋" w:cs="华文仿宋"/>
          <w:highlight w:val="none"/>
        </w:rPr>
        <w:t>1、人员雇佣及工资标准</w:t>
      </w:r>
    </w:p>
    <w:p w14:paraId="56AA1C9D">
      <w:pPr>
        <w:pageBreakBefore w:val="0"/>
        <w:tabs>
          <w:tab w:val="left" w:pos="840"/>
        </w:tabs>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hint="eastAsia" w:ascii="仿宋" w:hAnsi="华文仿宋" w:eastAsia="仿宋" w:cs="华文仿宋"/>
          <w:highlight w:val="none"/>
        </w:rPr>
        <w:t>（1）成交供应商须保障所有人员待遇不得低于西安市最低工资标准。</w:t>
      </w:r>
    </w:p>
    <w:p w14:paraId="52E057DE">
      <w:pPr>
        <w:pageBreakBefore w:val="0"/>
        <w:tabs>
          <w:tab w:val="left" w:pos="840"/>
        </w:tabs>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hint="eastAsia" w:ascii="仿宋" w:hAnsi="华文仿宋" w:eastAsia="仿宋" w:cs="华文仿宋"/>
          <w:highlight w:val="none"/>
        </w:rPr>
        <w:t>（2）成交供应商须与员工签订劳动合同，引起劳动关系问题由成交供应商负责。</w:t>
      </w:r>
    </w:p>
    <w:p w14:paraId="14D500EC">
      <w:pPr>
        <w:pageBreakBefore w:val="0"/>
        <w:tabs>
          <w:tab w:val="left" w:pos="840"/>
        </w:tabs>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hint="eastAsia" w:ascii="仿宋" w:hAnsi="华文仿宋" w:eastAsia="仿宋" w:cs="华文仿宋"/>
          <w:highlight w:val="none"/>
        </w:rPr>
        <w:t>2、未经采购人书面许可，成交供应商不得从事与本项目合同约定以外的任何经营性活动，不得引进任何单位和个人从事经营性活动，不得出租、出借、出让采购人任何资产，成交供应商有义务爱护采购人管辖范围内的各种设施设备，不得阻碍经采购人批准的服务项目和活动的实施，否则视为违约。</w:t>
      </w:r>
    </w:p>
    <w:p w14:paraId="7A6F3638">
      <w:pPr>
        <w:pageBreakBefore w:val="0"/>
        <w:kinsoku/>
        <w:overflowPunct/>
        <w:topLinePunct w:val="0"/>
        <w:autoSpaceDE/>
        <w:autoSpaceDN/>
        <w:bidi w:val="0"/>
        <w:spacing w:line="560" w:lineRule="exact"/>
        <w:ind w:firstLine="566" w:firstLineChars="200"/>
        <w:textAlignment w:val="auto"/>
        <w:outlineLvl w:val="1"/>
        <w:rPr>
          <w:rFonts w:ascii="仿宋" w:hAnsi="华文仿宋" w:eastAsia="仿宋" w:cs="华文仿宋"/>
          <w:b/>
          <w:highlight w:val="none"/>
        </w:rPr>
      </w:pPr>
      <w:bookmarkStart w:id="351" w:name="_Toc1451"/>
      <w:bookmarkStart w:id="352" w:name="_Toc32099"/>
      <w:bookmarkStart w:id="353" w:name="_Toc1967"/>
      <w:bookmarkStart w:id="354" w:name="_Toc15772"/>
      <w:bookmarkStart w:id="355" w:name="_Toc14919"/>
      <w:bookmarkStart w:id="356" w:name="_Toc29742"/>
      <w:bookmarkStart w:id="357" w:name="_Toc30440"/>
      <w:bookmarkStart w:id="358" w:name="_Toc754"/>
      <w:bookmarkStart w:id="359" w:name="_Toc8879"/>
      <w:bookmarkStart w:id="360" w:name="_Toc16200"/>
      <w:r>
        <w:rPr>
          <w:rFonts w:hint="eastAsia" w:ascii="仿宋" w:hAnsi="华文仿宋" w:eastAsia="仿宋" w:cs="华文仿宋"/>
          <w:b/>
          <w:highlight w:val="none"/>
        </w:rPr>
        <w:t>六、</w:t>
      </w:r>
      <w:bookmarkEnd w:id="351"/>
      <w:bookmarkEnd w:id="352"/>
      <w:bookmarkEnd w:id="353"/>
      <w:r>
        <w:rPr>
          <w:rFonts w:hint="eastAsia" w:ascii="仿宋" w:hAnsi="华文仿宋" w:eastAsia="仿宋" w:cs="华文仿宋"/>
          <w:b/>
          <w:highlight w:val="none"/>
        </w:rPr>
        <w:t>服务要求</w:t>
      </w:r>
      <w:bookmarkEnd w:id="354"/>
      <w:bookmarkEnd w:id="355"/>
      <w:bookmarkEnd w:id="356"/>
      <w:bookmarkEnd w:id="357"/>
      <w:bookmarkEnd w:id="358"/>
      <w:bookmarkEnd w:id="359"/>
      <w:bookmarkEnd w:id="360"/>
    </w:p>
    <w:p w14:paraId="65783DC3">
      <w:pPr>
        <w:pageBreakBefore w:val="0"/>
        <w:tabs>
          <w:tab w:val="left" w:pos="840"/>
        </w:tabs>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bookmarkStart w:id="361" w:name="_Toc3312"/>
      <w:bookmarkStart w:id="362" w:name="_Toc7612"/>
      <w:r>
        <w:rPr>
          <w:rFonts w:hint="eastAsia" w:ascii="仿宋" w:hAnsi="华文仿宋" w:eastAsia="仿宋" w:cs="华文仿宋"/>
          <w:highlight w:val="none"/>
        </w:rPr>
        <w:t>以响应文件、澄清表（函）、合同和随服务的相关文件为准。</w:t>
      </w:r>
    </w:p>
    <w:p w14:paraId="3631017A">
      <w:pPr>
        <w:pStyle w:val="4"/>
        <w:pageBreakBefore w:val="0"/>
        <w:kinsoku/>
        <w:overflowPunct/>
        <w:topLinePunct w:val="0"/>
        <w:autoSpaceDE/>
        <w:autoSpaceDN/>
        <w:bidi w:val="0"/>
        <w:spacing w:line="560" w:lineRule="exact"/>
        <w:ind w:firstLine="566" w:firstLineChars="200"/>
        <w:textAlignment w:val="auto"/>
        <w:rPr>
          <w:rFonts w:ascii="Calibri Light" w:hAnsi="Calibri Light"/>
          <w:highlight w:val="none"/>
        </w:rPr>
      </w:pPr>
      <w:bookmarkStart w:id="363" w:name="_Toc24147"/>
      <w:bookmarkStart w:id="364" w:name="_Toc24101"/>
      <w:bookmarkStart w:id="365" w:name="_Toc30511"/>
      <w:bookmarkStart w:id="366" w:name="_Toc3618"/>
      <w:bookmarkStart w:id="367" w:name="_Toc902"/>
      <w:bookmarkStart w:id="368" w:name="_Toc22758"/>
      <w:bookmarkStart w:id="369" w:name="_Toc19424"/>
      <w:r>
        <w:rPr>
          <w:rFonts w:hint="eastAsia" w:ascii="Calibri Light" w:hAnsi="Calibri Light"/>
          <w:highlight w:val="none"/>
        </w:rPr>
        <w:t>七、</w:t>
      </w:r>
      <w:r>
        <w:rPr>
          <w:rFonts w:ascii="Calibri Light" w:hAnsi="Calibri Light"/>
          <w:highlight w:val="none"/>
        </w:rPr>
        <w:t>违约责任</w:t>
      </w:r>
      <w:bookmarkEnd w:id="332"/>
      <w:bookmarkEnd w:id="333"/>
      <w:bookmarkEnd w:id="334"/>
      <w:bookmarkEnd w:id="335"/>
      <w:bookmarkEnd w:id="336"/>
      <w:bookmarkEnd w:id="337"/>
      <w:bookmarkEnd w:id="338"/>
      <w:bookmarkEnd w:id="339"/>
      <w:bookmarkEnd w:id="361"/>
      <w:bookmarkEnd w:id="362"/>
      <w:bookmarkEnd w:id="363"/>
      <w:bookmarkEnd w:id="364"/>
      <w:bookmarkEnd w:id="365"/>
      <w:bookmarkEnd w:id="366"/>
      <w:bookmarkEnd w:id="367"/>
      <w:bookmarkEnd w:id="368"/>
      <w:bookmarkEnd w:id="369"/>
    </w:p>
    <w:p w14:paraId="26410F65">
      <w:pPr>
        <w:pageBreakBefore w:val="0"/>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hint="eastAsia" w:ascii="仿宋" w:hAnsi="华文仿宋" w:eastAsia="仿宋" w:cs="华文仿宋"/>
          <w:highlight w:val="none"/>
        </w:rPr>
        <w:t>（一）按《合同法》中的相关条款执行。</w:t>
      </w:r>
    </w:p>
    <w:p w14:paraId="125BC274">
      <w:pPr>
        <w:pageBreakBefore w:val="0"/>
        <w:kinsoku/>
        <w:overflowPunct/>
        <w:topLinePunct w:val="0"/>
        <w:autoSpaceDE/>
        <w:autoSpaceDN/>
        <w:bidi w:val="0"/>
        <w:spacing w:line="560" w:lineRule="exact"/>
        <w:ind w:firstLine="566" w:firstLineChars="200"/>
        <w:textAlignment w:val="auto"/>
        <w:rPr>
          <w:rFonts w:eastAsia="仿宋"/>
          <w:highlight w:val="none"/>
        </w:rPr>
      </w:pPr>
      <w:r>
        <w:rPr>
          <w:rFonts w:hint="eastAsia" w:ascii="仿宋" w:hAnsi="华文仿宋" w:eastAsia="仿宋" w:cs="华文仿宋"/>
          <w:highlight w:val="none"/>
        </w:rPr>
        <w:t>（二）未按合同要求提供服务、货物或服务、货物质量不能满足合同要求，采购人有权依据《合同法》有关条款及合同约定终止合同，并要求供应商承担违约责任。</w:t>
      </w:r>
    </w:p>
    <w:p w14:paraId="06330274">
      <w:pPr>
        <w:pStyle w:val="4"/>
        <w:pageBreakBefore w:val="0"/>
        <w:kinsoku/>
        <w:overflowPunct/>
        <w:topLinePunct w:val="0"/>
        <w:autoSpaceDE/>
        <w:autoSpaceDN/>
        <w:bidi w:val="0"/>
        <w:spacing w:line="560" w:lineRule="exact"/>
        <w:ind w:firstLine="566" w:firstLineChars="200"/>
        <w:textAlignment w:val="auto"/>
        <w:rPr>
          <w:rFonts w:ascii="Calibri Light" w:hAnsi="Calibri Light"/>
          <w:highlight w:val="none"/>
        </w:rPr>
      </w:pPr>
      <w:bookmarkStart w:id="370" w:name="_Toc9893"/>
      <w:bookmarkStart w:id="371" w:name="_Toc12807"/>
      <w:bookmarkStart w:id="372" w:name="_Toc29554"/>
      <w:bookmarkStart w:id="373" w:name="_Toc27319"/>
      <w:bookmarkStart w:id="374" w:name="_Toc32665"/>
      <w:bookmarkStart w:id="375" w:name="_Toc11377"/>
      <w:bookmarkStart w:id="376" w:name="_Toc5968"/>
      <w:bookmarkStart w:id="377" w:name="_Toc11294"/>
      <w:bookmarkStart w:id="378" w:name="_Toc27290"/>
      <w:bookmarkStart w:id="379" w:name="_Toc24399"/>
      <w:bookmarkStart w:id="380" w:name="_Toc16421"/>
      <w:bookmarkStart w:id="381" w:name="_Toc16304"/>
      <w:bookmarkStart w:id="382" w:name="_Toc20616"/>
      <w:bookmarkStart w:id="383" w:name="_Toc22632"/>
      <w:bookmarkStart w:id="384" w:name="_Toc1540"/>
      <w:bookmarkStart w:id="385" w:name="_Toc30027"/>
      <w:bookmarkStart w:id="386" w:name="_Toc29095"/>
      <w:r>
        <w:rPr>
          <w:rFonts w:hint="eastAsia" w:ascii="Calibri Light" w:hAnsi="Calibri Light"/>
          <w:highlight w:val="none"/>
        </w:rPr>
        <w:t>八、争议解决</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14:paraId="7429D6E0">
      <w:pPr>
        <w:pageBreakBefore w:val="0"/>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bookmarkStart w:id="387" w:name="_Toc15050"/>
      <w:bookmarkStart w:id="388" w:name="_Toc28579"/>
      <w:r>
        <w:rPr>
          <w:rFonts w:hint="eastAsia" w:ascii="仿宋" w:hAnsi="华文仿宋" w:eastAsia="仿宋" w:cs="华文仿宋"/>
          <w:highlight w:val="none"/>
        </w:rPr>
        <w:t>执行本合同中产生纠纷，由采购人与成交供应商双方协商解决；协商不成，向有管辖权的人民法院提起诉讼。</w:t>
      </w:r>
      <w:bookmarkEnd w:id="387"/>
      <w:bookmarkEnd w:id="388"/>
    </w:p>
    <w:p w14:paraId="1B018817">
      <w:pPr>
        <w:pStyle w:val="4"/>
        <w:pageBreakBefore w:val="0"/>
        <w:kinsoku/>
        <w:overflowPunct/>
        <w:topLinePunct w:val="0"/>
        <w:autoSpaceDE/>
        <w:autoSpaceDN/>
        <w:bidi w:val="0"/>
        <w:spacing w:line="560" w:lineRule="exact"/>
        <w:ind w:firstLine="566" w:firstLineChars="200"/>
        <w:textAlignment w:val="auto"/>
        <w:rPr>
          <w:rFonts w:ascii="Calibri Light" w:hAnsi="Calibri Light"/>
          <w:highlight w:val="none"/>
        </w:rPr>
      </w:pPr>
      <w:bookmarkStart w:id="389" w:name="_Toc28357"/>
      <w:bookmarkStart w:id="390" w:name="_Toc20120"/>
      <w:bookmarkStart w:id="391" w:name="_Toc14629"/>
      <w:bookmarkStart w:id="392" w:name="_Toc5329"/>
      <w:r>
        <w:rPr>
          <w:rFonts w:hint="eastAsia" w:ascii="Calibri Light" w:hAnsi="Calibri Light"/>
          <w:highlight w:val="none"/>
        </w:rPr>
        <w:t>九</w:t>
      </w:r>
      <w:r>
        <w:rPr>
          <w:rFonts w:ascii="Calibri Light" w:hAnsi="Calibri Light"/>
          <w:highlight w:val="none"/>
        </w:rPr>
        <w:t>、</w:t>
      </w:r>
      <w:r>
        <w:rPr>
          <w:rFonts w:hint="eastAsia" w:ascii="Calibri Light" w:hAnsi="Calibri Light"/>
          <w:highlight w:val="none"/>
        </w:rPr>
        <w:t>合同生效及其他</w:t>
      </w:r>
      <w:bookmarkEnd w:id="389"/>
      <w:bookmarkEnd w:id="390"/>
      <w:bookmarkEnd w:id="391"/>
      <w:bookmarkEnd w:id="392"/>
    </w:p>
    <w:p w14:paraId="2C079E1F">
      <w:pPr>
        <w:pageBreakBefore w:val="0"/>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hint="eastAsia" w:ascii="仿宋" w:hAnsi="华文仿宋" w:eastAsia="仿宋" w:cs="华文仿宋"/>
          <w:highlight w:val="none"/>
        </w:rPr>
        <w:t xml:space="preserve">（一）本合同自签订之日起生效。 </w:t>
      </w:r>
    </w:p>
    <w:p w14:paraId="4E33198C">
      <w:pPr>
        <w:pageBreakBefore w:val="0"/>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hint="eastAsia" w:ascii="仿宋" w:hAnsi="华文仿宋" w:eastAsia="仿宋" w:cs="华文仿宋"/>
          <w:highlight w:val="none"/>
        </w:rPr>
        <w:t>（二）合同一式柒份，采购人贰份，成交供应商、陕西中发项目管理发展有限公司各执壹份；政府采购监管机构备案壹份，成交供应商办理结算贰份。</w:t>
      </w:r>
    </w:p>
    <w:p w14:paraId="6FC494B3">
      <w:pPr>
        <w:pageBreakBefore w:val="0"/>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hint="eastAsia" w:ascii="仿宋" w:hAnsi="华文仿宋" w:eastAsia="仿宋" w:cs="华文仿宋"/>
          <w:highlight w:val="none"/>
        </w:rPr>
        <w:t>（三）未尽事宜由双方在签订合同时具体明确。</w:t>
      </w:r>
    </w:p>
    <w:p w14:paraId="22ACFCF2">
      <w:pPr>
        <w:pStyle w:val="5"/>
        <w:pageBreakBefore w:val="0"/>
        <w:kinsoku/>
        <w:overflowPunct/>
        <w:topLinePunct w:val="0"/>
        <w:autoSpaceDE/>
        <w:autoSpaceDN/>
        <w:bidi w:val="0"/>
        <w:spacing w:line="560" w:lineRule="exact"/>
        <w:ind w:firstLine="566" w:firstLineChars="200"/>
        <w:textAlignment w:val="auto"/>
        <w:rPr>
          <w:rFonts w:ascii="黑体" w:hAnsi="黑体" w:eastAsia="黑体" w:cs="黑体"/>
          <w:sz w:val="32"/>
          <w:szCs w:val="32"/>
          <w:highlight w:val="none"/>
        </w:rPr>
      </w:pPr>
      <w:r>
        <w:rPr>
          <w:rFonts w:hint="eastAsia" w:ascii="仿宋" w:hAnsi="华文仿宋" w:eastAsia="仿宋" w:cs="华文仿宋"/>
          <w:highlight w:val="none"/>
        </w:rPr>
        <w:t>（四）本合同仅供参考具体合同以采购人和</w:t>
      </w:r>
      <w:r>
        <w:rPr>
          <w:rFonts w:hint="eastAsia" w:ascii="仿宋" w:hAnsi="华文仿宋" w:eastAsia="仿宋" w:cs="华文仿宋"/>
          <w:highlight w:val="none"/>
          <w:lang w:eastAsia="zh-CN"/>
        </w:rPr>
        <w:t>成交单位</w:t>
      </w:r>
      <w:r>
        <w:rPr>
          <w:rFonts w:hint="eastAsia" w:ascii="仿宋" w:hAnsi="华文仿宋" w:eastAsia="仿宋" w:cs="华文仿宋"/>
          <w:highlight w:val="none"/>
        </w:rPr>
        <w:t>签订的为准。</w:t>
      </w:r>
    </w:p>
    <w:p w14:paraId="6CE5EDC1">
      <w:pPr>
        <w:pageBreakBefore w:val="0"/>
        <w:kinsoku/>
        <w:overflowPunct/>
        <w:topLinePunct w:val="0"/>
        <w:autoSpaceDE/>
        <w:autoSpaceDN/>
        <w:bidi w:val="0"/>
        <w:spacing w:line="560" w:lineRule="exact"/>
        <w:ind w:firstLine="566" w:firstLineChars="200"/>
        <w:textAlignment w:val="auto"/>
        <w:rPr>
          <w:rFonts w:ascii="仿宋" w:hAnsi="华文仿宋" w:eastAsia="仿宋" w:cs="华文仿宋"/>
          <w:b/>
          <w:highlight w:val="none"/>
        </w:rPr>
      </w:pPr>
    </w:p>
    <w:p w14:paraId="6E078C7F">
      <w:pPr>
        <w:pageBreakBefore w:val="0"/>
        <w:kinsoku/>
        <w:overflowPunct/>
        <w:topLinePunct w:val="0"/>
        <w:autoSpaceDE/>
        <w:autoSpaceDN/>
        <w:bidi w:val="0"/>
        <w:spacing w:line="560" w:lineRule="exact"/>
        <w:textAlignment w:val="auto"/>
        <w:rPr>
          <w:rFonts w:ascii="黑体" w:hAnsi="黑体" w:eastAsia="黑体" w:cs="黑体"/>
          <w:sz w:val="32"/>
          <w:szCs w:val="32"/>
          <w:highlight w:val="none"/>
        </w:rPr>
      </w:pPr>
      <w:bookmarkStart w:id="393" w:name="_Toc17437"/>
      <w:bookmarkStart w:id="394" w:name="_Toc28681268"/>
      <w:bookmarkStart w:id="395" w:name="_Toc13662"/>
      <w:bookmarkStart w:id="396" w:name="_Toc27351"/>
      <w:bookmarkStart w:id="397" w:name="_Toc13361"/>
      <w:bookmarkStart w:id="398" w:name="_Toc25916"/>
      <w:bookmarkStart w:id="399" w:name="_Toc28591"/>
      <w:bookmarkStart w:id="400" w:name="_Toc24613"/>
      <w:bookmarkStart w:id="401" w:name="_Toc9261"/>
      <w:bookmarkStart w:id="402" w:name="_Toc22219"/>
      <w:bookmarkStart w:id="403" w:name="_Toc5620"/>
      <w:bookmarkStart w:id="404" w:name="_Toc9706"/>
      <w:bookmarkStart w:id="405" w:name="_Toc11783"/>
      <w:bookmarkStart w:id="406" w:name="_Toc32130"/>
      <w:bookmarkStart w:id="407" w:name="_Toc31412"/>
      <w:bookmarkStart w:id="408" w:name="_Toc26512"/>
      <w:bookmarkStart w:id="409" w:name="_Toc11725"/>
      <w:bookmarkStart w:id="410" w:name="_Toc20728"/>
      <w:bookmarkStart w:id="411" w:name="_Toc4348"/>
      <w:r>
        <w:rPr>
          <w:rFonts w:hint="eastAsia" w:ascii="黑体" w:hAnsi="黑体" w:eastAsia="黑体" w:cs="黑体"/>
          <w:sz w:val="32"/>
          <w:szCs w:val="32"/>
          <w:highlight w:val="none"/>
        </w:rPr>
        <w:br w:type="page"/>
      </w:r>
    </w:p>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14:paraId="087946A7">
      <w:pPr>
        <w:pStyle w:val="3"/>
        <w:ind w:firstLine="646" w:firstLineChars="200"/>
        <w:rPr>
          <w:rFonts w:ascii="黑体" w:hAnsi="黑体" w:eastAsia="黑体" w:cs="黑体"/>
          <w:b w:val="0"/>
          <w:bCs w:val="0"/>
          <w:sz w:val="32"/>
          <w:szCs w:val="32"/>
          <w:highlight w:val="none"/>
        </w:rPr>
      </w:pPr>
      <w:bookmarkStart w:id="412" w:name="_Toc21826"/>
      <w:bookmarkStart w:id="413" w:name="_Toc21914"/>
      <w:bookmarkStart w:id="414" w:name="_Toc16041"/>
      <w:bookmarkStart w:id="415" w:name="_Toc18310"/>
      <w:bookmarkStart w:id="416" w:name="_Toc763"/>
      <w:bookmarkStart w:id="417" w:name="_Toc26631"/>
      <w:bookmarkStart w:id="418" w:name="_Toc28681267"/>
      <w:bookmarkStart w:id="419" w:name="_Toc13024"/>
      <w:bookmarkStart w:id="420" w:name="_Toc28147"/>
      <w:bookmarkStart w:id="421" w:name="_Toc21430"/>
      <w:bookmarkStart w:id="422" w:name="_Toc15225"/>
      <w:bookmarkStart w:id="423" w:name="_Toc8870"/>
      <w:bookmarkStart w:id="424" w:name="_Toc21448"/>
      <w:bookmarkStart w:id="425" w:name="_Toc26038"/>
      <w:bookmarkStart w:id="426" w:name="_Toc31303"/>
      <w:r>
        <w:rPr>
          <w:rFonts w:hint="eastAsia" w:ascii="黑体" w:hAnsi="黑体" w:eastAsia="黑体" w:cs="黑体"/>
          <w:b w:val="0"/>
          <w:bCs w:val="0"/>
          <w:sz w:val="32"/>
          <w:szCs w:val="32"/>
          <w:highlight w:val="none"/>
        </w:rPr>
        <w:t>第五章  响应文件构成及格式</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tbl>
      <w:tblPr>
        <w:tblStyle w:val="23"/>
        <w:tblW w:w="8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14:paraId="6B3BA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7" w:hRule="atLeast"/>
          <w:jc w:val="center"/>
        </w:trPr>
        <w:tc>
          <w:tcPr>
            <w:tcW w:w="8190" w:type="dxa"/>
          </w:tcPr>
          <w:p w14:paraId="160A938F">
            <w:pPr>
              <w:spacing w:before="120"/>
              <w:ind w:firstLine="566" w:firstLineChars="200"/>
              <w:rPr>
                <w:rFonts w:ascii="仿宋" w:hAnsi="仿宋" w:eastAsia="仿宋" w:cs="仿宋"/>
                <w:highlight w:val="none"/>
              </w:rPr>
            </w:pPr>
            <w:r>
              <w:rPr>
                <w:rFonts w:hint="eastAsia" w:ascii="仿宋" w:hAnsi="仿宋" w:eastAsia="仿宋" w:cs="仿宋"/>
                <w:highlight w:val="none"/>
              </w:rPr>
              <w:t>注释：</w:t>
            </w:r>
          </w:p>
          <w:p w14:paraId="06115B02">
            <w:pPr>
              <w:spacing w:before="120" w:line="420" w:lineRule="exact"/>
              <w:ind w:firstLine="566" w:firstLineChars="200"/>
              <w:jc w:val="left"/>
              <w:rPr>
                <w:rFonts w:ascii="仿宋" w:hAnsi="仿宋" w:eastAsia="仿宋" w:cs="仿宋"/>
                <w:highlight w:val="none"/>
              </w:rPr>
            </w:pPr>
            <w:r>
              <w:rPr>
                <w:rFonts w:hint="eastAsia" w:ascii="仿宋" w:hAnsi="仿宋" w:eastAsia="仿宋" w:cs="仿宋"/>
                <w:highlight w:val="none"/>
              </w:rPr>
              <w:t>1、本章分为四部分，是为方便</w:t>
            </w:r>
            <w:r>
              <w:rPr>
                <w:rFonts w:hint="eastAsia" w:ascii="仿宋" w:hAnsi="仿宋" w:eastAsia="仿宋" w:cs="仿宋"/>
                <w:highlight w:val="none"/>
                <w:lang w:eastAsia="zh-CN"/>
              </w:rPr>
              <w:t>供应商</w:t>
            </w:r>
            <w:r>
              <w:rPr>
                <w:rFonts w:hint="eastAsia" w:ascii="仿宋" w:hAnsi="仿宋" w:eastAsia="仿宋" w:cs="仿宋"/>
                <w:highlight w:val="none"/>
              </w:rPr>
              <w:t>制作响应文件设计。第一、二、四部分应按要求或给定格式选择填报。</w:t>
            </w:r>
          </w:p>
          <w:p w14:paraId="3C913069">
            <w:pPr>
              <w:spacing w:before="120" w:line="420" w:lineRule="exact"/>
              <w:ind w:firstLine="566" w:firstLineChars="200"/>
              <w:jc w:val="left"/>
              <w:rPr>
                <w:rFonts w:ascii="仿宋" w:hAnsi="仿宋" w:eastAsia="仿宋" w:cs="仿宋"/>
                <w:sz w:val="24"/>
                <w:szCs w:val="24"/>
                <w:highlight w:val="none"/>
              </w:rPr>
            </w:pPr>
            <w:r>
              <w:rPr>
                <w:rFonts w:hint="eastAsia" w:ascii="仿宋" w:hAnsi="仿宋" w:eastAsia="仿宋" w:cs="仿宋"/>
                <w:highlight w:val="none"/>
              </w:rPr>
              <w:t>2、第三部分投标方案格式仅供参考，</w:t>
            </w:r>
            <w:r>
              <w:rPr>
                <w:rFonts w:hint="eastAsia" w:ascii="仿宋" w:hAnsi="仿宋" w:eastAsia="仿宋" w:cs="仿宋"/>
                <w:highlight w:val="none"/>
                <w:lang w:eastAsia="zh-CN"/>
              </w:rPr>
              <w:t>供应商</w:t>
            </w:r>
            <w:r>
              <w:rPr>
                <w:rFonts w:hint="eastAsia" w:ascii="仿宋" w:hAnsi="仿宋" w:eastAsia="仿宋" w:cs="仿宋"/>
                <w:highlight w:val="none"/>
              </w:rPr>
              <w:t>应根据项目特点，结合本次谈判要求，对有关表格进行补充或修改，但不得对实质性文件的相关条款作出变动。</w:t>
            </w:r>
          </w:p>
        </w:tc>
      </w:tr>
    </w:tbl>
    <w:p w14:paraId="5CDDE8C2">
      <w:pPr>
        <w:widowControl w:val="0"/>
        <w:autoSpaceDE w:val="0"/>
        <w:autoSpaceDN w:val="0"/>
        <w:adjustRightInd w:val="0"/>
        <w:spacing w:line="240" w:lineRule="auto"/>
        <w:ind w:firstLine="486" w:firstLineChars="200"/>
        <w:jc w:val="left"/>
        <w:rPr>
          <w:rFonts w:ascii="宋体" w:hAnsi="Times New Roman" w:eastAsia="宋体" w:cs="Times New Roman"/>
          <w:kern w:val="0"/>
          <w:sz w:val="24"/>
          <w:szCs w:val="20"/>
          <w:highlight w:val="none"/>
        </w:rPr>
      </w:pPr>
    </w:p>
    <w:p w14:paraId="2D9A7EF5">
      <w:pPr>
        <w:spacing w:line="240" w:lineRule="auto"/>
        <w:ind w:firstLine="726" w:firstLineChars="200"/>
        <w:jc w:val="left"/>
        <w:rPr>
          <w:rFonts w:eastAsia="仿宋"/>
          <w:sz w:val="36"/>
          <w:highlight w:val="none"/>
        </w:rPr>
      </w:pPr>
      <w:r>
        <w:rPr>
          <w:rFonts w:eastAsia="仿宋"/>
          <w:sz w:val="36"/>
          <w:highlight w:val="none"/>
        </w:rPr>
        <w:br w:type="page"/>
      </w:r>
    </w:p>
    <w:p w14:paraId="22875F4A">
      <w:pPr>
        <w:spacing w:line="560" w:lineRule="exact"/>
        <w:jc w:val="right"/>
        <w:textAlignment w:val="baseline"/>
        <w:rPr>
          <w:rFonts w:ascii="宋体" w:hAnsi="宋体" w:eastAsia="宋体" w:cs="Times New Roman"/>
          <w:b/>
          <w:bCs/>
          <w:color w:val="000000"/>
          <w:kern w:val="0"/>
          <w:sz w:val="32"/>
          <w:szCs w:val="32"/>
          <w:highlight w:val="none"/>
          <w:u w:color="000000"/>
        </w:rPr>
      </w:pPr>
      <w:r>
        <w:rPr>
          <w:rFonts w:hint="eastAsia" w:ascii="宋体" w:hAnsi="宋体" w:eastAsia="宋体" w:cs="Times New Roman"/>
          <w:b/>
          <w:bCs/>
          <w:color w:val="000000"/>
          <w:kern w:val="0"/>
          <w:sz w:val="32"/>
          <w:szCs w:val="32"/>
          <w:highlight w:val="none"/>
          <w:u w:color="000000"/>
        </w:rPr>
        <w:t>正本/副本</w:t>
      </w:r>
    </w:p>
    <w:p w14:paraId="1323CD09">
      <w:pPr>
        <w:autoSpaceDE w:val="0"/>
        <w:autoSpaceDN w:val="0"/>
        <w:adjustRightInd w:val="0"/>
        <w:spacing w:line="560" w:lineRule="exact"/>
        <w:jc w:val="center"/>
        <w:textAlignment w:val="baseline"/>
        <w:rPr>
          <w:rFonts w:ascii="宋体" w:hAnsi="宋体" w:eastAsia="宋体" w:cs="微软雅黑"/>
          <w:b/>
          <w:bCs/>
          <w:color w:val="000000"/>
          <w:kern w:val="0"/>
          <w:sz w:val="72"/>
          <w:szCs w:val="72"/>
          <w:highlight w:val="none"/>
          <w:u w:color="000000"/>
        </w:rPr>
      </w:pPr>
    </w:p>
    <w:p w14:paraId="27F385F3">
      <w:pPr>
        <w:autoSpaceDE w:val="0"/>
        <w:autoSpaceDN w:val="0"/>
        <w:adjustRightInd w:val="0"/>
        <w:spacing w:line="560" w:lineRule="exact"/>
        <w:jc w:val="center"/>
        <w:textAlignment w:val="baseline"/>
        <w:rPr>
          <w:rFonts w:ascii="宋体" w:hAnsi="宋体" w:eastAsia="宋体" w:cs="微软雅黑"/>
          <w:b/>
          <w:bCs/>
          <w:color w:val="000000"/>
          <w:kern w:val="0"/>
          <w:sz w:val="72"/>
          <w:szCs w:val="72"/>
          <w:highlight w:val="none"/>
          <w:u w:color="000000"/>
        </w:rPr>
      </w:pPr>
    </w:p>
    <w:p w14:paraId="15D4246C">
      <w:pPr>
        <w:keepNext w:val="0"/>
        <w:keepLines w:val="0"/>
        <w:pageBreakBefore w:val="0"/>
        <w:widowControl/>
        <w:kinsoku/>
        <w:wordWrap/>
        <w:overflowPunct/>
        <w:topLinePunct w:val="0"/>
        <w:autoSpaceDE w:val="0"/>
        <w:autoSpaceDN w:val="0"/>
        <w:bidi w:val="0"/>
        <w:adjustRightInd w:val="0"/>
        <w:snapToGrid/>
        <w:spacing w:line="580" w:lineRule="exact"/>
        <w:jc w:val="center"/>
        <w:textAlignment w:val="baseline"/>
        <w:rPr>
          <w:rFonts w:hint="eastAsia" w:ascii="宋体" w:hAnsi="宋体" w:eastAsia="宋体" w:cs="微软雅黑"/>
          <w:b/>
          <w:bCs/>
          <w:color w:val="000000"/>
          <w:kern w:val="0"/>
          <w:sz w:val="56"/>
          <w:szCs w:val="56"/>
          <w:highlight w:val="none"/>
          <w:u w:color="000000"/>
          <w:lang w:eastAsia="zh-CN"/>
        </w:rPr>
      </w:pPr>
      <w:r>
        <w:rPr>
          <w:rFonts w:hint="eastAsia" w:ascii="宋体" w:hAnsi="宋体" w:eastAsia="宋体" w:cs="微软雅黑"/>
          <w:b/>
          <w:bCs/>
          <w:color w:val="000000"/>
          <w:kern w:val="0"/>
          <w:sz w:val="56"/>
          <w:szCs w:val="56"/>
          <w:highlight w:val="none"/>
          <w:u w:color="000000"/>
          <w:lang w:eastAsia="zh-CN"/>
        </w:rPr>
        <w:t>2025年度政府采购及相关系统</w:t>
      </w:r>
    </w:p>
    <w:p w14:paraId="243EB9B4">
      <w:pPr>
        <w:keepNext w:val="0"/>
        <w:keepLines w:val="0"/>
        <w:pageBreakBefore w:val="0"/>
        <w:widowControl/>
        <w:kinsoku/>
        <w:wordWrap/>
        <w:overflowPunct/>
        <w:topLinePunct w:val="0"/>
        <w:autoSpaceDE w:val="0"/>
        <w:autoSpaceDN w:val="0"/>
        <w:bidi w:val="0"/>
        <w:adjustRightInd w:val="0"/>
        <w:snapToGrid/>
        <w:spacing w:line="580" w:lineRule="exact"/>
        <w:jc w:val="center"/>
        <w:textAlignment w:val="baseline"/>
        <w:rPr>
          <w:rFonts w:hint="eastAsia" w:ascii="宋体" w:hAnsi="宋体" w:eastAsia="宋体" w:cs="微软雅黑"/>
          <w:b/>
          <w:bCs/>
          <w:color w:val="000000"/>
          <w:kern w:val="0"/>
          <w:sz w:val="72"/>
          <w:szCs w:val="72"/>
          <w:highlight w:val="none"/>
          <w:u w:color="000000"/>
          <w:lang w:val="zh-CN" w:eastAsia="zh-CN"/>
        </w:rPr>
      </w:pPr>
      <w:r>
        <w:rPr>
          <w:rFonts w:hint="eastAsia" w:ascii="宋体" w:hAnsi="宋体" w:eastAsia="宋体" w:cs="微软雅黑"/>
          <w:b/>
          <w:bCs/>
          <w:color w:val="000000"/>
          <w:kern w:val="0"/>
          <w:sz w:val="56"/>
          <w:szCs w:val="56"/>
          <w:highlight w:val="none"/>
          <w:u w:color="000000"/>
          <w:lang w:eastAsia="zh-CN"/>
        </w:rPr>
        <w:t>运维服务项目</w:t>
      </w:r>
    </w:p>
    <w:p w14:paraId="7DD661ED">
      <w:pPr>
        <w:autoSpaceDE w:val="0"/>
        <w:autoSpaceDN w:val="0"/>
        <w:adjustRightInd w:val="0"/>
        <w:spacing w:line="560" w:lineRule="exact"/>
        <w:jc w:val="center"/>
        <w:textAlignment w:val="baseline"/>
        <w:rPr>
          <w:rFonts w:ascii="宋体" w:hAnsi="宋体" w:eastAsia="宋体" w:cs="微软雅黑"/>
          <w:b/>
          <w:bCs/>
          <w:color w:val="000000"/>
          <w:kern w:val="0"/>
          <w:sz w:val="72"/>
          <w:szCs w:val="72"/>
          <w:highlight w:val="none"/>
          <w:u w:color="000000"/>
        </w:rPr>
      </w:pPr>
    </w:p>
    <w:p w14:paraId="198BE407">
      <w:pPr>
        <w:autoSpaceDE w:val="0"/>
        <w:autoSpaceDN w:val="0"/>
        <w:adjustRightInd w:val="0"/>
        <w:spacing w:line="560" w:lineRule="exact"/>
        <w:jc w:val="center"/>
        <w:textAlignment w:val="baseline"/>
        <w:rPr>
          <w:rFonts w:ascii="宋体" w:hAnsi="宋体" w:eastAsia="宋体" w:cs="微软雅黑"/>
          <w:b/>
          <w:bCs/>
          <w:color w:val="000000"/>
          <w:kern w:val="0"/>
          <w:sz w:val="72"/>
          <w:szCs w:val="72"/>
          <w:highlight w:val="none"/>
          <w:u w:color="000000"/>
        </w:rPr>
      </w:pPr>
    </w:p>
    <w:p w14:paraId="05AFCCBA">
      <w:pPr>
        <w:autoSpaceDE w:val="0"/>
        <w:autoSpaceDN w:val="0"/>
        <w:adjustRightInd w:val="0"/>
        <w:spacing w:line="560" w:lineRule="exact"/>
        <w:jc w:val="center"/>
        <w:textAlignment w:val="baseline"/>
        <w:rPr>
          <w:rFonts w:ascii="宋体" w:hAnsi="宋体" w:eastAsia="宋体" w:cs="微软雅黑"/>
          <w:b/>
          <w:bCs/>
          <w:color w:val="000000"/>
          <w:kern w:val="0"/>
          <w:sz w:val="72"/>
          <w:szCs w:val="72"/>
          <w:highlight w:val="none"/>
          <w:u w:color="000000"/>
        </w:rPr>
      </w:pPr>
    </w:p>
    <w:p w14:paraId="687807F7">
      <w:pPr>
        <w:tabs>
          <w:tab w:val="left" w:pos="0"/>
        </w:tabs>
        <w:spacing w:line="240" w:lineRule="auto"/>
        <w:jc w:val="center"/>
        <w:textAlignment w:val="baseline"/>
        <w:rPr>
          <w:rFonts w:ascii="微软雅黑" w:hAnsi="微软雅黑" w:eastAsia="微软雅黑" w:cs="微软雅黑"/>
          <w:bCs/>
          <w:snapToGrid w:val="0"/>
          <w:color w:val="000000"/>
          <w:kern w:val="0"/>
          <w:sz w:val="96"/>
          <w:szCs w:val="96"/>
          <w:highlight w:val="none"/>
          <w:u w:color="000000"/>
        </w:rPr>
      </w:pPr>
      <w:r>
        <w:rPr>
          <w:rFonts w:hint="eastAsia" w:ascii="微软雅黑" w:hAnsi="微软雅黑" w:eastAsia="微软雅黑" w:cs="微软雅黑"/>
          <w:bCs/>
          <w:snapToGrid w:val="0"/>
          <w:color w:val="000000"/>
          <w:kern w:val="0"/>
          <w:sz w:val="96"/>
          <w:szCs w:val="96"/>
          <w:highlight w:val="none"/>
          <w:u w:color="000000"/>
        </w:rPr>
        <w:t>响 应 文 件</w:t>
      </w:r>
    </w:p>
    <w:p w14:paraId="05409EF1">
      <w:pPr>
        <w:tabs>
          <w:tab w:val="left" w:pos="3570"/>
        </w:tabs>
        <w:autoSpaceDE w:val="0"/>
        <w:autoSpaceDN w:val="0"/>
        <w:adjustRightInd w:val="0"/>
        <w:spacing w:line="560" w:lineRule="exact"/>
        <w:jc w:val="center"/>
        <w:textAlignment w:val="baseline"/>
        <w:rPr>
          <w:rFonts w:hint="eastAsia" w:ascii="宋体" w:hAnsi="宋体" w:eastAsia="宋体" w:cs="Times New Roman"/>
          <w:b/>
          <w:color w:val="000000"/>
          <w:kern w:val="0"/>
          <w:sz w:val="32"/>
          <w:szCs w:val="32"/>
          <w:highlight w:val="none"/>
          <w:u w:color="000000"/>
          <w:lang w:eastAsia="zh-CN"/>
        </w:rPr>
      </w:pPr>
      <w:r>
        <w:rPr>
          <w:rFonts w:hint="eastAsia" w:ascii="宋体" w:hAnsi="宋体" w:eastAsia="宋体" w:cs="Times New Roman"/>
          <w:b/>
          <w:bCs/>
          <w:snapToGrid w:val="0"/>
          <w:color w:val="000000"/>
          <w:kern w:val="0"/>
          <w:sz w:val="32"/>
          <w:szCs w:val="32"/>
          <w:highlight w:val="none"/>
          <w:u w:color="000000"/>
        </w:rPr>
        <w:t>采购编号：</w:t>
      </w:r>
      <w:r>
        <w:rPr>
          <w:rFonts w:hint="eastAsia" w:ascii="宋体" w:hAnsi="宋体" w:eastAsia="宋体" w:cs="Times New Roman"/>
          <w:b/>
          <w:bCs/>
          <w:snapToGrid w:val="0"/>
          <w:color w:val="000000"/>
          <w:kern w:val="0"/>
          <w:sz w:val="32"/>
          <w:szCs w:val="32"/>
          <w:highlight w:val="none"/>
          <w:u w:color="000000"/>
          <w:lang w:eastAsia="zh-CN"/>
        </w:rPr>
        <w:t>ZFFZ-2025-135</w:t>
      </w:r>
    </w:p>
    <w:p w14:paraId="18EBD6BF">
      <w:pPr>
        <w:spacing w:line="560" w:lineRule="exact"/>
        <w:jc w:val="center"/>
        <w:textAlignment w:val="baseline"/>
        <w:rPr>
          <w:rFonts w:ascii="宋体" w:hAnsi="宋体" w:eastAsia="宋体" w:cs="宋体"/>
          <w:color w:val="000000"/>
          <w:kern w:val="0"/>
          <w:sz w:val="20"/>
          <w:szCs w:val="20"/>
          <w:highlight w:val="none"/>
          <w:u w:color="000000"/>
        </w:rPr>
      </w:pPr>
    </w:p>
    <w:p w14:paraId="70D78BCC">
      <w:pPr>
        <w:spacing w:line="560" w:lineRule="exact"/>
        <w:jc w:val="center"/>
        <w:textAlignment w:val="baseline"/>
        <w:rPr>
          <w:rFonts w:ascii="宋体" w:hAnsi="宋体" w:eastAsia="宋体" w:cs="Times New Roman"/>
          <w:b/>
          <w:bCs/>
          <w:snapToGrid w:val="0"/>
          <w:color w:val="000000"/>
          <w:kern w:val="0"/>
          <w:sz w:val="32"/>
          <w:szCs w:val="32"/>
          <w:highlight w:val="none"/>
          <w:u w:color="000000"/>
        </w:rPr>
      </w:pPr>
      <w:r>
        <w:rPr>
          <w:rFonts w:hint="eastAsia" w:ascii="宋体" w:hAnsi="宋体" w:eastAsia="宋体" w:cs="Times New Roman"/>
          <w:b/>
          <w:bCs/>
          <w:snapToGrid w:val="0"/>
          <w:color w:val="000000"/>
          <w:kern w:val="0"/>
          <w:sz w:val="32"/>
          <w:szCs w:val="32"/>
          <w:highlight w:val="none"/>
          <w:u w:color="000000"/>
        </w:rPr>
        <w:t xml:space="preserve">  </w:t>
      </w:r>
    </w:p>
    <w:p w14:paraId="0B1B1C00">
      <w:pPr>
        <w:spacing w:line="560" w:lineRule="exact"/>
        <w:jc w:val="center"/>
        <w:textAlignment w:val="baseline"/>
        <w:rPr>
          <w:rFonts w:ascii="宋体" w:hAnsi="宋体" w:eastAsia="宋体" w:cs="Times New Roman"/>
          <w:b/>
          <w:bCs/>
          <w:snapToGrid w:val="0"/>
          <w:color w:val="000000"/>
          <w:kern w:val="0"/>
          <w:sz w:val="32"/>
          <w:szCs w:val="32"/>
          <w:highlight w:val="none"/>
          <w:u w:color="000000"/>
        </w:rPr>
      </w:pPr>
    </w:p>
    <w:p w14:paraId="09FF9ECA">
      <w:pPr>
        <w:spacing w:line="560" w:lineRule="exact"/>
        <w:jc w:val="center"/>
        <w:textAlignment w:val="baseline"/>
        <w:rPr>
          <w:rFonts w:ascii="宋体" w:hAnsi="宋体" w:eastAsia="宋体" w:cs="Times New Roman"/>
          <w:snapToGrid w:val="0"/>
          <w:color w:val="000000"/>
          <w:kern w:val="0"/>
          <w:sz w:val="44"/>
          <w:szCs w:val="44"/>
          <w:highlight w:val="none"/>
          <w:u w:color="000000"/>
        </w:rPr>
      </w:pPr>
    </w:p>
    <w:p w14:paraId="551F6C17">
      <w:pPr>
        <w:spacing w:line="560" w:lineRule="exact"/>
        <w:jc w:val="center"/>
        <w:textAlignment w:val="baseline"/>
        <w:rPr>
          <w:rFonts w:ascii="宋体" w:hAnsi="宋体" w:eastAsia="宋体" w:cs="Times New Roman"/>
          <w:snapToGrid w:val="0"/>
          <w:color w:val="000000"/>
          <w:kern w:val="0"/>
          <w:sz w:val="44"/>
          <w:szCs w:val="44"/>
          <w:highlight w:val="none"/>
          <w:u w:color="000000"/>
        </w:rPr>
      </w:pPr>
    </w:p>
    <w:p w14:paraId="25502ED1">
      <w:pPr>
        <w:spacing w:line="560" w:lineRule="exact"/>
        <w:jc w:val="center"/>
        <w:textAlignment w:val="baseline"/>
        <w:rPr>
          <w:rFonts w:ascii="宋体" w:hAnsi="宋体" w:eastAsia="宋体" w:cs="Times New Roman"/>
          <w:b/>
          <w:bCs/>
          <w:color w:val="000000"/>
          <w:kern w:val="0"/>
          <w:sz w:val="32"/>
          <w:szCs w:val="32"/>
          <w:highlight w:val="none"/>
          <w:u w:color="000000"/>
        </w:rPr>
      </w:pPr>
    </w:p>
    <w:p w14:paraId="245BD28D">
      <w:pPr>
        <w:spacing w:line="560" w:lineRule="exact"/>
        <w:jc w:val="center"/>
        <w:textAlignment w:val="baseline"/>
        <w:rPr>
          <w:rFonts w:ascii="宋体" w:hAnsi="宋体" w:eastAsia="宋体" w:cs="Times New Roman"/>
          <w:b/>
          <w:bCs/>
          <w:color w:val="000000"/>
          <w:kern w:val="0"/>
          <w:sz w:val="32"/>
          <w:szCs w:val="32"/>
          <w:highlight w:val="none"/>
          <w:u w:color="000000"/>
        </w:rPr>
      </w:pPr>
    </w:p>
    <w:p w14:paraId="3E02EE6A">
      <w:pPr>
        <w:spacing w:line="360" w:lineRule="auto"/>
        <w:ind w:firstLine="1292" w:firstLineChars="400"/>
        <w:textAlignment w:val="baseline"/>
        <w:rPr>
          <w:rFonts w:ascii="仿宋_GB2312" w:hAnsi="楷体_GB2312" w:eastAsia="仿宋_GB2312" w:cs="楷体_GB2312"/>
          <w:b/>
          <w:bCs/>
          <w:color w:val="000000"/>
          <w:kern w:val="0"/>
          <w:sz w:val="32"/>
          <w:szCs w:val="32"/>
          <w:highlight w:val="none"/>
        </w:rPr>
      </w:pPr>
      <w:r>
        <w:rPr>
          <w:rFonts w:hint="eastAsia" w:ascii="仿宋_GB2312" w:hAnsi="楷体_GB2312" w:eastAsia="仿宋_GB2312" w:cs="楷体_GB2312"/>
          <w:b/>
          <w:bCs/>
          <w:color w:val="000000"/>
          <w:kern w:val="0"/>
          <w:sz w:val="32"/>
          <w:szCs w:val="32"/>
          <w:highlight w:val="none"/>
        </w:rPr>
        <w:t>供  应  商：</w:t>
      </w:r>
      <w:r>
        <w:rPr>
          <w:rFonts w:hint="eastAsia" w:ascii="仿宋_GB2312" w:hAnsi="楷体_GB2312" w:eastAsia="仿宋_GB2312" w:cs="楷体_GB2312"/>
          <w:b/>
          <w:bCs/>
          <w:color w:val="000000"/>
          <w:kern w:val="0"/>
          <w:sz w:val="32"/>
          <w:szCs w:val="32"/>
          <w:highlight w:val="none"/>
          <w:u w:val="single"/>
        </w:rPr>
        <w:t xml:space="preserve">                     </w:t>
      </w:r>
      <w:r>
        <w:rPr>
          <w:rFonts w:hint="eastAsia" w:ascii="仿宋_GB2312" w:hAnsi="楷体_GB2312" w:eastAsia="仿宋_GB2312" w:cs="楷体_GB2312"/>
          <w:b/>
          <w:bCs/>
          <w:color w:val="000000"/>
          <w:kern w:val="0"/>
          <w:sz w:val="32"/>
          <w:szCs w:val="32"/>
          <w:highlight w:val="none"/>
        </w:rPr>
        <w:t>（盖单位公章）</w:t>
      </w:r>
    </w:p>
    <w:p w14:paraId="55AE6004">
      <w:pPr>
        <w:spacing w:line="360" w:lineRule="auto"/>
        <w:ind w:firstLine="1292" w:firstLineChars="400"/>
        <w:textAlignment w:val="baseline"/>
        <w:rPr>
          <w:rFonts w:ascii="仿宋_GB2312" w:hAnsi="楷体_GB2312" w:eastAsia="仿宋_GB2312" w:cs="楷体_GB2312"/>
          <w:b/>
          <w:bCs/>
          <w:color w:val="000000"/>
          <w:kern w:val="0"/>
          <w:sz w:val="32"/>
          <w:szCs w:val="32"/>
          <w:highlight w:val="none"/>
        </w:rPr>
      </w:pPr>
      <w:r>
        <w:rPr>
          <w:rFonts w:hint="eastAsia" w:ascii="仿宋_GB2312" w:hAnsi="楷体_GB2312" w:eastAsia="仿宋_GB2312" w:cs="楷体_GB2312"/>
          <w:b/>
          <w:bCs/>
          <w:color w:val="000000"/>
          <w:kern w:val="0"/>
          <w:sz w:val="32"/>
          <w:szCs w:val="32"/>
          <w:highlight w:val="none"/>
        </w:rPr>
        <w:t>法定代表人或授权代表：</w:t>
      </w:r>
      <w:r>
        <w:rPr>
          <w:rFonts w:hint="eastAsia" w:ascii="仿宋_GB2312" w:hAnsi="楷体_GB2312" w:eastAsia="仿宋_GB2312" w:cs="楷体_GB2312"/>
          <w:b/>
          <w:bCs/>
          <w:color w:val="000000"/>
          <w:kern w:val="0"/>
          <w:sz w:val="32"/>
          <w:szCs w:val="32"/>
          <w:highlight w:val="none"/>
          <w:u w:val="single"/>
        </w:rPr>
        <w:t xml:space="preserve">           </w:t>
      </w:r>
      <w:r>
        <w:rPr>
          <w:rFonts w:hint="eastAsia" w:ascii="仿宋_GB2312" w:hAnsi="楷体_GB2312" w:eastAsia="仿宋_GB2312" w:cs="楷体_GB2312"/>
          <w:b/>
          <w:bCs/>
          <w:color w:val="000000"/>
          <w:kern w:val="0"/>
          <w:sz w:val="32"/>
          <w:szCs w:val="32"/>
          <w:highlight w:val="none"/>
        </w:rPr>
        <w:t>（签字或盖章）</w:t>
      </w:r>
    </w:p>
    <w:p w14:paraId="303FE9EE">
      <w:pPr>
        <w:spacing w:line="240" w:lineRule="auto"/>
        <w:jc w:val="center"/>
        <w:rPr>
          <w:rFonts w:eastAsia="仿宋"/>
          <w:sz w:val="36"/>
          <w:szCs w:val="36"/>
          <w:highlight w:val="none"/>
        </w:rPr>
      </w:pPr>
      <w:r>
        <w:rPr>
          <w:rFonts w:hint="eastAsia" w:ascii="仿宋_GB2312" w:hAnsi="楷体_GB2312" w:eastAsia="仿宋_GB2312" w:cs="楷体_GB2312"/>
          <w:b/>
          <w:bCs/>
          <w:color w:val="000000"/>
          <w:kern w:val="0"/>
          <w:sz w:val="32"/>
          <w:szCs w:val="32"/>
          <w:highlight w:val="none"/>
          <w:u w:color="000000"/>
        </w:rPr>
        <w:t xml:space="preserve">    年    月    日</w:t>
      </w:r>
    </w:p>
    <w:p w14:paraId="6163E409">
      <w:pPr>
        <w:spacing w:line="240" w:lineRule="auto"/>
        <w:ind w:firstLine="646" w:firstLineChars="200"/>
        <w:jc w:val="left"/>
        <w:rPr>
          <w:rFonts w:ascii="仿宋" w:hAnsi="仿宋" w:eastAsia="仿宋"/>
          <w:b/>
          <w:sz w:val="32"/>
          <w:szCs w:val="32"/>
          <w:highlight w:val="none"/>
        </w:rPr>
      </w:pPr>
      <w:r>
        <w:rPr>
          <w:rFonts w:ascii="仿宋" w:hAnsi="仿宋" w:eastAsia="仿宋"/>
          <w:b/>
          <w:sz w:val="32"/>
          <w:szCs w:val="32"/>
          <w:highlight w:val="none"/>
        </w:rPr>
        <w:br w:type="page"/>
      </w:r>
    </w:p>
    <w:p w14:paraId="676B664E">
      <w:pPr>
        <w:spacing w:line="240" w:lineRule="auto"/>
        <w:jc w:val="center"/>
        <w:rPr>
          <w:rFonts w:ascii="黑体" w:hAnsi="黑体" w:eastAsia="黑体" w:cs="黑体"/>
          <w:sz w:val="44"/>
          <w:szCs w:val="44"/>
          <w:highlight w:val="none"/>
        </w:rPr>
      </w:pPr>
      <w:r>
        <w:rPr>
          <w:rFonts w:hint="eastAsia" w:ascii="黑体" w:hAnsi="黑体" w:eastAsia="黑体" w:cs="黑体"/>
          <w:sz w:val="44"/>
          <w:szCs w:val="44"/>
          <w:highlight w:val="none"/>
        </w:rPr>
        <w:t>目  录</w:t>
      </w:r>
    </w:p>
    <w:p w14:paraId="76F01C38">
      <w:pPr>
        <w:pStyle w:val="19"/>
        <w:tabs>
          <w:tab w:val="right" w:leader="dot" w:pos="9354"/>
        </w:tabs>
        <w:rPr>
          <w:rFonts w:eastAsia="仿宋"/>
          <w:highlight w:val="none"/>
        </w:rPr>
      </w:pPr>
    </w:p>
    <w:p w14:paraId="260DE507">
      <w:pPr>
        <w:pStyle w:val="50"/>
        <w:pageBreakBefore w:val="0"/>
        <w:widowControl/>
        <w:kinsoku/>
        <w:wordWrap/>
        <w:overflowPunct/>
        <w:topLinePunct w:val="0"/>
        <w:autoSpaceDE/>
        <w:autoSpaceDN/>
        <w:bidi w:val="0"/>
        <w:adjustRightInd/>
        <w:snapToGrid/>
        <w:spacing w:line="560" w:lineRule="exact"/>
        <w:ind w:firstLine="0" w:firstLineChars="0"/>
        <w:textAlignment w:val="auto"/>
        <w:outlineLvl w:val="0"/>
        <w:rPr>
          <w:rFonts w:ascii="黑体" w:hAnsi="黑体" w:eastAsia="黑体" w:cs="黑体"/>
          <w:b w:val="0"/>
          <w:bCs w:val="0"/>
          <w:sz w:val="32"/>
          <w:szCs w:val="32"/>
          <w:highlight w:val="none"/>
        </w:rPr>
      </w:pPr>
      <w:bookmarkStart w:id="427" w:name="_Toc18744"/>
      <w:bookmarkStart w:id="428" w:name="_Toc4574"/>
      <w:bookmarkStart w:id="429" w:name="_Toc32646"/>
      <w:bookmarkStart w:id="430" w:name="_Toc22532"/>
      <w:bookmarkStart w:id="431" w:name="_Toc537"/>
      <w:bookmarkStart w:id="432" w:name="_Toc30479"/>
      <w:bookmarkStart w:id="433" w:name="_Toc24014"/>
      <w:bookmarkStart w:id="434" w:name="_Toc19754"/>
      <w:bookmarkStart w:id="435" w:name="_Toc25171"/>
      <w:bookmarkStart w:id="436" w:name="_Toc16198"/>
      <w:bookmarkStart w:id="437" w:name="_Toc28681277"/>
      <w:r>
        <w:rPr>
          <w:rFonts w:hint="eastAsia" w:ascii="黑体" w:hAnsi="黑体" w:eastAsia="黑体" w:cs="黑体"/>
          <w:b w:val="0"/>
          <w:bCs w:val="0"/>
          <w:sz w:val="32"/>
          <w:szCs w:val="32"/>
          <w:highlight w:val="none"/>
        </w:rPr>
        <w:t>第一部分  资格证明文件</w:t>
      </w:r>
      <w:bookmarkEnd w:id="427"/>
      <w:bookmarkEnd w:id="428"/>
      <w:bookmarkEnd w:id="429"/>
      <w:bookmarkEnd w:id="430"/>
    </w:p>
    <w:p w14:paraId="00448CB2">
      <w:pPr>
        <w:pageBreakBefore w:val="0"/>
        <w:widowControl/>
        <w:kinsoku/>
        <w:wordWrap/>
        <w:overflowPunct/>
        <w:topLinePunct w:val="0"/>
        <w:autoSpaceDE/>
        <w:autoSpaceDN/>
        <w:bidi w:val="0"/>
        <w:adjustRightInd/>
        <w:snapToGrid/>
        <w:spacing w:line="560" w:lineRule="exact"/>
        <w:ind w:firstLine="566" w:firstLineChars="200"/>
        <w:textAlignment w:val="auto"/>
        <w:rPr>
          <w:rFonts w:ascii="仿宋" w:hAnsi="仿宋" w:eastAsia="仿宋"/>
          <w:highlight w:val="none"/>
        </w:rPr>
      </w:pPr>
      <w:bookmarkStart w:id="438" w:name="_Toc6969_WPSOffice_Level2"/>
      <w:r>
        <w:rPr>
          <w:rFonts w:hint="eastAsia" w:ascii="仿宋" w:hAnsi="仿宋" w:eastAsia="仿宋"/>
          <w:highlight w:val="none"/>
        </w:rPr>
        <w:t>供应</w:t>
      </w:r>
      <w:r>
        <w:rPr>
          <w:rFonts w:ascii="仿宋" w:hAnsi="仿宋" w:eastAsia="仿宋"/>
          <w:highlight w:val="none"/>
        </w:rPr>
        <w:t>商应按照</w:t>
      </w:r>
      <w:r>
        <w:rPr>
          <w:rFonts w:hint="eastAsia" w:ascii="仿宋" w:hAnsi="仿宋" w:eastAsia="仿宋"/>
          <w:highlight w:val="none"/>
        </w:rPr>
        <w:t>谈判文件</w:t>
      </w:r>
      <w:r>
        <w:rPr>
          <w:rFonts w:ascii="仿宋" w:hAnsi="仿宋" w:eastAsia="仿宋"/>
          <w:highlight w:val="none"/>
        </w:rPr>
        <w:t>第一章所列</w:t>
      </w:r>
      <w:r>
        <w:rPr>
          <w:rFonts w:hint="eastAsia" w:ascii="仿宋" w:hAnsi="仿宋" w:eastAsia="仿宋"/>
          <w:highlight w:val="none"/>
        </w:rPr>
        <w:t>“供应商资格要求”逐一</w:t>
      </w:r>
      <w:r>
        <w:rPr>
          <w:rFonts w:ascii="仿宋" w:hAnsi="仿宋" w:eastAsia="仿宋"/>
          <w:highlight w:val="none"/>
        </w:rPr>
        <w:t>提供全部资格证明文件。</w:t>
      </w:r>
      <w:r>
        <w:rPr>
          <w:rFonts w:hint="eastAsia" w:ascii="仿宋" w:hAnsi="仿宋" w:eastAsia="仿宋"/>
          <w:highlight w:val="none"/>
        </w:rPr>
        <w:t>缺少其中任何一项，其响应文件将被视为无效文件。</w:t>
      </w:r>
    </w:p>
    <w:p w14:paraId="0A513DEF">
      <w:pPr>
        <w:pageBreakBefore w:val="0"/>
        <w:widowControl/>
        <w:kinsoku/>
        <w:wordWrap/>
        <w:overflowPunct/>
        <w:topLinePunct w:val="0"/>
        <w:autoSpaceDE/>
        <w:autoSpaceDN/>
        <w:bidi w:val="0"/>
        <w:adjustRightInd/>
        <w:snapToGrid/>
        <w:spacing w:line="560" w:lineRule="exact"/>
        <w:ind w:firstLine="566" w:firstLineChars="200"/>
        <w:textAlignment w:val="auto"/>
        <w:rPr>
          <w:rFonts w:ascii="仿宋" w:hAnsi="仿宋" w:eastAsia="仿宋"/>
          <w:b/>
          <w:highlight w:val="none"/>
        </w:rPr>
      </w:pPr>
      <w:r>
        <w:rPr>
          <w:rFonts w:hint="eastAsia" w:ascii="仿宋" w:hAnsi="仿宋" w:eastAsia="仿宋"/>
          <w:highlight w:val="none"/>
        </w:rPr>
        <w:t>其中，《供应商书面声明函》、《法定代表人授权委托书》须按下文给定格式填写，否则按无效处理。特别说明，法定代表人亲自参加投标的，可不提供法定代表人授权委托书，但须提供其本人身份证（正反面）复印件。</w:t>
      </w:r>
    </w:p>
    <w:bookmarkEnd w:id="438"/>
    <w:p w14:paraId="345C77FB">
      <w:pPr>
        <w:pStyle w:val="46"/>
        <w:pageBreakBefore w:val="0"/>
        <w:widowControl/>
        <w:kinsoku/>
        <w:wordWrap/>
        <w:overflowPunct/>
        <w:topLinePunct w:val="0"/>
        <w:autoSpaceDE/>
        <w:autoSpaceDN/>
        <w:bidi w:val="0"/>
        <w:adjustRightInd/>
        <w:snapToGrid/>
        <w:spacing w:line="560" w:lineRule="exact"/>
        <w:ind w:firstLine="607"/>
        <w:textAlignment w:val="auto"/>
        <w:outlineLvl w:val="1"/>
        <w:rPr>
          <w:rFonts w:eastAsia="仿宋"/>
          <w:b/>
          <w:bCs/>
          <w:sz w:val="30"/>
          <w:szCs w:val="30"/>
          <w:highlight w:val="none"/>
        </w:rPr>
      </w:pPr>
      <w:bookmarkStart w:id="439" w:name="_Toc15013"/>
      <w:bookmarkStart w:id="440" w:name="_Toc28681269"/>
      <w:bookmarkStart w:id="441" w:name="_Toc11120"/>
      <w:bookmarkStart w:id="442" w:name="_Toc4531"/>
      <w:r>
        <w:rPr>
          <w:rFonts w:hint="eastAsia" w:eastAsia="仿宋"/>
          <w:b/>
          <w:bCs/>
          <w:sz w:val="30"/>
          <w:szCs w:val="30"/>
          <w:highlight w:val="none"/>
        </w:rPr>
        <w:t>一</w:t>
      </w:r>
      <w:r>
        <w:rPr>
          <w:rFonts w:eastAsia="仿宋"/>
          <w:b/>
          <w:bCs/>
          <w:sz w:val="30"/>
          <w:szCs w:val="30"/>
          <w:highlight w:val="none"/>
        </w:rPr>
        <w:t>、</w:t>
      </w:r>
      <w:r>
        <w:rPr>
          <w:rFonts w:hint="eastAsia" w:eastAsia="仿宋"/>
          <w:b/>
          <w:bCs/>
          <w:sz w:val="30"/>
          <w:szCs w:val="30"/>
          <w:highlight w:val="none"/>
        </w:rPr>
        <w:t>营业执照等主体资格证明文件</w:t>
      </w:r>
      <w:bookmarkEnd w:id="439"/>
      <w:bookmarkEnd w:id="440"/>
      <w:bookmarkEnd w:id="441"/>
      <w:bookmarkEnd w:id="442"/>
    </w:p>
    <w:p w14:paraId="1F5C91F9">
      <w:pPr>
        <w:pStyle w:val="46"/>
        <w:pageBreakBefore w:val="0"/>
        <w:widowControl/>
        <w:kinsoku/>
        <w:wordWrap/>
        <w:overflowPunct/>
        <w:topLinePunct w:val="0"/>
        <w:autoSpaceDE/>
        <w:autoSpaceDN/>
        <w:bidi w:val="0"/>
        <w:adjustRightInd/>
        <w:snapToGrid/>
        <w:spacing w:line="560" w:lineRule="exact"/>
        <w:ind w:firstLine="607"/>
        <w:textAlignment w:val="auto"/>
        <w:outlineLvl w:val="1"/>
        <w:rPr>
          <w:rFonts w:eastAsia="仿宋"/>
          <w:b/>
          <w:bCs/>
          <w:sz w:val="30"/>
          <w:szCs w:val="30"/>
          <w:highlight w:val="none"/>
        </w:rPr>
      </w:pPr>
      <w:bookmarkStart w:id="443" w:name="_Toc18509"/>
      <w:bookmarkStart w:id="444" w:name="_Toc15134"/>
      <w:bookmarkStart w:id="445" w:name="_Toc28681270"/>
      <w:bookmarkStart w:id="446" w:name="_Toc9594"/>
      <w:r>
        <w:rPr>
          <w:rFonts w:hint="eastAsia" w:eastAsia="仿宋"/>
          <w:b/>
          <w:bCs/>
          <w:sz w:val="30"/>
          <w:szCs w:val="30"/>
          <w:highlight w:val="none"/>
        </w:rPr>
        <w:t>二、财务状况报告</w:t>
      </w:r>
      <w:bookmarkEnd w:id="443"/>
      <w:bookmarkEnd w:id="444"/>
      <w:bookmarkEnd w:id="445"/>
      <w:bookmarkEnd w:id="446"/>
    </w:p>
    <w:p w14:paraId="6024CAD3">
      <w:pPr>
        <w:pStyle w:val="46"/>
        <w:pageBreakBefore w:val="0"/>
        <w:widowControl/>
        <w:kinsoku/>
        <w:wordWrap/>
        <w:overflowPunct/>
        <w:topLinePunct w:val="0"/>
        <w:autoSpaceDE/>
        <w:autoSpaceDN/>
        <w:bidi w:val="0"/>
        <w:adjustRightInd/>
        <w:snapToGrid/>
        <w:spacing w:line="560" w:lineRule="exact"/>
        <w:ind w:firstLine="607"/>
        <w:textAlignment w:val="auto"/>
        <w:outlineLvl w:val="1"/>
        <w:rPr>
          <w:rFonts w:eastAsia="仿宋"/>
          <w:b/>
          <w:bCs/>
          <w:sz w:val="30"/>
          <w:szCs w:val="30"/>
          <w:highlight w:val="none"/>
        </w:rPr>
      </w:pPr>
      <w:bookmarkStart w:id="447" w:name="_Toc28681271"/>
      <w:bookmarkStart w:id="448" w:name="_Toc29328"/>
      <w:bookmarkStart w:id="449" w:name="_Toc29935"/>
      <w:bookmarkStart w:id="450" w:name="_Toc1234"/>
      <w:r>
        <w:rPr>
          <w:rFonts w:hint="eastAsia" w:eastAsia="仿宋"/>
          <w:b/>
          <w:bCs/>
          <w:sz w:val="30"/>
          <w:szCs w:val="30"/>
          <w:highlight w:val="none"/>
        </w:rPr>
        <w:t>三、社保缴纳证明</w:t>
      </w:r>
      <w:bookmarkEnd w:id="447"/>
      <w:bookmarkEnd w:id="448"/>
      <w:bookmarkEnd w:id="449"/>
      <w:bookmarkEnd w:id="450"/>
    </w:p>
    <w:p w14:paraId="141B1D2E">
      <w:pPr>
        <w:pStyle w:val="46"/>
        <w:pageBreakBefore w:val="0"/>
        <w:widowControl/>
        <w:kinsoku/>
        <w:wordWrap/>
        <w:overflowPunct/>
        <w:topLinePunct w:val="0"/>
        <w:autoSpaceDE/>
        <w:autoSpaceDN/>
        <w:bidi w:val="0"/>
        <w:adjustRightInd/>
        <w:snapToGrid/>
        <w:spacing w:line="560" w:lineRule="exact"/>
        <w:ind w:firstLine="607"/>
        <w:textAlignment w:val="auto"/>
        <w:outlineLvl w:val="1"/>
        <w:rPr>
          <w:rFonts w:eastAsia="仿宋"/>
          <w:b/>
          <w:bCs/>
          <w:sz w:val="30"/>
          <w:szCs w:val="30"/>
          <w:highlight w:val="none"/>
        </w:rPr>
      </w:pPr>
      <w:bookmarkStart w:id="451" w:name="_Toc28681272"/>
      <w:bookmarkStart w:id="452" w:name="_Toc15607"/>
      <w:bookmarkStart w:id="453" w:name="_Toc31736"/>
      <w:bookmarkStart w:id="454" w:name="_Toc14556"/>
      <w:r>
        <w:rPr>
          <w:rFonts w:hint="eastAsia" w:eastAsia="仿宋"/>
          <w:b/>
          <w:bCs/>
          <w:sz w:val="30"/>
          <w:szCs w:val="30"/>
          <w:highlight w:val="none"/>
        </w:rPr>
        <w:t>四、税收缴纳证明</w:t>
      </w:r>
      <w:bookmarkEnd w:id="451"/>
      <w:bookmarkEnd w:id="452"/>
      <w:bookmarkEnd w:id="453"/>
      <w:bookmarkEnd w:id="454"/>
    </w:p>
    <w:p w14:paraId="1C470624">
      <w:pPr>
        <w:pStyle w:val="46"/>
        <w:pageBreakBefore w:val="0"/>
        <w:widowControl/>
        <w:kinsoku/>
        <w:wordWrap/>
        <w:overflowPunct/>
        <w:topLinePunct w:val="0"/>
        <w:autoSpaceDE/>
        <w:autoSpaceDN/>
        <w:bidi w:val="0"/>
        <w:adjustRightInd/>
        <w:snapToGrid/>
        <w:spacing w:line="560" w:lineRule="exact"/>
        <w:ind w:firstLine="607"/>
        <w:textAlignment w:val="auto"/>
        <w:outlineLvl w:val="1"/>
        <w:rPr>
          <w:rFonts w:eastAsia="仿宋"/>
          <w:b/>
          <w:bCs/>
          <w:sz w:val="30"/>
          <w:szCs w:val="30"/>
          <w:highlight w:val="none"/>
        </w:rPr>
      </w:pPr>
      <w:bookmarkStart w:id="455" w:name="_Toc28681273"/>
      <w:bookmarkStart w:id="456" w:name="_Toc24411"/>
      <w:bookmarkStart w:id="457" w:name="_Toc374"/>
      <w:bookmarkStart w:id="458" w:name="_Toc21794"/>
      <w:r>
        <w:rPr>
          <w:rFonts w:hint="eastAsia" w:eastAsia="仿宋"/>
          <w:b/>
          <w:bCs/>
          <w:sz w:val="30"/>
          <w:szCs w:val="30"/>
          <w:highlight w:val="none"/>
        </w:rPr>
        <w:t>五、</w:t>
      </w:r>
      <w:bookmarkEnd w:id="455"/>
      <w:r>
        <w:rPr>
          <w:rFonts w:hint="eastAsia" w:eastAsia="仿宋"/>
          <w:b/>
          <w:bCs/>
          <w:sz w:val="30"/>
          <w:szCs w:val="30"/>
          <w:highlight w:val="none"/>
        </w:rPr>
        <w:t>信用记录</w:t>
      </w:r>
      <w:bookmarkEnd w:id="456"/>
      <w:bookmarkEnd w:id="457"/>
      <w:bookmarkEnd w:id="458"/>
    </w:p>
    <w:p w14:paraId="09ADD74F">
      <w:pPr>
        <w:pStyle w:val="46"/>
        <w:ind w:firstLine="0" w:firstLineChars="0"/>
        <w:jc w:val="center"/>
        <w:rPr>
          <w:rFonts w:eastAsia="仿宋"/>
          <w:b/>
          <w:bCs/>
          <w:highlight w:val="none"/>
        </w:rPr>
      </w:pPr>
      <w:bookmarkStart w:id="459" w:name="_Toc9011"/>
      <w:bookmarkStart w:id="460" w:name="_Toc22518"/>
      <w:bookmarkStart w:id="461" w:name="_Toc528596084"/>
      <w:bookmarkStart w:id="462" w:name="_Toc726"/>
      <w:bookmarkStart w:id="463" w:name="_Toc28681274"/>
    </w:p>
    <w:p w14:paraId="17A920F9">
      <w:pPr>
        <w:pStyle w:val="46"/>
        <w:ind w:firstLine="0" w:firstLineChars="0"/>
        <w:jc w:val="center"/>
        <w:rPr>
          <w:rFonts w:eastAsia="仿宋"/>
          <w:b/>
          <w:bCs/>
          <w:highlight w:val="none"/>
        </w:rPr>
      </w:pPr>
    </w:p>
    <w:p w14:paraId="02EECE0D">
      <w:pPr>
        <w:ind w:firstLine="606" w:firstLineChars="200"/>
        <w:rPr>
          <w:rFonts w:eastAsia="仿宋"/>
          <w:b/>
          <w:bCs/>
          <w:sz w:val="30"/>
          <w:szCs w:val="30"/>
          <w:highlight w:val="none"/>
        </w:rPr>
      </w:pPr>
      <w:r>
        <w:rPr>
          <w:rFonts w:hint="eastAsia" w:eastAsia="仿宋"/>
          <w:b/>
          <w:bCs/>
          <w:sz w:val="30"/>
          <w:szCs w:val="30"/>
          <w:highlight w:val="none"/>
        </w:rPr>
        <w:br w:type="page"/>
      </w:r>
    </w:p>
    <w:p w14:paraId="4C0A266E">
      <w:pPr>
        <w:pStyle w:val="46"/>
        <w:keepNext w:val="0"/>
        <w:keepLines w:val="0"/>
        <w:pageBreakBefore w:val="0"/>
        <w:widowControl/>
        <w:kinsoku/>
        <w:wordWrap/>
        <w:overflowPunct/>
        <w:topLinePunct w:val="0"/>
        <w:autoSpaceDE/>
        <w:autoSpaceDN/>
        <w:bidi w:val="0"/>
        <w:adjustRightInd/>
        <w:snapToGrid/>
        <w:spacing w:line="560" w:lineRule="exact"/>
        <w:ind w:firstLine="648"/>
        <w:textAlignment w:val="auto"/>
        <w:outlineLvl w:val="1"/>
        <w:rPr>
          <w:rFonts w:eastAsia="仿宋"/>
          <w:b/>
          <w:sz w:val="32"/>
          <w:szCs w:val="32"/>
          <w:highlight w:val="none"/>
        </w:rPr>
      </w:pPr>
      <w:bookmarkStart w:id="464" w:name="_Toc7141"/>
      <w:bookmarkStart w:id="465" w:name="_Toc28879"/>
      <w:bookmarkStart w:id="466" w:name="_Toc21406"/>
      <w:r>
        <w:rPr>
          <w:rFonts w:hint="eastAsia" w:eastAsia="仿宋"/>
          <w:b/>
          <w:sz w:val="32"/>
          <w:szCs w:val="32"/>
          <w:highlight w:val="none"/>
        </w:rPr>
        <w:t>六、供应</w:t>
      </w:r>
      <w:r>
        <w:rPr>
          <w:rFonts w:eastAsia="仿宋"/>
          <w:b/>
          <w:sz w:val="32"/>
          <w:szCs w:val="32"/>
          <w:highlight w:val="none"/>
        </w:rPr>
        <w:t>商书面声明函</w:t>
      </w:r>
      <w:bookmarkEnd w:id="464"/>
      <w:bookmarkEnd w:id="465"/>
      <w:bookmarkEnd w:id="466"/>
    </w:p>
    <w:p w14:paraId="4E95306D">
      <w:pPr>
        <w:pStyle w:val="46"/>
        <w:keepNext w:val="0"/>
        <w:keepLines w:val="0"/>
        <w:pageBreakBefore w:val="0"/>
        <w:widowControl/>
        <w:kinsoku/>
        <w:wordWrap/>
        <w:overflowPunct/>
        <w:topLinePunct w:val="0"/>
        <w:autoSpaceDE/>
        <w:autoSpaceDN/>
        <w:bidi w:val="0"/>
        <w:adjustRightInd/>
        <w:snapToGrid/>
        <w:spacing w:after="193" w:afterLines="50" w:line="560" w:lineRule="exact"/>
        <w:ind w:firstLine="0" w:firstLineChars="0"/>
        <w:jc w:val="center"/>
        <w:textAlignment w:val="auto"/>
        <w:rPr>
          <w:rFonts w:eastAsia="仿宋"/>
          <w:b/>
          <w:bCs/>
          <w:highlight w:val="none"/>
        </w:rPr>
      </w:pPr>
      <w:r>
        <w:rPr>
          <w:rFonts w:hint="eastAsia" w:eastAsia="仿宋"/>
          <w:b/>
          <w:bCs/>
          <w:sz w:val="30"/>
          <w:szCs w:val="30"/>
          <w:highlight w:val="none"/>
        </w:rPr>
        <w:t>供应</w:t>
      </w:r>
      <w:r>
        <w:rPr>
          <w:rFonts w:eastAsia="仿宋"/>
          <w:b/>
          <w:bCs/>
          <w:sz w:val="30"/>
          <w:szCs w:val="30"/>
          <w:highlight w:val="none"/>
        </w:rPr>
        <w:t>商书面声明函</w:t>
      </w:r>
      <w:bookmarkEnd w:id="459"/>
      <w:bookmarkEnd w:id="460"/>
      <w:bookmarkEnd w:id="461"/>
      <w:bookmarkEnd w:id="462"/>
      <w:bookmarkEnd w:id="463"/>
    </w:p>
    <w:p w14:paraId="45AB5E72">
      <w:pPr>
        <w:keepNext w:val="0"/>
        <w:keepLines w:val="0"/>
        <w:pageBreakBefore w:val="0"/>
        <w:widowControl/>
        <w:kinsoku/>
        <w:wordWrap/>
        <w:overflowPunct/>
        <w:topLinePunct w:val="0"/>
        <w:autoSpaceDE/>
        <w:autoSpaceDN/>
        <w:bidi w:val="0"/>
        <w:adjustRightInd/>
        <w:snapToGrid/>
        <w:spacing w:line="560" w:lineRule="exact"/>
        <w:textAlignment w:val="auto"/>
        <w:rPr>
          <w:rFonts w:eastAsia="仿宋"/>
          <w:highlight w:val="none"/>
        </w:rPr>
      </w:pPr>
      <w:r>
        <w:rPr>
          <w:rFonts w:hint="eastAsia" w:ascii="仿宋" w:hAnsi="仿宋" w:eastAsia="仿宋" w:cs="仿宋"/>
          <w:highlight w:val="none"/>
        </w:rPr>
        <w:t>致陕西中发项目管理发展有限公司</w:t>
      </w:r>
      <w:r>
        <w:rPr>
          <w:rFonts w:eastAsia="仿宋"/>
          <w:highlight w:val="none"/>
        </w:rPr>
        <w:t>：</w:t>
      </w:r>
    </w:p>
    <w:p w14:paraId="22BCECBD">
      <w:pPr>
        <w:keepNext w:val="0"/>
        <w:keepLines w:val="0"/>
        <w:pageBreakBefore w:val="0"/>
        <w:widowControl/>
        <w:kinsoku/>
        <w:wordWrap/>
        <w:overflowPunct/>
        <w:topLinePunct w:val="0"/>
        <w:autoSpaceDE/>
        <w:autoSpaceDN/>
        <w:bidi w:val="0"/>
        <w:adjustRightInd/>
        <w:snapToGrid/>
        <w:spacing w:line="560" w:lineRule="exact"/>
        <w:ind w:right="11" w:firstLine="566" w:firstLineChars="200"/>
        <w:textAlignment w:val="auto"/>
        <w:rPr>
          <w:rFonts w:eastAsia="仿宋"/>
          <w:highlight w:val="none"/>
        </w:rPr>
      </w:pPr>
      <w:r>
        <w:rPr>
          <w:rFonts w:hint="eastAsia" w:ascii="仿宋" w:hAnsi="华文仿宋" w:eastAsia="仿宋" w:cs="华文仿宋"/>
          <w:highlight w:val="none"/>
        </w:rPr>
        <w:t>我方作为《</w:t>
      </w:r>
      <w:r>
        <w:rPr>
          <w:rFonts w:hint="eastAsia" w:ascii="仿宋" w:hAnsi="华文仿宋" w:eastAsia="仿宋" w:cs="华文仿宋"/>
          <w:highlight w:val="none"/>
          <w:u w:val="single"/>
        </w:rPr>
        <w:t>项目名称</w:t>
      </w:r>
      <w:r>
        <w:rPr>
          <w:rFonts w:hint="eastAsia" w:ascii="仿宋" w:hAnsi="华文仿宋" w:eastAsia="仿宋" w:cs="华文仿宋"/>
          <w:highlight w:val="none"/>
        </w:rPr>
        <w:t>》（项目编号：</w:t>
      </w:r>
      <w:r>
        <w:rPr>
          <w:rFonts w:hint="eastAsia" w:ascii="仿宋" w:hAnsi="华文仿宋" w:eastAsia="仿宋" w:cs="华文仿宋"/>
          <w:highlight w:val="none"/>
          <w:u w:val="single"/>
        </w:rPr>
        <w:t xml:space="preserve">          </w:t>
      </w:r>
      <w:r>
        <w:rPr>
          <w:rFonts w:hint="eastAsia" w:ascii="仿宋" w:hAnsi="华文仿宋" w:eastAsia="仿宋" w:cs="华文仿宋"/>
          <w:highlight w:val="none"/>
        </w:rPr>
        <w:t>）</w:t>
      </w:r>
      <w:r>
        <w:rPr>
          <w:rFonts w:hint="eastAsia" w:eastAsia="仿宋"/>
          <w:highlight w:val="none"/>
        </w:rPr>
        <w:t>的投标供应商，在此郑重声明：</w:t>
      </w:r>
    </w:p>
    <w:p w14:paraId="756DDDF7">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eastAsia="仿宋"/>
          <w:highlight w:val="none"/>
        </w:rPr>
      </w:pPr>
      <w:r>
        <w:rPr>
          <w:rFonts w:hint="eastAsia" w:ascii="仿宋" w:hAnsi="仿宋" w:eastAsia="仿宋" w:cs="仿宋"/>
          <w:highlight w:val="none"/>
        </w:rPr>
        <w:t>1、</w:t>
      </w:r>
      <w:r>
        <w:rPr>
          <w:rFonts w:eastAsia="仿宋"/>
          <w:highlight w:val="none"/>
        </w:rPr>
        <w:t>在参加本次政府采购活动前3年内的经营活动中</w:t>
      </w:r>
      <w:r>
        <w:rPr>
          <w:rFonts w:hint="eastAsia" w:eastAsia="仿宋"/>
          <w:highlight w:val="none"/>
        </w:rPr>
        <w:t>____（填“没有”或“有”）</w:t>
      </w:r>
      <w:r>
        <w:rPr>
          <w:rFonts w:eastAsia="仿宋"/>
          <w:highlight w:val="none"/>
        </w:rPr>
        <w:t>重大违法记录。</w:t>
      </w:r>
      <w:r>
        <w:rPr>
          <w:rFonts w:hint="eastAsia" w:eastAsia="仿宋"/>
          <w:highlight w:val="none"/>
        </w:rPr>
        <w:t>供应</w:t>
      </w:r>
      <w:r>
        <w:rPr>
          <w:rFonts w:hint="eastAsia" w:eastAsia="仿宋"/>
          <w:bCs/>
          <w:highlight w:val="none"/>
        </w:rPr>
        <w:t>商</w:t>
      </w:r>
      <w:r>
        <w:rPr>
          <w:rFonts w:hint="eastAsia" w:eastAsia="仿宋"/>
          <w:b/>
          <w:bCs/>
          <w:highlight w:val="none"/>
        </w:rPr>
        <w:t>在参加政府采购活动前3年内因违法经营被禁止在一定期限内参加政府采购活动，期限届满的，可以参加政府采购活动，但应提供期限届满的证明材料。</w:t>
      </w:r>
    </w:p>
    <w:p w14:paraId="2F67BC2C">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eastAsia="仿宋"/>
          <w:highlight w:val="none"/>
        </w:rPr>
      </w:pPr>
      <w:r>
        <w:rPr>
          <w:rFonts w:hint="eastAsia" w:ascii="仿宋" w:hAnsi="仿宋" w:eastAsia="仿宋" w:cs="仿宋"/>
          <w:highlight w:val="none"/>
        </w:rPr>
        <w:t>2、</w:t>
      </w:r>
      <w:r>
        <w:rPr>
          <w:rFonts w:hint="eastAsia" w:eastAsia="仿宋"/>
          <w:highlight w:val="none"/>
        </w:rPr>
        <w:t>我方______（填“未被列入”或“被列入”）失信被执行人名单。</w:t>
      </w:r>
    </w:p>
    <w:p w14:paraId="493DEC5F">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eastAsia="仿宋"/>
          <w:highlight w:val="none"/>
        </w:rPr>
      </w:pPr>
      <w:r>
        <w:rPr>
          <w:rFonts w:hint="eastAsia" w:ascii="仿宋" w:hAnsi="仿宋" w:eastAsia="仿宋" w:cs="仿宋"/>
          <w:highlight w:val="none"/>
        </w:rPr>
        <w:t>3、</w:t>
      </w:r>
      <w:r>
        <w:rPr>
          <w:rFonts w:hint="eastAsia" w:eastAsia="仿宋"/>
          <w:highlight w:val="none"/>
        </w:rPr>
        <w:t>我方______（填“未被列入”或“被列入”）重大税收违法案件当事人名单。</w:t>
      </w:r>
    </w:p>
    <w:p w14:paraId="284AF4F5">
      <w:pPr>
        <w:spacing w:line="500" w:lineRule="exact"/>
        <w:ind w:firstLine="566" w:firstLineChars="200"/>
        <w:rPr>
          <w:rFonts w:eastAsia="仿宋"/>
          <w:highlight w:val="none"/>
        </w:rPr>
      </w:pPr>
      <w:r>
        <w:rPr>
          <w:rFonts w:hint="eastAsia" w:ascii="仿宋" w:hAnsi="仿宋" w:eastAsia="仿宋" w:cs="仿宋"/>
          <w:highlight w:val="none"/>
        </w:rPr>
        <w:t>4、</w:t>
      </w:r>
      <w:r>
        <w:rPr>
          <w:rFonts w:hint="eastAsia" w:eastAsia="仿宋"/>
          <w:highlight w:val="none"/>
        </w:rPr>
        <w:t>我方______（填“未被列入”或“被列入”）政府采购严重违法失信行为记录名单。</w:t>
      </w:r>
    </w:p>
    <w:p w14:paraId="5971594D">
      <w:pPr>
        <w:spacing w:line="500" w:lineRule="exact"/>
        <w:ind w:firstLine="566" w:firstLineChars="200"/>
        <w:rPr>
          <w:rFonts w:eastAsia="仿宋"/>
          <w:highlight w:val="none"/>
        </w:rPr>
      </w:pPr>
      <w:r>
        <w:rPr>
          <w:rFonts w:eastAsia="仿宋"/>
          <w:highlight w:val="none"/>
        </w:rPr>
        <w:t>如有不实，我方将无条件地退出本项目的采购活动，并遵照《政府采购法》有关</w:t>
      </w:r>
      <w:r>
        <w:rPr>
          <w:rFonts w:hint="eastAsia" w:eastAsia="仿宋"/>
          <w:highlight w:val="none"/>
        </w:rPr>
        <w:t>“提供虚假材料的规定”</w:t>
      </w:r>
      <w:r>
        <w:rPr>
          <w:rFonts w:eastAsia="仿宋"/>
          <w:highlight w:val="none"/>
        </w:rPr>
        <w:t>接受处罚。</w:t>
      </w:r>
    </w:p>
    <w:p w14:paraId="0D20A007">
      <w:pPr>
        <w:spacing w:line="500" w:lineRule="exact"/>
        <w:ind w:firstLine="566" w:firstLineChars="200"/>
        <w:rPr>
          <w:rFonts w:eastAsia="仿宋"/>
          <w:highlight w:val="none"/>
        </w:rPr>
      </w:pPr>
      <w:r>
        <w:rPr>
          <w:rFonts w:eastAsia="仿宋"/>
          <w:highlight w:val="none"/>
        </w:rPr>
        <w:t>特此声明。</w:t>
      </w:r>
    </w:p>
    <w:p w14:paraId="3FDDC4C5">
      <w:pPr>
        <w:spacing w:line="500" w:lineRule="exact"/>
        <w:ind w:firstLine="566" w:firstLineChars="200"/>
        <w:rPr>
          <w:rFonts w:eastAsia="仿宋"/>
          <w:highlight w:val="none"/>
        </w:rPr>
      </w:pPr>
    </w:p>
    <w:p w14:paraId="2DC7DE88">
      <w:pPr>
        <w:spacing w:line="500" w:lineRule="exact"/>
        <w:ind w:firstLine="4250" w:firstLineChars="1502"/>
        <w:rPr>
          <w:rFonts w:eastAsia="仿宋"/>
          <w:highlight w:val="none"/>
        </w:rPr>
      </w:pPr>
      <w:r>
        <w:rPr>
          <w:rFonts w:hint="eastAsia" w:eastAsia="仿宋"/>
          <w:highlight w:val="none"/>
        </w:rPr>
        <w:t>供应</w:t>
      </w:r>
      <w:r>
        <w:rPr>
          <w:rFonts w:eastAsia="仿宋"/>
          <w:highlight w:val="none"/>
        </w:rPr>
        <w:t>商：</w:t>
      </w:r>
      <w:r>
        <w:rPr>
          <w:rFonts w:hint="eastAsia" w:eastAsia="仿宋"/>
          <w:highlight w:val="none"/>
          <w:u w:val="single"/>
        </w:rPr>
        <w:t>名称</w:t>
      </w:r>
      <w:r>
        <w:rPr>
          <w:rFonts w:eastAsia="仿宋"/>
          <w:highlight w:val="none"/>
        </w:rPr>
        <w:t>（加盖公章）</w:t>
      </w:r>
    </w:p>
    <w:p w14:paraId="7BCFAC0F">
      <w:pPr>
        <w:spacing w:line="500" w:lineRule="exact"/>
        <w:ind w:firstLine="4250" w:firstLineChars="1502"/>
        <w:rPr>
          <w:rFonts w:eastAsia="仿宋"/>
          <w:highlight w:val="none"/>
        </w:rPr>
      </w:pPr>
      <w:r>
        <w:rPr>
          <w:rFonts w:eastAsia="仿宋"/>
          <w:highlight w:val="none"/>
        </w:rPr>
        <w:t>法定代表人或授权</w:t>
      </w:r>
      <w:r>
        <w:rPr>
          <w:rFonts w:hint="eastAsia" w:eastAsia="仿宋"/>
          <w:highlight w:val="none"/>
        </w:rPr>
        <w:t>代表</w:t>
      </w:r>
      <w:r>
        <w:rPr>
          <w:rFonts w:eastAsia="仿宋"/>
          <w:highlight w:val="none"/>
        </w:rPr>
        <w:t>：（</w:t>
      </w:r>
      <w:r>
        <w:rPr>
          <w:rFonts w:hint="eastAsia" w:eastAsia="仿宋"/>
          <w:highlight w:val="none"/>
        </w:rPr>
        <w:t>签字或盖章</w:t>
      </w:r>
      <w:r>
        <w:rPr>
          <w:rFonts w:eastAsia="仿宋"/>
          <w:highlight w:val="none"/>
        </w:rPr>
        <w:t>）</w:t>
      </w:r>
    </w:p>
    <w:p w14:paraId="60A3BC17">
      <w:pPr>
        <w:spacing w:line="500" w:lineRule="exact"/>
        <w:ind w:firstLine="4250" w:firstLineChars="1502"/>
        <w:rPr>
          <w:rFonts w:eastAsia="仿宋"/>
          <w:highlight w:val="none"/>
        </w:rPr>
      </w:pPr>
      <w:r>
        <w:rPr>
          <w:rFonts w:eastAsia="仿宋"/>
          <w:highlight w:val="none"/>
        </w:rPr>
        <w:t>日</w:t>
      </w:r>
      <w:r>
        <w:rPr>
          <w:rFonts w:hint="eastAsia" w:eastAsia="仿宋"/>
          <w:highlight w:val="none"/>
        </w:rPr>
        <w:t xml:space="preserve">  </w:t>
      </w:r>
      <w:r>
        <w:rPr>
          <w:rFonts w:eastAsia="仿宋"/>
          <w:highlight w:val="none"/>
        </w:rPr>
        <w:t>期：</w:t>
      </w:r>
      <w:r>
        <w:rPr>
          <w:rFonts w:hint="eastAsia" w:eastAsia="仿宋"/>
          <w:highlight w:val="none"/>
        </w:rPr>
        <w:t xml:space="preserve">   年  月  日</w:t>
      </w:r>
    </w:p>
    <w:p w14:paraId="1F4C39A2">
      <w:pPr>
        <w:pStyle w:val="22"/>
        <w:ind w:firstLine="566" w:firstLineChars="200"/>
        <w:rPr>
          <w:rFonts w:eastAsia="仿宋"/>
          <w:highlight w:val="none"/>
        </w:rPr>
      </w:pPr>
    </w:p>
    <w:p w14:paraId="12EA4443">
      <w:pPr>
        <w:spacing w:line="240" w:lineRule="auto"/>
        <w:ind w:firstLine="606" w:firstLineChars="200"/>
        <w:jc w:val="left"/>
        <w:rPr>
          <w:rFonts w:eastAsia="仿宋"/>
          <w:b/>
          <w:bCs/>
          <w:sz w:val="30"/>
          <w:szCs w:val="30"/>
          <w:highlight w:val="none"/>
        </w:rPr>
      </w:pPr>
      <w:r>
        <w:rPr>
          <w:rFonts w:eastAsia="仿宋"/>
          <w:b/>
          <w:bCs/>
          <w:sz w:val="30"/>
          <w:szCs w:val="30"/>
          <w:highlight w:val="none"/>
        </w:rPr>
        <w:br w:type="page"/>
      </w:r>
    </w:p>
    <w:p w14:paraId="23B3EDAB">
      <w:pPr>
        <w:pStyle w:val="46"/>
        <w:ind w:firstLine="648"/>
        <w:outlineLvl w:val="1"/>
        <w:rPr>
          <w:rFonts w:eastAsia="仿宋"/>
          <w:b/>
          <w:sz w:val="32"/>
          <w:szCs w:val="32"/>
          <w:highlight w:val="none"/>
        </w:rPr>
      </w:pPr>
      <w:bookmarkStart w:id="467" w:name="_Toc28681275"/>
      <w:bookmarkStart w:id="468" w:name="_Toc31734"/>
      <w:bookmarkStart w:id="469" w:name="_Toc11924"/>
      <w:bookmarkStart w:id="470" w:name="_Toc13436"/>
      <w:r>
        <w:rPr>
          <w:rFonts w:hint="eastAsia" w:eastAsia="仿宋"/>
          <w:b/>
          <w:sz w:val="32"/>
          <w:szCs w:val="32"/>
          <w:highlight w:val="none"/>
        </w:rPr>
        <w:t>七、</w:t>
      </w:r>
      <w:r>
        <w:rPr>
          <w:rFonts w:eastAsia="仿宋"/>
          <w:b/>
          <w:sz w:val="32"/>
          <w:szCs w:val="32"/>
          <w:highlight w:val="none"/>
        </w:rPr>
        <w:t>法定代表人授权委托书</w:t>
      </w:r>
      <w:bookmarkEnd w:id="467"/>
      <w:bookmarkEnd w:id="468"/>
      <w:bookmarkEnd w:id="469"/>
      <w:bookmarkEnd w:id="470"/>
    </w:p>
    <w:p w14:paraId="179CC4C0">
      <w:pPr>
        <w:pStyle w:val="46"/>
        <w:spacing w:before="193" w:beforeLines="50"/>
        <w:ind w:firstLine="0" w:firstLineChars="0"/>
        <w:jc w:val="center"/>
        <w:rPr>
          <w:rFonts w:eastAsia="仿宋"/>
          <w:highlight w:val="none"/>
        </w:rPr>
      </w:pPr>
      <w:bookmarkStart w:id="471" w:name="_Toc28681276"/>
      <w:bookmarkStart w:id="472" w:name="_Toc28681120"/>
      <w:r>
        <w:rPr>
          <w:rFonts w:eastAsia="仿宋"/>
          <w:b/>
          <w:bCs/>
          <w:sz w:val="30"/>
          <w:szCs w:val="30"/>
          <w:highlight w:val="none"/>
        </w:rPr>
        <w:t>法定代表人授权委托书</w:t>
      </w:r>
      <w:bookmarkEnd w:id="471"/>
      <w:bookmarkEnd w:id="472"/>
    </w:p>
    <w:p w14:paraId="3256DDDA">
      <w:pPr>
        <w:snapToGrid w:val="0"/>
        <w:spacing w:before="193" w:beforeLines="50" w:line="500" w:lineRule="exact"/>
        <w:rPr>
          <w:rFonts w:ascii="仿宋" w:hAnsi="仿宋" w:eastAsia="仿宋"/>
          <w:highlight w:val="none"/>
        </w:rPr>
      </w:pPr>
      <w:r>
        <w:rPr>
          <w:rFonts w:hint="eastAsia" w:ascii="仿宋" w:hAnsi="仿宋" w:eastAsia="仿宋" w:cs="仿宋"/>
          <w:highlight w:val="none"/>
        </w:rPr>
        <w:t>致陕西中发项目管理发展有限公司</w:t>
      </w:r>
      <w:r>
        <w:rPr>
          <w:rFonts w:ascii="仿宋" w:hAnsi="仿宋" w:eastAsia="仿宋"/>
          <w:highlight w:val="none"/>
        </w:rPr>
        <w:t>：</w:t>
      </w:r>
    </w:p>
    <w:p w14:paraId="3F80A52D">
      <w:pPr>
        <w:snapToGrid w:val="0"/>
        <w:spacing w:after="193" w:afterLines="50" w:line="500" w:lineRule="exact"/>
        <w:ind w:firstLine="566" w:firstLineChars="200"/>
        <w:rPr>
          <w:rFonts w:ascii="仿宋" w:hAnsi="仿宋" w:eastAsia="仿宋" w:cs="仿宋"/>
          <w:highlight w:val="none"/>
        </w:rPr>
      </w:pPr>
      <w:r>
        <w:rPr>
          <w:rFonts w:ascii="仿宋" w:hAnsi="仿宋" w:eastAsia="仿宋" w:cs="仿宋"/>
          <w:highlight w:val="none"/>
        </w:rPr>
        <w:t>现委派</w:t>
      </w:r>
      <w:r>
        <w:rPr>
          <w:rFonts w:ascii="仿宋" w:hAnsi="仿宋" w:eastAsia="仿宋" w:cs="仿宋"/>
          <w:highlight w:val="none"/>
          <w:u w:val="single"/>
        </w:rPr>
        <w:t>（</w:t>
      </w:r>
      <w:r>
        <w:rPr>
          <w:rFonts w:hint="eastAsia" w:ascii="仿宋" w:hAnsi="仿宋" w:eastAsia="仿宋" w:cs="仿宋"/>
          <w:highlight w:val="none"/>
          <w:u w:val="single"/>
        </w:rPr>
        <w:t>授权代表</w:t>
      </w:r>
      <w:r>
        <w:rPr>
          <w:rFonts w:ascii="仿宋" w:hAnsi="仿宋" w:eastAsia="仿宋" w:cs="仿宋"/>
          <w:highlight w:val="none"/>
          <w:u w:val="single"/>
        </w:rPr>
        <w:t>姓名）</w:t>
      </w:r>
      <w:r>
        <w:rPr>
          <w:rFonts w:ascii="仿宋" w:hAnsi="仿宋" w:eastAsia="仿宋" w:cs="仿宋"/>
          <w:highlight w:val="none"/>
        </w:rPr>
        <w:t>为本公司的</w:t>
      </w:r>
      <w:r>
        <w:rPr>
          <w:rFonts w:hint="eastAsia" w:ascii="仿宋" w:hAnsi="仿宋" w:eastAsia="仿宋" w:cs="仿宋"/>
          <w:highlight w:val="none"/>
        </w:rPr>
        <w:t>授权代表</w:t>
      </w:r>
      <w:r>
        <w:rPr>
          <w:rFonts w:ascii="仿宋" w:hAnsi="仿宋" w:eastAsia="仿宋" w:cs="仿宋"/>
          <w:highlight w:val="none"/>
        </w:rPr>
        <w:t>，参加贵</w:t>
      </w:r>
      <w:r>
        <w:rPr>
          <w:rFonts w:hint="eastAsia" w:ascii="仿宋" w:hAnsi="仿宋" w:eastAsia="仿宋" w:cs="仿宋"/>
          <w:highlight w:val="none"/>
        </w:rPr>
        <w:t>公司</w:t>
      </w:r>
      <w:r>
        <w:rPr>
          <w:rFonts w:ascii="仿宋" w:hAnsi="仿宋" w:eastAsia="仿宋" w:cs="仿宋"/>
          <w:highlight w:val="none"/>
        </w:rPr>
        <w:t>组织的</w:t>
      </w:r>
      <w:r>
        <w:rPr>
          <w:rFonts w:hint="eastAsia" w:eastAsia="仿宋"/>
          <w:highlight w:val="none"/>
        </w:rPr>
        <w:t>《</w:t>
      </w:r>
      <w:r>
        <w:rPr>
          <w:rFonts w:hint="eastAsia" w:ascii="仿宋" w:hAnsi="仿宋" w:eastAsia="仿宋" w:cs="仿宋"/>
          <w:highlight w:val="none"/>
          <w:u w:val="single"/>
        </w:rPr>
        <w:t>项目名称</w:t>
      </w:r>
      <w:r>
        <w:rPr>
          <w:rFonts w:hint="eastAsia" w:eastAsia="仿宋"/>
          <w:highlight w:val="none"/>
        </w:rPr>
        <w:t>》</w:t>
      </w:r>
      <w:r>
        <w:rPr>
          <w:rFonts w:hint="eastAsia" w:ascii="仿宋" w:hAnsi="仿宋" w:eastAsia="仿宋" w:cs="仿宋"/>
          <w:highlight w:val="none"/>
        </w:rPr>
        <w:t>（项目编号：</w:t>
      </w:r>
      <w:r>
        <w:rPr>
          <w:rFonts w:hint="eastAsia" w:ascii="仿宋" w:hAnsi="仿宋" w:eastAsia="仿宋" w:cs="华文仿宋"/>
          <w:highlight w:val="none"/>
          <w:u w:val="single"/>
        </w:rPr>
        <w:t xml:space="preserve">  </w:t>
      </w:r>
      <w:r>
        <w:rPr>
          <w:rFonts w:hint="eastAsia" w:ascii="仿宋" w:hAnsi="仿宋" w:eastAsia="仿宋" w:cs="仿宋"/>
          <w:highlight w:val="none"/>
          <w:u w:val="single"/>
        </w:rPr>
        <w:t xml:space="preserve">   </w:t>
      </w:r>
      <w:r>
        <w:rPr>
          <w:rFonts w:ascii="仿宋" w:hAnsi="仿宋" w:eastAsia="仿宋" w:cs="仿宋"/>
          <w:highlight w:val="none"/>
        </w:rPr>
        <w:t>），就该项目的投标及</w:t>
      </w:r>
      <w:r>
        <w:rPr>
          <w:rFonts w:hint="eastAsia" w:ascii="仿宋" w:hAnsi="仿宋" w:eastAsia="仿宋" w:cs="仿宋"/>
          <w:highlight w:val="none"/>
        </w:rPr>
        <w:t>合同</w:t>
      </w:r>
      <w:r>
        <w:rPr>
          <w:rFonts w:ascii="仿宋" w:hAnsi="仿宋" w:eastAsia="仿宋" w:cs="仿宋"/>
          <w:highlight w:val="none"/>
        </w:rPr>
        <w:t>的执行和完成，以本公司的名义处理一切与之有关的事宜。</w:t>
      </w:r>
    </w:p>
    <w:p w14:paraId="3EA43A4D">
      <w:pPr>
        <w:pStyle w:val="22"/>
        <w:ind w:firstLine="566" w:firstLineChars="200"/>
        <w:rPr>
          <w:rFonts w:eastAsia="仿宋"/>
          <w:highlight w:val="none"/>
        </w:rPr>
      </w:pPr>
      <w:r>
        <w:rPr>
          <w:rFonts w:hint="eastAsia" w:eastAsia="仿宋"/>
          <w:highlight w:val="none"/>
        </w:rPr>
        <w:t>授权期限：</w:t>
      </w:r>
      <w:r>
        <w:rPr>
          <w:rFonts w:hint="eastAsia" w:eastAsia="仿宋"/>
          <w:highlight w:val="none"/>
          <w:u w:val="single"/>
        </w:rPr>
        <w:t xml:space="preserve">     </w:t>
      </w:r>
      <w:r>
        <w:rPr>
          <w:rFonts w:hint="eastAsia" w:eastAsia="仿宋"/>
          <w:highlight w:val="none"/>
        </w:rPr>
        <w:t>天</w:t>
      </w:r>
    </w:p>
    <w:p w14:paraId="103A1208">
      <w:pPr>
        <w:tabs>
          <w:tab w:val="left" w:pos="5245"/>
        </w:tabs>
        <w:snapToGrid w:val="0"/>
        <w:spacing w:line="500" w:lineRule="exact"/>
        <w:ind w:firstLine="566" w:firstLineChars="200"/>
        <w:rPr>
          <w:rFonts w:ascii="仿宋" w:hAnsi="仿宋" w:eastAsia="仿宋"/>
          <w:highlight w:val="none"/>
        </w:rPr>
      </w:pPr>
      <w:r>
        <w:rPr>
          <w:rFonts w:hint="eastAsia" w:ascii="仿宋" w:hAnsi="仿宋" w:eastAsia="仿宋"/>
          <w:highlight w:val="none"/>
        </w:rPr>
        <w:t>授权代表姓名：</w:t>
      </w:r>
      <w:r>
        <w:rPr>
          <w:rFonts w:ascii="仿宋" w:hAnsi="仿宋" w:eastAsia="仿宋"/>
          <w:highlight w:val="none"/>
        </w:rPr>
        <w:t>_______________</w:t>
      </w:r>
      <w:r>
        <w:rPr>
          <w:rFonts w:ascii="仿宋" w:hAnsi="仿宋" w:eastAsia="仿宋"/>
          <w:highlight w:val="none"/>
        </w:rPr>
        <w:tab/>
      </w:r>
      <w:r>
        <w:rPr>
          <w:rFonts w:hint="eastAsia" w:ascii="仿宋" w:hAnsi="仿宋" w:eastAsia="仿宋"/>
          <w:highlight w:val="none"/>
        </w:rPr>
        <w:t>性别：</w:t>
      </w:r>
      <w:r>
        <w:rPr>
          <w:rFonts w:ascii="仿宋" w:hAnsi="仿宋" w:eastAsia="仿宋"/>
          <w:highlight w:val="none"/>
        </w:rPr>
        <w:t>_____</w:t>
      </w:r>
      <w:r>
        <w:rPr>
          <w:rFonts w:ascii="仿宋" w:hAnsi="仿宋" w:eastAsia="仿宋"/>
          <w:highlight w:val="none"/>
        </w:rPr>
        <w:tab/>
      </w:r>
    </w:p>
    <w:p w14:paraId="5519B55D">
      <w:pPr>
        <w:tabs>
          <w:tab w:val="left" w:pos="5245"/>
        </w:tabs>
        <w:snapToGrid w:val="0"/>
        <w:spacing w:line="500" w:lineRule="exact"/>
        <w:ind w:firstLine="566" w:firstLineChars="200"/>
        <w:rPr>
          <w:rFonts w:ascii="仿宋" w:hAnsi="仿宋" w:eastAsia="仿宋"/>
          <w:highlight w:val="none"/>
        </w:rPr>
      </w:pPr>
      <w:r>
        <w:rPr>
          <w:rFonts w:hint="eastAsia" w:ascii="仿宋" w:hAnsi="仿宋" w:eastAsia="仿宋"/>
          <w:highlight w:val="none"/>
        </w:rPr>
        <w:t>职务：</w:t>
      </w:r>
      <w:r>
        <w:rPr>
          <w:rFonts w:ascii="仿宋" w:hAnsi="仿宋" w:eastAsia="仿宋"/>
          <w:highlight w:val="none"/>
        </w:rPr>
        <w:t xml:space="preserve">________________           </w:t>
      </w:r>
      <w:r>
        <w:rPr>
          <w:rFonts w:hint="eastAsia" w:ascii="仿宋" w:hAnsi="仿宋" w:eastAsia="仿宋"/>
          <w:highlight w:val="none"/>
        </w:rPr>
        <w:t>电话：</w:t>
      </w:r>
      <w:r>
        <w:rPr>
          <w:rFonts w:ascii="仿宋" w:hAnsi="仿宋" w:eastAsia="仿宋"/>
          <w:highlight w:val="none"/>
        </w:rPr>
        <w:t>_________</w:t>
      </w:r>
    </w:p>
    <w:p w14:paraId="6628B7F0">
      <w:pPr>
        <w:tabs>
          <w:tab w:val="left" w:pos="3828"/>
          <w:tab w:val="left" w:pos="6237"/>
        </w:tabs>
        <w:snapToGrid w:val="0"/>
        <w:spacing w:line="500" w:lineRule="exact"/>
        <w:ind w:firstLine="566" w:firstLineChars="200"/>
        <w:rPr>
          <w:rFonts w:ascii="仿宋" w:hAnsi="仿宋" w:eastAsia="仿宋"/>
          <w:highlight w:val="none"/>
        </w:rPr>
      </w:pPr>
      <w:r>
        <w:rPr>
          <w:rFonts w:hint="eastAsia" w:ascii="仿宋" w:hAnsi="仿宋" w:eastAsia="仿宋"/>
          <w:highlight w:val="none"/>
        </w:rPr>
        <w:t>通讯地址：</w:t>
      </w:r>
      <w:r>
        <w:rPr>
          <w:rFonts w:ascii="仿宋" w:hAnsi="仿宋" w:eastAsia="仿宋"/>
          <w:highlight w:val="none"/>
        </w:rPr>
        <w:t>_______________________</w:t>
      </w:r>
      <w:r>
        <w:rPr>
          <w:rFonts w:hint="eastAsia" w:ascii="仿宋" w:hAnsi="仿宋" w:eastAsia="仿宋"/>
          <w:highlight w:val="none"/>
        </w:rPr>
        <w:t>邮政编码：</w:t>
      </w:r>
      <w:r>
        <w:rPr>
          <w:rFonts w:ascii="仿宋" w:hAnsi="仿宋" w:eastAsia="仿宋"/>
          <w:highlight w:val="none"/>
        </w:rPr>
        <w:t>__________</w:t>
      </w:r>
      <w:r>
        <w:rPr>
          <w:rFonts w:ascii="仿宋" w:hAnsi="仿宋" w:eastAsia="仿宋"/>
          <w:highlight w:val="none"/>
        </w:rPr>
        <w:tab/>
      </w:r>
    </w:p>
    <w:tbl>
      <w:tblPr>
        <w:tblStyle w:val="23"/>
        <w:tblW w:w="8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5"/>
        <w:gridCol w:w="4388"/>
      </w:tblGrid>
      <w:tr w14:paraId="74838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7" w:hRule="atLeast"/>
          <w:jc w:val="center"/>
        </w:trPr>
        <w:tc>
          <w:tcPr>
            <w:tcW w:w="4085" w:type="dxa"/>
            <w:tcBorders>
              <w:top w:val="single" w:color="auto" w:sz="4" w:space="0"/>
              <w:left w:val="single" w:color="auto" w:sz="4" w:space="0"/>
              <w:bottom w:val="single" w:color="auto" w:sz="4" w:space="0"/>
              <w:right w:val="single" w:color="auto" w:sz="4" w:space="0"/>
            </w:tcBorders>
            <w:vAlign w:val="center"/>
          </w:tcPr>
          <w:p w14:paraId="55B6F4AB">
            <w:pPr>
              <w:jc w:val="center"/>
              <w:rPr>
                <w:rFonts w:ascii="仿宋" w:hAnsi="仿宋" w:eastAsia="仿宋"/>
                <w:highlight w:val="none"/>
              </w:rPr>
            </w:pPr>
            <w:r>
              <w:rPr>
                <w:rFonts w:ascii="仿宋" w:hAnsi="仿宋" w:eastAsia="仿宋"/>
                <w:highlight w:val="none"/>
              </w:rPr>
              <w:t>法定代表人身份证复印件</w:t>
            </w:r>
          </w:p>
          <w:p w14:paraId="215EAD28">
            <w:pPr>
              <w:jc w:val="center"/>
              <w:rPr>
                <w:rFonts w:ascii="仿宋" w:hAnsi="仿宋" w:eastAsia="仿宋"/>
                <w:highlight w:val="none"/>
              </w:rPr>
            </w:pPr>
            <w:r>
              <w:rPr>
                <w:rFonts w:ascii="仿宋" w:hAnsi="仿宋" w:eastAsia="仿宋"/>
                <w:highlight w:val="none"/>
              </w:rPr>
              <w:t>（</w:t>
            </w:r>
            <w:r>
              <w:rPr>
                <w:rFonts w:hint="eastAsia" w:ascii="仿宋" w:hAnsi="仿宋" w:eastAsia="仿宋"/>
                <w:highlight w:val="none"/>
              </w:rPr>
              <w:t>有人像</w:t>
            </w:r>
            <w:r>
              <w:rPr>
                <w:rFonts w:ascii="仿宋" w:hAnsi="仿宋" w:eastAsia="仿宋"/>
                <w:highlight w:val="none"/>
              </w:rPr>
              <w:t>面粘贴处）</w:t>
            </w:r>
          </w:p>
        </w:tc>
        <w:tc>
          <w:tcPr>
            <w:tcW w:w="4388" w:type="dxa"/>
            <w:tcBorders>
              <w:top w:val="single" w:color="auto" w:sz="4" w:space="0"/>
              <w:left w:val="single" w:color="auto" w:sz="4" w:space="0"/>
              <w:bottom w:val="single" w:color="auto" w:sz="4" w:space="0"/>
              <w:right w:val="single" w:color="auto" w:sz="4" w:space="0"/>
            </w:tcBorders>
            <w:vAlign w:val="center"/>
          </w:tcPr>
          <w:p w14:paraId="24A188AA">
            <w:pPr>
              <w:jc w:val="center"/>
              <w:rPr>
                <w:rFonts w:ascii="仿宋" w:hAnsi="仿宋" w:eastAsia="仿宋"/>
                <w:highlight w:val="none"/>
              </w:rPr>
            </w:pPr>
            <w:r>
              <w:rPr>
                <w:rFonts w:ascii="仿宋" w:hAnsi="仿宋" w:eastAsia="仿宋"/>
                <w:highlight w:val="none"/>
              </w:rPr>
              <w:t>授权</w:t>
            </w:r>
            <w:r>
              <w:rPr>
                <w:rFonts w:hint="eastAsia" w:ascii="仿宋" w:hAnsi="仿宋" w:eastAsia="仿宋"/>
                <w:highlight w:val="none"/>
              </w:rPr>
              <w:t>代表</w:t>
            </w:r>
            <w:r>
              <w:rPr>
                <w:rFonts w:ascii="仿宋" w:hAnsi="仿宋" w:eastAsia="仿宋"/>
                <w:highlight w:val="none"/>
              </w:rPr>
              <w:t>身份证复印件</w:t>
            </w:r>
          </w:p>
          <w:p w14:paraId="49FD619B">
            <w:pPr>
              <w:jc w:val="center"/>
              <w:rPr>
                <w:rFonts w:ascii="仿宋" w:hAnsi="仿宋" w:eastAsia="仿宋"/>
                <w:highlight w:val="none"/>
              </w:rPr>
            </w:pPr>
            <w:r>
              <w:rPr>
                <w:rFonts w:ascii="仿宋" w:hAnsi="仿宋" w:eastAsia="仿宋"/>
                <w:highlight w:val="none"/>
              </w:rPr>
              <w:t>（</w:t>
            </w:r>
            <w:r>
              <w:rPr>
                <w:rFonts w:hint="eastAsia" w:ascii="仿宋" w:hAnsi="仿宋" w:eastAsia="仿宋"/>
                <w:highlight w:val="none"/>
              </w:rPr>
              <w:t>有人像</w:t>
            </w:r>
            <w:r>
              <w:rPr>
                <w:rFonts w:ascii="仿宋" w:hAnsi="仿宋" w:eastAsia="仿宋"/>
                <w:highlight w:val="none"/>
              </w:rPr>
              <w:t>面粘贴处）</w:t>
            </w:r>
          </w:p>
        </w:tc>
      </w:tr>
      <w:tr w14:paraId="0612B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7" w:hRule="atLeast"/>
          <w:jc w:val="center"/>
        </w:trPr>
        <w:tc>
          <w:tcPr>
            <w:tcW w:w="4085" w:type="dxa"/>
            <w:vAlign w:val="center"/>
          </w:tcPr>
          <w:p w14:paraId="124181B2">
            <w:pPr>
              <w:jc w:val="center"/>
              <w:rPr>
                <w:rFonts w:ascii="仿宋" w:hAnsi="仿宋" w:eastAsia="仿宋"/>
                <w:highlight w:val="none"/>
              </w:rPr>
            </w:pPr>
            <w:r>
              <w:rPr>
                <w:rFonts w:ascii="仿宋" w:hAnsi="仿宋" w:eastAsia="仿宋"/>
                <w:highlight w:val="none"/>
              </w:rPr>
              <w:t>法定代表人身份证复印件</w:t>
            </w:r>
          </w:p>
          <w:p w14:paraId="33807042">
            <w:pPr>
              <w:jc w:val="center"/>
              <w:rPr>
                <w:rFonts w:ascii="仿宋" w:hAnsi="仿宋" w:eastAsia="仿宋"/>
                <w:highlight w:val="none"/>
              </w:rPr>
            </w:pPr>
            <w:r>
              <w:rPr>
                <w:rFonts w:ascii="仿宋" w:hAnsi="仿宋" w:eastAsia="仿宋"/>
                <w:highlight w:val="none"/>
              </w:rPr>
              <w:t>（</w:t>
            </w:r>
            <w:r>
              <w:rPr>
                <w:rFonts w:hint="eastAsia" w:ascii="仿宋" w:hAnsi="仿宋" w:eastAsia="仿宋"/>
                <w:highlight w:val="none"/>
              </w:rPr>
              <w:t>有</w:t>
            </w:r>
            <w:r>
              <w:rPr>
                <w:rFonts w:ascii="仿宋" w:hAnsi="仿宋" w:eastAsia="仿宋"/>
                <w:highlight w:val="none"/>
              </w:rPr>
              <w:t>国徽面粘贴处）</w:t>
            </w:r>
          </w:p>
        </w:tc>
        <w:tc>
          <w:tcPr>
            <w:tcW w:w="4388" w:type="dxa"/>
            <w:vAlign w:val="center"/>
          </w:tcPr>
          <w:p w14:paraId="7B440F07">
            <w:pPr>
              <w:jc w:val="center"/>
              <w:rPr>
                <w:rFonts w:ascii="仿宋" w:hAnsi="仿宋" w:eastAsia="仿宋"/>
                <w:highlight w:val="none"/>
              </w:rPr>
            </w:pPr>
            <w:r>
              <w:rPr>
                <w:rFonts w:ascii="仿宋" w:hAnsi="仿宋" w:eastAsia="仿宋"/>
                <w:highlight w:val="none"/>
              </w:rPr>
              <w:t>授权</w:t>
            </w:r>
            <w:r>
              <w:rPr>
                <w:rFonts w:hint="eastAsia" w:ascii="仿宋" w:hAnsi="仿宋" w:eastAsia="仿宋"/>
                <w:highlight w:val="none"/>
              </w:rPr>
              <w:t>代表</w:t>
            </w:r>
            <w:r>
              <w:rPr>
                <w:rFonts w:ascii="仿宋" w:hAnsi="仿宋" w:eastAsia="仿宋"/>
                <w:highlight w:val="none"/>
              </w:rPr>
              <w:t>身份证复印件</w:t>
            </w:r>
          </w:p>
          <w:p w14:paraId="53745B38">
            <w:pPr>
              <w:jc w:val="center"/>
              <w:rPr>
                <w:rFonts w:ascii="仿宋" w:hAnsi="仿宋" w:eastAsia="仿宋"/>
                <w:highlight w:val="none"/>
              </w:rPr>
            </w:pPr>
            <w:r>
              <w:rPr>
                <w:rFonts w:ascii="仿宋" w:hAnsi="仿宋" w:eastAsia="仿宋"/>
                <w:highlight w:val="none"/>
              </w:rPr>
              <w:t>（</w:t>
            </w:r>
            <w:r>
              <w:rPr>
                <w:rFonts w:hint="eastAsia" w:ascii="仿宋" w:hAnsi="仿宋" w:eastAsia="仿宋"/>
                <w:highlight w:val="none"/>
              </w:rPr>
              <w:t>有</w:t>
            </w:r>
            <w:r>
              <w:rPr>
                <w:rFonts w:ascii="仿宋" w:hAnsi="仿宋" w:eastAsia="仿宋"/>
                <w:highlight w:val="none"/>
              </w:rPr>
              <w:t>国徽面粘贴处）</w:t>
            </w:r>
          </w:p>
        </w:tc>
      </w:tr>
    </w:tbl>
    <w:p w14:paraId="744A686C">
      <w:pPr>
        <w:spacing w:line="500" w:lineRule="exact"/>
        <w:ind w:firstLine="4250" w:firstLineChars="1502"/>
        <w:rPr>
          <w:rFonts w:eastAsia="仿宋"/>
          <w:highlight w:val="none"/>
        </w:rPr>
      </w:pPr>
      <w:r>
        <w:rPr>
          <w:rFonts w:hint="eastAsia" w:eastAsia="仿宋"/>
          <w:highlight w:val="none"/>
        </w:rPr>
        <w:t>供应</w:t>
      </w:r>
      <w:r>
        <w:rPr>
          <w:rFonts w:eastAsia="仿宋"/>
          <w:highlight w:val="none"/>
        </w:rPr>
        <w:t>商：</w:t>
      </w:r>
      <w:r>
        <w:rPr>
          <w:rFonts w:hint="eastAsia" w:eastAsia="仿宋"/>
          <w:highlight w:val="none"/>
          <w:u w:val="single"/>
        </w:rPr>
        <w:t>名称</w:t>
      </w:r>
      <w:r>
        <w:rPr>
          <w:rFonts w:eastAsia="仿宋"/>
          <w:highlight w:val="none"/>
        </w:rPr>
        <w:t>（加盖公章）</w:t>
      </w:r>
    </w:p>
    <w:p w14:paraId="183261C1">
      <w:pPr>
        <w:spacing w:line="500" w:lineRule="exact"/>
        <w:ind w:firstLine="4250" w:firstLineChars="1502"/>
        <w:rPr>
          <w:rFonts w:eastAsia="仿宋"/>
          <w:highlight w:val="none"/>
        </w:rPr>
      </w:pPr>
      <w:r>
        <w:rPr>
          <w:rFonts w:eastAsia="仿宋"/>
          <w:highlight w:val="none"/>
        </w:rPr>
        <w:t>法定代表人：（</w:t>
      </w:r>
      <w:r>
        <w:rPr>
          <w:rFonts w:hint="eastAsia" w:eastAsia="仿宋"/>
          <w:highlight w:val="none"/>
        </w:rPr>
        <w:t>签字或盖章</w:t>
      </w:r>
      <w:r>
        <w:rPr>
          <w:rFonts w:eastAsia="仿宋"/>
          <w:highlight w:val="none"/>
        </w:rPr>
        <w:t>）</w:t>
      </w:r>
    </w:p>
    <w:p w14:paraId="03B3E12C">
      <w:pPr>
        <w:spacing w:line="500" w:lineRule="exact"/>
        <w:ind w:firstLine="4250" w:firstLineChars="1502"/>
        <w:rPr>
          <w:rFonts w:eastAsia="仿宋"/>
          <w:highlight w:val="none"/>
        </w:rPr>
      </w:pPr>
      <w:r>
        <w:rPr>
          <w:rFonts w:eastAsia="仿宋"/>
          <w:highlight w:val="none"/>
        </w:rPr>
        <w:t>日</w:t>
      </w:r>
      <w:r>
        <w:rPr>
          <w:rFonts w:hint="eastAsia" w:eastAsia="仿宋"/>
          <w:highlight w:val="none"/>
        </w:rPr>
        <w:t xml:space="preserve">  </w:t>
      </w:r>
      <w:r>
        <w:rPr>
          <w:rFonts w:eastAsia="仿宋"/>
          <w:highlight w:val="none"/>
        </w:rPr>
        <w:t>期：</w:t>
      </w:r>
      <w:r>
        <w:rPr>
          <w:rFonts w:hint="eastAsia" w:eastAsia="仿宋"/>
          <w:highlight w:val="none"/>
        </w:rPr>
        <w:t xml:space="preserve">   年  月  日</w:t>
      </w:r>
    </w:p>
    <w:p w14:paraId="05959896">
      <w:pPr>
        <w:ind w:firstLine="646" w:firstLineChars="200"/>
        <w:jc w:val="center"/>
        <w:rPr>
          <w:rFonts w:ascii="仿宋" w:hAnsi="仿宋" w:eastAsia="仿宋" w:cstheme="majorBidi"/>
          <w:bCs/>
          <w:sz w:val="32"/>
          <w:szCs w:val="32"/>
          <w:highlight w:val="none"/>
        </w:rPr>
      </w:pPr>
    </w:p>
    <w:p w14:paraId="40F2C4C7">
      <w:pPr>
        <w:ind w:firstLine="426" w:firstLineChars="200"/>
        <w:jc w:val="left"/>
        <w:rPr>
          <w:rFonts w:ascii="黑体" w:hAnsi="黑体" w:eastAsia="黑体" w:cs="黑体"/>
          <w:sz w:val="32"/>
          <w:szCs w:val="32"/>
          <w:highlight w:val="none"/>
        </w:rPr>
      </w:pPr>
      <w:r>
        <w:rPr>
          <w:rFonts w:hint="eastAsia" w:ascii="宋体" w:hAnsi="宋体" w:eastAsia="宋体" w:cs="Calibri Light"/>
          <w:sz w:val="21"/>
          <w:szCs w:val="21"/>
          <w:highlight w:val="none"/>
        </w:rPr>
        <w:t>备注：法定代表人亲自参加投标的，无需提供该委托授权书，但须提供法定代表人本人身份证（正反面）复印件。</w:t>
      </w:r>
      <w:r>
        <w:rPr>
          <w:rFonts w:hint="eastAsia" w:ascii="黑体" w:hAnsi="黑体" w:eastAsia="黑体" w:cs="黑体"/>
          <w:sz w:val="32"/>
          <w:szCs w:val="32"/>
          <w:highlight w:val="none"/>
        </w:rPr>
        <w:br w:type="page"/>
      </w:r>
    </w:p>
    <w:p w14:paraId="0A9898EB">
      <w:pPr>
        <w:pStyle w:val="46"/>
        <w:ind w:firstLine="648"/>
        <w:outlineLvl w:val="1"/>
        <w:rPr>
          <w:rFonts w:eastAsia="仿宋"/>
          <w:b/>
          <w:sz w:val="32"/>
          <w:szCs w:val="32"/>
          <w:highlight w:val="none"/>
        </w:rPr>
      </w:pPr>
      <w:bookmarkStart w:id="473" w:name="_Toc32374"/>
      <w:bookmarkStart w:id="474" w:name="_Toc16571"/>
      <w:bookmarkStart w:id="475" w:name="_Toc17232"/>
      <w:r>
        <w:rPr>
          <w:rFonts w:hint="eastAsia" w:eastAsia="仿宋"/>
          <w:b/>
          <w:sz w:val="32"/>
          <w:szCs w:val="32"/>
          <w:highlight w:val="none"/>
        </w:rPr>
        <w:t>八、书面声明</w:t>
      </w:r>
      <w:bookmarkEnd w:id="473"/>
      <w:bookmarkEnd w:id="474"/>
      <w:bookmarkEnd w:id="475"/>
    </w:p>
    <w:p w14:paraId="75CD9B68">
      <w:pPr>
        <w:spacing w:line="560" w:lineRule="exact"/>
        <w:jc w:val="center"/>
        <w:rPr>
          <w:rFonts w:ascii="仿宋_GB2312" w:hAnsi="仿宋_GB2312" w:eastAsia="仿宋_GB2312" w:cs="仿宋_GB2312"/>
          <w:b/>
          <w:bCs/>
          <w:sz w:val="32"/>
          <w:szCs w:val="32"/>
          <w:highlight w:val="none"/>
        </w:rPr>
      </w:pPr>
      <w:r>
        <w:rPr>
          <w:rFonts w:hint="eastAsia" w:eastAsia="仿宋"/>
          <w:b/>
          <w:bCs/>
          <w:sz w:val="30"/>
          <w:szCs w:val="30"/>
          <w:highlight w:val="none"/>
        </w:rPr>
        <w:t>书面声明（格式）</w:t>
      </w:r>
    </w:p>
    <w:p w14:paraId="690A9C74">
      <w:pPr>
        <w:spacing w:line="560" w:lineRule="exact"/>
        <w:rPr>
          <w:rFonts w:ascii="仿宋_GB2312" w:hAnsi="仿宋_GB2312" w:eastAsia="仿宋_GB2312" w:cs="仿宋_GB2312"/>
          <w:sz w:val="32"/>
          <w:szCs w:val="32"/>
          <w:highlight w:val="none"/>
        </w:rPr>
      </w:pPr>
      <w:r>
        <w:rPr>
          <w:rFonts w:hint="eastAsia" w:ascii="仿宋" w:hAnsi="仿宋" w:eastAsia="仿宋" w:cs="仿宋"/>
          <w:highlight w:val="none"/>
        </w:rPr>
        <w:t>致陕西中发项目管理发展有限公司</w:t>
      </w:r>
      <w:r>
        <w:rPr>
          <w:rFonts w:ascii="仿宋" w:hAnsi="仿宋" w:eastAsia="仿宋"/>
          <w:highlight w:val="none"/>
        </w:rPr>
        <w:t>：</w:t>
      </w:r>
    </w:p>
    <w:p w14:paraId="06FE036D">
      <w:pPr>
        <w:spacing w:line="560" w:lineRule="exact"/>
        <w:ind w:firstLine="566" w:firstLineChars="200"/>
        <w:rPr>
          <w:rFonts w:ascii="仿宋" w:hAnsi="仿宋" w:eastAsia="仿宋" w:cs="仿宋"/>
          <w:highlight w:val="none"/>
        </w:rPr>
      </w:pPr>
      <w:r>
        <w:rPr>
          <w:rFonts w:hint="eastAsia" w:ascii="仿宋" w:hAnsi="仿宋" w:eastAsia="仿宋" w:cs="仿宋"/>
          <w:highlight w:val="none"/>
        </w:rPr>
        <w:t>我方作为</w:t>
      </w:r>
      <w:r>
        <w:rPr>
          <w:rFonts w:hint="eastAsia" w:ascii="仿宋" w:hAnsi="仿宋" w:eastAsia="仿宋" w:cs="仿宋"/>
          <w:highlight w:val="none"/>
          <w:u w:val="single"/>
        </w:rPr>
        <w:t>《项目名称》（项目编号：             ）</w:t>
      </w:r>
      <w:r>
        <w:rPr>
          <w:rFonts w:hint="eastAsia" w:ascii="仿宋" w:hAnsi="仿宋" w:eastAsia="仿宋" w:cs="仿宋"/>
          <w:highlight w:val="none"/>
        </w:rPr>
        <w:t>的投标供应商，在此郑重声明：</w:t>
      </w:r>
    </w:p>
    <w:p w14:paraId="09966FDB">
      <w:pPr>
        <w:spacing w:line="560" w:lineRule="exact"/>
        <w:ind w:firstLine="566" w:firstLineChars="200"/>
        <w:rPr>
          <w:rFonts w:ascii="仿宋" w:hAnsi="仿宋" w:eastAsia="仿宋" w:cs="仿宋"/>
          <w:highlight w:val="none"/>
        </w:rPr>
      </w:pPr>
      <w:r>
        <w:rPr>
          <w:rFonts w:hint="eastAsia" w:ascii="仿宋" w:hAnsi="仿宋" w:eastAsia="仿宋" w:cs="仿宋"/>
          <w:highlight w:val="none"/>
        </w:rPr>
        <w:t>1、我方具备履行合同所必须的设备和专业技术能力。</w:t>
      </w:r>
    </w:p>
    <w:p w14:paraId="21DC132D">
      <w:pPr>
        <w:spacing w:line="560" w:lineRule="exact"/>
        <w:ind w:firstLine="566" w:firstLineChars="200"/>
        <w:rPr>
          <w:rFonts w:ascii="仿宋" w:hAnsi="仿宋" w:eastAsia="仿宋" w:cs="仿宋"/>
          <w:highlight w:val="none"/>
        </w:rPr>
      </w:pPr>
      <w:r>
        <w:rPr>
          <w:rFonts w:hint="eastAsia" w:ascii="仿宋" w:hAnsi="仿宋" w:eastAsia="仿宋" w:cs="仿宋"/>
          <w:highlight w:val="none"/>
        </w:rPr>
        <w:t>2、我方未为本项目提供整体设计、规范编制或者项目管理、监理、检测等服务。</w:t>
      </w:r>
    </w:p>
    <w:p w14:paraId="22229C96">
      <w:pPr>
        <w:spacing w:line="560" w:lineRule="exact"/>
        <w:ind w:firstLine="566" w:firstLineChars="200"/>
        <w:rPr>
          <w:rFonts w:ascii="仿宋" w:hAnsi="仿宋" w:eastAsia="仿宋" w:cs="仿宋"/>
          <w:highlight w:val="none"/>
        </w:rPr>
      </w:pPr>
      <w:r>
        <w:rPr>
          <w:rFonts w:hint="eastAsia" w:ascii="仿宋" w:hAnsi="仿宋" w:eastAsia="仿宋" w:cs="仿宋"/>
          <w:highlight w:val="none"/>
        </w:rPr>
        <w:t>如有不实，我方将无条件地退出本项目的采购活动，并遵照《政府采购法》有关“提供虚假材料的规定”接受处罚。</w:t>
      </w:r>
    </w:p>
    <w:p w14:paraId="53A11A95">
      <w:pPr>
        <w:spacing w:line="560" w:lineRule="exact"/>
        <w:ind w:firstLine="566" w:firstLineChars="200"/>
        <w:rPr>
          <w:rFonts w:ascii="仿宋" w:hAnsi="仿宋" w:eastAsia="仿宋" w:cs="仿宋"/>
          <w:highlight w:val="none"/>
        </w:rPr>
      </w:pPr>
      <w:r>
        <w:rPr>
          <w:rFonts w:hint="eastAsia" w:ascii="仿宋" w:hAnsi="仿宋" w:eastAsia="仿宋" w:cs="仿宋"/>
          <w:highlight w:val="none"/>
        </w:rPr>
        <w:t>特此声明。</w:t>
      </w:r>
    </w:p>
    <w:p w14:paraId="7B1F26AB">
      <w:pPr>
        <w:spacing w:line="560" w:lineRule="exact"/>
        <w:ind w:firstLine="567"/>
        <w:rPr>
          <w:rFonts w:ascii="仿宋" w:hAnsi="仿宋" w:eastAsia="仿宋" w:cs="仿宋"/>
          <w:highlight w:val="none"/>
        </w:rPr>
      </w:pPr>
    </w:p>
    <w:p w14:paraId="65010A0D">
      <w:pPr>
        <w:spacing w:line="500" w:lineRule="exact"/>
        <w:ind w:firstLine="4250" w:firstLineChars="1502"/>
        <w:rPr>
          <w:rFonts w:eastAsia="仿宋"/>
          <w:highlight w:val="none"/>
        </w:rPr>
      </w:pPr>
      <w:r>
        <w:rPr>
          <w:rFonts w:hint="eastAsia" w:eastAsia="仿宋"/>
          <w:highlight w:val="none"/>
        </w:rPr>
        <w:t>供应</w:t>
      </w:r>
      <w:r>
        <w:rPr>
          <w:rFonts w:eastAsia="仿宋"/>
          <w:highlight w:val="none"/>
        </w:rPr>
        <w:t>商：</w:t>
      </w:r>
      <w:r>
        <w:rPr>
          <w:rFonts w:hint="eastAsia" w:eastAsia="仿宋"/>
          <w:highlight w:val="none"/>
          <w:u w:val="single"/>
        </w:rPr>
        <w:t>名称</w:t>
      </w:r>
      <w:r>
        <w:rPr>
          <w:rFonts w:eastAsia="仿宋"/>
          <w:highlight w:val="none"/>
        </w:rPr>
        <w:t>（加盖公章）</w:t>
      </w:r>
    </w:p>
    <w:p w14:paraId="32CE178A">
      <w:pPr>
        <w:spacing w:line="500" w:lineRule="exact"/>
        <w:ind w:firstLine="4250" w:firstLineChars="1502"/>
        <w:rPr>
          <w:rFonts w:eastAsia="仿宋"/>
          <w:highlight w:val="none"/>
        </w:rPr>
      </w:pPr>
      <w:r>
        <w:rPr>
          <w:rFonts w:eastAsia="仿宋"/>
          <w:highlight w:val="none"/>
        </w:rPr>
        <w:t>法定代表人或授权</w:t>
      </w:r>
      <w:r>
        <w:rPr>
          <w:rFonts w:hint="eastAsia" w:eastAsia="仿宋"/>
          <w:highlight w:val="none"/>
        </w:rPr>
        <w:t>代表</w:t>
      </w:r>
      <w:r>
        <w:rPr>
          <w:rFonts w:eastAsia="仿宋"/>
          <w:highlight w:val="none"/>
        </w:rPr>
        <w:t>：（</w:t>
      </w:r>
      <w:r>
        <w:rPr>
          <w:rFonts w:hint="eastAsia" w:eastAsia="仿宋"/>
          <w:highlight w:val="none"/>
        </w:rPr>
        <w:t>签字或盖章</w:t>
      </w:r>
      <w:r>
        <w:rPr>
          <w:rFonts w:eastAsia="仿宋"/>
          <w:highlight w:val="none"/>
        </w:rPr>
        <w:t>）</w:t>
      </w:r>
    </w:p>
    <w:p w14:paraId="248037BA">
      <w:pPr>
        <w:spacing w:line="500" w:lineRule="exact"/>
        <w:ind w:firstLine="4250" w:firstLineChars="1502"/>
        <w:rPr>
          <w:rFonts w:eastAsia="仿宋"/>
          <w:highlight w:val="none"/>
        </w:rPr>
      </w:pPr>
      <w:r>
        <w:rPr>
          <w:rFonts w:eastAsia="仿宋"/>
          <w:highlight w:val="none"/>
        </w:rPr>
        <w:t>日</w:t>
      </w:r>
      <w:r>
        <w:rPr>
          <w:rFonts w:hint="eastAsia" w:eastAsia="仿宋"/>
          <w:highlight w:val="none"/>
        </w:rPr>
        <w:t xml:space="preserve">  </w:t>
      </w:r>
      <w:r>
        <w:rPr>
          <w:rFonts w:eastAsia="仿宋"/>
          <w:highlight w:val="none"/>
        </w:rPr>
        <w:t>期：</w:t>
      </w:r>
      <w:r>
        <w:rPr>
          <w:rFonts w:hint="eastAsia" w:eastAsia="仿宋"/>
          <w:highlight w:val="none"/>
        </w:rPr>
        <w:t xml:space="preserve">   年  月  日</w:t>
      </w:r>
    </w:p>
    <w:p w14:paraId="2FF4175D">
      <w:pPr>
        <w:ind w:firstLine="566" w:firstLineChars="200"/>
        <w:rPr>
          <w:rFonts w:ascii="仿宋" w:hAnsi="仿宋" w:eastAsia="仿宋"/>
          <w:highlight w:val="none"/>
        </w:rPr>
      </w:pPr>
    </w:p>
    <w:p w14:paraId="379833B6">
      <w:pPr>
        <w:ind w:firstLine="566" w:firstLineChars="200"/>
        <w:rPr>
          <w:rFonts w:ascii="仿宋" w:hAnsi="仿宋" w:eastAsia="仿宋"/>
          <w:highlight w:val="none"/>
        </w:rPr>
      </w:pPr>
    </w:p>
    <w:p w14:paraId="32893AC0">
      <w:pPr>
        <w:ind w:firstLine="646" w:firstLineChars="200"/>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br w:type="page"/>
      </w:r>
    </w:p>
    <w:p w14:paraId="1DA76A8F">
      <w:pPr>
        <w:pStyle w:val="46"/>
        <w:ind w:firstLine="648"/>
        <w:outlineLvl w:val="1"/>
        <w:rPr>
          <w:rFonts w:eastAsia="仿宋"/>
          <w:b/>
          <w:sz w:val="32"/>
          <w:szCs w:val="32"/>
          <w:highlight w:val="none"/>
        </w:rPr>
      </w:pPr>
      <w:bookmarkStart w:id="476" w:name="_Toc28086"/>
      <w:bookmarkStart w:id="477" w:name="_Toc3979"/>
      <w:bookmarkStart w:id="478" w:name="_Toc12506"/>
      <w:r>
        <w:rPr>
          <w:rFonts w:hint="eastAsia" w:eastAsia="仿宋"/>
          <w:b/>
          <w:sz w:val="32"/>
          <w:szCs w:val="32"/>
          <w:highlight w:val="none"/>
        </w:rPr>
        <w:t>九、本项目不接受联合体响应，不允许分包</w:t>
      </w:r>
      <w:bookmarkEnd w:id="476"/>
      <w:bookmarkEnd w:id="477"/>
      <w:bookmarkEnd w:id="478"/>
    </w:p>
    <w:p w14:paraId="5BA68CF9">
      <w:pPr>
        <w:pStyle w:val="5"/>
        <w:spacing w:line="560" w:lineRule="exact"/>
        <w:ind w:firstLine="567"/>
        <w:jc w:val="center"/>
        <w:rPr>
          <w:rFonts w:ascii="仿宋_GB2312" w:hAnsi="仿宋_GB2312" w:eastAsia="仿宋_GB2312" w:cs="仿宋_GB2312"/>
          <w:b/>
          <w:bCs/>
          <w:sz w:val="32"/>
          <w:szCs w:val="32"/>
          <w:highlight w:val="none"/>
        </w:rPr>
      </w:pPr>
    </w:p>
    <w:p w14:paraId="3612F871">
      <w:pPr>
        <w:spacing w:line="560" w:lineRule="exact"/>
        <w:jc w:val="center"/>
        <w:rPr>
          <w:rFonts w:eastAsia="仿宋"/>
          <w:b/>
          <w:bCs/>
          <w:sz w:val="30"/>
          <w:szCs w:val="30"/>
          <w:highlight w:val="none"/>
        </w:rPr>
      </w:pPr>
      <w:r>
        <w:rPr>
          <w:rFonts w:hint="eastAsia" w:eastAsia="仿宋"/>
          <w:b/>
          <w:bCs/>
          <w:sz w:val="30"/>
          <w:szCs w:val="30"/>
          <w:highlight w:val="none"/>
        </w:rPr>
        <w:t>非联合体不分包投标声明（格式）</w:t>
      </w:r>
    </w:p>
    <w:p w14:paraId="1F68ED96">
      <w:pPr>
        <w:spacing w:line="560" w:lineRule="exact"/>
        <w:rPr>
          <w:rFonts w:ascii="仿宋" w:hAnsi="仿宋" w:eastAsia="仿宋" w:cs="仿宋"/>
          <w:highlight w:val="none"/>
        </w:rPr>
      </w:pPr>
      <w:r>
        <w:rPr>
          <w:rFonts w:hint="eastAsia" w:ascii="仿宋" w:hAnsi="仿宋" w:eastAsia="仿宋" w:cs="仿宋"/>
          <w:highlight w:val="none"/>
        </w:rPr>
        <w:t>致陕西中发项目管理发展有限公司：</w:t>
      </w:r>
    </w:p>
    <w:p w14:paraId="70FA8121">
      <w:pPr>
        <w:spacing w:line="560" w:lineRule="exact"/>
        <w:ind w:firstLine="566" w:firstLineChars="200"/>
        <w:rPr>
          <w:rFonts w:ascii="仿宋" w:hAnsi="仿宋" w:eastAsia="仿宋" w:cs="仿宋"/>
          <w:highlight w:val="none"/>
        </w:rPr>
      </w:pPr>
      <w:r>
        <w:rPr>
          <w:rFonts w:hint="eastAsia" w:ascii="仿宋" w:hAnsi="仿宋" w:eastAsia="仿宋" w:cs="仿宋"/>
          <w:highlight w:val="none"/>
        </w:rPr>
        <w:t>本单位郑重声明，就参加贵公司组织的</w:t>
      </w:r>
      <w:r>
        <w:rPr>
          <w:rFonts w:hint="eastAsia" w:ascii="仿宋" w:hAnsi="仿宋" w:eastAsia="仿宋" w:cs="仿宋"/>
          <w:highlight w:val="none"/>
          <w:u w:val="single"/>
        </w:rPr>
        <w:t>《项目名称》（项目编号：     ）</w:t>
      </w:r>
      <w:r>
        <w:rPr>
          <w:rFonts w:hint="eastAsia" w:ascii="仿宋" w:hAnsi="仿宋" w:eastAsia="仿宋" w:cs="仿宋"/>
          <w:highlight w:val="none"/>
        </w:rPr>
        <w:t>采购活动，为非联合体投标，本项目实施过程由本单位独立承担。</w:t>
      </w:r>
    </w:p>
    <w:p w14:paraId="0377DC43">
      <w:pPr>
        <w:spacing w:line="560" w:lineRule="exact"/>
        <w:ind w:firstLine="566" w:firstLineChars="200"/>
        <w:rPr>
          <w:rFonts w:ascii="仿宋" w:hAnsi="仿宋" w:eastAsia="仿宋" w:cs="仿宋"/>
          <w:highlight w:val="none"/>
        </w:rPr>
      </w:pPr>
      <w:r>
        <w:rPr>
          <w:rFonts w:hint="eastAsia" w:ascii="仿宋" w:hAnsi="仿宋" w:eastAsia="仿宋" w:cs="仿宋"/>
          <w:highlight w:val="none"/>
        </w:rPr>
        <w:t>本单位对上述声明的真实性负责。如有虚假，将依法承担相应责任。</w:t>
      </w:r>
    </w:p>
    <w:p w14:paraId="08FC9938">
      <w:pPr>
        <w:spacing w:line="560" w:lineRule="exact"/>
        <w:ind w:firstLine="566" w:firstLineChars="200"/>
        <w:rPr>
          <w:rFonts w:ascii="仿宋" w:hAnsi="仿宋" w:eastAsia="仿宋" w:cs="仿宋"/>
          <w:highlight w:val="none"/>
        </w:rPr>
      </w:pPr>
    </w:p>
    <w:p w14:paraId="2A055E58">
      <w:pPr>
        <w:spacing w:line="500" w:lineRule="exact"/>
        <w:ind w:firstLine="4250" w:firstLineChars="1502"/>
        <w:rPr>
          <w:rFonts w:eastAsia="仿宋"/>
          <w:highlight w:val="none"/>
        </w:rPr>
      </w:pPr>
      <w:r>
        <w:rPr>
          <w:rFonts w:hint="eastAsia" w:eastAsia="仿宋"/>
          <w:highlight w:val="none"/>
        </w:rPr>
        <w:t>供应</w:t>
      </w:r>
      <w:r>
        <w:rPr>
          <w:rFonts w:eastAsia="仿宋"/>
          <w:highlight w:val="none"/>
        </w:rPr>
        <w:t>商：</w:t>
      </w:r>
      <w:r>
        <w:rPr>
          <w:rFonts w:hint="eastAsia" w:eastAsia="仿宋"/>
          <w:highlight w:val="none"/>
          <w:u w:val="single"/>
        </w:rPr>
        <w:t>名称</w:t>
      </w:r>
      <w:r>
        <w:rPr>
          <w:rFonts w:eastAsia="仿宋"/>
          <w:highlight w:val="none"/>
        </w:rPr>
        <w:t>（加盖公章）</w:t>
      </w:r>
    </w:p>
    <w:p w14:paraId="3D3CCE1A">
      <w:pPr>
        <w:spacing w:line="500" w:lineRule="exact"/>
        <w:ind w:firstLine="4250" w:firstLineChars="1502"/>
        <w:rPr>
          <w:rFonts w:eastAsia="仿宋"/>
          <w:highlight w:val="none"/>
        </w:rPr>
      </w:pPr>
      <w:r>
        <w:rPr>
          <w:rFonts w:eastAsia="仿宋"/>
          <w:highlight w:val="none"/>
        </w:rPr>
        <w:t>法定代表人或授权</w:t>
      </w:r>
      <w:r>
        <w:rPr>
          <w:rFonts w:hint="eastAsia" w:eastAsia="仿宋"/>
          <w:highlight w:val="none"/>
        </w:rPr>
        <w:t>代表</w:t>
      </w:r>
      <w:r>
        <w:rPr>
          <w:rFonts w:eastAsia="仿宋"/>
          <w:highlight w:val="none"/>
        </w:rPr>
        <w:t>：（</w:t>
      </w:r>
      <w:r>
        <w:rPr>
          <w:rFonts w:hint="eastAsia" w:eastAsia="仿宋"/>
          <w:highlight w:val="none"/>
        </w:rPr>
        <w:t>签字或盖章</w:t>
      </w:r>
      <w:r>
        <w:rPr>
          <w:rFonts w:eastAsia="仿宋"/>
          <w:highlight w:val="none"/>
        </w:rPr>
        <w:t>）</w:t>
      </w:r>
    </w:p>
    <w:p w14:paraId="2B49472F">
      <w:pPr>
        <w:spacing w:line="500" w:lineRule="exact"/>
        <w:ind w:firstLine="4250" w:firstLineChars="1502"/>
        <w:rPr>
          <w:rFonts w:eastAsia="仿宋"/>
          <w:highlight w:val="none"/>
        </w:rPr>
      </w:pPr>
      <w:r>
        <w:rPr>
          <w:rFonts w:eastAsia="仿宋"/>
          <w:highlight w:val="none"/>
        </w:rPr>
        <w:t>日</w:t>
      </w:r>
      <w:r>
        <w:rPr>
          <w:rFonts w:hint="eastAsia" w:eastAsia="仿宋"/>
          <w:highlight w:val="none"/>
        </w:rPr>
        <w:t xml:space="preserve">  </w:t>
      </w:r>
      <w:r>
        <w:rPr>
          <w:rFonts w:eastAsia="仿宋"/>
          <w:highlight w:val="none"/>
        </w:rPr>
        <w:t>期：</w:t>
      </w:r>
      <w:r>
        <w:rPr>
          <w:rFonts w:hint="eastAsia" w:eastAsia="仿宋"/>
          <w:highlight w:val="none"/>
        </w:rPr>
        <w:t xml:space="preserve">   年  月  日</w:t>
      </w:r>
    </w:p>
    <w:p w14:paraId="01AF4065">
      <w:pPr>
        <w:spacing w:line="560" w:lineRule="exact"/>
        <w:ind w:firstLine="567"/>
        <w:rPr>
          <w:rFonts w:ascii="仿宋_GB2312" w:hAnsi="仿宋_GB2312" w:eastAsia="仿宋_GB2312" w:cs="仿宋_GB2312"/>
          <w:sz w:val="32"/>
          <w:szCs w:val="32"/>
          <w:highlight w:val="none"/>
        </w:rPr>
      </w:pPr>
    </w:p>
    <w:p w14:paraId="33D2682C">
      <w:pPr>
        <w:rPr>
          <w:rFonts w:ascii="黑体" w:hAnsi="黑体" w:eastAsia="黑体" w:cs="黑体"/>
          <w:sz w:val="32"/>
          <w:szCs w:val="32"/>
          <w:highlight w:val="none"/>
        </w:rPr>
      </w:pPr>
      <w:r>
        <w:rPr>
          <w:rFonts w:hint="eastAsia" w:ascii="黑体" w:hAnsi="黑体" w:eastAsia="黑体" w:cs="黑体"/>
          <w:sz w:val="32"/>
          <w:szCs w:val="32"/>
          <w:highlight w:val="none"/>
        </w:rPr>
        <w:br w:type="page"/>
      </w:r>
    </w:p>
    <w:p w14:paraId="43DB9B74">
      <w:pPr>
        <w:pStyle w:val="50"/>
        <w:pageBreakBefore w:val="0"/>
        <w:widowControl/>
        <w:kinsoku/>
        <w:wordWrap/>
        <w:overflowPunct/>
        <w:topLinePunct w:val="0"/>
        <w:autoSpaceDE/>
        <w:autoSpaceDN/>
        <w:bidi w:val="0"/>
        <w:adjustRightInd/>
        <w:snapToGrid/>
        <w:spacing w:line="560" w:lineRule="exact"/>
        <w:ind w:firstLine="646" w:firstLineChars="200"/>
        <w:textAlignment w:val="auto"/>
        <w:outlineLvl w:val="0"/>
        <w:rPr>
          <w:rFonts w:ascii="黑体" w:hAnsi="黑体" w:eastAsia="黑体" w:cs="黑体"/>
          <w:b w:val="0"/>
          <w:bCs w:val="0"/>
          <w:sz w:val="32"/>
          <w:szCs w:val="32"/>
          <w:highlight w:val="none"/>
        </w:rPr>
      </w:pPr>
      <w:bookmarkStart w:id="479" w:name="_Toc12542"/>
      <w:bookmarkStart w:id="480" w:name="_Toc4570"/>
      <w:bookmarkStart w:id="481" w:name="_Toc2020"/>
      <w:bookmarkStart w:id="482" w:name="_Toc11299"/>
      <w:r>
        <w:rPr>
          <w:rFonts w:hint="eastAsia" w:ascii="黑体" w:hAnsi="黑体" w:eastAsia="黑体" w:cs="黑体"/>
          <w:b w:val="0"/>
          <w:bCs w:val="0"/>
          <w:sz w:val="32"/>
          <w:szCs w:val="32"/>
          <w:highlight w:val="none"/>
        </w:rPr>
        <w:t>第二部分  符合性证明文件</w:t>
      </w:r>
      <w:bookmarkEnd w:id="431"/>
      <w:bookmarkEnd w:id="432"/>
      <w:bookmarkEnd w:id="433"/>
      <w:bookmarkEnd w:id="434"/>
      <w:bookmarkEnd w:id="435"/>
      <w:bookmarkEnd w:id="436"/>
      <w:bookmarkEnd w:id="437"/>
      <w:bookmarkEnd w:id="479"/>
      <w:bookmarkEnd w:id="480"/>
      <w:bookmarkEnd w:id="481"/>
      <w:bookmarkEnd w:id="482"/>
    </w:p>
    <w:p w14:paraId="77642F41">
      <w:pPr>
        <w:pStyle w:val="50"/>
        <w:pageBreakBefore w:val="0"/>
        <w:widowControl/>
        <w:kinsoku/>
        <w:wordWrap/>
        <w:overflowPunct/>
        <w:topLinePunct w:val="0"/>
        <w:autoSpaceDE/>
        <w:autoSpaceDN/>
        <w:bidi w:val="0"/>
        <w:adjustRightInd/>
        <w:snapToGrid/>
        <w:spacing w:line="560" w:lineRule="exact"/>
        <w:ind w:firstLine="646" w:firstLineChars="200"/>
        <w:jc w:val="both"/>
        <w:textAlignment w:val="auto"/>
        <w:rPr>
          <w:rFonts w:ascii="仿宋" w:hAnsi="华文仿宋" w:eastAsia="仿宋" w:cs="华文仿宋"/>
          <w:sz w:val="32"/>
          <w:szCs w:val="32"/>
          <w:highlight w:val="none"/>
        </w:rPr>
      </w:pPr>
      <w:bookmarkStart w:id="483" w:name="_Toc19361"/>
      <w:bookmarkStart w:id="484" w:name="_Toc28681574"/>
      <w:bookmarkStart w:id="485" w:name="_Toc13230"/>
      <w:bookmarkStart w:id="486" w:name="_Toc13120"/>
      <w:bookmarkStart w:id="487" w:name="_Toc22893"/>
      <w:bookmarkStart w:id="488" w:name="_Toc9090"/>
      <w:bookmarkStart w:id="489" w:name="_Toc19182"/>
      <w:bookmarkStart w:id="490" w:name="_Toc9856"/>
      <w:bookmarkStart w:id="491" w:name="_Toc28681278"/>
      <w:bookmarkStart w:id="492" w:name="_Toc20542"/>
      <w:bookmarkStart w:id="493" w:name="_Toc19228"/>
      <w:r>
        <w:rPr>
          <w:rFonts w:hint="eastAsia" w:ascii="仿宋" w:hAnsi="华文仿宋" w:eastAsia="仿宋" w:cs="华文仿宋"/>
          <w:sz w:val="32"/>
          <w:szCs w:val="32"/>
          <w:highlight w:val="none"/>
        </w:rPr>
        <w:t>一、响应函格式</w:t>
      </w:r>
      <w:bookmarkEnd w:id="483"/>
      <w:bookmarkEnd w:id="484"/>
      <w:bookmarkEnd w:id="485"/>
      <w:bookmarkEnd w:id="486"/>
      <w:bookmarkEnd w:id="487"/>
      <w:bookmarkEnd w:id="488"/>
      <w:bookmarkEnd w:id="489"/>
      <w:bookmarkEnd w:id="490"/>
      <w:bookmarkEnd w:id="491"/>
      <w:bookmarkEnd w:id="492"/>
      <w:bookmarkEnd w:id="493"/>
    </w:p>
    <w:p w14:paraId="1FF8A15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eastAsia="仿宋"/>
          <w:highlight w:val="none"/>
        </w:rPr>
      </w:pPr>
      <w:bookmarkStart w:id="494" w:name="_Toc28681279"/>
      <w:r>
        <w:rPr>
          <w:rFonts w:hint="eastAsia" w:ascii="黑体" w:hAnsi="黑体" w:eastAsia="黑体" w:cs="黑体"/>
          <w:sz w:val="32"/>
          <w:szCs w:val="32"/>
          <w:highlight w:val="none"/>
        </w:rPr>
        <w:t>响应函</w:t>
      </w:r>
      <w:bookmarkEnd w:id="494"/>
    </w:p>
    <w:p w14:paraId="3DD2304D">
      <w:pPr>
        <w:pStyle w:val="46"/>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ascii="仿宋" w:hAnsi="仿宋" w:eastAsia="仿宋" w:cs="华文仿宋"/>
          <w:highlight w:val="none"/>
          <w:lang w:val="zh-CN"/>
        </w:rPr>
      </w:pPr>
      <w:r>
        <w:rPr>
          <w:rFonts w:hint="eastAsia" w:ascii="仿宋" w:hAnsi="仿宋" w:eastAsia="仿宋" w:cs="华文仿宋"/>
          <w:highlight w:val="none"/>
        </w:rPr>
        <w:t>致陕西中发项目管理发展有限公司</w:t>
      </w:r>
      <w:r>
        <w:rPr>
          <w:rFonts w:hint="eastAsia" w:ascii="仿宋" w:hAnsi="仿宋" w:eastAsia="仿宋" w:cs="华文仿宋"/>
          <w:highlight w:val="none"/>
          <w:lang w:val="zh-CN"/>
        </w:rPr>
        <w:t>：</w:t>
      </w:r>
    </w:p>
    <w:p w14:paraId="78D4A991">
      <w:pPr>
        <w:pStyle w:val="46"/>
        <w:keepNext w:val="0"/>
        <w:keepLines w:val="0"/>
        <w:pageBreakBefore w:val="0"/>
        <w:widowControl/>
        <w:kinsoku/>
        <w:wordWrap/>
        <w:overflowPunct/>
        <w:topLinePunct w:val="0"/>
        <w:autoSpaceDE/>
        <w:autoSpaceDN/>
        <w:bidi w:val="0"/>
        <w:adjustRightInd/>
        <w:snapToGrid/>
        <w:spacing w:line="560" w:lineRule="exact"/>
        <w:ind w:firstLine="567"/>
        <w:textAlignment w:val="auto"/>
        <w:rPr>
          <w:rFonts w:ascii="仿宋" w:hAnsi="仿宋" w:eastAsia="仿宋" w:cs="华文仿宋"/>
          <w:highlight w:val="none"/>
        </w:rPr>
      </w:pPr>
      <w:r>
        <w:rPr>
          <w:rFonts w:hint="eastAsia" w:ascii="仿宋" w:hAnsi="仿宋" w:eastAsia="仿宋" w:cs="华文仿宋"/>
          <w:highlight w:val="none"/>
        </w:rPr>
        <w:t>我方收到贵公司发布的</w:t>
      </w:r>
      <w:r>
        <w:rPr>
          <w:rFonts w:hint="eastAsia" w:ascii="仿宋" w:hAnsi="仿宋" w:eastAsia="仿宋" w:cs="华文仿宋"/>
          <w:highlight w:val="none"/>
          <w:u w:val="single"/>
        </w:rPr>
        <w:t>《</w:t>
      </w:r>
      <w:r>
        <w:rPr>
          <w:rFonts w:hint="eastAsia" w:ascii="仿宋" w:hAnsi="仿宋" w:eastAsia="仿宋"/>
          <w:highlight w:val="none"/>
          <w:u w:val="single"/>
        </w:rPr>
        <w:t>项目名称</w:t>
      </w:r>
      <w:r>
        <w:rPr>
          <w:rFonts w:hint="eastAsia" w:ascii="仿宋" w:hAnsi="仿宋" w:eastAsia="仿宋" w:cs="华文仿宋"/>
          <w:highlight w:val="none"/>
          <w:u w:val="single"/>
        </w:rPr>
        <w:t>》</w:t>
      </w:r>
      <w:r>
        <w:rPr>
          <w:rFonts w:hint="eastAsia" w:ascii="仿宋" w:hAnsi="仿宋" w:eastAsia="仿宋" w:cs="华文仿宋"/>
          <w:highlight w:val="none"/>
        </w:rPr>
        <w:t>（项目编号：</w:t>
      </w:r>
      <w:r>
        <w:rPr>
          <w:rFonts w:hint="eastAsia" w:ascii="仿宋" w:hAnsi="仿宋" w:eastAsia="仿宋" w:cs="华文仿宋"/>
          <w:highlight w:val="none"/>
          <w:u w:val="single"/>
        </w:rPr>
        <w:t xml:space="preserve">      </w:t>
      </w:r>
      <w:r>
        <w:rPr>
          <w:rFonts w:hint="eastAsia" w:ascii="仿宋" w:hAnsi="仿宋" w:eastAsia="仿宋" w:cs="华文仿宋"/>
          <w:highlight w:val="none"/>
        </w:rPr>
        <w:t>）谈判文件，经详细研究，我方决定参加该项目采购活动。为此，我方郑重声明以下诸点，并负法律责任。</w:t>
      </w:r>
    </w:p>
    <w:p w14:paraId="2AA07A32">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ascii="仿宋" w:hAnsi="仿宋" w:eastAsia="仿宋"/>
          <w:highlight w:val="none"/>
        </w:rPr>
      </w:pPr>
      <w:r>
        <w:rPr>
          <w:rFonts w:ascii="仿宋" w:hAnsi="仿宋" w:eastAsia="仿宋"/>
          <w:highlight w:val="none"/>
        </w:rPr>
        <w:t>一、我方已详细阅读了</w:t>
      </w:r>
      <w:r>
        <w:rPr>
          <w:rFonts w:hint="eastAsia" w:ascii="仿宋" w:hAnsi="仿宋" w:eastAsia="仿宋"/>
          <w:highlight w:val="none"/>
        </w:rPr>
        <w:t>谈判文件</w:t>
      </w:r>
      <w:r>
        <w:rPr>
          <w:rFonts w:ascii="仿宋" w:hAnsi="仿宋" w:eastAsia="仿宋"/>
          <w:highlight w:val="none"/>
        </w:rPr>
        <w:t>，完全理解并同意</w:t>
      </w:r>
      <w:r>
        <w:rPr>
          <w:rFonts w:hint="eastAsia" w:ascii="仿宋" w:hAnsi="仿宋" w:eastAsia="仿宋"/>
          <w:highlight w:val="none"/>
        </w:rPr>
        <w:t>谈判文件</w:t>
      </w:r>
      <w:r>
        <w:rPr>
          <w:rFonts w:ascii="仿宋" w:hAnsi="仿宋" w:eastAsia="仿宋"/>
          <w:highlight w:val="none"/>
        </w:rPr>
        <w:t>的所有事项及内容。</w:t>
      </w:r>
    </w:p>
    <w:p w14:paraId="4A18A1D4">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ascii="仿宋" w:hAnsi="仿宋" w:eastAsia="仿宋" w:cs="华文仿宋"/>
          <w:highlight w:val="none"/>
        </w:rPr>
      </w:pPr>
      <w:r>
        <w:rPr>
          <w:rFonts w:hint="eastAsia" w:ascii="仿宋" w:hAnsi="仿宋" w:eastAsia="仿宋" w:cs="华文仿宋"/>
          <w:highlight w:val="none"/>
        </w:rPr>
        <w:t>二、我方已悉知并关注了贵方在政府采购信息发布媒体（详见第二章第三条中的“谈判文件的修改、澄清”）上发布的关于本项目的有关变更公告（包括但不限于对谈判文件做出的修改或澄清、答疑纪要，以及项目暂停、重启、延期、终止等）。</w:t>
      </w:r>
    </w:p>
    <w:p w14:paraId="77153B39">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ascii="仿宋" w:hAnsi="仿宋" w:eastAsia="仿宋"/>
          <w:highlight w:val="none"/>
        </w:rPr>
      </w:pPr>
      <w:r>
        <w:rPr>
          <w:rFonts w:hint="eastAsia" w:ascii="仿宋" w:hAnsi="仿宋" w:eastAsia="仿宋"/>
          <w:highlight w:val="none"/>
        </w:rPr>
        <w:t>三</w:t>
      </w:r>
      <w:r>
        <w:rPr>
          <w:rFonts w:ascii="仿宋" w:hAnsi="仿宋" w:eastAsia="仿宋"/>
          <w:highlight w:val="none"/>
        </w:rPr>
        <w:t>、我方同意向</w:t>
      </w:r>
      <w:r>
        <w:rPr>
          <w:rFonts w:hint="eastAsia" w:ascii="仿宋" w:hAnsi="仿宋" w:eastAsia="仿宋"/>
          <w:highlight w:val="none"/>
        </w:rPr>
        <w:t>贵方</w:t>
      </w:r>
      <w:r>
        <w:rPr>
          <w:rFonts w:ascii="仿宋" w:hAnsi="仿宋" w:eastAsia="仿宋"/>
          <w:highlight w:val="none"/>
        </w:rPr>
        <w:t>提供与本次</w:t>
      </w:r>
      <w:r>
        <w:rPr>
          <w:rFonts w:hint="eastAsia" w:ascii="仿宋" w:hAnsi="仿宋" w:eastAsia="仿宋"/>
          <w:highlight w:val="none"/>
        </w:rPr>
        <w:t>谈判</w:t>
      </w:r>
      <w:r>
        <w:rPr>
          <w:rFonts w:ascii="仿宋" w:hAnsi="仿宋" w:eastAsia="仿宋"/>
          <w:highlight w:val="none"/>
        </w:rPr>
        <w:t>有关的任何</w:t>
      </w:r>
      <w:r>
        <w:rPr>
          <w:rFonts w:hint="eastAsia" w:ascii="仿宋" w:hAnsi="仿宋" w:eastAsia="仿宋"/>
          <w:highlight w:val="none"/>
        </w:rPr>
        <w:t>证明材料，并保证</w:t>
      </w:r>
      <w:r>
        <w:rPr>
          <w:rFonts w:ascii="仿宋" w:hAnsi="仿宋" w:eastAsia="仿宋"/>
          <w:highlight w:val="none"/>
        </w:rPr>
        <w:t>所</w:t>
      </w:r>
      <w:r>
        <w:rPr>
          <w:rFonts w:hint="eastAsia" w:ascii="仿宋" w:hAnsi="仿宋" w:eastAsia="仿宋"/>
          <w:highlight w:val="none"/>
        </w:rPr>
        <w:t>提交的证明</w:t>
      </w:r>
      <w:r>
        <w:rPr>
          <w:rFonts w:ascii="仿宋" w:hAnsi="仿宋" w:eastAsia="仿宋"/>
          <w:highlight w:val="none"/>
        </w:rPr>
        <w:t>材料</w:t>
      </w:r>
      <w:r>
        <w:rPr>
          <w:rFonts w:hint="eastAsia" w:ascii="仿宋" w:hAnsi="仿宋" w:eastAsia="仿宋"/>
          <w:highlight w:val="none"/>
        </w:rPr>
        <w:t>真实、合法、</w:t>
      </w:r>
      <w:r>
        <w:rPr>
          <w:rFonts w:ascii="仿宋" w:hAnsi="仿宋" w:eastAsia="仿宋"/>
          <w:highlight w:val="none"/>
        </w:rPr>
        <w:t>有效</w:t>
      </w:r>
      <w:r>
        <w:rPr>
          <w:rFonts w:hint="eastAsia" w:ascii="仿宋" w:hAnsi="仿宋" w:eastAsia="仿宋"/>
          <w:highlight w:val="none"/>
        </w:rPr>
        <w:t>，</w:t>
      </w:r>
      <w:r>
        <w:rPr>
          <w:rFonts w:hint="eastAsia" w:ascii="仿宋" w:hAnsi="仿宋" w:eastAsia="仿宋" w:cs="仿宋"/>
          <w:highlight w:val="none"/>
        </w:rPr>
        <w:t>我方理解</w:t>
      </w:r>
      <w:r>
        <w:rPr>
          <w:rFonts w:hint="eastAsia" w:ascii="仿宋" w:hAnsi="仿宋" w:eastAsia="仿宋" w:cs="仿宋"/>
          <w:b/>
          <w:bCs/>
          <w:highlight w:val="none"/>
        </w:rPr>
        <w:t>最低报价</w:t>
      </w:r>
      <w:r>
        <w:rPr>
          <w:rFonts w:hint="eastAsia" w:ascii="仿宋" w:hAnsi="仿宋" w:eastAsia="仿宋" w:cs="仿宋"/>
          <w:highlight w:val="none"/>
        </w:rPr>
        <w:t>不是成交的唯一条件，</w:t>
      </w:r>
      <w:r>
        <w:rPr>
          <w:rFonts w:ascii="仿宋" w:hAnsi="仿宋" w:eastAsia="仿宋"/>
          <w:highlight w:val="none"/>
        </w:rPr>
        <w:t>并尊重</w:t>
      </w:r>
      <w:r>
        <w:rPr>
          <w:rFonts w:hint="eastAsia" w:ascii="仿宋" w:hAnsi="仿宋" w:eastAsia="仿宋"/>
          <w:highlight w:val="none"/>
        </w:rPr>
        <w:t>谈判</w:t>
      </w:r>
      <w:r>
        <w:rPr>
          <w:rFonts w:ascii="仿宋" w:hAnsi="仿宋" w:eastAsia="仿宋"/>
          <w:highlight w:val="none"/>
        </w:rPr>
        <w:t>小组的评审结果。</w:t>
      </w:r>
    </w:p>
    <w:p w14:paraId="01491164">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ascii="仿宋" w:hAnsi="仿宋" w:eastAsia="仿宋"/>
          <w:highlight w:val="none"/>
        </w:rPr>
      </w:pPr>
      <w:r>
        <w:rPr>
          <w:rFonts w:hint="eastAsia" w:ascii="仿宋" w:hAnsi="仿宋" w:eastAsia="仿宋"/>
          <w:highlight w:val="none"/>
        </w:rPr>
        <w:t>四</w:t>
      </w:r>
      <w:r>
        <w:rPr>
          <w:rFonts w:ascii="仿宋" w:hAnsi="仿宋" w:eastAsia="仿宋"/>
          <w:highlight w:val="none"/>
        </w:rPr>
        <w:t>、我方愿意按照</w:t>
      </w:r>
      <w:r>
        <w:rPr>
          <w:rFonts w:hint="eastAsia" w:ascii="仿宋" w:hAnsi="仿宋" w:eastAsia="仿宋"/>
          <w:highlight w:val="none"/>
        </w:rPr>
        <w:t>谈判文件</w:t>
      </w:r>
      <w:r>
        <w:rPr>
          <w:rFonts w:ascii="仿宋" w:hAnsi="仿宋" w:eastAsia="仿宋"/>
          <w:highlight w:val="none"/>
        </w:rPr>
        <w:t>中的一切要求，完成本项目的合同责任和义务。</w:t>
      </w:r>
    </w:p>
    <w:p w14:paraId="32FB0B16">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ascii="仿宋" w:hAnsi="仿宋" w:eastAsia="仿宋"/>
          <w:highlight w:val="none"/>
        </w:rPr>
      </w:pPr>
      <w:r>
        <w:rPr>
          <w:rFonts w:hint="eastAsia" w:ascii="仿宋" w:hAnsi="仿宋" w:eastAsia="仿宋"/>
          <w:highlight w:val="none"/>
        </w:rPr>
        <w:t>五</w:t>
      </w:r>
      <w:r>
        <w:rPr>
          <w:rFonts w:ascii="仿宋" w:hAnsi="仿宋" w:eastAsia="仿宋"/>
          <w:highlight w:val="none"/>
        </w:rPr>
        <w:t>、我方提交的响应文件正本</w:t>
      </w:r>
      <w:r>
        <w:rPr>
          <w:rFonts w:hint="eastAsia" w:ascii="仿宋" w:hAnsi="仿宋" w:eastAsia="仿宋"/>
          <w:highlight w:val="none"/>
          <w:u w:val="single"/>
        </w:rPr>
        <w:t xml:space="preserve"> </w:t>
      </w:r>
      <w:r>
        <w:rPr>
          <w:rFonts w:hint="eastAsia" w:ascii="仿宋" w:hAnsi="仿宋" w:eastAsia="仿宋"/>
          <w:highlight w:val="none"/>
          <w:u w:val="single"/>
          <w:lang w:val="en-US" w:eastAsia="zh-CN"/>
        </w:rPr>
        <w:t>壹</w:t>
      </w:r>
      <w:r>
        <w:rPr>
          <w:rFonts w:hint="eastAsia" w:ascii="仿宋" w:hAnsi="仿宋" w:eastAsia="仿宋"/>
          <w:highlight w:val="none"/>
          <w:u w:val="single"/>
        </w:rPr>
        <w:t xml:space="preserve"> </w:t>
      </w:r>
      <w:r>
        <w:rPr>
          <w:rFonts w:ascii="仿宋" w:hAnsi="仿宋" w:eastAsia="仿宋"/>
          <w:highlight w:val="none"/>
        </w:rPr>
        <w:t>套、</w:t>
      </w:r>
      <w:r>
        <w:rPr>
          <w:rFonts w:hint="eastAsia" w:ascii="仿宋" w:hAnsi="仿宋" w:eastAsia="仿宋"/>
          <w:highlight w:val="none"/>
        </w:rPr>
        <w:t>副本</w:t>
      </w:r>
      <w:r>
        <w:rPr>
          <w:rFonts w:hint="eastAsia" w:ascii="仿宋" w:hAnsi="仿宋" w:eastAsia="仿宋"/>
          <w:highlight w:val="none"/>
          <w:u w:val="single"/>
        </w:rPr>
        <w:t xml:space="preserve"> </w:t>
      </w:r>
      <w:r>
        <w:rPr>
          <w:rFonts w:hint="eastAsia" w:ascii="仿宋" w:hAnsi="仿宋" w:eastAsia="仿宋"/>
          <w:highlight w:val="none"/>
          <w:u w:val="single"/>
          <w:lang w:val="en-US" w:eastAsia="zh-CN"/>
        </w:rPr>
        <w:t>壹</w:t>
      </w:r>
      <w:r>
        <w:rPr>
          <w:rFonts w:hint="eastAsia" w:ascii="仿宋" w:hAnsi="仿宋" w:eastAsia="仿宋"/>
          <w:highlight w:val="none"/>
          <w:u w:val="single"/>
        </w:rPr>
        <w:t xml:space="preserve"> </w:t>
      </w:r>
      <w:r>
        <w:rPr>
          <w:rFonts w:hint="eastAsia" w:ascii="仿宋" w:hAnsi="仿宋" w:eastAsia="仿宋"/>
          <w:highlight w:val="none"/>
        </w:rPr>
        <w:t>套、电子件（U盘）</w:t>
      </w:r>
      <w:r>
        <w:rPr>
          <w:rFonts w:hint="eastAsia" w:ascii="仿宋" w:hAnsi="仿宋" w:eastAsia="仿宋"/>
          <w:highlight w:val="none"/>
          <w:u w:val="single"/>
          <w:lang w:val="en-US" w:eastAsia="zh-CN"/>
        </w:rPr>
        <w:t xml:space="preserve"> 壹</w:t>
      </w:r>
      <w:r>
        <w:rPr>
          <w:rFonts w:hint="eastAsia" w:ascii="仿宋" w:hAnsi="仿宋" w:eastAsia="仿宋"/>
          <w:highlight w:val="none"/>
        </w:rPr>
        <w:t>份。</w:t>
      </w:r>
    </w:p>
    <w:p w14:paraId="0E0848A2">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ascii="仿宋" w:hAnsi="仿宋" w:eastAsia="仿宋"/>
          <w:highlight w:val="none"/>
        </w:rPr>
      </w:pPr>
      <w:r>
        <w:rPr>
          <w:rFonts w:hint="eastAsia" w:ascii="仿宋" w:hAnsi="仿宋" w:eastAsia="仿宋"/>
          <w:highlight w:val="none"/>
        </w:rPr>
        <w:t>六</w:t>
      </w:r>
      <w:r>
        <w:rPr>
          <w:rFonts w:ascii="仿宋" w:hAnsi="仿宋" w:eastAsia="仿宋"/>
          <w:highlight w:val="none"/>
        </w:rPr>
        <w:t>、我方的响应文件在</w:t>
      </w:r>
      <w:r>
        <w:rPr>
          <w:rFonts w:hint="eastAsia" w:ascii="仿宋" w:hAnsi="仿宋" w:eastAsia="仿宋"/>
          <w:highlight w:val="none"/>
        </w:rPr>
        <w:t>开启之日起</w:t>
      </w:r>
      <w:r>
        <w:rPr>
          <w:rFonts w:hint="eastAsia" w:ascii="仿宋" w:hAnsi="仿宋" w:eastAsia="仿宋"/>
          <w:highlight w:val="none"/>
          <w:u w:val="single"/>
        </w:rPr>
        <w:t xml:space="preserve"> </w:t>
      </w:r>
      <w:r>
        <w:rPr>
          <w:rFonts w:hint="eastAsia" w:ascii="仿宋" w:hAnsi="仿宋" w:eastAsia="仿宋"/>
          <w:b/>
          <w:bCs/>
          <w:highlight w:val="none"/>
          <w:u w:val="single"/>
        </w:rPr>
        <w:t xml:space="preserve">90 </w:t>
      </w:r>
      <w:r>
        <w:rPr>
          <w:rFonts w:hint="eastAsia" w:ascii="仿宋" w:hAnsi="仿宋" w:eastAsia="仿宋"/>
          <w:highlight w:val="none"/>
        </w:rPr>
        <w:t>个日历日</w:t>
      </w:r>
      <w:r>
        <w:rPr>
          <w:rFonts w:ascii="仿宋" w:hAnsi="仿宋" w:eastAsia="仿宋"/>
          <w:highlight w:val="none"/>
        </w:rPr>
        <w:t>内有效，如成交，延长至合同执行完毕时止。</w:t>
      </w:r>
    </w:p>
    <w:p w14:paraId="18A87C6B">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ascii="仿宋" w:hAnsi="仿宋" w:eastAsia="仿宋"/>
          <w:highlight w:val="none"/>
        </w:rPr>
      </w:pPr>
      <w:r>
        <w:rPr>
          <w:rFonts w:hint="eastAsia" w:ascii="仿宋" w:hAnsi="仿宋" w:eastAsia="仿宋"/>
          <w:highlight w:val="none"/>
        </w:rPr>
        <w:t>七</w:t>
      </w:r>
      <w:r>
        <w:rPr>
          <w:rFonts w:ascii="仿宋" w:hAnsi="仿宋" w:eastAsia="仿宋"/>
          <w:highlight w:val="none"/>
        </w:rPr>
        <w:t>、所有关于此次</w:t>
      </w:r>
      <w:r>
        <w:rPr>
          <w:rFonts w:hint="eastAsia" w:ascii="仿宋" w:hAnsi="仿宋" w:eastAsia="仿宋"/>
          <w:highlight w:val="none"/>
        </w:rPr>
        <w:t>谈判</w:t>
      </w:r>
      <w:r>
        <w:rPr>
          <w:rFonts w:ascii="仿宋" w:hAnsi="仿宋" w:eastAsia="仿宋"/>
          <w:highlight w:val="none"/>
        </w:rPr>
        <w:t>活动的函电，请按下列地址联系：</w:t>
      </w:r>
    </w:p>
    <w:p w14:paraId="30DE9263">
      <w:pPr>
        <w:pStyle w:val="46"/>
        <w:keepNext w:val="0"/>
        <w:keepLines w:val="0"/>
        <w:pageBreakBefore w:val="0"/>
        <w:widowControl/>
        <w:kinsoku/>
        <w:wordWrap/>
        <w:overflowPunct/>
        <w:topLinePunct w:val="0"/>
        <w:autoSpaceDE/>
        <w:autoSpaceDN/>
        <w:bidi w:val="0"/>
        <w:adjustRightInd/>
        <w:snapToGrid/>
        <w:spacing w:line="560" w:lineRule="exact"/>
        <w:ind w:firstLine="567"/>
        <w:textAlignment w:val="auto"/>
        <w:rPr>
          <w:rFonts w:ascii="仿宋" w:hAnsi="仿宋" w:eastAsia="仿宋" w:cs="华文仿宋"/>
          <w:highlight w:val="none"/>
        </w:rPr>
      </w:pPr>
      <w:r>
        <w:rPr>
          <w:rFonts w:hint="eastAsia" w:ascii="仿宋" w:hAnsi="仿宋" w:eastAsia="仿宋" w:cs="华文仿宋"/>
          <w:highlight w:val="none"/>
        </w:rPr>
        <w:t>供应商：（加盖公章）</w:t>
      </w:r>
    </w:p>
    <w:p w14:paraId="3C521AE5">
      <w:pPr>
        <w:pStyle w:val="46"/>
        <w:keepNext w:val="0"/>
        <w:keepLines w:val="0"/>
        <w:pageBreakBefore w:val="0"/>
        <w:widowControl/>
        <w:kinsoku/>
        <w:wordWrap/>
        <w:overflowPunct/>
        <w:topLinePunct w:val="0"/>
        <w:autoSpaceDE/>
        <w:autoSpaceDN/>
        <w:bidi w:val="0"/>
        <w:adjustRightInd/>
        <w:snapToGrid/>
        <w:spacing w:line="560" w:lineRule="exact"/>
        <w:ind w:firstLine="567"/>
        <w:textAlignment w:val="auto"/>
        <w:rPr>
          <w:rFonts w:ascii="仿宋" w:hAnsi="仿宋" w:eastAsia="仿宋" w:cs="华文仿宋"/>
          <w:highlight w:val="none"/>
        </w:rPr>
      </w:pPr>
      <w:r>
        <w:rPr>
          <w:rFonts w:hint="eastAsia" w:ascii="仿宋" w:hAnsi="仿宋" w:eastAsia="仿宋" w:cs="华文仿宋"/>
          <w:highlight w:val="none"/>
        </w:rPr>
        <w:t>法定代表人或授权代表：（签字或盖章）</w:t>
      </w:r>
    </w:p>
    <w:p w14:paraId="7E9CEEC6">
      <w:pPr>
        <w:pStyle w:val="46"/>
        <w:keepNext w:val="0"/>
        <w:keepLines w:val="0"/>
        <w:pageBreakBefore w:val="0"/>
        <w:widowControl/>
        <w:kinsoku/>
        <w:wordWrap/>
        <w:overflowPunct/>
        <w:topLinePunct w:val="0"/>
        <w:autoSpaceDE/>
        <w:autoSpaceDN/>
        <w:bidi w:val="0"/>
        <w:adjustRightInd/>
        <w:snapToGrid/>
        <w:spacing w:line="560" w:lineRule="exact"/>
        <w:ind w:firstLine="567"/>
        <w:textAlignment w:val="auto"/>
        <w:rPr>
          <w:rFonts w:ascii="仿宋" w:hAnsi="仿宋" w:eastAsia="仿宋" w:cs="华文仿宋"/>
          <w:highlight w:val="none"/>
        </w:rPr>
      </w:pPr>
      <w:r>
        <w:rPr>
          <w:rFonts w:hint="eastAsia" w:ascii="仿宋" w:hAnsi="仿宋" w:eastAsia="仿宋" w:cs="华文仿宋"/>
          <w:highlight w:val="none"/>
        </w:rPr>
        <w:t>地  址：</w:t>
      </w:r>
    </w:p>
    <w:p w14:paraId="264F0387">
      <w:pPr>
        <w:pStyle w:val="46"/>
        <w:keepNext w:val="0"/>
        <w:keepLines w:val="0"/>
        <w:pageBreakBefore w:val="0"/>
        <w:widowControl/>
        <w:kinsoku/>
        <w:wordWrap/>
        <w:overflowPunct/>
        <w:topLinePunct w:val="0"/>
        <w:autoSpaceDE/>
        <w:autoSpaceDN/>
        <w:bidi w:val="0"/>
        <w:adjustRightInd/>
        <w:snapToGrid/>
        <w:spacing w:line="560" w:lineRule="exact"/>
        <w:ind w:firstLine="567"/>
        <w:textAlignment w:val="auto"/>
        <w:rPr>
          <w:rFonts w:ascii="仿宋" w:hAnsi="仿宋" w:eastAsia="仿宋" w:cs="华文仿宋"/>
          <w:highlight w:val="none"/>
        </w:rPr>
      </w:pPr>
      <w:r>
        <w:rPr>
          <w:rFonts w:hint="eastAsia" w:ascii="仿宋" w:hAnsi="仿宋" w:eastAsia="仿宋" w:cs="华文仿宋"/>
          <w:highlight w:val="none"/>
        </w:rPr>
        <w:t>开户银行：</w:t>
      </w:r>
    </w:p>
    <w:p w14:paraId="241D1004">
      <w:pPr>
        <w:pStyle w:val="46"/>
        <w:keepNext w:val="0"/>
        <w:keepLines w:val="0"/>
        <w:pageBreakBefore w:val="0"/>
        <w:widowControl/>
        <w:kinsoku/>
        <w:wordWrap/>
        <w:overflowPunct/>
        <w:topLinePunct w:val="0"/>
        <w:autoSpaceDE/>
        <w:autoSpaceDN/>
        <w:bidi w:val="0"/>
        <w:adjustRightInd/>
        <w:snapToGrid/>
        <w:spacing w:line="560" w:lineRule="exact"/>
        <w:ind w:firstLine="567"/>
        <w:textAlignment w:val="auto"/>
        <w:rPr>
          <w:rFonts w:ascii="仿宋" w:hAnsi="仿宋" w:eastAsia="仿宋" w:cs="华文仿宋"/>
          <w:highlight w:val="none"/>
        </w:rPr>
      </w:pPr>
      <w:r>
        <w:rPr>
          <w:rFonts w:hint="eastAsia" w:ascii="仿宋" w:hAnsi="仿宋" w:eastAsia="仿宋" w:cs="华文仿宋"/>
          <w:highlight w:val="none"/>
        </w:rPr>
        <w:t>账  号：</w:t>
      </w:r>
    </w:p>
    <w:p w14:paraId="18BA2506">
      <w:pPr>
        <w:pStyle w:val="46"/>
        <w:keepNext w:val="0"/>
        <w:keepLines w:val="0"/>
        <w:pageBreakBefore w:val="0"/>
        <w:widowControl/>
        <w:kinsoku/>
        <w:wordWrap/>
        <w:overflowPunct/>
        <w:topLinePunct w:val="0"/>
        <w:autoSpaceDE/>
        <w:autoSpaceDN/>
        <w:bidi w:val="0"/>
        <w:adjustRightInd/>
        <w:snapToGrid/>
        <w:spacing w:line="560" w:lineRule="exact"/>
        <w:ind w:firstLine="567"/>
        <w:textAlignment w:val="auto"/>
        <w:rPr>
          <w:rFonts w:ascii="仿宋" w:hAnsi="仿宋" w:eastAsia="仿宋" w:cs="华文仿宋"/>
          <w:highlight w:val="none"/>
        </w:rPr>
      </w:pPr>
      <w:r>
        <w:rPr>
          <w:rFonts w:hint="eastAsia" w:ascii="仿宋" w:hAnsi="仿宋" w:eastAsia="仿宋" w:cs="华文仿宋"/>
          <w:highlight w:val="none"/>
        </w:rPr>
        <w:t>电  话：</w:t>
      </w:r>
    </w:p>
    <w:p w14:paraId="7367F757">
      <w:pPr>
        <w:pStyle w:val="46"/>
        <w:keepNext w:val="0"/>
        <w:keepLines w:val="0"/>
        <w:pageBreakBefore w:val="0"/>
        <w:widowControl/>
        <w:kinsoku/>
        <w:wordWrap/>
        <w:overflowPunct/>
        <w:topLinePunct w:val="0"/>
        <w:autoSpaceDE/>
        <w:autoSpaceDN/>
        <w:bidi w:val="0"/>
        <w:adjustRightInd/>
        <w:snapToGrid/>
        <w:spacing w:line="560" w:lineRule="exact"/>
        <w:ind w:firstLine="567"/>
        <w:textAlignment w:val="auto"/>
        <w:rPr>
          <w:rFonts w:ascii="仿宋" w:hAnsi="仿宋" w:eastAsia="仿宋" w:cs="华文仿宋"/>
          <w:highlight w:val="none"/>
        </w:rPr>
      </w:pPr>
      <w:r>
        <w:rPr>
          <w:rFonts w:hint="eastAsia" w:ascii="仿宋" w:hAnsi="仿宋" w:eastAsia="仿宋" w:cs="华文仿宋"/>
          <w:highlight w:val="none"/>
        </w:rPr>
        <w:t>传  真：</w:t>
      </w:r>
    </w:p>
    <w:p w14:paraId="14998905">
      <w:pPr>
        <w:pStyle w:val="46"/>
        <w:keepNext w:val="0"/>
        <w:keepLines w:val="0"/>
        <w:pageBreakBefore w:val="0"/>
        <w:widowControl/>
        <w:kinsoku/>
        <w:wordWrap/>
        <w:overflowPunct/>
        <w:topLinePunct w:val="0"/>
        <w:autoSpaceDE/>
        <w:autoSpaceDN/>
        <w:bidi w:val="0"/>
        <w:adjustRightInd/>
        <w:snapToGrid/>
        <w:spacing w:line="560" w:lineRule="exact"/>
        <w:ind w:firstLine="567"/>
        <w:textAlignment w:val="auto"/>
        <w:rPr>
          <w:rFonts w:ascii="仿宋" w:hAnsi="仿宋" w:eastAsia="仿宋" w:cs="华文仿宋"/>
          <w:highlight w:val="none"/>
        </w:rPr>
      </w:pPr>
      <w:r>
        <w:rPr>
          <w:rFonts w:hint="eastAsia" w:ascii="仿宋" w:hAnsi="仿宋" w:eastAsia="仿宋" w:cs="华文仿宋"/>
          <w:highlight w:val="none"/>
        </w:rPr>
        <w:t>邮  编：</w:t>
      </w:r>
    </w:p>
    <w:p w14:paraId="2DB0621F">
      <w:pPr>
        <w:pStyle w:val="46"/>
        <w:keepNext w:val="0"/>
        <w:keepLines w:val="0"/>
        <w:pageBreakBefore w:val="0"/>
        <w:widowControl/>
        <w:kinsoku/>
        <w:wordWrap/>
        <w:overflowPunct/>
        <w:topLinePunct w:val="0"/>
        <w:autoSpaceDE/>
        <w:autoSpaceDN/>
        <w:bidi w:val="0"/>
        <w:adjustRightInd/>
        <w:snapToGrid/>
        <w:spacing w:line="560" w:lineRule="exact"/>
        <w:ind w:firstLine="567"/>
        <w:textAlignment w:val="auto"/>
        <w:rPr>
          <w:rFonts w:ascii="仿宋" w:hAnsi="仿宋" w:eastAsia="仿宋" w:cs="华文仿宋"/>
          <w:highlight w:val="none"/>
        </w:rPr>
      </w:pPr>
      <w:r>
        <w:rPr>
          <w:rFonts w:hint="eastAsia" w:ascii="仿宋" w:hAnsi="仿宋" w:eastAsia="仿宋" w:cs="华文仿宋"/>
          <w:highlight w:val="none"/>
        </w:rPr>
        <w:t>电子邮箱：</w:t>
      </w:r>
    </w:p>
    <w:p w14:paraId="390EFBE4">
      <w:pPr>
        <w:pStyle w:val="46"/>
        <w:keepNext w:val="0"/>
        <w:keepLines w:val="0"/>
        <w:pageBreakBefore w:val="0"/>
        <w:widowControl/>
        <w:kinsoku/>
        <w:wordWrap/>
        <w:overflowPunct/>
        <w:topLinePunct w:val="0"/>
        <w:autoSpaceDE/>
        <w:autoSpaceDN/>
        <w:bidi w:val="0"/>
        <w:adjustRightInd/>
        <w:snapToGrid/>
        <w:spacing w:line="560" w:lineRule="exact"/>
        <w:ind w:firstLine="567"/>
        <w:textAlignment w:val="auto"/>
        <w:rPr>
          <w:rFonts w:ascii="仿宋" w:hAnsi="仿宋" w:eastAsia="仿宋" w:cs="华文仿宋"/>
          <w:highlight w:val="none"/>
        </w:rPr>
      </w:pPr>
      <w:r>
        <w:rPr>
          <w:rFonts w:hint="eastAsia" w:ascii="仿宋" w:hAnsi="仿宋" w:eastAsia="仿宋" w:cs="华文仿宋"/>
          <w:highlight w:val="none"/>
        </w:rPr>
        <w:t>日  期：  年  月  日</w:t>
      </w:r>
    </w:p>
    <w:p w14:paraId="1873D792">
      <w:pPr>
        <w:pStyle w:val="46"/>
        <w:ind w:firstLine="727"/>
        <w:rPr>
          <w:rFonts w:ascii="仿宋" w:hAnsi="仿宋" w:eastAsia="仿宋"/>
          <w:sz w:val="36"/>
          <w:highlight w:val="none"/>
        </w:rPr>
      </w:pPr>
    </w:p>
    <w:p w14:paraId="1B0C5BB9">
      <w:pPr>
        <w:pStyle w:val="46"/>
        <w:ind w:firstLine="727"/>
        <w:rPr>
          <w:rFonts w:ascii="仿宋" w:hAnsi="仿宋" w:eastAsia="仿宋"/>
          <w:sz w:val="36"/>
          <w:highlight w:val="none"/>
        </w:rPr>
      </w:pPr>
    </w:p>
    <w:p w14:paraId="03364734">
      <w:pPr>
        <w:ind w:firstLine="646" w:firstLineChars="200"/>
        <w:rPr>
          <w:rFonts w:ascii="仿宋" w:hAnsi="仿宋" w:eastAsia="仿宋" w:cs="华文仿宋"/>
          <w:b/>
          <w:bCs/>
          <w:sz w:val="32"/>
          <w:szCs w:val="32"/>
          <w:highlight w:val="none"/>
        </w:rPr>
      </w:pPr>
      <w:r>
        <w:rPr>
          <w:rFonts w:hint="eastAsia" w:ascii="仿宋" w:hAnsi="仿宋" w:eastAsia="仿宋" w:cs="华文仿宋"/>
          <w:b/>
          <w:bCs/>
          <w:sz w:val="32"/>
          <w:szCs w:val="32"/>
          <w:highlight w:val="none"/>
        </w:rPr>
        <w:br w:type="page"/>
      </w:r>
    </w:p>
    <w:p w14:paraId="7F17C383">
      <w:pPr>
        <w:pStyle w:val="50"/>
        <w:ind w:firstLine="646" w:firstLineChars="200"/>
        <w:jc w:val="both"/>
        <w:rPr>
          <w:sz w:val="32"/>
          <w:szCs w:val="32"/>
          <w:highlight w:val="none"/>
        </w:rPr>
      </w:pPr>
      <w:bookmarkStart w:id="495" w:name="_Toc2857"/>
      <w:bookmarkStart w:id="496" w:name="_Toc30242"/>
      <w:bookmarkStart w:id="497" w:name="_Toc31459"/>
      <w:bookmarkStart w:id="498" w:name="_Toc11781"/>
      <w:bookmarkStart w:id="499" w:name="_Toc27760"/>
      <w:bookmarkStart w:id="500" w:name="_Toc28681575"/>
      <w:bookmarkStart w:id="501" w:name="_Toc6884"/>
      <w:bookmarkStart w:id="502" w:name="_Toc16930"/>
      <w:bookmarkStart w:id="503" w:name="_Toc2710"/>
      <w:bookmarkStart w:id="504" w:name="_Toc9779"/>
      <w:r>
        <w:rPr>
          <w:rFonts w:hint="eastAsia"/>
          <w:sz w:val="32"/>
          <w:szCs w:val="32"/>
          <w:highlight w:val="none"/>
        </w:rPr>
        <w:t>二、第一次谈判报价表</w:t>
      </w:r>
      <w:bookmarkEnd w:id="495"/>
      <w:bookmarkEnd w:id="496"/>
      <w:bookmarkEnd w:id="497"/>
      <w:bookmarkEnd w:id="498"/>
      <w:bookmarkEnd w:id="499"/>
      <w:bookmarkEnd w:id="500"/>
      <w:bookmarkEnd w:id="501"/>
      <w:bookmarkEnd w:id="502"/>
      <w:bookmarkEnd w:id="503"/>
      <w:bookmarkEnd w:id="504"/>
    </w:p>
    <w:p w14:paraId="0B167CA5">
      <w:pPr>
        <w:ind w:firstLine="486" w:firstLineChars="200"/>
        <w:rPr>
          <w:rFonts w:ascii="仿宋" w:hAnsi="仿宋" w:eastAsia="仿宋"/>
          <w:sz w:val="24"/>
          <w:szCs w:val="24"/>
          <w:highlight w:val="none"/>
        </w:rPr>
      </w:pPr>
      <w:r>
        <w:rPr>
          <w:rFonts w:hint="eastAsia" w:ascii="仿宋" w:hAnsi="仿宋" w:eastAsia="仿宋"/>
          <w:sz w:val="24"/>
          <w:szCs w:val="24"/>
          <w:highlight w:val="none"/>
        </w:rPr>
        <w:t xml:space="preserve">                         </w:t>
      </w:r>
    </w:p>
    <w:p w14:paraId="4E59BDF6">
      <w:pPr>
        <w:spacing w:line="500" w:lineRule="exact"/>
        <w:ind w:firstLine="566" w:firstLineChars="200"/>
        <w:rPr>
          <w:rFonts w:ascii="仿宋" w:hAnsi="仿宋" w:eastAsia="仿宋" w:cs="仿宋"/>
          <w:highlight w:val="none"/>
          <w:shd w:val="clear" w:color="auto" w:fill="FFFFFF"/>
        </w:rPr>
      </w:pPr>
      <w:r>
        <w:rPr>
          <w:rFonts w:hint="eastAsia" w:ascii="仿宋" w:hAnsi="仿宋" w:eastAsia="仿宋" w:cs="仿宋"/>
          <w:highlight w:val="none"/>
          <w:shd w:val="clear" w:color="auto" w:fill="FFFFFF"/>
        </w:rPr>
        <w:t>项目名称：</w:t>
      </w:r>
    </w:p>
    <w:p w14:paraId="24FF279E">
      <w:pPr>
        <w:pStyle w:val="20"/>
        <w:wordWrap w:val="0"/>
        <w:spacing w:beforeAutospacing="0" w:afterAutospacing="0" w:line="500" w:lineRule="exact"/>
        <w:ind w:firstLine="566" w:firstLineChars="200"/>
        <w:rPr>
          <w:rFonts w:ascii="仿宋" w:hAnsi="仿宋" w:eastAsia="仿宋" w:cs="仿宋"/>
          <w:sz w:val="28"/>
          <w:highlight w:val="none"/>
          <w:shd w:val="clear" w:color="auto" w:fill="FFFFFF"/>
        </w:rPr>
      </w:pPr>
      <w:r>
        <w:rPr>
          <w:rFonts w:hint="eastAsia" w:ascii="仿宋" w:hAnsi="仿宋" w:eastAsia="仿宋" w:cs="仿宋"/>
          <w:sz w:val="28"/>
          <w:highlight w:val="none"/>
          <w:shd w:val="clear" w:color="auto" w:fill="FFFFFF"/>
        </w:rPr>
        <w:t>项目编号：</w:t>
      </w:r>
    </w:p>
    <w:p w14:paraId="274F5C40">
      <w:pPr>
        <w:spacing w:line="440" w:lineRule="exact"/>
        <w:ind w:right="560" w:firstLine="566" w:firstLineChars="200"/>
        <w:rPr>
          <w:rFonts w:ascii="仿宋" w:hAnsi="仿宋" w:eastAsia="仿宋"/>
          <w:sz w:val="24"/>
          <w:szCs w:val="24"/>
          <w:highlight w:val="none"/>
        </w:rPr>
      </w:pPr>
      <w:r>
        <w:rPr>
          <w:rFonts w:hint="eastAsia" w:ascii="仿宋" w:hAnsi="仿宋" w:eastAsia="仿宋"/>
          <w:highlight w:val="none"/>
        </w:rPr>
        <w:t xml:space="preserve">  </w:t>
      </w:r>
    </w:p>
    <w:tbl>
      <w:tblPr>
        <w:tblStyle w:val="23"/>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323"/>
        <w:gridCol w:w="7116"/>
      </w:tblGrid>
      <w:tr w14:paraId="4CC00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323" w:type="dxa"/>
            <w:vAlign w:val="center"/>
          </w:tcPr>
          <w:p w14:paraId="3953063E">
            <w:pPr>
              <w:pStyle w:val="5"/>
              <w:spacing w:line="360" w:lineRule="auto"/>
              <w:ind w:firstLine="0"/>
              <w:jc w:val="center"/>
              <w:rPr>
                <w:rFonts w:ascii="仿宋" w:hAnsi="仿宋" w:eastAsia="仿宋" w:cs="宋体"/>
                <w:szCs w:val="24"/>
                <w:highlight w:val="none"/>
              </w:rPr>
            </w:pPr>
          </w:p>
        </w:tc>
        <w:tc>
          <w:tcPr>
            <w:tcW w:w="7116" w:type="dxa"/>
            <w:vAlign w:val="center"/>
          </w:tcPr>
          <w:p w14:paraId="49CED4FB">
            <w:pPr>
              <w:spacing w:line="440" w:lineRule="exact"/>
              <w:jc w:val="center"/>
              <w:rPr>
                <w:rFonts w:ascii="仿宋" w:hAnsi="仿宋" w:eastAsia="仿宋" w:cs="宋体"/>
                <w:szCs w:val="24"/>
                <w:highlight w:val="none"/>
              </w:rPr>
            </w:pPr>
            <w:r>
              <w:rPr>
                <w:rFonts w:hint="eastAsia" w:ascii="仿宋" w:hAnsi="仿宋" w:eastAsia="仿宋" w:cs="宋体"/>
                <w:szCs w:val="24"/>
                <w:highlight w:val="none"/>
              </w:rPr>
              <w:t>内容</w:t>
            </w:r>
          </w:p>
        </w:tc>
      </w:tr>
      <w:tr w14:paraId="66171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323" w:type="dxa"/>
            <w:vAlign w:val="center"/>
          </w:tcPr>
          <w:p w14:paraId="219C78C3">
            <w:pPr>
              <w:pStyle w:val="5"/>
              <w:spacing w:line="360" w:lineRule="auto"/>
              <w:ind w:firstLine="0"/>
              <w:jc w:val="center"/>
              <w:rPr>
                <w:rFonts w:ascii="仿宋" w:hAnsi="仿宋" w:eastAsia="仿宋" w:cs="宋体"/>
                <w:szCs w:val="24"/>
                <w:highlight w:val="none"/>
              </w:rPr>
            </w:pPr>
            <w:r>
              <w:rPr>
                <w:rFonts w:hint="eastAsia" w:ascii="仿宋" w:hAnsi="仿宋" w:eastAsia="仿宋" w:cs="宋体"/>
                <w:szCs w:val="24"/>
                <w:highlight w:val="none"/>
              </w:rPr>
              <w:t>谈判报价</w:t>
            </w:r>
          </w:p>
        </w:tc>
        <w:tc>
          <w:tcPr>
            <w:tcW w:w="7116" w:type="dxa"/>
            <w:vAlign w:val="center"/>
          </w:tcPr>
          <w:p w14:paraId="114256EE">
            <w:pPr>
              <w:autoSpaceDE w:val="0"/>
              <w:autoSpaceDN w:val="0"/>
              <w:spacing w:line="360" w:lineRule="auto"/>
              <w:ind w:firstLine="566" w:firstLineChars="200"/>
              <w:rPr>
                <w:rFonts w:ascii="仿宋" w:hAnsi="仿宋" w:eastAsia="仿宋" w:cs="宋体"/>
                <w:kern w:val="0"/>
                <w:szCs w:val="24"/>
                <w:highlight w:val="none"/>
                <w:lang w:val="zh-CN"/>
              </w:rPr>
            </w:pPr>
            <w:r>
              <w:rPr>
                <w:rFonts w:hint="eastAsia" w:ascii="仿宋" w:hAnsi="仿宋" w:eastAsia="仿宋" w:cs="宋体"/>
                <w:kern w:val="0"/>
                <w:szCs w:val="24"/>
                <w:highlight w:val="none"/>
                <w:lang w:val="zh-CN"/>
              </w:rPr>
              <w:t>小写：</w:t>
            </w:r>
          </w:p>
          <w:p w14:paraId="73869A5B">
            <w:pPr>
              <w:autoSpaceDE w:val="0"/>
              <w:autoSpaceDN w:val="0"/>
              <w:spacing w:line="360" w:lineRule="auto"/>
              <w:ind w:firstLine="566" w:firstLineChars="200"/>
              <w:rPr>
                <w:rFonts w:ascii="仿宋" w:hAnsi="仿宋" w:eastAsia="仿宋" w:cs="宋体"/>
                <w:kern w:val="0"/>
                <w:szCs w:val="24"/>
                <w:highlight w:val="none"/>
                <w:lang w:val="zh-CN"/>
              </w:rPr>
            </w:pPr>
            <w:r>
              <w:rPr>
                <w:rFonts w:hint="eastAsia" w:ascii="仿宋" w:hAnsi="仿宋" w:eastAsia="仿宋" w:cs="宋体"/>
                <w:kern w:val="0"/>
                <w:szCs w:val="24"/>
                <w:highlight w:val="none"/>
                <w:lang w:val="zh-CN"/>
              </w:rPr>
              <w:t xml:space="preserve">                </w:t>
            </w:r>
            <w:r>
              <w:rPr>
                <w:rFonts w:hint="eastAsia" w:ascii="仿宋" w:hAnsi="仿宋" w:eastAsia="仿宋" w:cs="宋体"/>
                <w:kern w:val="0"/>
                <w:szCs w:val="24"/>
                <w:highlight w:val="none"/>
              </w:rPr>
              <w:t xml:space="preserve">           </w:t>
            </w:r>
            <w:r>
              <w:rPr>
                <w:rFonts w:ascii="仿宋" w:hAnsi="仿宋" w:eastAsia="仿宋"/>
                <w:sz w:val="24"/>
                <w:szCs w:val="24"/>
                <w:highlight w:val="none"/>
              </w:rPr>
              <w:t>单位：元（</w:t>
            </w:r>
            <w:r>
              <w:rPr>
                <w:rFonts w:hint="eastAsia" w:ascii="仿宋" w:hAnsi="仿宋" w:eastAsia="仿宋"/>
                <w:sz w:val="24"/>
                <w:szCs w:val="24"/>
                <w:highlight w:val="none"/>
              </w:rPr>
              <w:t>保留到元</w:t>
            </w:r>
            <w:r>
              <w:rPr>
                <w:rFonts w:ascii="仿宋" w:hAnsi="仿宋" w:eastAsia="仿宋"/>
                <w:sz w:val="24"/>
                <w:szCs w:val="24"/>
                <w:highlight w:val="none"/>
              </w:rPr>
              <w:t>）</w:t>
            </w:r>
          </w:p>
          <w:p w14:paraId="3EE10D5D">
            <w:pPr>
              <w:autoSpaceDE w:val="0"/>
              <w:autoSpaceDN w:val="0"/>
              <w:spacing w:line="360" w:lineRule="auto"/>
              <w:ind w:firstLine="566" w:firstLineChars="200"/>
              <w:rPr>
                <w:rFonts w:ascii="仿宋" w:hAnsi="仿宋" w:eastAsia="仿宋" w:cs="宋体"/>
                <w:szCs w:val="24"/>
                <w:highlight w:val="none"/>
              </w:rPr>
            </w:pPr>
            <w:r>
              <w:rPr>
                <w:rFonts w:hint="eastAsia" w:ascii="仿宋" w:hAnsi="仿宋" w:eastAsia="仿宋" w:cs="宋体"/>
                <w:kern w:val="0"/>
                <w:highlight w:val="none"/>
                <w:lang w:val="zh-CN"/>
              </w:rPr>
              <w:t>大写：</w:t>
            </w:r>
          </w:p>
        </w:tc>
      </w:tr>
      <w:tr w14:paraId="73C2E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0" w:hRule="atLeast"/>
          <w:jc w:val="center"/>
        </w:trPr>
        <w:tc>
          <w:tcPr>
            <w:tcW w:w="2323" w:type="dxa"/>
            <w:vAlign w:val="center"/>
          </w:tcPr>
          <w:p w14:paraId="5E69F47C">
            <w:pPr>
              <w:pStyle w:val="5"/>
              <w:spacing w:line="360" w:lineRule="auto"/>
              <w:ind w:firstLine="0"/>
              <w:jc w:val="center"/>
              <w:rPr>
                <w:rFonts w:hint="eastAsia" w:ascii="仿宋" w:hAnsi="仿宋" w:eastAsia="仿宋" w:cs="宋体"/>
                <w:szCs w:val="24"/>
                <w:highlight w:val="none"/>
                <w:lang w:eastAsia="zh-CN"/>
              </w:rPr>
            </w:pPr>
            <w:r>
              <w:rPr>
                <w:rFonts w:hint="eastAsia" w:ascii="仿宋" w:hAnsi="仿宋" w:eastAsia="仿宋" w:cs="宋体"/>
                <w:szCs w:val="24"/>
                <w:highlight w:val="none"/>
                <w:lang w:eastAsia="zh-CN"/>
              </w:rPr>
              <w:t>服务期</w:t>
            </w:r>
          </w:p>
        </w:tc>
        <w:tc>
          <w:tcPr>
            <w:tcW w:w="7116" w:type="dxa"/>
            <w:vAlign w:val="center"/>
          </w:tcPr>
          <w:p w14:paraId="21EF2EDE">
            <w:pPr>
              <w:pStyle w:val="22"/>
              <w:spacing w:after="0" w:line="560" w:lineRule="exact"/>
              <w:ind w:firstLine="0" w:firstLineChars="0"/>
              <w:jc w:val="center"/>
              <w:rPr>
                <w:rFonts w:hint="default" w:ascii="仿宋" w:hAnsi="仿宋" w:eastAsia="仿宋" w:cs="宋体"/>
                <w:kern w:val="0"/>
                <w:highlight w:val="none"/>
                <w:lang w:val="en-US" w:eastAsia="zh-CN"/>
              </w:rPr>
            </w:pPr>
          </w:p>
        </w:tc>
      </w:tr>
    </w:tbl>
    <w:p w14:paraId="7E62968F">
      <w:pPr>
        <w:tabs>
          <w:tab w:val="left" w:pos="5670"/>
        </w:tabs>
        <w:spacing w:beforeAutospacing="0" w:afterAutospacing="0" w:line="560" w:lineRule="exact"/>
        <w:ind w:firstLine="426" w:firstLineChars="200"/>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备注</w:t>
      </w:r>
      <w:r>
        <w:rPr>
          <w:rFonts w:hint="eastAsia" w:ascii="宋体" w:hAnsi="宋体" w:eastAsia="宋体" w:cs="宋体"/>
          <w:sz w:val="21"/>
          <w:szCs w:val="21"/>
          <w:highlight w:val="none"/>
          <w:lang w:val="zh-CN"/>
        </w:rPr>
        <w:t>： “谈判报价”为总价。谈判报价必须包括本项目所需全部费用。</w:t>
      </w:r>
    </w:p>
    <w:p w14:paraId="2A81466D">
      <w:pPr>
        <w:autoSpaceDE w:val="0"/>
        <w:autoSpaceDN w:val="0"/>
        <w:spacing w:line="240" w:lineRule="auto"/>
        <w:ind w:firstLine="426" w:firstLineChars="200"/>
        <w:rPr>
          <w:rFonts w:ascii="宋体" w:hAnsi="宋体" w:eastAsia="宋体" w:cs="宋体"/>
          <w:kern w:val="0"/>
          <w:sz w:val="21"/>
          <w:szCs w:val="21"/>
          <w:highlight w:val="none"/>
          <w:lang w:val="zh-CN"/>
        </w:rPr>
      </w:pPr>
    </w:p>
    <w:p w14:paraId="650904A3">
      <w:pPr>
        <w:autoSpaceDE w:val="0"/>
        <w:autoSpaceDN w:val="0"/>
        <w:spacing w:line="240" w:lineRule="auto"/>
        <w:ind w:firstLine="426" w:firstLineChars="200"/>
        <w:rPr>
          <w:rFonts w:ascii="宋体" w:hAnsi="宋体" w:eastAsia="宋体" w:cs="宋体"/>
          <w:sz w:val="21"/>
          <w:szCs w:val="21"/>
          <w:highlight w:val="none"/>
        </w:rPr>
      </w:pPr>
    </w:p>
    <w:p w14:paraId="34A37A11">
      <w:pPr>
        <w:spacing w:line="440" w:lineRule="exact"/>
        <w:ind w:right="560" w:firstLine="486" w:firstLineChars="200"/>
        <w:jc w:val="right"/>
        <w:rPr>
          <w:rFonts w:ascii="仿宋" w:hAnsi="仿宋" w:eastAsia="仿宋"/>
          <w:sz w:val="24"/>
          <w:szCs w:val="24"/>
          <w:highlight w:val="none"/>
        </w:rPr>
      </w:pPr>
    </w:p>
    <w:p w14:paraId="0823D686">
      <w:pPr>
        <w:adjustRightInd w:val="0"/>
        <w:snapToGrid w:val="0"/>
        <w:spacing w:line="500" w:lineRule="exact"/>
        <w:ind w:firstLine="566" w:firstLineChars="200"/>
        <w:rPr>
          <w:rFonts w:ascii="仿宋" w:hAnsi="仿宋" w:eastAsia="仿宋"/>
          <w:highlight w:val="none"/>
        </w:rPr>
      </w:pPr>
    </w:p>
    <w:p w14:paraId="1B8E108F">
      <w:pPr>
        <w:spacing w:line="500" w:lineRule="exact"/>
        <w:ind w:firstLine="4250" w:firstLineChars="1502"/>
        <w:rPr>
          <w:rFonts w:eastAsia="仿宋"/>
          <w:highlight w:val="none"/>
        </w:rPr>
      </w:pPr>
      <w:r>
        <w:rPr>
          <w:rFonts w:hint="eastAsia" w:eastAsia="仿宋"/>
          <w:highlight w:val="none"/>
        </w:rPr>
        <w:t>供应</w:t>
      </w:r>
      <w:r>
        <w:rPr>
          <w:rFonts w:eastAsia="仿宋"/>
          <w:highlight w:val="none"/>
        </w:rPr>
        <w:t>商：</w:t>
      </w:r>
      <w:r>
        <w:rPr>
          <w:rFonts w:hint="eastAsia" w:eastAsia="仿宋"/>
          <w:highlight w:val="none"/>
          <w:u w:val="single"/>
        </w:rPr>
        <w:t>名称</w:t>
      </w:r>
      <w:r>
        <w:rPr>
          <w:rFonts w:eastAsia="仿宋"/>
          <w:highlight w:val="none"/>
        </w:rPr>
        <w:t>（加盖公章）</w:t>
      </w:r>
    </w:p>
    <w:p w14:paraId="0111A584">
      <w:pPr>
        <w:spacing w:line="500" w:lineRule="exact"/>
        <w:ind w:firstLine="4250" w:firstLineChars="1502"/>
        <w:rPr>
          <w:rFonts w:eastAsia="仿宋"/>
          <w:highlight w:val="none"/>
        </w:rPr>
      </w:pPr>
      <w:r>
        <w:rPr>
          <w:rFonts w:eastAsia="仿宋"/>
          <w:highlight w:val="none"/>
        </w:rPr>
        <w:t>法定代表人或授权</w:t>
      </w:r>
      <w:r>
        <w:rPr>
          <w:rFonts w:hint="eastAsia" w:eastAsia="仿宋"/>
          <w:highlight w:val="none"/>
        </w:rPr>
        <w:t>代表</w:t>
      </w:r>
      <w:r>
        <w:rPr>
          <w:rFonts w:eastAsia="仿宋"/>
          <w:highlight w:val="none"/>
        </w:rPr>
        <w:t>：（</w:t>
      </w:r>
      <w:r>
        <w:rPr>
          <w:rFonts w:hint="eastAsia" w:eastAsia="仿宋"/>
          <w:highlight w:val="none"/>
        </w:rPr>
        <w:t>签字或盖章</w:t>
      </w:r>
      <w:r>
        <w:rPr>
          <w:rFonts w:eastAsia="仿宋"/>
          <w:highlight w:val="none"/>
        </w:rPr>
        <w:t>）</w:t>
      </w:r>
    </w:p>
    <w:p w14:paraId="147091F5">
      <w:pPr>
        <w:spacing w:line="500" w:lineRule="exact"/>
        <w:ind w:firstLine="4250" w:firstLineChars="1502"/>
        <w:rPr>
          <w:rFonts w:eastAsia="仿宋"/>
          <w:highlight w:val="none"/>
        </w:rPr>
      </w:pPr>
      <w:r>
        <w:rPr>
          <w:rFonts w:eastAsia="仿宋"/>
          <w:highlight w:val="none"/>
        </w:rPr>
        <w:t>日</w:t>
      </w:r>
      <w:r>
        <w:rPr>
          <w:rFonts w:hint="eastAsia" w:eastAsia="仿宋"/>
          <w:highlight w:val="none"/>
        </w:rPr>
        <w:t xml:space="preserve">  </w:t>
      </w:r>
      <w:r>
        <w:rPr>
          <w:rFonts w:eastAsia="仿宋"/>
          <w:highlight w:val="none"/>
        </w:rPr>
        <w:t>期：</w:t>
      </w:r>
      <w:r>
        <w:rPr>
          <w:rFonts w:hint="eastAsia" w:eastAsia="仿宋"/>
          <w:highlight w:val="none"/>
        </w:rPr>
        <w:t xml:space="preserve">   年  月  日</w:t>
      </w:r>
    </w:p>
    <w:p w14:paraId="2650A50D">
      <w:pPr>
        <w:adjustRightInd w:val="0"/>
        <w:snapToGrid w:val="0"/>
        <w:spacing w:line="500" w:lineRule="exact"/>
        <w:ind w:firstLine="566" w:firstLineChars="200"/>
        <w:rPr>
          <w:rFonts w:ascii="仿宋" w:hAnsi="仿宋" w:eastAsia="仿宋"/>
          <w:highlight w:val="none"/>
        </w:rPr>
      </w:pPr>
    </w:p>
    <w:p w14:paraId="34508D6E">
      <w:pPr>
        <w:adjustRightInd w:val="0"/>
        <w:snapToGrid w:val="0"/>
        <w:spacing w:line="500" w:lineRule="exact"/>
        <w:ind w:firstLine="566" w:firstLineChars="200"/>
        <w:rPr>
          <w:rFonts w:ascii="仿宋" w:hAnsi="仿宋" w:eastAsia="仿宋"/>
          <w:highlight w:val="none"/>
        </w:rPr>
      </w:pPr>
    </w:p>
    <w:p w14:paraId="3706B40A">
      <w:pPr>
        <w:rPr>
          <w:rFonts w:eastAsia="仿宋"/>
          <w:highlight w:val="none"/>
        </w:rPr>
      </w:pPr>
      <w:r>
        <w:rPr>
          <w:rFonts w:eastAsia="仿宋"/>
          <w:highlight w:val="none"/>
        </w:rPr>
        <w:br w:type="page"/>
      </w:r>
    </w:p>
    <w:p w14:paraId="7D7DD09F">
      <w:pPr>
        <w:rPr>
          <w:rFonts w:eastAsia="仿宋"/>
          <w:highlight w:val="none"/>
        </w:rPr>
      </w:pPr>
    </w:p>
    <w:p w14:paraId="0E632FC3">
      <w:pPr>
        <w:spacing w:line="240" w:lineRule="auto"/>
        <w:jc w:val="center"/>
        <w:rPr>
          <w:rFonts w:ascii="华文仿宋" w:hAnsi="华文仿宋" w:cs="华文仿宋"/>
          <w:b/>
          <w:highlight w:val="none"/>
        </w:rPr>
      </w:pPr>
      <w:r>
        <w:rPr>
          <w:rFonts w:hint="eastAsia" w:ascii="宋体" w:hAnsi="宋体" w:eastAsia="仿宋"/>
          <w:b/>
          <w:bCs/>
          <w:sz w:val="32"/>
          <w:szCs w:val="32"/>
          <w:highlight w:val="none"/>
        </w:rPr>
        <w:t>分项报价表（样表）</w:t>
      </w:r>
    </w:p>
    <w:tbl>
      <w:tblPr>
        <w:tblStyle w:val="23"/>
        <w:tblW w:w="9347" w:type="dxa"/>
        <w:jc w:val="center"/>
        <w:tblLayout w:type="fixed"/>
        <w:tblCellMar>
          <w:top w:w="0" w:type="dxa"/>
          <w:left w:w="0" w:type="dxa"/>
          <w:bottom w:w="0" w:type="dxa"/>
          <w:right w:w="0" w:type="dxa"/>
        </w:tblCellMar>
      </w:tblPr>
      <w:tblGrid>
        <w:gridCol w:w="754"/>
        <w:gridCol w:w="1515"/>
        <w:gridCol w:w="2721"/>
        <w:gridCol w:w="995"/>
        <w:gridCol w:w="1230"/>
        <w:gridCol w:w="1139"/>
        <w:gridCol w:w="993"/>
      </w:tblGrid>
      <w:tr w14:paraId="6E91C602">
        <w:tblPrEx>
          <w:tblCellMar>
            <w:top w:w="0" w:type="dxa"/>
            <w:left w:w="0" w:type="dxa"/>
            <w:bottom w:w="0" w:type="dxa"/>
            <w:right w:w="0" w:type="dxa"/>
          </w:tblCellMar>
        </w:tblPrEx>
        <w:trPr>
          <w:trHeight w:val="567"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20" w:type="dxa"/>
              <w:left w:w="20" w:type="dxa"/>
              <w:bottom w:w="0" w:type="dxa"/>
              <w:right w:w="20" w:type="dxa"/>
            </w:tcMar>
            <w:vAlign w:val="center"/>
          </w:tcPr>
          <w:p w14:paraId="226EEE7B">
            <w:pPr>
              <w:pStyle w:val="11"/>
              <w:ind w:firstLine="0" w:firstLineChars="0"/>
              <w:jc w:val="center"/>
              <w:rPr>
                <w:rFonts w:ascii="宋体" w:hAnsi="宋体" w:eastAsia="宋体" w:cs="宋体"/>
                <w:b/>
                <w:sz w:val="24"/>
                <w:szCs w:val="24"/>
                <w:highlight w:val="none"/>
              </w:rPr>
            </w:pPr>
            <w:bookmarkStart w:id="505" w:name="_Toc28408"/>
            <w:bookmarkStart w:id="506" w:name="_Toc11855"/>
            <w:bookmarkStart w:id="507" w:name="_Toc16723"/>
            <w:bookmarkStart w:id="508" w:name="_Toc32361"/>
            <w:bookmarkStart w:id="509" w:name="_Toc26257"/>
            <w:bookmarkStart w:id="510" w:name="_Toc1934"/>
            <w:bookmarkStart w:id="511" w:name="_Toc18433"/>
            <w:bookmarkStart w:id="512" w:name="_Toc22090"/>
            <w:r>
              <w:rPr>
                <w:rFonts w:hint="eastAsia" w:ascii="宋体" w:hAnsi="宋体" w:eastAsia="宋体" w:cs="宋体"/>
                <w:b/>
                <w:sz w:val="24"/>
                <w:szCs w:val="24"/>
                <w:highlight w:val="none"/>
              </w:rPr>
              <w:t>序号</w:t>
            </w:r>
          </w:p>
        </w:tc>
        <w:tc>
          <w:tcPr>
            <w:tcW w:w="1515" w:type="dxa"/>
            <w:tcBorders>
              <w:top w:val="single" w:color="auto" w:sz="4" w:space="0"/>
              <w:left w:val="nil"/>
              <w:bottom w:val="single" w:color="auto" w:sz="4" w:space="0"/>
              <w:right w:val="single" w:color="auto" w:sz="4" w:space="0"/>
            </w:tcBorders>
            <w:shd w:val="clear" w:color="auto" w:fill="D8D8D8" w:themeFill="background1" w:themeFillShade="D9"/>
            <w:tcMar>
              <w:top w:w="20" w:type="dxa"/>
              <w:left w:w="20" w:type="dxa"/>
              <w:bottom w:w="0" w:type="dxa"/>
              <w:right w:w="20" w:type="dxa"/>
            </w:tcMar>
            <w:vAlign w:val="center"/>
          </w:tcPr>
          <w:p w14:paraId="459D929F">
            <w:pPr>
              <w:pStyle w:val="11"/>
              <w:ind w:firstLine="0" w:firstLineChars="0"/>
              <w:jc w:val="center"/>
              <w:rPr>
                <w:rFonts w:hint="default" w:ascii="宋体" w:hAnsi="宋体" w:eastAsia="宋体" w:cs="宋体"/>
                <w:b/>
                <w:sz w:val="24"/>
                <w:szCs w:val="24"/>
                <w:highlight w:val="none"/>
                <w:lang w:val="en-US"/>
              </w:rPr>
            </w:pPr>
            <w:r>
              <w:rPr>
                <w:rFonts w:hint="eastAsia" w:ascii="宋体" w:hAnsi="宋体" w:eastAsia="宋体" w:cs="宋体"/>
                <w:b/>
                <w:sz w:val="24"/>
                <w:szCs w:val="24"/>
                <w:highlight w:val="none"/>
                <w:lang w:val="en-US" w:eastAsia="zh-CN"/>
              </w:rPr>
              <w:t>服务项目</w:t>
            </w:r>
          </w:p>
        </w:tc>
        <w:tc>
          <w:tcPr>
            <w:tcW w:w="2721" w:type="dxa"/>
            <w:tcBorders>
              <w:top w:val="single" w:color="auto" w:sz="4" w:space="0"/>
              <w:left w:val="nil"/>
              <w:bottom w:val="single" w:color="auto" w:sz="4" w:space="0"/>
              <w:right w:val="single" w:color="auto" w:sz="4" w:space="0"/>
            </w:tcBorders>
            <w:shd w:val="clear" w:color="auto" w:fill="D8D8D8" w:themeFill="background1" w:themeFillShade="D9"/>
            <w:tcMar>
              <w:top w:w="20" w:type="dxa"/>
              <w:left w:w="20" w:type="dxa"/>
              <w:bottom w:w="0" w:type="dxa"/>
              <w:right w:w="20" w:type="dxa"/>
            </w:tcMar>
            <w:vAlign w:val="center"/>
          </w:tcPr>
          <w:p w14:paraId="2A9D3B01">
            <w:pPr>
              <w:pStyle w:val="11"/>
              <w:ind w:firstLine="0" w:firstLineChars="0"/>
              <w:jc w:val="center"/>
              <w:rPr>
                <w:rFonts w:hint="default"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服务内容</w:t>
            </w:r>
          </w:p>
        </w:tc>
        <w:tc>
          <w:tcPr>
            <w:tcW w:w="995" w:type="dxa"/>
            <w:tcBorders>
              <w:top w:val="single" w:color="auto" w:sz="4" w:space="0"/>
              <w:left w:val="nil"/>
              <w:bottom w:val="single" w:color="auto" w:sz="4" w:space="0"/>
              <w:right w:val="single" w:color="auto" w:sz="4" w:space="0"/>
            </w:tcBorders>
            <w:shd w:val="clear" w:color="auto" w:fill="D8D8D8" w:themeFill="background1" w:themeFillShade="D9"/>
            <w:tcMar>
              <w:top w:w="20" w:type="dxa"/>
              <w:left w:w="20" w:type="dxa"/>
              <w:bottom w:w="0" w:type="dxa"/>
              <w:right w:w="20" w:type="dxa"/>
            </w:tcMar>
            <w:vAlign w:val="center"/>
          </w:tcPr>
          <w:p w14:paraId="7C8FA86E">
            <w:pPr>
              <w:pStyle w:val="11"/>
              <w:ind w:firstLine="0" w:firstLineChars="0"/>
              <w:jc w:val="center"/>
              <w:rPr>
                <w:rFonts w:ascii="宋体" w:hAnsi="宋体" w:eastAsia="宋体" w:cs="宋体"/>
                <w:b/>
                <w:sz w:val="24"/>
                <w:szCs w:val="24"/>
                <w:highlight w:val="none"/>
              </w:rPr>
            </w:pPr>
            <w:r>
              <w:rPr>
                <w:rFonts w:hint="eastAsia" w:ascii="宋体" w:hAnsi="宋体" w:eastAsia="宋体" w:cs="宋体"/>
                <w:b/>
                <w:sz w:val="24"/>
                <w:szCs w:val="24"/>
                <w:highlight w:val="none"/>
              </w:rPr>
              <w:t>单价</w:t>
            </w:r>
          </w:p>
        </w:tc>
        <w:tc>
          <w:tcPr>
            <w:tcW w:w="1230" w:type="dxa"/>
            <w:tcBorders>
              <w:top w:val="single" w:color="auto" w:sz="4" w:space="0"/>
              <w:left w:val="nil"/>
              <w:bottom w:val="single" w:color="auto" w:sz="4" w:space="0"/>
              <w:right w:val="single" w:color="auto" w:sz="4" w:space="0"/>
            </w:tcBorders>
            <w:shd w:val="clear" w:color="auto" w:fill="D8D8D8" w:themeFill="background1" w:themeFillShade="D9"/>
            <w:tcMar>
              <w:top w:w="20" w:type="dxa"/>
              <w:left w:w="20" w:type="dxa"/>
              <w:bottom w:w="0" w:type="dxa"/>
              <w:right w:w="20" w:type="dxa"/>
            </w:tcMar>
            <w:vAlign w:val="center"/>
          </w:tcPr>
          <w:p w14:paraId="567CB173">
            <w:pPr>
              <w:pStyle w:val="11"/>
              <w:ind w:firstLine="0" w:firstLineChars="0"/>
              <w:jc w:val="center"/>
              <w:rPr>
                <w:rFonts w:ascii="宋体" w:hAnsi="宋体" w:eastAsia="宋体" w:cs="宋体"/>
                <w:b/>
                <w:sz w:val="24"/>
                <w:szCs w:val="24"/>
                <w:highlight w:val="none"/>
              </w:rPr>
            </w:pPr>
            <w:r>
              <w:rPr>
                <w:rFonts w:hint="eastAsia" w:ascii="宋体" w:hAnsi="宋体" w:eastAsia="宋体" w:cs="宋体"/>
                <w:b/>
                <w:sz w:val="24"/>
                <w:szCs w:val="24"/>
                <w:highlight w:val="none"/>
              </w:rPr>
              <w:t>数量</w:t>
            </w:r>
          </w:p>
        </w:tc>
        <w:tc>
          <w:tcPr>
            <w:tcW w:w="1139" w:type="dxa"/>
            <w:tcBorders>
              <w:top w:val="single" w:color="auto" w:sz="4" w:space="0"/>
              <w:left w:val="nil"/>
              <w:bottom w:val="single" w:color="auto" w:sz="4" w:space="0"/>
              <w:right w:val="single" w:color="auto" w:sz="4" w:space="0"/>
            </w:tcBorders>
            <w:shd w:val="clear" w:color="auto" w:fill="D8D8D8" w:themeFill="background1" w:themeFillShade="D9"/>
            <w:tcMar>
              <w:top w:w="20" w:type="dxa"/>
              <w:left w:w="20" w:type="dxa"/>
              <w:bottom w:w="0" w:type="dxa"/>
              <w:right w:w="20" w:type="dxa"/>
            </w:tcMar>
            <w:vAlign w:val="center"/>
          </w:tcPr>
          <w:p w14:paraId="17FCF217">
            <w:pPr>
              <w:pStyle w:val="11"/>
              <w:ind w:firstLine="0" w:firstLineChars="0"/>
              <w:jc w:val="center"/>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val="en-US" w:eastAsia="zh-CN"/>
              </w:rPr>
              <w:t>总价</w:t>
            </w:r>
          </w:p>
        </w:tc>
        <w:tc>
          <w:tcPr>
            <w:tcW w:w="993" w:type="dxa"/>
            <w:tcBorders>
              <w:top w:val="single" w:color="auto" w:sz="4" w:space="0"/>
              <w:left w:val="nil"/>
              <w:bottom w:val="single" w:color="auto" w:sz="4" w:space="0"/>
              <w:right w:val="single" w:color="auto" w:sz="4" w:space="0"/>
            </w:tcBorders>
            <w:shd w:val="clear" w:color="auto" w:fill="D8D8D8" w:themeFill="background1" w:themeFillShade="D9"/>
            <w:tcMar>
              <w:top w:w="20" w:type="dxa"/>
              <w:left w:w="20" w:type="dxa"/>
              <w:bottom w:w="0" w:type="dxa"/>
              <w:right w:w="20" w:type="dxa"/>
            </w:tcMar>
            <w:vAlign w:val="center"/>
          </w:tcPr>
          <w:p w14:paraId="5CEDF7F2">
            <w:pPr>
              <w:pStyle w:val="11"/>
              <w:ind w:firstLine="0" w:firstLineChars="0"/>
              <w:jc w:val="center"/>
              <w:rPr>
                <w:rFonts w:ascii="宋体" w:hAnsi="宋体" w:eastAsia="宋体" w:cs="宋体"/>
                <w:b/>
                <w:sz w:val="24"/>
                <w:szCs w:val="24"/>
                <w:highlight w:val="none"/>
              </w:rPr>
            </w:pPr>
            <w:r>
              <w:rPr>
                <w:rFonts w:hint="eastAsia" w:ascii="宋体" w:hAnsi="宋体" w:eastAsia="宋体" w:cs="宋体"/>
                <w:b/>
                <w:sz w:val="24"/>
                <w:szCs w:val="24"/>
                <w:highlight w:val="none"/>
              </w:rPr>
              <w:t>备注</w:t>
            </w:r>
          </w:p>
        </w:tc>
      </w:tr>
      <w:tr w14:paraId="3D27DFD2">
        <w:tblPrEx>
          <w:tblCellMar>
            <w:top w:w="0" w:type="dxa"/>
            <w:left w:w="0" w:type="dxa"/>
            <w:bottom w:w="0" w:type="dxa"/>
            <w:right w:w="0" w:type="dxa"/>
          </w:tblCellMar>
        </w:tblPrEx>
        <w:trPr>
          <w:trHeight w:val="567" w:hRule="atLeast"/>
          <w:jc w:val="center"/>
        </w:trPr>
        <w:tc>
          <w:tcPr>
            <w:tcW w:w="754"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2A99E76B">
            <w:pPr>
              <w:spacing w:line="440" w:lineRule="exact"/>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1</w:t>
            </w:r>
          </w:p>
        </w:tc>
        <w:tc>
          <w:tcPr>
            <w:tcW w:w="1515"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15943DBE">
            <w:pPr>
              <w:spacing w:line="440" w:lineRule="exact"/>
              <w:jc w:val="center"/>
              <w:rPr>
                <w:rFonts w:ascii="宋体" w:hAnsi="宋体" w:eastAsia="宋体" w:cs="宋体"/>
                <w:b/>
                <w:bCs/>
                <w:sz w:val="24"/>
                <w:szCs w:val="24"/>
                <w:highlight w:val="none"/>
              </w:rPr>
            </w:pPr>
          </w:p>
        </w:tc>
        <w:tc>
          <w:tcPr>
            <w:tcW w:w="2721"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4BEE5875">
            <w:pPr>
              <w:spacing w:line="440" w:lineRule="exact"/>
              <w:jc w:val="center"/>
              <w:rPr>
                <w:rFonts w:ascii="宋体" w:hAnsi="宋体" w:eastAsia="宋体" w:cs="宋体"/>
                <w:b/>
                <w:bCs/>
                <w:sz w:val="24"/>
                <w:szCs w:val="24"/>
                <w:highlight w:val="none"/>
              </w:rPr>
            </w:pPr>
          </w:p>
        </w:tc>
        <w:tc>
          <w:tcPr>
            <w:tcW w:w="995"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08621DD3">
            <w:pPr>
              <w:spacing w:line="440" w:lineRule="exact"/>
              <w:jc w:val="center"/>
              <w:rPr>
                <w:rFonts w:ascii="宋体" w:hAnsi="宋体" w:eastAsia="宋体" w:cs="宋体"/>
                <w:b/>
                <w:bCs/>
                <w:sz w:val="24"/>
                <w:szCs w:val="24"/>
                <w:highlight w:val="none"/>
              </w:rPr>
            </w:pPr>
          </w:p>
        </w:tc>
        <w:tc>
          <w:tcPr>
            <w:tcW w:w="1230"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14BA7E60">
            <w:pPr>
              <w:spacing w:line="440" w:lineRule="exact"/>
              <w:jc w:val="center"/>
              <w:rPr>
                <w:rFonts w:ascii="宋体" w:hAnsi="宋体" w:eastAsia="宋体" w:cs="宋体"/>
                <w:b/>
                <w:bCs/>
                <w:sz w:val="24"/>
                <w:szCs w:val="24"/>
                <w:highlight w:val="none"/>
              </w:rPr>
            </w:pPr>
          </w:p>
        </w:tc>
        <w:tc>
          <w:tcPr>
            <w:tcW w:w="1139"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3F876940">
            <w:pPr>
              <w:spacing w:line="440" w:lineRule="exact"/>
              <w:jc w:val="center"/>
              <w:rPr>
                <w:rFonts w:ascii="宋体" w:hAnsi="宋体" w:eastAsia="宋体" w:cs="宋体"/>
                <w:b/>
                <w:bCs/>
                <w:sz w:val="24"/>
                <w:szCs w:val="24"/>
                <w:highlight w:val="none"/>
              </w:rPr>
            </w:pPr>
          </w:p>
        </w:tc>
        <w:tc>
          <w:tcPr>
            <w:tcW w:w="993"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67E5B0C6">
            <w:pPr>
              <w:spacing w:line="440" w:lineRule="exact"/>
              <w:jc w:val="center"/>
              <w:rPr>
                <w:rFonts w:ascii="宋体" w:hAnsi="宋体" w:eastAsia="宋体" w:cs="宋体"/>
                <w:b/>
                <w:bCs/>
                <w:sz w:val="24"/>
                <w:szCs w:val="24"/>
                <w:highlight w:val="none"/>
              </w:rPr>
            </w:pPr>
          </w:p>
        </w:tc>
      </w:tr>
      <w:tr w14:paraId="6553F986">
        <w:tblPrEx>
          <w:tblCellMar>
            <w:top w:w="0" w:type="dxa"/>
            <w:left w:w="0" w:type="dxa"/>
            <w:bottom w:w="0" w:type="dxa"/>
            <w:right w:w="0" w:type="dxa"/>
          </w:tblCellMar>
        </w:tblPrEx>
        <w:trPr>
          <w:trHeight w:val="567" w:hRule="atLeast"/>
          <w:jc w:val="center"/>
        </w:trPr>
        <w:tc>
          <w:tcPr>
            <w:tcW w:w="754"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3B08AE12">
            <w:pPr>
              <w:spacing w:line="440" w:lineRule="exact"/>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2</w:t>
            </w:r>
          </w:p>
        </w:tc>
        <w:tc>
          <w:tcPr>
            <w:tcW w:w="1515"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23A65D72">
            <w:pPr>
              <w:spacing w:line="440" w:lineRule="exact"/>
              <w:jc w:val="center"/>
              <w:rPr>
                <w:rFonts w:ascii="宋体" w:hAnsi="宋体" w:eastAsia="宋体" w:cs="宋体"/>
                <w:b/>
                <w:bCs/>
                <w:sz w:val="24"/>
                <w:szCs w:val="24"/>
                <w:highlight w:val="none"/>
              </w:rPr>
            </w:pPr>
          </w:p>
        </w:tc>
        <w:tc>
          <w:tcPr>
            <w:tcW w:w="2721"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39A05316">
            <w:pPr>
              <w:spacing w:line="440" w:lineRule="exact"/>
              <w:jc w:val="center"/>
              <w:rPr>
                <w:rFonts w:ascii="宋体" w:hAnsi="宋体" w:eastAsia="宋体" w:cs="宋体"/>
                <w:b/>
                <w:bCs/>
                <w:sz w:val="24"/>
                <w:szCs w:val="24"/>
                <w:highlight w:val="none"/>
              </w:rPr>
            </w:pPr>
          </w:p>
        </w:tc>
        <w:tc>
          <w:tcPr>
            <w:tcW w:w="995"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6CE12075">
            <w:pPr>
              <w:spacing w:line="440" w:lineRule="exact"/>
              <w:jc w:val="center"/>
              <w:rPr>
                <w:rFonts w:ascii="宋体" w:hAnsi="宋体" w:eastAsia="宋体" w:cs="宋体"/>
                <w:b/>
                <w:bCs/>
                <w:sz w:val="24"/>
                <w:szCs w:val="24"/>
                <w:highlight w:val="none"/>
              </w:rPr>
            </w:pPr>
          </w:p>
        </w:tc>
        <w:tc>
          <w:tcPr>
            <w:tcW w:w="1230"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3D3DCEF5">
            <w:pPr>
              <w:spacing w:line="440" w:lineRule="exact"/>
              <w:jc w:val="center"/>
              <w:rPr>
                <w:rFonts w:ascii="宋体" w:hAnsi="宋体" w:eastAsia="宋体" w:cs="宋体"/>
                <w:b/>
                <w:bCs/>
                <w:sz w:val="24"/>
                <w:szCs w:val="24"/>
                <w:highlight w:val="none"/>
              </w:rPr>
            </w:pPr>
          </w:p>
        </w:tc>
        <w:tc>
          <w:tcPr>
            <w:tcW w:w="1139"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5F37A042">
            <w:pPr>
              <w:spacing w:line="440" w:lineRule="exact"/>
              <w:jc w:val="center"/>
              <w:rPr>
                <w:rFonts w:ascii="宋体" w:hAnsi="宋体" w:eastAsia="宋体" w:cs="宋体"/>
                <w:b/>
                <w:bCs/>
                <w:sz w:val="24"/>
                <w:szCs w:val="24"/>
                <w:highlight w:val="none"/>
              </w:rPr>
            </w:pPr>
          </w:p>
        </w:tc>
        <w:tc>
          <w:tcPr>
            <w:tcW w:w="993"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053FB459">
            <w:pPr>
              <w:spacing w:line="440" w:lineRule="exact"/>
              <w:jc w:val="center"/>
              <w:rPr>
                <w:rFonts w:ascii="宋体" w:hAnsi="宋体" w:eastAsia="宋体" w:cs="宋体"/>
                <w:b/>
                <w:bCs/>
                <w:sz w:val="24"/>
                <w:szCs w:val="24"/>
                <w:highlight w:val="none"/>
              </w:rPr>
            </w:pPr>
          </w:p>
        </w:tc>
      </w:tr>
      <w:tr w14:paraId="3F3792BD">
        <w:tblPrEx>
          <w:tblCellMar>
            <w:top w:w="0" w:type="dxa"/>
            <w:left w:w="0" w:type="dxa"/>
            <w:bottom w:w="0" w:type="dxa"/>
            <w:right w:w="0" w:type="dxa"/>
          </w:tblCellMar>
        </w:tblPrEx>
        <w:trPr>
          <w:trHeight w:val="567" w:hRule="atLeast"/>
          <w:jc w:val="center"/>
        </w:trPr>
        <w:tc>
          <w:tcPr>
            <w:tcW w:w="754"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74D7CF02">
            <w:pPr>
              <w:spacing w:line="440" w:lineRule="exact"/>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w:t>
            </w:r>
          </w:p>
        </w:tc>
        <w:tc>
          <w:tcPr>
            <w:tcW w:w="1515"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65A422AD">
            <w:pPr>
              <w:spacing w:line="440" w:lineRule="exact"/>
              <w:jc w:val="center"/>
              <w:rPr>
                <w:rFonts w:ascii="宋体" w:hAnsi="宋体" w:eastAsia="宋体" w:cs="宋体"/>
                <w:b/>
                <w:bCs/>
                <w:sz w:val="24"/>
                <w:szCs w:val="24"/>
                <w:highlight w:val="none"/>
              </w:rPr>
            </w:pPr>
          </w:p>
        </w:tc>
        <w:tc>
          <w:tcPr>
            <w:tcW w:w="2721"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686C49DC">
            <w:pPr>
              <w:spacing w:line="440" w:lineRule="exact"/>
              <w:jc w:val="center"/>
              <w:rPr>
                <w:rFonts w:ascii="宋体" w:hAnsi="宋体" w:eastAsia="宋体" w:cs="宋体"/>
                <w:b/>
                <w:bCs/>
                <w:sz w:val="24"/>
                <w:szCs w:val="24"/>
                <w:highlight w:val="none"/>
              </w:rPr>
            </w:pPr>
          </w:p>
        </w:tc>
        <w:tc>
          <w:tcPr>
            <w:tcW w:w="995"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29EB9A9A">
            <w:pPr>
              <w:spacing w:line="440" w:lineRule="exact"/>
              <w:jc w:val="center"/>
              <w:rPr>
                <w:rFonts w:ascii="宋体" w:hAnsi="宋体" w:eastAsia="宋体" w:cs="宋体"/>
                <w:b/>
                <w:bCs/>
                <w:sz w:val="24"/>
                <w:szCs w:val="24"/>
                <w:highlight w:val="none"/>
              </w:rPr>
            </w:pPr>
          </w:p>
        </w:tc>
        <w:tc>
          <w:tcPr>
            <w:tcW w:w="1230"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66E77294">
            <w:pPr>
              <w:spacing w:line="440" w:lineRule="exact"/>
              <w:jc w:val="center"/>
              <w:rPr>
                <w:rFonts w:ascii="宋体" w:hAnsi="宋体" w:eastAsia="宋体" w:cs="宋体"/>
                <w:b/>
                <w:bCs/>
                <w:sz w:val="24"/>
                <w:szCs w:val="24"/>
                <w:highlight w:val="none"/>
              </w:rPr>
            </w:pPr>
          </w:p>
        </w:tc>
        <w:tc>
          <w:tcPr>
            <w:tcW w:w="1139"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16EE8B2B">
            <w:pPr>
              <w:spacing w:line="440" w:lineRule="exact"/>
              <w:jc w:val="center"/>
              <w:rPr>
                <w:rFonts w:ascii="宋体" w:hAnsi="宋体" w:eastAsia="宋体" w:cs="宋体"/>
                <w:b/>
                <w:bCs/>
                <w:sz w:val="24"/>
                <w:szCs w:val="24"/>
                <w:highlight w:val="none"/>
              </w:rPr>
            </w:pPr>
          </w:p>
        </w:tc>
        <w:tc>
          <w:tcPr>
            <w:tcW w:w="993"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0C3CAAD6">
            <w:pPr>
              <w:spacing w:line="440" w:lineRule="exact"/>
              <w:jc w:val="center"/>
              <w:rPr>
                <w:rFonts w:ascii="宋体" w:hAnsi="宋体" w:eastAsia="宋体" w:cs="宋体"/>
                <w:b/>
                <w:bCs/>
                <w:sz w:val="24"/>
                <w:szCs w:val="24"/>
                <w:highlight w:val="none"/>
              </w:rPr>
            </w:pPr>
          </w:p>
        </w:tc>
      </w:tr>
      <w:tr w14:paraId="6C8129FE">
        <w:tblPrEx>
          <w:tblCellMar>
            <w:top w:w="0" w:type="dxa"/>
            <w:left w:w="0" w:type="dxa"/>
            <w:bottom w:w="0" w:type="dxa"/>
            <w:right w:w="0" w:type="dxa"/>
          </w:tblCellMar>
        </w:tblPrEx>
        <w:trPr>
          <w:trHeight w:val="944" w:hRule="atLeast"/>
          <w:jc w:val="center"/>
        </w:trPr>
        <w:tc>
          <w:tcPr>
            <w:tcW w:w="754"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3B6D969F">
            <w:pPr>
              <w:autoSpaceDE w:val="0"/>
              <w:autoSpaceDN w:val="0"/>
              <w:spacing w:line="240" w:lineRule="auto"/>
              <w:jc w:val="center"/>
              <w:rPr>
                <w:rFonts w:ascii="宋体" w:hAnsi="宋体" w:eastAsia="宋体" w:cs="宋体"/>
                <w:b/>
                <w:kern w:val="0"/>
                <w:sz w:val="24"/>
                <w:szCs w:val="24"/>
                <w:highlight w:val="none"/>
                <w:lang w:val="zh-CN"/>
              </w:rPr>
            </w:pPr>
            <w:r>
              <w:rPr>
                <w:rFonts w:hint="eastAsia" w:ascii="宋体" w:hAnsi="宋体" w:eastAsia="宋体" w:cs="宋体"/>
                <w:b/>
                <w:kern w:val="0"/>
                <w:sz w:val="24"/>
                <w:szCs w:val="24"/>
                <w:highlight w:val="none"/>
                <w:lang w:val="en-US" w:eastAsia="zh-CN"/>
              </w:rPr>
              <w:t>谈判</w:t>
            </w:r>
            <w:r>
              <w:rPr>
                <w:rFonts w:hint="eastAsia" w:ascii="宋体" w:hAnsi="宋体" w:eastAsia="宋体" w:cs="宋体"/>
                <w:b/>
                <w:kern w:val="0"/>
                <w:sz w:val="24"/>
                <w:szCs w:val="24"/>
                <w:highlight w:val="none"/>
                <w:lang w:val="zh-CN"/>
              </w:rPr>
              <w:t>报价</w:t>
            </w:r>
          </w:p>
        </w:tc>
        <w:tc>
          <w:tcPr>
            <w:tcW w:w="8593" w:type="dxa"/>
            <w:gridSpan w:val="6"/>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6E31DE9E">
            <w:pPr>
              <w:autoSpaceDE w:val="0"/>
              <w:autoSpaceDN w:val="0"/>
              <w:spacing w:line="240" w:lineRule="auto"/>
              <w:ind w:firstLine="486" w:firstLineChars="200"/>
              <w:jc w:val="left"/>
              <w:rPr>
                <w:rFonts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小写：</w:t>
            </w:r>
          </w:p>
          <w:p w14:paraId="04ADF1A9">
            <w:pPr>
              <w:autoSpaceDE w:val="0"/>
              <w:autoSpaceDN w:val="0"/>
              <w:spacing w:line="240" w:lineRule="auto"/>
              <w:ind w:firstLine="486" w:firstLineChars="200"/>
              <w:jc w:val="left"/>
              <w:rPr>
                <w:rFonts w:ascii="宋体" w:hAnsi="宋体" w:eastAsia="宋体" w:cs="宋体"/>
                <w:sz w:val="24"/>
                <w:szCs w:val="24"/>
                <w:highlight w:val="none"/>
                <w:lang w:val="zh-CN"/>
              </w:rPr>
            </w:pPr>
            <w:r>
              <w:rPr>
                <w:rFonts w:hint="eastAsia" w:ascii="宋体" w:hAnsi="宋体" w:eastAsia="宋体" w:cs="宋体"/>
                <w:kern w:val="0"/>
                <w:sz w:val="24"/>
                <w:szCs w:val="24"/>
                <w:highlight w:val="none"/>
                <w:lang w:val="zh-CN"/>
              </w:rPr>
              <w:t>大写：</w:t>
            </w:r>
            <w:r>
              <w:rPr>
                <w:rFonts w:hint="eastAsia" w:ascii="宋体" w:hAnsi="宋体" w:eastAsia="宋体" w:cs="宋体"/>
                <w:sz w:val="24"/>
                <w:szCs w:val="24"/>
                <w:highlight w:val="none"/>
              </w:rPr>
              <w:t xml:space="preserve">  </w:t>
            </w:r>
          </w:p>
        </w:tc>
      </w:tr>
      <w:bookmarkEnd w:id="505"/>
      <w:bookmarkEnd w:id="506"/>
      <w:bookmarkEnd w:id="507"/>
      <w:bookmarkEnd w:id="508"/>
      <w:bookmarkEnd w:id="509"/>
      <w:bookmarkEnd w:id="510"/>
      <w:bookmarkEnd w:id="511"/>
      <w:bookmarkEnd w:id="512"/>
    </w:tbl>
    <w:p w14:paraId="79EC47F1">
      <w:pPr>
        <w:tabs>
          <w:tab w:val="left" w:pos="5670"/>
        </w:tabs>
        <w:spacing w:beforeAutospacing="0" w:afterAutospacing="0" w:line="560" w:lineRule="exact"/>
        <w:ind w:firstLine="426"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r>
        <w:rPr>
          <w:rFonts w:hint="eastAsia" w:ascii="宋体" w:hAnsi="宋体" w:eastAsia="宋体" w:cs="宋体"/>
          <w:sz w:val="21"/>
          <w:szCs w:val="21"/>
          <w:highlight w:val="none"/>
          <w:lang w:val="zh-CN"/>
        </w:rPr>
        <w:t>本表应对第三章采购内容</w:t>
      </w:r>
      <w:r>
        <w:rPr>
          <w:rFonts w:hint="eastAsia" w:ascii="宋体" w:hAnsi="宋体" w:eastAsia="宋体" w:cs="宋体"/>
          <w:sz w:val="21"/>
          <w:szCs w:val="21"/>
          <w:highlight w:val="none"/>
          <w:lang w:val="en-US" w:eastAsia="zh-CN"/>
        </w:rPr>
        <w:t>及采购要求</w:t>
      </w:r>
      <w:r>
        <w:rPr>
          <w:rFonts w:hint="eastAsia" w:ascii="宋体" w:hAnsi="宋体" w:eastAsia="宋体" w:cs="宋体"/>
          <w:sz w:val="21"/>
          <w:szCs w:val="21"/>
          <w:highlight w:val="none"/>
          <w:lang w:val="zh-CN"/>
        </w:rPr>
        <w:t>中的</w:t>
      </w:r>
      <w:r>
        <w:rPr>
          <w:rFonts w:hint="eastAsia" w:ascii="宋体" w:hAnsi="宋体" w:eastAsia="宋体" w:cs="宋体"/>
          <w:sz w:val="21"/>
          <w:szCs w:val="21"/>
          <w:highlight w:val="none"/>
          <w:lang w:val="en-US" w:eastAsia="zh-CN"/>
        </w:rPr>
        <w:t>建设需求</w:t>
      </w:r>
      <w:r>
        <w:rPr>
          <w:rFonts w:hint="eastAsia" w:ascii="宋体" w:hAnsi="宋体" w:eastAsia="宋体" w:cs="宋体"/>
          <w:sz w:val="21"/>
          <w:szCs w:val="21"/>
          <w:highlight w:val="none"/>
          <w:lang w:val="zh-CN"/>
        </w:rPr>
        <w:t>填写</w:t>
      </w:r>
      <w:r>
        <w:rPr>
          <w:rFonts w:hint="eastAsia" w:ascii="宋体" w:hAnsi="宋体" w:eastAsia="宋体" w:cs="宋体"/>
          <w:sz w:val="21"/>
          <w:szCs w:val="21"/>
          <w:highlight w:val="none"/>
        </w:rPr>
        <w:t>；</w:t>
      </w:r>
    </w:p>
    <w:p w14:paraId="5126120D">
      <w:pPr>
        <w:tabs>
          <w:tab w:val="right" w:pos="9072"/>
        </w:tabs>
        <w:ind w:firstLine="1132" w:firstLineChars="400"/>
        <w:rPr>
          <w:rFonts w:ascii="仿宋" w:hAnsi="仿宋" w:eastAsia="仿宋"/>
          <w:b/>
          <w:highlight w:val="none"/>
        </w:rPr>
      </w:pPr>
    </w:p>
    <w:p w14:paraId="7638BF74">
      <w:pPr>
        <w:tabs>
          <w:tab w:val="right" w:pos="9070"/>
        </w:tabs>
        <w:spacing w:line="500" w:lineRule="exact"/>
        <w:rPr>
          <w:rFonts w:ascii="仿宋" w:hAnsi="仿宋" w:eastAsia="仿宋" w:cs="华文仿宋"/>
          <w:sz w:val="21"/>
          <w:szCs w:val="21"/>
          <w:highlight w:val="none"/>
        </w:rPr>
      </w:pPr>
    </w:p>
    <w:p w14:paraId="5D45E8E9">
      <w:pPr>
        <w:spacing w:line="500" w:lineRule="exact"/>
        <w:ind w:firstLine="4250" w:firstLineChars="1502"/>
        <w:rPr>
          <w:rFonts w:eastAsia="仿宋"/>
          <w:highlight w:val="none"/>
        </w:rPr>
      </w:pPr>
      <w:r>
        <w:rPr>
          <w:rFonts w:hint="eastAsia" w:eastAsia="仿宋"/>
          <w:highlight w:val="none"/>
        </w:rPr>
        <w:t>供应</w:t>
      </w:r>
      <w:r>
        <w:rPr>
          <w:rFonts w:eastAsia="仿宋"/>
          <w:highlight w:val="none"/>
        </w:rPr>
        <w:t>商：</w:t>
      </w:r>
      <w:r>
        <w:rPr>
          <w:rFonts w:hint="eastAsia" w:eastAsia="仿宋"/>
          <w:highlight w:val="none"/>
          <w:u w:val="single"/>
        </w:rPr>
        <w:t>名称</w:t>
      </w:r>
      <w:r>
        <w:rPr>
          <w:rFonts w:eastAsia="仿宋"/>
          <w:highlight w:val="none"/>
        </w:rPr>
        <w:t>（加盖公章）</w:t>
      </w:r>
    </w:p>
    <w:p w14:paraId="2B652A69">
      <w:pPr>
        <w:spacing w:line="500" w:lineRule="exact"/>
        <w:ind w:firstLine="4250" w:firstLineChars="1502"/>
        <w:rPr>
          <w:rFonts w:eastAsia="仿宋"/>
          <w:highlight w:val="none"/>
        </w:rPr>
      </w:pPr>
      <w:r>
        <w:rPr>
          <w:rFonts w:eastAsia="仿宋"/>
          <w:highlight w:val="none"/>
        </w:rPr>
        <w:t>法定代表人或授权</w:t>
      </w:r>
      <w:r>
        <w:rPr>
          <w:rFonts w:hint="eastAsia" w:eastAsia="仿宋"/>
          <w:highlight w:val="none"/>
        </w:rPr>
        <w:t>代表</w:t>
      </w:r>
      <w:r>
        <w:rPr>
          <w:rFonts w:eastAsia="仿宋"/>
          <w:highlight w:val="none"/>
        </w:rPr>
        <w:t>：（</w:t>
      </w:r>
      <w:r>
        <w:rPr>
          <w:rFonts w:hint="eastAsia" w:eastAsia="仿宋"/>
          <w:highlight w:val="none"/>
        </w:rPr>
        <w:t>签字或盖章</w:t>
      </w:r>
      <w:r>
        <w:rPr>
          <w:rFonts w:eastAsia="仿宋"/>
          <w:highlight w:val="none"/>
        </w:rPr>
        <w:t>）</w:t>
      </w:r>
    </w:p>
    <w:p w14:paraId="597E28CD">
      <w:pPr>
        <w:spacing w:line="500" w:lineRule="exact"/>
        <w:ind w:firstLine="4250" w:firstLineChars="1502"/>
        <w:rPr>
          <w:rFonts w:hint="eastAsia" w:eastAsia="仿宋"/>
          <w:highlight w:val="none"/>
        </w:rPr>
      </w:pPr>
      <w:r>
        <w:rPr>
          <w:rFonts w:eastAsia="仿宋"/>
          <w:highlight w:val="none"/>
        </w:rPr>
        <w:t>日</w:t>
      </w:r>
      <w:r>
        <w:rPr>
          <w:rFonts w:hint="eastAsia" w:eastAsia="仿宋"/>
          <w:highlight w:val="none"/>
        </w:rPr>
        <w:t xml:space="preserve">  </w:t>
      </w:r>
      <w:r>
        <w:rPr>
          <w:rFonts w:eastAsia="仿宋"/>
          <w:highlight w:val="none"/>
        </w:rPr>
        <w:t>期：</w:t>
      </w:r>
      <w:r>
        <w:rPr>
          <w:rFonts w:hint="eastAsia" w:eastAsia="仿宋"/>
          <w:highlight w:val="none"/>
        </w:rPr>
        <w:t xml:space="preserve">   年  月  日</w:t>
      </w:r>
    </w:p>
    <w:p w14:paraId="3F25A8DF">
      <w:pPr>
        <w:rPr>
          <w:rFonts w:hint="eastAsia" w:eastAsia="仿宋"/>
          <w:highlight w:val="none"/>
        </w:rPr>
      </w:pPr>
      <w:r>
        <w:rPr>
          <w:rFonts w:hint="eastAsia" w:eastAsia="仿宋"/>
          <w:highlight w:val="none"/>
        </w:rPr>
        <w:br w:type="page"/>
      </w:r>
    </w:p>
    <w:p w14:paraId="3AC93BE4">
      <w:pPr>
        <w:pStyle w:val="50"/>
        <w:ind w:firstLine="646" w:firstLineChars="200"/>
        <w:jc w:val="center"/>
        <w:rPr>
          <w:sz w:val="32"/>
          <w:szCs w:val="32"/>
          <w:highlight w:val="none"/>
        </w:rPr>
      </w:pPr>
      <w:r>
        <w:rPr>
          <w:rFonts w:hint="eastAsia"/>
          <w:sz w:val="32"/>
          <w:szCs w:val="32"/>
          <w:highlight w:val="none"/>
          <w:lang w:val="en-US" w:eastAsia="zh-CN"/>
        </w:rPr>
        <w:t>最终</w:t>
      </w:r>
      <w:r>
        <w:rPr>
          <w:rFonts w:hint="eastAsia"/>
          <w:sz w:val="32"/>
          <w:szCs w:val="32"/>
          <w:highlight w:val="none"/>
        </w:rPr>
        <w:t>谈判报价表</w:t>
      </w:r>
    </w:p>
    <w:p w14:paraId="66FF21EA">
      <w:pPr>
        <w:ind w:firstLine="486" w:firstLineChars="200"/>
        <w:rPr>
          <w:rFonts w:ascii="仿宋" w:hAnsi="仿宋" w:eastAsia="仿宋"/>
          <w:sz w:val="24"/>
          <w:szCs w:val="24"/>
          <w:highlight w:val="none"/>
        </w:rPr>
      </w:pPr>
      <w:r>
        <w:rPr>
          <w:rFonts w:hint="eastAsia" w:ascii="仿宋" w:hAnsi="仿宋" w:eastAsia="仿宋"/>
          <w:sz w:val="24"/>
          <w:szCs w:val="24"/>
          <w:highlight w:val="none"/>
        </w:rPr>
        <w:t xml:space="preserve">                         </w:t>
      </w:r>
    </w:p>
    <w:p w14:paraId="39F8AF79">
      <w:pPr>
        <w:spacing w:line="500" w:lineRule="exact"/>
        <w:ind w:firstLine="566" w:firstLineChars="200"/>
        <w:rPr>
          <w:rFonts w:ascii="仿宋" w:hAnsi="仿宋" w:eastAsia="仿宋" w:cs="仿宋"/>
          <w:highlight w:val="none"/>
          <w:shd w:val="clear" w:color="auto" w:fill="FFFFFF"/>
        </w:rPr>
      </w:pPr>
      <w:r>
        <w:rPr>
          <w:rFonts w:hint="eastAsia" w:ascii="仿宋" w:hAnsi="仿宋" w:eastAsia="仿宋" w:cs="仿宋"/>
          <w:highlight w:val="none"/>
          <w:shd w:val="clear" w:color="auto" w:fill="FFFFFF"/>
        </w:rPr>
        <w:t>项目名称：</w:t>
      </w:r>
    </w:p>
    <w:p w14:paraId="43003858">
      <w:pPr>
        <w:pStyle w:val="20"/>
        <w:wordWrap w:val="0"/>
        <w:spacing w:beforeAutospacing="0" w:afterAutospacing="0" w:line="500" w:lineRule="exact"/>
        <w:ind w:firstLine="566" w:firstLineChars="200"/>
        <w:rPr>
          <w:rFonts w:ascii="仿宋" w:hAnsi="仿宋" w:eastAsia="仿宋" w:cs="仿宋"/>
          <w:sz w:val="28"/>
          <w:highlight w:val="none"/>
          <w:shd w:val="clear" w:color="auto" w:fill="FFFFFF"/>
        </w:rPr>
      </w:pPr>
      <w:r>
        <w:rPr>
          <w:rFonts w:hint="eastAsia" w:ascii="仿宋" w:hAnsi="仿宋" w:eastAsia="仿宋" w:cs="仿宋"/>
          <w:sz w:val="28"/>
          <w:highlight w:val="none"/>
          <w:shd w:val="clear" w:color="auto" w:fill="FFFFFF"/>
        </w:rPr>
        <w:t>项目编号：</w:t>
      </w:r>
    </w:p>
    <w:p w14:paraId="4D20EA9A">
      <w:pPr>
        <w:spacing w:line="440" w:lineRule="exact"/>
        <w:ind w:right="560" w:firstLine="566" w:firstLineChars="200"/>
        <w:rPr>
          <w:rFonts w:ascii="仿宋" w:hAnsi="仿宋" w:eastAsia="仿宋"/>
          <w:sz w:val="24"/>
          <w:szCs w:val="24"/>
          <w:highlight w:val="none"/>
        </w:rPr>
      </w:pPr>
      <w:r>
        <w:rPr>
          <w:rFonts w:hint="eastAsia" w:ascii="仿宋" w:hAnsi="仿宋" w:eastAsia="仿宋"/>
          <w:highlight w:val="none"/>
        </w:rPr>
        <w:t xml:space="preserve">  </w:t>
      </w:r>
    </w:p>
    <w:tbl>
      <w:tblPr>
        <w:tblStyle w:val="23"/>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323"/>
        <w:gridCol w:w="7116"/>
      </w:tblGrid>
      <w:tr w14:paraId="0012F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323" w:type="dxa"/>
            <w:vAlign w:val="center"/>
          </w:tcPr>
          <w:p w14:paraId="5F91B51C">
            <w:pPr>
              <w:pStyle w:val="5"/>
              <w:spacing w:line="360" w:lineRule="auto"/>
              <w:ind w:firstLine="0"/>
              <w:jc w:val="center"/>
              <w:rPr>
                <w:rFonts w:ascii="仿宋" w:hAnsi="仿宋" w:eastAsia="仿宋" w:cs="宋体"/>
                <w:szCs w:val="24"/>
                <w:highlight w:val="none"/>
              </w:rPr>
            </w:pPr>
          </w:p>
        </w:tc>
        <w:tc>
          <w:tcPr>
            <w:tcW w:w="7116" w:type="dxa"/>
            <w:vAlign w:val="center"/>
          </w:tcPr>
          <w:p w14:paraId="528A8827">
            <w:pPr>
              <w:spacing w:line="440" w:lineRule="exact"/>
              <w:jc w:val="center"/>
              <w:rPr>
                <w:rFonts w:ascii="仿宋" w:hAnsi="仿宋" w:eastAsia="仿宋" w:cs="宋体"/>
                <w:szCs w:val="24"/>
                <w:highlight w:val="none"/>
              </w:rPr>
            </w:pPr>
            <w:r>
              <w:rPr>
                <w:rFonts w:hint="eastAsia" w:ascii="仿宋" w:hAnsi="仿宋" w:eastAsia="仿宋" w:cs="宋体"/>
                <w:szCs w:val="24"/>
                <w:highlight w:val="none"/>
              </w:rPr>
              <w:t>内容</w:t>
            </w:r>
          </w:p>
        </w:tc>
      </w:tr>
      <w:tr w14:paraId="6C3AB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323" w:type="dxa"/>
            <w:vAlign w:val="center"/>
          </w:tcPr>
          <w:p w14:paraId="57F48899">
            <w:pPr>
              <w:pStyle w:val="5"/>
              <w:spacing w:line="360" w:lineRule="auto"/>
              <w:ind w:firstLine="0"/>
              <w:jc w:val="center"/>
              <w:rPr>
                <w:rFonts w:ascii="仿宋" w:hAnsi="仿宋" w:eastAsia="仿宋" w:cs="宋体"/>
                <w:szCs w:val="24"/>
                <w:highlight w:val="none"/>
              </w:rPr>
            </w:pPr>
            <w:r>
              <w:rPr>
                <w:rFonts w:hint="eastAsia" w:ascii="仿宋" w:hAnsi="仿宋" w:eastAsia="仿宋" w:cs="宋体"/>
                <w:szCs w:val="24"/>
                <w:highlight w:val="none"/>
                <w:lang w:val="en-US" w:eastAsia="zh-CN"/>
              </w:rPr>
              <w:t>最终</w:t>
            </w:r>
            <w:r>
              <w:rPr>
                <w:rFonts w:hint="eastAsia" w:ascii="仿宋" w:hAnsi="仿宋" w:eastAsia="仿宋" w:cs="宋体"/>
                <w:szCs w:val="24"/>
                <w:highlight w:val="none"/>
              </w:rPr>
              <w:t>谈判报价</w:t>
            </w:r>
          </w:p>
        </w:tc>
        <w:tc>
          <w:tcPr>
            <w:tcW w:w="7116" w:type="dxa"/>
            <w:vAlign w:val="center"/>
          </w:tcPr>
          <w:p w14:paraId="17A4B9F2">
            <w:pPr>
              <w:autoSpaceDE w:val="0"/>
              <w:autoSpaceDN w:val="0"/>
              <w:spacing w:line="360" w:lineRule="auto"/>
              <w:ind w:firstLine="566" w:firstLineChars="200"/>
              <w:rPr>
                <w:rFonts w:ascii="仿宋" w:hAnsi="仿宋" w:eastAsia="仿宋" w:cs="宋体"/>
                <w:kern w:val="0"/>
                <w:szCs w:val="24"/>
                <w:highlight w:val="none"/>
                <w:lang w:val="zh-CN"/>
              </w:rPr>
            </w:pPr>
            <w:r>
              <w:rPr>
                <w:rFonts w:hint="eastAsia" w:ascii="仿宋" w:hAnsi="仿宋" w:eastAsia="仿宋" w:cs="宋体"/>
                <w:kern w:val="0"/>
                <w:szCs w:val="24"/>
                <w:highlight w:val="none"/>
                <w:lang w:val="zh-CN"/>
              </w:rPr>
              <w:t>小写：</w:t>
            </w:r>
          </w:p>
          <w:p w14:paraId="6BC54F93">
            <w:pPr>
              <w:autoSpaceDE w:val="0"/>
              <w:autoSpaceDN w:val="0"/>
              <w:spacing w:line="360" w:lineRule="auto"/>
              <w:ind w:firstLine="566" w:firstLineChars="200"/>
              <w:rPr>
                <w:rFonts w:ascii="仿宋" w:hAnsi="仿宋" w:eastAsia="仿宋" w:cs="宋体"/>
                <w:kern w:val="0"/>
                <w:szCs w:val="24"/>
                <w:highlight w:val="none"/>
                <w:lang w:val="zh-CN"/>
              </w:rPr>
            </w:pPr>
            <w:r>
              <w:rPr>
                <w:rFonts w:hint="eastAsia" w:ascii="仿宋" w:hAnsi="仿宋" w:eastAsia="仿宋" w:cs="宋体"/>
                <w:kern w:val="0"/>
                <w:szCs w:val="24"/>
                <w:highlight w:val="none"/>
                <w:lang w:val="zh-CN"/>
              </w:rPr>
              <w:t xml:space="preserve">                </w:t>
            </w:r>
            <w:r>
              <w:rPr>
                <w:rFonts w:hint="eastAsia" w:ascii="仿宋" w:hAnsi="仿宋" w:eastAsia="仿宋" w:cs="宋体"/>
                <w:kern w:val="0"/>
                <w:szCs w:val="24"/>
                <w:highlight w:val="none"/>
              </w:rPr>
              <w:t xml:space="preserve">           </w:t>
            </w:r>
            <w:r>
              <w:rPr>
                <w:rFonts w:ascii="仿宋" w:hAnsi="仿宋" w:eastAsia="仿宋"/>
                <w:sz w:val="24"/>
                <w:szCs w:val="24"/>
                <w:highlight w:val="none"/>
              </w:rPr>
              <w:t>单位：元（</w:t>
            </w:r>
            <w:r>
              <w:rPr>
                <w:rFonts w:hint="eastAsia" w:ascii="仿宋" w:hAnsi="仿宋" w:eastAsia="仿宋"/>
                <w:sz w:val="24"/>
                <w:szCs w:val="24"/>
                <w:highlight w:val="none"/>
              </w:rPr>
              <w:t>保留到元</w:t>
            </w:r>
            <w:r>
              <w:rPr>
                <w:rFonts w:ascii="仿宋" w:hAnsi="仿宋" w:eastAsia="仿宋"/>
                <w:sz w:val="24"/>
                <w:szCs w:val="24"/>
                <w:highlight w:val="none"/>
              </w:rPr>
              <w:t>）</w:t>
            </w:r>
          </w:p>
          <w:p w14:paraId="193CB807">
            <w:pPr>
              <w:autoSpaceDE w:val="0"/>
              <w:autoSpaceDN w:val="0"/>
              <w:spacing w:line="360" w:lineRule="auto"/>
              <w:ind w:firstLine="566" w:firstLineChars="200"/>
              <w:rPr>
                <w:rFonts w:ascii="仿宋" w:hAnsi="仿宋" w:eastAsia="仿宋" w:cs="宋体"/>
                <w:szCs w:val="24"/>
                <w:highlight w:val="none"/>
              </w:rPr>
            </w:pPr>
            <w:r>
              <w:rPr>
                <w:rFonts w:hint="eastAsia" w:ascii="仿宋" w:hAnsi="仿宋" w:eastAsia="仿宋" w:cs="宋体"/>
                <w:kern w:val="0"/>
                <w:highlight w:val="none"/>
                <w:lang w:val="zh-CN"/>
              </w:rPr>
              <w:t>大写：</w:t>
            </w:r>
          </w:p>
        </w:tc>
      </w:tr>
      <w:tr w14:paraId="619D6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0" w:hRule="atLeast"/>
          <w:jc w:val="center"/>
        </w:trPr>
        <w:tc>
          <w:tcPr>
            <w:tcW w:w="2323" w:type="dxa"/>
            <w:vAlign w:val="center"/>
          </w:tcPr>
          <w:p w14:paraId="154A645D">
            <w:pPr>
              <w:pStyle w:val="5"/>
              <w:spacing w:line="360" w:lineRule="auto"/>
              <w:ind w:firstLine="0"/>
              <w:jc w:val="center"/>
              <w:rPr>
                <w:rFonts w:hint="eastAsia" w:ascii="仿宋" w:hAnsi="仿宋" w:eastAsia="仿宋" w:cs="宋体"/>
                <w:szCs w:val="24"/>
                <w:highlight w:val="none"/>
                <w:lang w:eastAsia="zh-CN"/>
              </w:rPr>
            </w:pPr>
            <w:r>
              <w:rPr>
                <w:rFonts w:hint="eastAsia" w:ascii="仿宋" w:hAnsi="仿宋" w:eastAsia="仿宋" w:cs="宋体"/>
                <w:szCs w:val="24"/>
                <w:highlight w:val="none"/>
                <w:lang w:eastAsia="zh-CN"/>
              </w:rPr>
              <w:t>服务期</w:t>
            </w:r>
          </w:p>
        </w:tc>
        <w:tc>
          <w:tcPr>
            <w:tcW w:w="7116" w:type="dxa"/>
            <w:vAlign w:val="center"/>
          </w:tcPr>
          <w:p w14:paraId="50AAB7EC">
            <w:pPr>
              <w:pStyle w:val="22"/>
              <w:spacing w:after="0" w:line="560" w:lineRule="exact"/>
              <w:ind w:firstLine="0" w:firstLineChars="0"/>
              <w:jc w:val="center"/>
              <w:rPr>
                <w:rFonts w:hint="default" w:ascii="仿宋" w:hAnsi="仿宋" w:eastAsia="仿宋" w:cs="宋体"/>
                <w:kern w:val="0"/>
                <w:highlight w:val="none"/>
                <w:lang w:val="en-US" w:eastAsia="zh-CN"/>
              </w:rPr>
            </w:pPr>
          </w:p>
        </w:tc>
      </w:tr>
    </w:tbl>
    <w:p w14:paraId="490D1CF0">
      <w:pPr>
        <w:tabs>
          <w:tab w:val="left" w:pos="5670"/>
        </w:tabs>
        <w:spacing w:beforeAutospacing="0" w:afterAutospacing="0" w:line="560" w:lineRule="exact"/>
        <w:ind w:firstLine="426" w:firstLineChars="20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备注</w:t>
      </w:r>
      <w:r>
        <w:rPr>
          <w:rFonts w:hint="eastAsia" w:ascii="宋体" w:hAnsi="宋体" w:eastAsia="宋体" w:cs="宋体"/>
          <w:sz w:val="21"/>
          <w:szCs w:val="21"/>
          <w:highlight w:val="none"/>
          <w:lang w:val="zh-CN"/>
        </w:rPr>
        <w:t xml:space="preserve">： </w:t>
      </w:r>
      <w:r>
        <w:rPr>
          <w:rFonts w:hint="eastAsia" w:ascii="宋体" w:hAnsi="宋体" w:eastAsia="宋体" w:cs="宋体"/>
          <w:sz w:val="21"/>
          <w:szCs w:val="21"/>
          <w:highlight w:val="none"/>
          <w:lang w:val="en-US" w:eastAsia="zh-CN"/>
        </w:rPr>
        <w:t>1、此最终谈判报价表不需要装订在响应文件中。</w:t>
      </w:r>
    </w:p>
    <w:p w14:paraId="053B1073">
      <w:pPr>
        <w:tabs>
          <w:tab w:val="left" w:pos="5670"/>
        </w:tabs>
        <w:spacing w:beforeAutospacing="0" w:afterAutospacing="0" w:line="560" w:lineRule="exact"/>
        <w:ind w:firstLine="426" w:firstLineChars="200"/>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val="zh-CN"/>
        </w:rPr>
        <w:t>“谈判报价”为总价。谈判报价必须包括本项目所需全部费用。</w:t>
      </w:r>
    </w:p>
    <w:p w14:paraId="0E889E04">
      <w:pPr>
        <w:tabs>
          <w:tab w:val="left" w:pos="5670"/>
        </w:tabs>
        <w:spacing w:beforeAutospacing="0" w:afterAutospacing="0" w:line="560" w:lineRule="exact"/>
        <w:ind w:firstLine="426" w:firstLineChars="2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3、最终谈判报价最为评审的依据。供应商应在开标当天，在规定的报价时间内填写，并盖章提交。</w:t>
      </w:r>
    </w:p>
    <w:p w14:paraId="520BED8D">
      <w:pPr>
        <w:tabs>
          <w:tab w:val="left" w:pos="5670"/>
        </w:tabs>
        <w:spacing w:beforeAutospacing="0" w:afterAutospacing="0" w:line="560" w:lineRule="exact"/>
        <w:ind w:firstLine="426" w:firstLineChars="20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如招标内容无实质性变更，供应商的报价应逐次降低。本次报价超过招标预算或谈判文件中规定的最高限价的，按无效响应处理；本次报价超过上次报价但未超过招标预算或谈判文件规定的最高限价的，或在规定时间内未提交、提交不成功的均为无效报价，按无效响应处理。</w:t>
      </w:r>
    </w:p>
    <w:p w14:paraId="3E0740A0">
      <w:pPr>
        <w:autoSpaceDE w:val="0"/>
        <w:autoSpaceDN w:val="0"/>
        <w:spacing w:line="240" w:lineRule="auto"/>
        <w:ind w:firstLine="426" w:firstLineChars="200"/>
        <w:rPr>
          <w:rFonts w:ascii="宋体" w:hAnsi="宋体" w:eastAsia="宋体" w:cs="宋体"/>
          <w:sz w:val="21"/>
          <w:szCs w:val="21"/>
          <w:highlight w:val="none"/>
        </w:rPr>
      </w:pPr>
    </w:p>
    <w:p w14:paraId="0C6B8AFF">
      <w:pPr>
        <w:spacing w:line="440" w:lineRule="exact"/>
        <w:ind w:right="560" w:firstLine="486" w:firstLineChars="200"/>
        <w:jc w:val="right"/>
        <w:rPr>
          <w:rFonts w:ascii="仿宋" w:hAnsi="仿宋" w:eastAsia="仿宋"/>
          <w:sz w:val="24"/>
          <w:szCs w:val="24"/>
          <w:highlight w:val="none"/>
        </w:rPr>
      </w:pPr>
    </w:p>
    <w:p w14:paraId="33F89220">
      <w:pPr>
        <w:adjustRightInd w:val="0"/>
        <w:snapToGrid w:val="0"/>
        <w:spacing w:line="500" w:lineRule="exact"/>
        <w:ind w:firstLine="566" w:firstLineChars="200"/>
        <w:rPr>
          <w:rFonts w:ascii="仿宋" w:hAnsi="仿宋" w:eastAsia="仿宋"/>
          <w:highlight w:val="none"/>
        </w:rPr>
      </w:pPr>
    </w:p>
    <w:p w14:paraId="78F1FAFF">
      <w:pPr>
        <w:spacing w:line="500" w:lineRule="exact"/>
        <w:ind w:firstLine="4250" w:firstLineChars="1502"/>
        <w:rPr>
          <w:rFonts w:eastAsia="仿宋"/>
          <w:highlight w:val="none"/>
        </w:rPr>
      </w:pPr>
      <w:r>
        <w:rPr>
          <w:rFonts w:hint="eastAsia" w:eastAsia="仿宋"/>
          <w:highlight w:val="none"/>
        </w:rPr>
        <w:t>供应</w:t>
      </w:r>
      <w:r>
        <w:rPr>
          <w:rFonts w:eastAsia="仿宋"/>
          <w:highlight w:val="none"/>
        </w:rPr>
        <w:t>商：</w:t>
      </w:r>
      <w:r>
        <w:rPr>
          <w:rFonts w:hint="eastAsia" w:eastAsia="仿宋"/>
          <w:highlight w:val="none"/>
          <w:u w:val="single"/>
        </w:rPr>
        <w:t>名称</w:t>
      </w:r>
      <w:r>
        <w:rPr>
          <w:rFonts w:eastAsia="仿宋"/>
          <w:highlight w:val="none"/>
        </w:rPr>
        <w:t>（加盖公章）</w:t>
      </w:r>
    </w:p>
    <w:p w14:paraId="3D3770D4">
      <w:pPr>
        <w:spacing w:line="500" w:lineRule="exact"/>
        <w:ind w:firstLine="4250" w:firstLineChars="1502"/>
        <w:rPr>
          <w:rFonts w:eastAsia="仿宋"/>
          <w:highlight w:val="none"/>
        </w:rPr>
      </w:pPr>
      <w:r>
        <w:rPr>
          <w:rFonts w:eastAsia="仿宋"/>
          <w:highlight w:val="none"/>
        </w:rPr>
        <w:t>法定代表人或授权</w:t>
      </w:r>
      <w:r>
        <w:rPr>
          <w:rFonts w:hint="eastAsia" w:eastAsia="仿宋"/>
          <w:highlight w:val="none"/>
        </w:rPr>
        <w:t>代表</w:t>
      </w:r>
      <w:r>
        <w:rPr>
          <w:rFonts w:eastAsia="仿宋"/>
          <w:highlight w:val="none"/>
        </w:rPr>
        <w:t>：（</w:t>
      </w:r>
      <w:r>
        <w:rPr>
          <w:rFonts w:hint="eastAsia" w:eastAsia="仿宋"/>
          <w:highlight w:val="none"/>
        </w:rPr>
        <w:t>签字或盖章</w:t>
      </w:r>
      <w:r>
        <w:rPr>
          <w:rFonts w:eastAsia="仿宋"/>
          <w:highlight w:val="none"/>
        </w:rPr>
        <w:t>）</w:t>
      </w:r>
    </w:p>
    <w:p w14:paraId="192A8A95">
      <w:pPr>
        <w:spacing w:line="500" w:lineRule="exact"/>
        <w:ind w:firstLine="4250" w:firstLineChars="1502"/>
        <w:rPr>
          <w:rFonts w:eastAsia="仿宋"/>
          <w:highlight w:val="none"/>
        </w:rPr>
      </w:pPr>
      <w:r>
        <w:rPr>
          <w:rFonts w:eastAsia="仿宋"/>
          <w:highlight w:val="none"/>
        </w:rPr>
        <w:t>日</w:t>
      </w:r>
      <w:r>
        <w:rPr>
          <w:rFonts w:hint="eastAsia" w:eastAsia="仿宋"/>
          <w:highlight w:val="none"/>
        </w:rPr>
        <w:t xml:space="preserve">  </w:t>
      </w:r>
      <w:r>
        <w:rPr>
          <w:rFonts w:eastAsia="仿宋"/>
          <w:highlight w:val="none"/>
        </w:rPr>
        <w:t>期：</w:t>
      </w:r>
      <w:r>
        <w:rPr>
          <w:rFonts w:hint="eastAsia" w:eastAsia="仿宋"/>
          <w:highlight w:val="none"/>
        </w:rPr>
        <w:t xml:space="preserve">   年  月  日</w:t>
      </w:r>
    </w:p>
    <w:p w14:paraId="35B9AF58">
      <w:pPr>
        <w:spacing w:line="500" w:lineRule="exact"/>
        <w:ind w:firstLine="4250" w:firstLineChars="1502"/>
        <w:rPr>
          <w:rFonts w:hint="eastAsia" w:eastAsia="仿宋"/>
          <w:highlight w:val="none"/>
        </w:rPr>
      </w:pPr>
    </w:p>
    <w:p w14:paraId="480D3B37">
      <w:pPr>
        <w:rPr>
          <w:rFonts w:ascii="仿宋" w:hAnsi="仿宋" w:eastAsia="仿宋"/>
          <w:highlight w:val="none"/>
        </w:rPr>
      </w:pPr>
      <w:r>
        <w:rPr>
          <w:rFonts w:hint="eastAsia"/>
          <w:highlight w:val="none"/>
        </w:rPr>
        <w:br w:type="page"/>
      </w:r>
      <w:bookmarkStart w:id="513" w:name="_Toc28681288"/>
      <w:bookmarkStart w:id="514" w:name="_Toc28681576"/>
      <w:bookmarkStart w:id="515" w:name="_Toc28274"/>
      <w:bookmarkStart w:id="516" w:name="_Toc22889"/>
      <w:bookmarkStart w:id="517" w:name="_Toc2792"/>
      <w:bookmarkStart w:id="518" w:name="_Toc12538"/>
      <w:bookmarkStart w:id="519" w:name="_Toc14662"/>
      <w:bookmarkStart w:id="520" w:name="_Toc26411"/>
    </w:p>
    <w:p w14:paraId="02B67410">
      <w:pPr>
        <w:spacing w:line="560" w:lineRule="exact"/>
        <w:ind w:firstLine="646" w:firstLineChars="200"/>
        <w:outlineLvl w:val="1"/>
        <w:rPr>
          <w:rFonts w:ascii="仿宋" w:hAnsi="华文仿宋" w:eastAsia="仿宋" w:cs="华文仿宋"/>
          <w:b/>
          <w:bCs/>
          <w:sz w:val="32"/>
          <w:szCs w:val="32"/>
          <w:highlight w:val="none"/>
        </w:rPr>
      </w:pPr>
      <w:bookmarkStart w:id="521" w:name="_Toc23096"/>
      <w:bookmarkStart w:id="522" w:name="_Toc9468"/>
      <w:bookmarkStart w:id="523" w:name="_Toc29807"/>
      <w:r>
        <w:rPr>
          <w:rFonts w:hint="eastAsia" w:ascii="仿宋" w:hAnsi="华文仿宋" w:eastAsia="仿宋" w:cs="华文仿宋"/>
          <w:b/>
          <w:bCs/>
          <w:sz w:val="32"/>
          <w:szCs w:val="32"/>
          <w:highlight w:val="none"/>
        </w:rPr>
        <w:t>三、</w:t>
      </w:r>
      <w:bookmarkEnd w:id="513"/>
      <w:bookmarkEnd w:id="514"/>
      <w:bookmarkStart w:id="524" w:name="_Toc28681577"/>
      <w:r>
        <w:rPr>
          <w:rFonts w:hint="eastAsia" w:ascii="仿宋" w:hAnsi="华文仿宋" w:eastAsia="仿宋" w:cs="华文仿宋"/>
          <w:b/>
          <w:bCs/>
          <w:sz w:val="32"/>
          <w:szCs w:val="32"/>
          <w:highlight w:val="none"/>
        </w:rPr>
        <w:t>供应商参加政府采购活动承诺书</w:t>
      </w:r>
      <w:bookmarkEnd w:id="515"/>
      <w:bookmarkEnd w:id="516"/>
      <w:bookmarkEnd w:id="517"/>
      <w:bookmarkEnd w:id="518"/>
      <w:bookmarkEnd w:id="519"/>
      <w:bookmarkEnd w:id="520"/>
      <w:bookmarkEnd w:id="521"/>
      <w:bookmarkEnd w:id="522"/>
      <w:bookmarkEnd w:id="523"/>
      <w:bookmarkEnd w:id="524"/>
    </w:p>
    <w:p w14:paraId="1413F980">
      <w:pPr>
        <w:spacing w:line="560" w:lineRule="exact"/>
        <w:ind w:firstLine="566" w:firstLineChars="200"/>
        <w:rPr>
          <w:rFonts w:ascii="仿宋" w:hAnsi="仿宋" w:eastAsia="仿宋" w:cs="仿宋"/>
          <w:highlight w:val="none"/>
        </w:rPr>
      </w:pPr>
      <w:r>
        <w:rPr>
          <w:rFonts w:hint="eastAsia" w:ascii="仿宋" w:hAnsi="仿宋" w:eastAsia="仿宋" w:cs="仿宋"/>
          <w:highlight w:val="none"/>
        </w:rPr>
        <w:t>未签署下列承诺书的，其责任由供应商自行承担。响应文件正本中须装订本承诺书原件，副本是否装订原件不做要求。</w:t>
      </w:r>
    </w:p>
    <w:p w14:paraId="11F3787B">
      <w:pPr>
        <w:spacing w:line="560" w:lineRule="exact"/>
        <w:jc w:val="center"/>
        <w:rPr>
          <w:rFonts w:ascii="仿宋" w:hAnsi="仿宋" w:eastAsia="仿宋"/>
          <w:b/>
          <w:highlight w:val="none"/>
        </w:rPr>
      </w:pPr>
      <w:r>
        <w:rPr>
          <w:rFonts w:hint="eastAsia" w:ascii="仿宋" w:hAnsi="仿宋" w:eastAsia="仿宋"/>
          <w:b/>
          <w:highlight w:val="none"/>
        </w:rPr>
        <w:t>（</w:t>
      </w:r>
      <w:r>
        <w:rPr>
          <w:rFonts w:ascii="仿宋" w:hAnsi="仿宋" w:eastAsia="仿宋"/>
          <w:b/>
          <w:highlight w:val="none"/>
        </w:rPr>
        <w:t>一</w:t>
      </w:r>
      <w:r>
        <w:rPr>
          <w:rFonts w:hint="eastAsia" w:ascii="仿宋" w:hAnsi="仿宋" w:eastAsia="仿宋"/>
          <w:b/>
          <w:highlight w:val="none"/>
        </w:rPr>
        <w:t>）</w:t>
      </w:r>
      <w:r>
        <w:rPr>
          <w:rFonts w:ascii="仿宋" w:hAnsi="仿宋" w:eastAsia="仿宋"/>
          <w:b/>
          <w:highlight w:val="none"/>
        </w:rPr>
        <w:t>质量安全责任承诺书</w:t>
      </w:r>
    </w:p>
    <w:p w14:paraId="2F778262">
      <w:pPr>
        <w:spacing w:line="560" w:lineRule="exact"/>
        <w:ind w:firstLine="566" w:firstLineChars="200"/>
        <w:rPr>
          <w:rFonts w:ascii="仿宋" w:hAnsi="仿宋" w:eastAsia="仿宋"/>
          <w:highlight w:val="none"/>
        </w:rPr>
      </w:pPr>
      <w:r>
        <w:rPr>
          <w:rFonts w:ascii="仿宋" w:hAnsi="仿宋" w:eastAsia="仿宋"/>
          <w:highlight w:val="none"/>
        </w:rPr>
        <w:t>为保证本采购项目顺利进行，作为投标</w:t>
      </w:r>
      <w:r>
        <w:rPr>
          <w:rFonts w:hint="eastAsia" w:ascii="仿宋" w:hAnsi="仿宋" w:eastAsia="仿宋"/>
          <w:highlight w:val="none"/>
        </w:rPr>
        <w:t>供应商</w:t>
      </w:r>
      <w:r>
        <w:rPr>
          <w:rFonts w:ascii="仿宋" w:hAnsi="仿宋" w:eastAsia="仿宋"/>
          <w:highlight w:val="none"/>
        </w:rPr>
        <w:t>，现郑重承诺：</w:t>
      </w:r>
    </w:p>
    <w:p w14:paraId="24F40FAA">
      <w:pPr>
        <w:spacing w:beforeAutospacing="0" w:afterAutospacing="0" w:line="560" w:lineRule="exact"/>
        <w:ind w:firstLine="566" w:firstLineChars="200"/>
        <w:rPr>
          <w:rFonts w:ascii="仿宋" w:hAnsi="仿宋" w:eastAsia="仿宋"/>
          <w:highlight w:val="none"/>
        </w:rPr>
      </w:pPr>
      <w:r>
        <w:rPr>
          <w:rFonts w:ascii="仿宋" w:hAnsi="仿宋" w:eastAsia="仿宋"/>
          <w:highlight w:val="none"/>
        </w:rPr>
        <w:t>1、我方投标产品的生产（包括设计、制造、安装、改造、维修等）、投入使用的材料等均完全符合国家现行</w:t>
      </w:r>
      <w:r>
        <w:rPr>
          <w:rFonts w:hint="eastAsia" w:ascii="仿宋" w:hAnsi="仿宋" w:eastAsia="仿宋"/>
          <w:highlight w:val="none"/>
        </w:rPr>
        <w:t>质量、安全、环保标准和要求。</w:t>
      </w:r>
    </w:p>
    <w:p w14:paraId="53062CB5">
      <w:pPr>
        <w:spacing w:beforeAutospacing="0" w:afterAutospacing="0" w:line="560" w:lineRule="exact"/>
        <w:ind w:firstLine="566" w:firstLineChars="200"/>
        <w:rPr>
          <w:rFonts w:ascii="仿宋" w:hAnsi="仿宋" w:eastAsia="仿宋"/>
          <w:highlight w:val="none"/>
        </w:rPr>
      </w:pPr>
      <w:r>
        <w:rPr>
          <w:rFonts w:ascii="仿宋" w:hAnsi="仿宋" w:eastAsia="仿宋"/>
          <w:highlight w:val="none"/>
        </w:rPr>
        <w:t>2、我方将严格按照国家现行相关储存、运输、安装调试技术标准及规范、服务标准及规范、施工标准及规范，在规定的时限内，保质、保量完成项目全部内容，并向采购人交付合格产品。</w:t>
      </w:r>
    </w:p>
    <w:p w14:paraId="7A1F28E0">
      <w:pPr>
        <w:spacing w:beforeAutospacing="0" w:afterAutospacing="0" w:line="560" w:lineRule="exact"/>
        <w:ind w:firstLine="566" w:firstLineChars="200"/>
        <w:rPr>
          <w:rFonts w:ascii="仿宋" w:hAnsi="仿宋" w:eastAsia="仿宋"/>
          <w:highlight w:val="none"/>
        </w:rPr>
      </w:pPr>
      <w:r>
        <w:rPr>
          <w:rFonts w:ascii="仿宋" w:hAnsi="仿宋" w:eastAsia="仿宋"/>
          <w:highlight w:val="none"/>
        </w:rPr>
        <w:t>3、对于因产品生产质量以及储存、运输、安装调试、服务、施工等过程中产生的任何安全事故，我方承担全部责任。</w:t>
      </w:r>
    </w:p>
    <w:p w14:paraId="1079D747">
      <w:pPr>
        <w:spacing w:beforeAutospacing="0" w:afterAutospacing="0" w:line="560" w:lineRule="exact"/>
        <w:ind w:firstLine="566" w:firstLineChars="200"/>
        <w:rPr>
          <w:rFonts w:ascii="仿宋" w:hAnsi="仿宋" w:eastAsia="仿宋"/>
          <w:highlight w:val="none"/>
        </w:rPr>
      </w:pPr>
      <w:r>
        <w:rPr>
          <w:rFonts w:ascii="仿宋" w:hAnsi="仿宋" w:eastAsia="仿宋"/>
          <w:highlight w:val="none"/>
        </w:rPr>
        <w:t>4、我方提供的货物、工程、服务等符合现行的国家、行业、地区、企业标准及要求，标准不一致的，以更为严格的为准，我方对提供的货物、工程、服务等的质量、安全、环保等承担全部责任。</w:t>
      </w:r>
    </w:p>
    <w:p w14:paraId="4294241E">
      <w:pPr>
        <w:spacing w:line="560" w:lineRule="exact"/>
        <w:ind w:firstLine="566" w:firstLineChars="200"/>
        <w:rPr>
          <w:rFonts w:ascii="仿宋" w:hAnsi="仿宋" w:eastAsia="仿宋"/>
          <w:highlight w:val="none"/>
        </w:rPr>
      </w:pPr>
    </w:p>
    <w:p w14:paraId="03CFB77E">
      <w:pPr>
        <w:spacing w:line="500" w:lineRule="exact"/>
        <w:ind w:firstLine="4250" w:firstLineChars="1502"/>
        <w:rPr>
          <w:rFonts w:eastAsia="仿宋"/>
          <w:highlight w:val="none"/>
        </w:rPr>
      </w:pPr>
      <w:r>
        <w:rPr>
          <w:rFonts w:hint="eastAsia" w:eastAsia="仿宋"/>
          <w:highlight w:val="none"/>
        </w:rPr>
        <w:t>供应</w:t>
      </w:r>
      <w:r>
        <w:rPr>
          <w:rFonts w:eastAsia="仿宋"/>
          <w:highlight w:val="none"/>
        </w:rPr>
        <w:t>商：</w:t>
      </w:r>
      <w:r>
        <w:rPr>
          <w:rFonts w:hint="eastAsia" w:eastAsia="仿宋"/>
          <w:highlight w:val="none"/>
          <w:u w:val="single"/>
        </w:rPr>
        <w:t>名称</w:t>
      </w:r>
      <w:r>
        <w:rPr>
          <w:rFonts w:eastAsia="仿宋"/>
          <w:highlight w:val="none"/>
        </w:rPr>
        <w:t>（加盖公章）</w:t>
      </w:r>
    </w:p>
    <w:p w14:paraId="01B440F9">
      <w:pPr>
        <w:spacing w:line="500" w:lineRule="exact"/>
        <w:ind w:firstLine="4250" w:firstLineChars="1502"/>
        <w:rPr>
          <w:rFonts w:eastAsia="仿宋"/>
          <w:highlight w:val="none"/>
        </w:rPr>
      </w:pPr>
      <w:r>
        <w:rPr>
          <w:rFonts w:eastAsia="仿宋"/>
          <w:highlight w:val="none"/>
        </w:rPr>
        <w:t>法定代表人或授权</w:t>
      </w:r>
      <w:r>
        <w:rPr>
          <w:rFonts w:hint="eastAsia" w:eastAsia="仿宋"/>
          <w:highlight w:val="none"/>
        </w:rPr>
        <w:t>代表</w:t>
      </w:r>
      <w:r>
        <w:rPr>
          <w:rFonts w:eastAsia="仿宋"/>
          <w:highlight w:val="none"/>
        </w:rPr>
        <w:t>：（</w:t>
      </w:r>
      <w:r>
        <w:rPr>
          <w:rFonts w:hint="eastAsia" w:eastAsia="仿宋"/>
          <w:highlight w:val="none"/>
        </w:rPr>
        <w:t>签字或盖章</w:t>
      </w:r>
      <w:r>
        <w:rPr>
          <w:rFonts w:eastAsia="仿宋"/>
          <w:highlight w:val="none"/>
        </w:rPr>
        <w:t>）</w:t>
      </w:r>
    </w:p>
    <w:p w14:paraId="1E496B7A">
      <w:pPr>
        <w:spacing w:line="500" w:lineRule="exact"/>
        <w:ind w:firstLine="4250" w:firstLineChars="1502"/>
        <w:rPr>
          <w:rFonts w:eastAsia="仿宋"/>
          <w:highlight w:val="none"/>
        </w:rPr>
      </w:pPr>
      <w:r>
        <w:rPr>
          <w:rFonts w:eastAsia="仿宋"/>
          <w:highlight w:val="none"/>
        </w:rPr>
        <w:t>日</w:t>
      </w:r>
      <w:r>
        <w:rPr>
          <w:rFonts w:hint="eastAsia" w:eastAsia="仿宋"/>
          <w:highlight w:val="none"/>
        </w:rPr>
        <w:t xml:space="preserve">  </w:t>
      </w:r>
      <w:r>
        <w:rPr>
          <w:rFonts w:eastAsia="仿宋"/>
          <w:highlight w:val="none"/>
        </w:rPr>
        <w:t>期：</w:t>
      </w:r>
      <w:r>
        <w:rPr>
          <w:rFonts w:hint="eastAsia" w:eastAsia="仿宋"/>
          <w:highlight w:val="none"/>
        </w:rPr>
        <w:t xml:space="preserve">   年  月  日</w:t>
      </w:r>
    </w:p>
    <w:p w14:paraId="773EBA27">
      <w:pPr>
        <w:spacing w:line="560" w:lineRule="exact"/>
        <w:jc w:val="center"/>
        <w:rPr>
          <w:rFonts w:ascii="仿宋" w:hAnsi="仿宋" w:eastAsia="仿宋"/>
          <w:b/>
          <w:highlight w:val="none"/>
        </w:rPr>
      </w:pPr>
      <w:r>
        <w:rPr>
          <w:rFonts w:hint="eastAsia" w:ascii="仿宋" w:hAnsi="仿宋" w:eastAsia="仿宋"/>
          <w:b/>
          <w:highlight w:val="none"/>
        </w:rPr>
        <w:br w:type="page"/>
      </w:r>
      <w:r>
        <w:rPr>
          <w:rFonts w:hint="eastAsia" w:ascii="仿宋" w:hAnsi="仿宋" w:eastAsia="仿宋"/>
          <w:b/>
          <w:highlight w:val="none"/>
        </w:rPr>
        <w:t>（二）拒绝政府采购领域商业贿赂承诺书</w:t>
      </w:r>
    </w:p>
    <w:p w14:paraId="393265F6">
      <w:pPr>
        <w:overflowPunct w:val="0"/>
        <w:topLinePunct/>
        <w:spacing w:line="560" w:lineRule="exact"/>
        <w:jc w:val="center"/>
        <w:rPr>
          <w:rFonts w:ascii="仿宋" w:hAnsi="仿宋" w:eastAsia="仿宋" w:cs="宋体-18030"/>
          <w:bCs/>
          <w:highlight w:val="none"/>
        </w:rPr>
      </w:pPr>
      <w:r>
        <w:rPr>
          <w:rFonts w:hint="eastAsia" w:ascii="仿宋" w:hAnsi="仿宋" w:eastAsia="仿宋" w:cs="宋体-18030"/>
          <w:bCs/>
          <w:highlight w:val="none"/>
        </w:rPr>
        <w:t>（执行陕财办采管[2006]21号文件）</w:t>
      </w:r>
    </w:p>
    <w:p w14:paraId="0E83EE4C">
      <w:pPr>
        <w:spacing w:line="560" w:lineRule="exact"/>
        <w:ind w:firstLine="566" w:firstLineChars="200"/>
        <w:rPr>
          <w:rFonts w:ascii="仿宋" w:hAnsi="仿宋" w:eastAsia="仿宋"/>
          <w:highlight w:val="none"/>
        </w:rPr>
      </w:pPr>
      <w:r>
        <w:rPr>
          <w:rFonts w:hint="eastAsia" w:ascii="仿宋" w:hAnsi="仿宋" w:eastAsia="仿宋"/>
          <w:highlight w:val="none"/>
        </w:rPr>
        <w:t>为响应党中央、国务院关于治理政府采购领域商业贿赂行为的号召，我公司在此庄严承诺：</w:t>
      </w:r>
    </w:p>
    <w:p w14:paraId="543DFF04">
      <w:pPr>
        <w:spacing w:line="560" w:lineRule="exact"/>
        <w:ind w:firstLine="566" w:firstLineChars="200"/>
        <w:rPr>
          <w:rFonts w:ascii="仿宋" w:hAnsi="仿宋" w:eastAsia="仿宋"/>
          <w:highlight w:val="none"/>
        </w:rPr>
      </w:pPr>
      <w:r>
        <w:rPr>
          <w:rFonts w:hint="eastAsia" w:ascii="仿宋" w:hAnsi="仿宋" w:eastAsia="仿宋"/>
          <w:highlight w:val="none"/>
        </w:rPr>
        <w:t>1、在参与政府采购活动中遵纪守法、诚信经营、公平竞标。</w:t>
      </w:r>
    </w:p>
    <w:p w14:paraId="5FAEDA4B">
      <w:pPr>
        <w:spacing w:line="560" w:lineRule="exact"/>
        <w:ind w:firstLine="566" w:firstLineChars="200"/>
        <w:rPr>
          <w:rFonts w:ascii="仿宋" w:hAnsi="仿宋" w:eastAsia="仿宋"/>
          <w:highlight w:val="none"/>
        </w:rPr>
      </w:pPr>
      <w:r>
        <w:rPr>
          <w:rFonts w:hint="eastAsia" w:ascii="仿宋" w:hAnsi="仿宋" w:eastAsia="仿宋"/>
          <w:highlight w:val="none"/>
        </w:rPr>
        <w:t>2、不向政府采购人、采购代理机构和政府采购评审专家进行任何形式的商业贿赂以谋取交易机会。</w:t>
      </w:r>
    </w:p>
    <w:p w14:paraId="17120BEC">
      <w:pPr>
        <w:spacing w:line="560" w:lineRule="exact"/>
        <w:ind w:firstLine="566" w:firstLineChars="200"/>
        <w:rPr>
          <w:rFonts w:ascii="仿宋" w:hAnsi="仿宋" w:eastAsia="仿宋"/>
          <w:highlight w:val="none"/>
        </w:rPr>
      </w:pPr>
      <w:r>
        <w:rPr>
          <w:rFonts w:hint="eastAsia" w:ascii="仿宋" w:hAnsi="仿宋" w:eastAsia="仿宋"/>
          <w:highlight w:val="none"/>
        </w:rPr>
        <w:t>3、不向政府采购代理机构和采购人提供虚假资质文件或采用虚假应标方式参与政府采购市场竞争并谋取中标、成交。</w:t>
      </w:r>
    </w:p>
    <w:p w14:paraId="3548DE52">
      <w:pPr>
        <w:spacing w:line="560" w:lineRule="exact"/>
        <w:ind w:firstLine="566" w:firstLineChars="200"/>
        <w:rPr>
          <w:rFonts w:ascii="仿宋" w:hAnsi="仿宋" w:eastAsia="仿宋"/>
          <w:highlight w:val="none"/>
        </w:rPr>
      </w:pPr>
      <w:r>
        <w:rPr>
          <w:rFonts w:hint="eastAsia" w:ascii="仿宋" w:hAnsi="仿宋" w:eastAsia="仿宋"/>
          <w:highlight w:val="none"/>
        </w:rPr>
        <w:t>4、不采取“围标、陪标”等商业欺诈手段获得政府采购定单。</w:t>
      </w:r>
    </w:p>
    <w:p w14:paraId="5B6BBFB8">
      <w:pPr>
        <w:spacing w:line="560" w:lineRule="exact"/>
        <w:ind w:firstLine="566" w:firstLineChars="200"/>
        <w:rPr>
          <w:rFonts w:ascii="仿宋" w:hAnsi="仿宋" w:eastAsia="仿宋"/>
          <w:highlight w:val="none"/>
        </w:rPr>
      </w:pPr>
      <w:r>
        <w:rPr>
          <w:rFonts w:hint="eastAsia" w:ascii="仿宋" w:hAnsi="仿宋" w:eastAsia="仿宋"/>
          <w:highlight w:val="none"/>
        </w:rPr>
        <w:t>5、不采取不正当手段诋毁、排挤其他供应商。</w:t>
      </w:r>
    </w:p>
    <w:p w14:paraId="78C79F26">
      <w:pPr>
        <w:spacing w:line="560" w:lineRule="exact"/>
        <w:ind w:firstLine="566" w:firstLineChars="200"/>
        <w:rPr>
          <w:rFonts w:ascii="仿宋" w:hAnsi="仿宋" w:eastAsia="仿宋"/>
          <w:highlight w:val="none"/>
        </w:rPr>
      </w:pPr>
      <w:r>
        <w:rPr>
          <w:rFonts w:hint="eastAsia" w:ascii="仿宋" w:hAnsi="仿宋" w:eastAsia="仿宋"/>
          <w:highlight w:val="none"/>
        </w:rPr>
        <w:t>6、不在提供商品和服务时“偷梁换柱、以次充好”损害采购人的合法权益。</w:t>
      </w:r>
    </w:p>
    <w:p w14:paraId="77F940D9">
      <w:pPr>
        <w:spacing w:line="560" w:lineRule="exact"/>
        <w:ind w:firstLine="566" w:firstLineChars="200"/>
        <w:rPr>
          <w:rFonts w:ascii="仿宋" w:hAnsi="仿宋" w:eastAsia="仿宋"/>
          <w:highlight w:val="none"/>
        </w:rPr>
      </w:pPr>
      <w:r>
        <w:rPr>
          <w:rFonts w:hint="eastAsia" w:ascii="仿宋" w:hAnsi="仿宋" w:eastAsia="仿宋"/>
          <w:highlight w:val="none"/>
        </w:rPr>
        <w:t>7、不与采购人、采购代理机构政府采购评审专家或其它供应商恶意串通，进行质疑和投诉，维护政府采购市场秩序。</w:t>
      </w:r>
    </w:p>
    <w:p w14:paraId="6F669596">
      <w:pPr>
        <w:spacing w:line="560" w:lineRule="exact"/>
        <w:ind w:firstLine="566" w:firstLineChars="200"/>
        <w:rPr>
          <w:rFonts w:ascii="仿宋" w:hAnsi="仿宋" w:eastAsia="仿宋"/>
          <w:highlight w:val="none"/>
        </w:rPr>
      </w:pPr>
      <w:r>
        <w:rPr>
          <w:rFonts w:hint="eastAsia" w:ascii="仿宋" w:hAnsi="仿宋" w:eastAsia="仿宋"/>
          <w:highlight w:val="none"/>
        </w:rPr>
        <w:t>8、尊重和接受政府采购监督管理部门的监督和政府采购代理机构招标采购要求，承担因违约行为给采购人造成的损失。</w:t>
      </w:r>
    </w:p>
    <w:p w14:paraId="7F673180">
      <w:pPr>
        <w:spacing w:line="560" w:lineRule="exact"/>
        <w:ind w:firstLine="566" w:firstLineChars="200"/>
        <w:rPr>
          <w:rFonts w:ascii="仿宋" w:hAnsi="仿宋" w:eastAsia="仿宋"/>
          <w:highlight w:val="none"/>
        </w:rPr>
      </w:pPr>
      <w:r>
        <w:rPr>
          <w:rFonts w:hint="eastAsia" w:ascii="仿宋" w:hAnsi="仿宋" w:eastAsia="仿宋"/>
          <w:highlight w:val="none"/>
        </w:rPr>
        <w:t>9、不发生其他有悖于政府采购公开、公平、公正和诚信原则的行为。</w:t>
      </w:r>
    </w:p>
    <w:p w14:paraId="7112B40D">
      <w:pPr>
        <w:spacing w:line="560" w:lineRule="exact"/>
        <w:ind w:firstLine="566" w:firstLineChars="200"/>
        <w:rPr>
          <w:rFonts w:ascii="仿宋" w:hAnsi="仿宋" w:eastAsia="仿宋" w:cs="仿宋"/>
          <w:highlight w:val="none"/>
        </w:rPr>
      </w:pPr>
    </w:p>
    <w:p w14:paraId="17E3E72B">
      <w:pPr>
        <w:spacing w:line="500" w:lineRule="exact"/>
        <w:ind w:firstLine="4250" w:firstLineChars="1502"/>
        <w:rPr>
          <w:rFonts w:ascii="仿宋" w:hAnsi="仿宋" w:eastAsia="仿宋" w:cs="仿宋"/>
          <w:highlight w:val="none"/>
        </w:rPr>
      </w:pPr>
      <w:bookmarkStart w:id="525" w:name="_Toc25416"/>
      <w:bookmarkStart w:id="526" w:name="_Toc28681579"/>
      <w:bookmarkStart w:id="527" w:name="_Toc2295"/>
      <w:bookmarkStart w:id="528" w:name="_Toc31208"/>
      <w:bookmarkStart w:id="529" w:name="_Toc22287"/>
      <w:bookmarkStart w:id="530" w:name="_Toc20907"/>
      <w:r>
        <w:rPr>
          <w:rFonts w:hint="eastAsia" w:ascii="仿宋" w:hAnsi="仿宋" w:eastAsia="仿宋" w:cs="仿宋"/>
          <w:highlight w:val="none"/>
        </w:rPr>
        <w:t>供应商：</w:t>
      </w:r>
      <w:r>
        <w:rPr>
          <w:rFonts w:hint="eastAsia" w:ascii="仿宋" w:hAnsi="仿宋" w:eastAsia="仿宋" w:cs="仿宋"/>
          <w:highlight w:val="none"/>
          <w:u w:val="single"/>
        </w:rPr>
        <w:t>名称</w:t>
      </w:r>
      <w:r>
        <w:rPr>
          <w:rFonts w:hint="eastAsia" w:ascii="仿宋" w:hAnsi="仿宋" w:eastAsia="仿宋" w:cs="仿宋"/>
          <w:highlight w:val="none"/>
        </w:rPr>
        <w:t>（加盖公章）</w:t>
      </w:r>
    </w:p>
    <w:p w14:paraId="3341F65B">
      <w:pPr>
        <w:spacing w:line="500" w:lineRule="exact"/>
        <w:ind w:firstLine="4250" w:firstLineChars="1502"/>
        <w:rPr>
          <w:rFonts w:ascii="仿宋" w:hAnsi="仿宋" w:eastAsia="仿宋" w:cs="仿宋"/>
          <w:highlight w:val="none"/>
        </w:rPr>
      </w:pPr>
      <w:r>
        <w:rPr>
          <w:rFonts w:hint="eastAsia" w:ascii="仿宋" w:hAnsi="仿宋" w:eastAsia="仿宋" w:cs="仿宋"/>
          <w:highlight w:val="none"/>
        </w:rPr>
        <w:t>法定代表人或授权代表：（签字或盖章）</w:t>
      </w:r>
    </w:p>
    <w:p w14:paraId="49708F19">
      <w:pPr>
        <w:spacing w:line="500" w:lineRule="exact"/>
        <w:ind w:firstLine="4250" w:firstLineChars="1502"/>
        <w:rPr>
          <w:rFonts w:ascii="仿宋" w:hAnsi="仿宋" w:eastAsia="仿宋" w:cs="仿宋"/>
          <w:highlight w:val="none"/>
        </w:rPr>
      </w:pPr>
      <w:r>
        <w:rPr>
          <w:rFonts w:hint="eastAsia" w:ascii="仿宋" w:hAnsi="仿宋" w:eastAsia="仿宋" w:cs="仿宋"/>
          <w:highlight w:val="none"/>
        </w:rPr>
        <w:t>日  期：   年  月  日</w:t>
      </w:r>
    </w:p>
    <w:p w14:paraId="37A20EE4">
      <w:pPr>
        <w:spacing w:line="560" w:lineRule="exact"/>
        <w:rPr>
          <w:rFonts w:eastAsia="仿宋"/>
          <w:highlight w:val="none"/>
        </w:rPr>
      </w:pPr>
      <w:r>
        <w:rPr>
          <w:rFonts w:hint="eastAsia" w:eastAsia="仿宋"/>
          <w:highlight w:val="none"/>
        </w:rPr>
        <w:br w:type="page"/>
      </w:r>
    </w:p>
    <w:p w14:paraId="47B5F560">
      <w:pPr>
        <w:pStyle w:val="50"/>
        <w:spacing w:line="560" w:lineRule="exact"/>
        <w:ind w:firstLine="646" w:firstLineChars="200"/>
        <w:jc w:val="both"/>
        <w:rPr>
          <w:sz w:val="32"/>
          <w:szCs w:val="32"/>
          <w:highlight w:val="none"/>
        </w:rPr>
      </w:pPr>
      <w:bookmarkStart w:id="531" w:name="_Toc2247"/>
      <w:bookmarkStart w:id="532" w:name="_Toc14044"/>
      <w:bookmarkStart w:id="533" w:name="_Toc6570"/>
      <w:bookmarkStart w:id="534" w:name="_Toc15631"/>
      <w:r>
        <w:rPr>
          <w:rFonts w:hint="eastAsia"/>
          <w:sz w:val="32"/>
          <w:szCs w:val="32"/>
          <w:highlight w:val="none"/>
        </w:rPr>
        <w:t>四、合同</w:t>
      </w:r>
      <w:r>
        <w:rPr>
          <w:sz w:val="32"/>
          <w:szCs w:val="32"/>
          <w:highlight w:val="none"/>
        </w:rPr>
        <w:t>条款</w:t>
      </w:r>
      <w:r>
        <w:rPr>
          <w:rFonts w:hint="eastAsia"/>
          <w:sz w:val="32"/>
          <w:szCs w:val="32"/>
          <w:highlight w:val="none"/>
        </w:rPr>
        <w:t>响应</w:t>
      </w:r>
      <w:bookmarkEnd w:id="525"/>
      <w:bookmarkEnd w:id="526"/>
      <w:bookmarkEnd w:id="527"/>
      <w:bookmarkEnd w:id="528"/>
      <w:bookmarkEnd w:id="529"/>
      <w:bookmarkEnd w:id="530"/>
      <w:bookmarkEnd w:id="531"/>
      <w:bookmarkEnd w:id="532"/>
      <w:bookmarkEnd w:id="533"/>
      <w:bookmarkEnd w:id="534"/>
    </w:p>
    <w:p w14:paraId="47BA2449">
      <w:pPr>
        <w:spacing w:line="560" w:lineRule="exact"/>
        <w:ind w:firstLine="566" w:firstLineChars="200"/>
        <w:jc w:val="left"/>
        <w:rPr>
          <w:rFonts w:ascii="仿宋" w:hAnsi="仿宋" w:eastAsia="仿宋"/>
          <w:bCs/>
          <w:highlight w:val="none"/>
        </w:rPr>
      </w:pPr>
    </w:p>
    <w:p w14:paraId="660C7CBE">
      <w:pPr>
        <w:spacing w:line="560" w:lineRule="exact"/>
        <w:ind w:firstLine="566" w:firstLineChars="200"/>
        <w:jc w:val="left"/>
        <w:rPr>
          <w:rFonts w:ascii="仿宋" w:hAnsi="仿宋" w:eastAsia="仿宋"/>
          <w:bCs/>
          <w:highlight w:val="none"/>
        </w:rPr>
      </w:pPr>
      <w:r>
        <w:rPr>
          <w:rFonts w:hint="eastAsia" w:ascii="仿宋" w:hAnsi="仿宋" w:eastAsia="仿宋"/>
          <w:bCs/>
          <w:highlight w:val="none"/>
        </w:rPr>
        <w:t>完全理解并接受谈判文件中“合同基本条款”要求。</w:t>
      </w:r>
    </w:p>
    <w:p w14:paraId="37C40A45">
      <w:pPr>
        <w:spacing w:line="560" w:lineRule="exact"/>
        <w:ind w:firstLine="566" w:firstLineChars="200"/>
        <w:jc w:val="left"/>
        <w:rPr>
          <w:rFonts w:ascii="仿宋" w:hAnsi="仿宋" w:eastAsia="仿宋"/>
          <w:bCs/>
          <w:highlight w:val="none"/>
        </w:rPr>
      </w:pPr>
    </w:p>
    <w:p w14:paraId="1947329C">
      <w:pPr>
        <w:spacing w:line="560" w:lineRule="exact"/>
        <w:ind w:firstLine="566" w:firstLineChars="200"/>
        <w:jc w:val="left"/>
        <w:rPr>
          <w:rFonts w:ascii="仿宋" w:hAnsi="仿宋" w:eastAsia="仿宋"/>
          <w:bCs/>
          <w:highlight w:val="none"/>
        </w:rPr>
      </w:pPr>
    </w:p>
    <w:p w14:paraId="5D1AB367">
      <w:pPr>
        <w:spacing w:line="500" w:lineRule="exact"/>
        <w:ind w:firstLine="4250" w:firstLineChars="1502"/>
        <w:rPr>
          <w:rFonts w:ascii="仿宋" w:hAnsi="仿宋" w:eastAsia="仿宋" w:cs="仿宋"/>
          <w:highlight w:val="none"/>
        </w:rPr>
      </w:pPr>
      <w:r>
        <w:rPr>
          <w:rFonts w:hint="eastAsia" w:ascii="仿宋" w:hAnsi="仿宋" w:eastAsia="仿宋" w:cs="仿宋"/>
          <w:highlight w:val="none"/>
        </w:rPr>
        <w:t>供应商：</w:t>
      </w:r>
      <w:r>
        <w:rPr>
          <w:rFonts w:hint="eastAsia" w:ascii="仿宋" w:hAnsi="仿宋" w:eastAsia="仿宋" w:cs="仿宋"/>
          <w:highlight w:val="none"/>
          <w:u w:val="single"/>
        </w:rPr>
        <w:t>名称</w:t>
      </w:r>
      <w:r>
        <w:rPr>
          <w:rFonts w:hint="eastAsia" w:ascii="仿宋" w:hAnsi="仿宋" w:eastAsia="仿宋" w:cs="仿宋"/>
          <w:highlight w:val="none"/>
        </w:rPr>
        <w:t>（加盖公章）</w:t>
      </w:r>
    </w:p>
    <w:p w14:paraId="74055FCF">
      <w:pPr>
        <w:spacing w:line="500" w:lineRule="exact"/>
        <w:ind w:firstLine="4250" w:firstLineChars="1502"/>
        <w:rPr>
          <w:rFonts w:ascii="仿宋" w:hAnsi="仿宋" w:eastAsia="仿宋" w:cs="仿宋"/>
          <w:highlight w:val="none"/>
        </w:rPr>
      </w:pPr>
      <w:r>
        <w:rPr>
          <w:rFonts w:hint="eastAsia" w:ascii="仿宋" w:hAnsi="仿宋" w:eastAsia="仿宋" w:cs="仿宋"/>
          <w:highlight w:val="none"/>
        </w:rPr>
        <w:t>法定代表人或授权代表：（签字或盖章）</w:t>
      </w:r>
    </w:p>
    <w:p w14:paraId="6E3E53BD">
      <w:pPr>
        <w:spacing w:line="500" w:lineRule="exact"/>
        <w:ind w:firstLine="4250" w:firstLineChars="1502"/>
        <w:rPr>
          <w:rFonts w:ascii="仿宋" w:hAnsi="仿宋" w:eastAsia="仿宋" w:cs="仿宋"/>
          <w:highlight w:val="none"/>
        </w:rPr>
      </w:pPr>
      <w:r>
        <w:rPr>
          <w:rFonts w:hint="eastAsia" w:ascii="仿宋" w:hAnsi="仿宋" w:eastAsia="仿宋" w:cs="仿宋"/>
          <w:highlight w:val="none"/>
        </w:rPr>
        <w:t>日  期：   年  月  日</w:t>
      </w:r>
    </w:p>
    <w:p w14:paraId="55B8BE54">
      <w:pPr>
        <w:spacing w:line="560" w:lineRule="exact"/>
        <w:ind w:firstLine="566" w:firstLineChars="200"/>
        <w:jc w:val="left"/>
        <w:rPr>
          <w:rFonts w:ascii="仿宋" w:hAnsi="仿宋" w:eastAsia="仿宋"/>
          <w:bCs/>
          <w:highlight w:val="none"/>
        </w:rPr>
      </w:pPr>
    </w:p>
    <w:p w14:paraId="6FCA2C43">
      <w:pPr>
        <w:spacing w:line="560" w:lineRule="exact"/>
        <w:ind w:firstLine="566" w:firstLineChars="200"/>
        <w:jc w:val="left"/>
        <w:rPr>
          <w:rFonts w:ascii="仿宋" w:hAnsi="仿宋" w:eastAsia="仿宋"/>
          <w:bCs/>
          <w:highlight w:val="none"/>
        </w:rPr>
      </w:pPr>
    </w:p>
    <w:p w14:paraId="0BA842B6">
      <w:pPr>
        <w:spacing w:line="560" w:lineRule="exact"/>
        <w:ind w:firstLine="646" w:firstLineChars="200"/>
        <w:rPr>
          <w:rFonts w:ascii="宋体" w:hAnsi="宋体" w:eastAsia="仿宋" w:cs="宋体"/>
          <w:b/>
          <w:sz w:val="32"/>
          <w:szCs w:val="32"/>
          <w:highlight w:val="none"/>
        </w:rPr>
      </w:pPr>
      <w:r>
        <w:rPr>
          <w:rFonts w:hint="eastAsia" w:ascii="宋体" w:hAnsi="宋体" w:eastAsia="仿宋" w:cs="宋体"/>
          <w:b/>
          <w:sz w:val="32"/>
          <w:szCs w:val="32"/>
          <w:highlight w:val="none"/>
        </w:rPr>
        <w:br w:type="page"/>
      </w:r>
    </w:p>
    <w:p w14:paraId="44FC6A51">
      <w:pPr>
        <w:pStyle w:val="50"/>
        <w:ind w:firstLine="0" w:firstLineChars="0"/>
        <w:rPr>
          <w:sz w:val="32"/>
          <w:szCs w:val="32"/>
          <w:highlight w:val="none"/>
        </w:rPr>
      </w:pPr>
      <w:bookmarkStart w:id="535" w:name="_Toc4406"/>
      <w:bookmarkStart w:id="536" w:name="_Toc12740"/>
      <w:bookmarkStart w:id="537" w:name="_Toc31920"/>
      <w:bookmarkStart w:id="538" w:name="_Toc25954"/>
      <w:r>
        <w:rPr>
          <w:rFonts w:hint="eastAsia" w:ascii="宋体" w:hAnsi="宋体" w:cs="宋体"/>
          <w:sz w:val="32"/>
          <w:szCs w:val="32"/>
          <w:highlight w:val="none"/>
        </w:rPr>
        <w:t>五、</w:t>
      </w:r>
      <w:r>
        <w:rPr>
          <w:rFonts w:hint="eastAsia" w:ascii="仿宋_GB2312" w:hAnsi="仿宋_GB2312" w:eastAsia="仿宋_GB2312" w:cs="仿宋_GB2312"/>
          <w:sz w:val="32"/>
          <w:szCs w:val="32"/>
          <w:highlight w:val="none"/>
        </w:rPr>
        <w:t>技术服务偏差表</w:t>
      </w:r>
      <w:bookmarkEnd w:id="535"/>
      <w:bookmarkEnd w:id="536"/>
      <w:bookmarkEnd w:id="537"/>
      <w:bookmarkEnd w:id="538"/>
    </w:p>
    <w:p w14:paraId="7B554A06">
      <w:pPr>
        <w:spacing w:line="500" w:lineRule="exact"/>
        <w:ind w:firstLine="486" w:firstLineChars="200"/>
        <w:jc w:val="center"/>
        <w:rPr>
          <w:rFonts w:ascii="宋体" w:hAnsi="宋体" w:cs="宋体"/>
          <w:sz w:val="24"/>
          <w:highlight w:val="none"/>
        </w:rPr>
      </w:pPr>
    </w:p>
    <w:tbl>
      <w:tblPr>
        <w:tblStyle w:val="23"/>
        <w:tblW w:w="9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698"/>
        <w:gridCol w:w="3512"/>
        <w:gridCol w:w="1275"/>
        <w:gridCol w:w="1941"/>
      </w:tblGrid>
      <w:tr w14:paraId="4D57D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67" w:type="dxa"/>
            <w:shd w:val="clear" w:color="auto" w:fill="D8D8D8"/>
            <w:vAlign w:val="center"/>
          </w:tcPr>
          <w:p w14:paraId="494FD2FF">
            <w:pPr>
              <w:spacing w:line="240" w:lineRule="auto"/>
              <w:jc w:val="center"/>
              <w:rPr>
                <w:rFonts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1698" w:type="dxa"/>
            <w:shd w:val="clear" w:color="auto" w:fill="D8D8D8"/>
            <w:vAlign w:val="center"/>
          </w:tcPr>
          <w:p w14:paraId="465332DB">
            <w:pPr>
              <w:spacing w:line="240" w:lineRule="auto"/>
              <w:jc w:val="center"/>
              <w:rPr>
                <w:rFonts w:ascii="宋体" w:hAnsi="宋体" w:eastAsia="宋体" w:cs="宋体"/>
                <w:b/>
                <w:sz w:val="24"/>
                <w:szCs w:val="24"/>
                <w:highlight w:val="none"/>
              </w:rPr>
            </w:pPr>
            <w:r>
              <w:rPr>
                <w:rFonts w:hint="eastAsia" w:ascii="宋体" w:hAnsi="宋体" w:eastAsia="宋体" w:cs="宋体"/>
                <w:b/>
                <w:sz w:val="24"/>
                <w:szCs w:val="24"/>
                <w:highlight w:val="none"/>
              </w:rPr>
              <w:t>谈判文件要求</w:t>
            </w:r>
          </w:p>
        </w:tc>
        <w:tc>
          <w:tcPr>
            <w:tcW w:w="3512" w:type="dxa"/>
            <w:shd w:val="clear" w:color="auto" w:fill="D8D8D8"/>
            <w:vAlign w:val="center"/>
          </w:tcPr>
          <w:p w14:paraId="0BA6631A">
            <w:pPr>
              <w:spacing w:line="240" w:lineRule="auto"/>
              <w:jc w:val="center"/>
              <w:rPr>
                <w:rFonts w:ascii="宋体" w:hAnsi="宋体" w:eastAsia="宋体" w:cs="宋体"/>
                <w:b/>
                <w:sz w:val="24"/>
                <w:szCs w:val="24"/>
                <w:highlight w:val="none"/>
              </w:rPr>
            </w:pPr>
            <w:r>
              <w:rPr>
                <w:rFonts w:hint="eastAsia" w:ascii="宋体" w:hAnsi="宋体" w:eastAsia="宋体" w:cs="宋体"/>
                <w:b/>
                <w:sz w:val="24"/>
                <w:szCs w:val="24"/>
                <w:highlight w:val="none"/>
              </w:rPr>
              <w:t>响应文件响应条款</w:t>
            </w:r>
          </w:p>
        </w:tc>
        <w:tc>
          <w:tcPr>
            <w:tcW w:w="1275" w:type="dxa"/>
            <w:shd w:val="clear" w:color="auto" w:fill="D8D8D8"/>
            <w:vAlign w:val="center"/>
          </w:tcPr>
          <w:p w14:paraId="03C8014A">
            <w:pPr>
              <w:spacing w:line="240" w:lineRule="auto"/>
              <w:jc w:val="center"/>
              <w:rPr>
                <w:rFonts w:ascii="宋体" w:hAnsi="宋体" w:eastAsia="宋体" w:cs="宋体"/>
                <w:b/>
                <w:sz w:val="24"/>
                <w:szCs w:val="24"/>
                <w:highlight w:val="none"/>
              </w:rPr>
            </w:pPr>
            <w:r>
              <w:rPr>
                <w:rFonts w:hint="eastAsia" w:ascii="宋体" w:hAnsi="宋体" w:eastAsia="宋体" w:cs="宋体"/>
                <w:b/>
                <w:sz w:val="24"/>
                <w:szCs w:val="24"/>
                <w:highlight w:val="none"/>
              </w:rPr>
              <w:t>偏离程度</w:t>
            </w:r>
          </w:p>
        </w:tc>
        <w:tc>
          <w:tcPr>
            <w:tcW w:w="1941" w:type="dxa"/>
            <w:shd w:val="clear" w:color="auto" w:fill="D8D8D8"/>
            <w:vAlign w:val="center"/>
          </w:tcPr>
          <w:p w14:paraId="7AE3F1E3">
            <w:pPr>
              <w:spacing w:line="240" w:lineRule="auto"/>
              <w:jc w:val="center"/>
              <w:rPr>
                <w:rFonts w:ascii="宋体" w:hAnsi="宋体" w:eastAsia="宋体" w:cs="宋体"/>
                <w:b/>
                <w:sz w:val="24"/>
                <w:szCs w:val="24"/>
                <w:highlight w:val="none"/>
              </w:rPr>
            </w:pPr>
            <w:r>
              <w:rPr>
                <w:rFonts w:hint="eastAsia" w:ascii="宋体" w:hAnsi="宋体" w:eastAsia="宋体" w:cs="宋体"/>
                <w:b/>
                <w:sz w:val="24"/>
                <w:szCs w:val="24"/>
                <w:highlight w:val="none"/>
              </w:rPr>
              <w:t>偏离简述</w:t>
            </w:r>
          </w:p>
          <w:p w14:paraId="632724B6">
            <w:pPr>
              <w:spacing w:line="240" w:lineRule="auto"/>
              <w:jc w:val="center"/>
              <w:rPr>
                <w:rFonts w:ascii="宋体" w:hAnsi="宋体" w:eastAsia="宋体" w:cs="宋体"/>
                <w:b/>
                <w:sz w:val="24"/>
                <w:szCs w:val="24"/>
                <w:highlight w:val="none"/>
              </w:rPr>
            </w:pPr>
            <w:r>
              <w:rPr>
                <w:rFonts w:hint="eastAsia" w:ascii="宋体" w:hAnsi="宋体" w:eastAsia="宋体" w:cs="宋体"/>
                <w:b/>
                <w:sz w:val="24"/>
                <w:szCs w:val="24"/>
                <w:highlight w:val="none"/>
              </w:rPr>
              <w:t>或相关证明材料</w:t>
            </w:r>
          </w:p>
        </w:tc>
      </w:tr>
      <w:tr w14:paraId="62D51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69954823">
            <w:pPr>
              <w:spacing w:line="24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1</w:t>
            </w:r>
          </w:p>
        </w:tc>
        <w:tc>
          <w:tcPr>
            <w:tcW w:w="1698" w:type="dxa"/>
            <w:vAlign w:val="center"/>
          </w:tcPr>
          <w:p w14:paraId="18CA2E7F">
            <w:pPr>
              <w:spacing w:line="240" w:lineRule="auto"/>
              <w:jc w:val="center"/>
              <w:rPr>
                <w:rFonts w:ascii="宋体" w:hAnsi="宋体" w:eastAsia="宋体" w:cs="宋体"/>
                <w:sz w:val="24"/>
                <w:szCs w:val="24"/>
                <w:highlight w:val="none"/>
              </w:rPr>
            </w:pPr>
          </w:p>
        </w:tc>
        <w:tc>
          <w:tcPr>
            <w:tcW w:w="3512" w:type="dxa"/>
            <w:vAlign w:val="center"/>
          </w:tcPr>
          <w:p w14:paraId="145C1F30">
            <w:pPr>
              <w:spacing w:line="240" w:lineRule="auto"/>
              <w:jc w:val="center"/>
              <w:rPr>
                <w:rFonts w:ascii="宋体" w:hAnsi="宋体" w:eastAsia="宋体" w:cs="宋体"/>
                <w:sz w:val="24"/>
                <w:szCs w:val="24"/>
                <w:highlight w:val="none"/>
              </w:rPr>
            </w:pPr>
          </w:p>
        </w:tc>
        <w:tc>
          <w:tcPr>
            <w:tcW w:w="1275" w:type="dxa"/>
            <w:vAlign w:val="center"/>
          </w:tcPr>
          <w:p w14:paraId="429C5F34">
            <w:pPr>
              <w:spacing w:line="240" w:lineRule="auto"/>
              <w:jc w:val="center"/>
              <w:rPr>
                <w:rFonts w:ascii="宋体" w:hAnsi="宋体" w:eastAsia="宋体" w:cs="宋体"/>
                <w:sz w:val="24"/>
                <w:szCs w:val="24"/>
                <w:highlight w:val="none"/>
              </w:rPr>
            </w:pPr>
          </w:p>
        </w:tc>
        <w:tc>
          <w:tcPr>
            <w:tcW w:w="1941" w:type="dxa"/>
            <w:vAlign w:val="center"/>
          </w:tcPr>
          <w:p w14:paraId="38C274A0">
            <w:pPr>
              <w:spacing w:line="240" w:lineRule="auto"/>
              <w:jc w:val="center"/>
              <w:rPr>
                <w:rFonts w:ascii="宋体" w:hAnsi="宋体" w:eastAsia="宋体" w:cs="宋体"/>
                <w:sz w:val="24"/>
                <w:szCs w:val="24"/>
                <w:highlight w:val="none"/>
              </w:rPr>
            </w:pPr>
          </w:p>
        </w:tc>
      </w:tr>
      <w:tr w14:paraId="60563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508C2219">
            <w:pPr>
              <w:spacing w:line="24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2</w:t>
            </w:r>
          </w:p>
        </w:tc>
        <w:tc>
          <w:tcPr>
            <w:tcW w:w="1698" w:type="dxa"/>
            <w:vAlign w:val="center"/>
          </w:tcPr>
          <w:p w14:paraId="44A33351">
            <w:pPr>
              <w:spacing w:line="240" w:lineRule="auto"/>
              <w:jc w:val="center"/>
              <w:rPr>
                <w:rFonts w:ascii="宋体" w:hAnsi="宋体" w:eastAsia="宋体" w:cs="宋体"/>
                <w:sz w:val="24"/>
                <w:szCs w:val="24"/>
                <w:highlight w:val="none"/>
              </w:rPr>
            </w:pPr>
          </w:p>
        </w:tc>
        <w:tc>
          <w:tcPr>
            <w:tcW w:w="3512" w:type="dxa"/>
            <w:vAlign w:val="center"/>
          </w:tcPr>
          <w:p w14:paraId="465977CB">
            <w:pPr>
              <w:spacing w:line="240" w:lineRule="auto"/>
              <w:jc w:val="center"/>
              <w:rPr>
                <w:rFonts w:ascii="宋体" w:hAnsi="宋体" w:eastAsia="宋体" w:cs="宋体"/>
                <w:sz w:val="24"/>
                <w:szCs w:val="24"/>
                <w:highlight w:val="none"/>
              </w:rPr>
            </w:pPr>
          </w:p>
        </w:tc>
        <w:tc>
          <w:tcPr>
            <w:tcW w:w="1275" w:type="dxa"/>
            <w:vAlign w:val="center"/>
          </w:tcPr>
          <w:p w14:paraId="635CA754">
            <w:pPr>
              <w:spacing w:line="240" w:lineRule="auto"/>
              <w:jc w:val="center"/>
              <w:rPr>
                <w:rFonts w:ascii="宋体" w:hAnsi="宋体" w:eastAsia="宋体" w:cs="宋体"/>
                <w:sz w:val="24"/>
                <w:szCs w:val="24"/>
                <w:highlight w:val="none"/>
              </w:rPr>
            </w:pPr>
          </w:p>
        </w:tc>
        <w:tc>
          <w:tcPr>
            <w:tcW w:w="1941" w:type="dxa"/>
            <w:vAlign w:val="center"/>
          </w:tcPr>
          <w:p w14:paraId="58F72516">
            <w:pPr>
              <w:spacing w:line="240" w:lineRule="auto"/>
              <w:jc w:val="center"/>
              <w:rPr>
                <w:rFonts w:ascii="宋体" w:hAnsi="宋体" w:eastAsia="宋体" w:cs="宋体"/>
                <w:sz w:val="24"/>
                <w:szCs w:val="24"/>
                <w:highlight w:val="none"/>
              </w:rPr>
            </w:pPr>
          </w:p>
        </w:tc>
      </w:tr>
      <w:tr w14:paraId="4A6C9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1D037E42">
            <w:pPr>
              <w:spacing w:line="24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3</w:t>
            </w:r>
          </w:p>
        </w:tc>
        <w:tc>
          <w:tcPr>
            <w:tcW w:w="1698" w:type="dxa"/>
            <w:vAlign w:val="center"/>
          </w:tcPr>
          <w:p w14:paraId="6F31274C">
            <w:pPr>
              <w:spacing w:line="240" w:lineRule="auto"/>
              <w:jc w:val="center"/>
              <w:rPr>
                <w:rFonts w:ascii="宋体" w:hAnsi="宋体" w:eastAsia="宋体" w:cs="宋体"/>
                <w:sz w:val="24"/>
                <w:szCs w:val="24"/>
                <w:highlight w:val="none"/>
              </w:rPr>
            </w:pPr>
          </w:p>
        </w:tc>
        <w:tc>
          <w:tcPr>
            <w:tcW w:w="3512" w:type="dxa"/>
            <w:vAlign w:val="center"/>
          </w:tcPr>
          <w:p w14:paraId="348273A6">
            <w:pPr>
              <w:spacing w:line="240" w:lineRule="auto"/>
              <w:jc w:val="center"/>
              <w:rPr>
                <w:rFonts w:ascii="宋体" w:hAnsi="宋体" w:eastAsia="宋体" w:cs="宋体"/>
                <w:sz w:val="24"/>
                <w:szCs w:val="24"/>
                <w:highlight w:val="none"/>
              </w:rPr>
            </w:pPr>
          </w:p>
        </w:tc>
        <w:tc>
          <w:tcPr>
            <w:tcW w:w="1275" w:type="dxa"/>
            <w:vAlign w:val="center"/>
          </w:tcPr>
          <w:p w14:paraId="07BB1D9B">
            <w:pPr>
              <w:spacing w:line="240" w:lineRule="auto"/>
              <w:jc w:val="center"/>
              <w:rPr>
                <w:rFonts w:ascii="宋体" w:hAnsi="宋体" w:eastAsia="宋体" w:cs="宋体"/>
                <w:sz w:val="24"/>
                <w:szCs w:val="24"/>
                <w:highlight w:val="none"/>
              </w:rPr>
            </w:pPr>
          </w:p>
        </w:tc>
        <w:tc>
          <w:tcPr>
            <w:tcW w:w="1941" w:type="dxa"/>
            <w:vAlign w:val="center"/>
          </w:tcPr>
          <w:p w14:paraId="3B0019C0">
            <w:pPr>
              <w:spacing w:line="240" w:lineRule="auto"/>
              <w:jc w:val="center"/>
              <w:rPr>
                <w:rFonts w:ascii="宋体" w:hAnsi="宋体" w:eastAsia="宋体" w:cs="宋体"/>
                <w:sz w:val="24"/>
                <w:szCs w:val="24"/>
                <w:highlight w:val="none"/>
              </w:rPr>
            </w:pPr>
          </w:p>
        </w:tc>
      </w:tr>
      <w:tr w14:paraId="4199F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0CC9E660">
            <w:pPr>
              <w:spacing w:line="240" w:lineRule="auto"/>
              <w:jc w:val="center"/>
              <w:rPr>
                <w:rFonts w:ascii="宋体" w:hAnsi="宋体" w:eastAsia="宋体" w:cs="宋体"/>
                <w:sz w:val="24"/>
                <w:szCs w:val="24"/>
                <w:highlight w:val="none"/>
              </w:rPr>
            </w:pPr>
          </w:p>
        </w:tc>
        <w:tc>
          <w:tcPr>
            <w:tcW w:w="1698" w:type="dxa"/>
            <w:vAlign w:val="center"/>
          </w:tcPr>
          <w:p w14:paraId="37999F14">
            <w:pPr>
              <w:spacing w:line="240" w:lineRule="auto"/>
              <w:jc w:val="center"/>
              <w:rPr>
                <w:rFonts w:ascii="宋体" w:hAnsi="宋体" w:eastAsia="宋体" w:cs="宋体"/>
                <w:sz w:val="24"/>
                <w:szCs w:val="24"/>
                <w:highlight w:val="none"/>
              </w:rPr>
            </w:pPr>
          </w:p>
        </w:tc>
        <w:tc>
          <w:tcPr>
            <w:tcW w:w="3512" w:type="dxa"/>
            <w:vAlign w:val="center"/>
          </w:tcPr>
          <w:p w14:paraId="270764DC">
            <w:pPr>
              <w:spacing w:line="240" w:lineRule="auto"/>
              <w:jc w:val="center"/>
              <w:rPr>
                <w:rFonts w:ascii="宋体" w:hAnsi="宋体" w:eastAsia="宋体" w:cs="宋体"/>
                <w:sz w:val="24"/>
                <w:szCs w:val="24"/>
                <w:highlight w:val="none"/>
              </w:rPr>
            </w:pPr>
          </w:p>
        </w:tc>
        <w:tc>
          <w:tcPr>
            <w:tcW w:w="1275" w:type="dxa"/>
            <w:vAlign w:val="center"/>
          </w:tcPr>
          <w:p w14:paraId="57E55AD7">
            <w:pPr>
              <w:spacing w:line="240" w:lineRule="auto"/>
              <w:jc w:val="center"/>
              <w:rPr>
                <w:rFonts w:ascii="宋体" w:hAnsi="宋体" w:eastAsia="宋体" w:cs="宋体"/>
                <w:sz w:val="24"/>
                <w:szCs w:val="24"/>
                <w:highlight w:val="none"/>
              </w:rPr>
            </w:pPr>
          </w:p>
        </w:tc>
        <w:tc>
          <w:tcPr>
            <w:tcW w:w="1941" w:type="dxa"/>
            <w:vAlign w:val="center"/>
          </w:tcPr>
          <w:p w14:paraId="2CDDF695">
            <w:pPr>
              <w:spacing w:line="240" w:lineRule="auto"/>
              <w:jc w:val="center"/>
              <w:rPr>
                <w:rFonts w:ascii="宋体" w:hAnsi="宋体" w:eastAsia="宋体" w:cs="宋体"/>
                <w:sz w:val="24"/>
                <w:szCs w:val="24"/>
                <w:highlight w:val="none"/>
              </w:rPr>
            </w:pPr>
          </w:p>
        </w:tc>
      </w:tr>
      <w:tr w14:paraId="5DE43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1BD70FFE">
            <w:pPr>
              <w:spacing w:line="240" w:lineRule="auto"/>
              <w:jc w:val="center"/>
              <w:rPr>
                <w:rFonts w:ascii="宋体" w:hAnsi="宋体" w:eastAsia="宋体" w:cs="宋体"/>
                <w:sz w:val="24"/>
                <w:szCs w:val="24"/>
                <w:highlight w:val="none"/>
              </w:rPr>
            </w:pPr>
          </w:p>
        </w:tc>
        <w:tc>
          <w:tcPr>
            <w:tcW w:w="1698" w:type="dxa"/>
            <w:vAlign w:val="center"/>
          </w:tcPr>
          <w:p w14:paraId="762F9C07">
            <w:pPr>
              <w:spacing w:line="240" w:lineRule="auto"/>
              <w:jc w:val="center"/>
              <w:rPr>
                <w:rFonts w:ascii="宋体" w:hAnsi="宋体" w:eastAsia="宋体" w:cs="宋体"/>
                <w:sz w:val="24"/>
                <w:szCs w:val="24"/>
                <w:highlight w:val="none"/>
              </w:rPr>
            </w:pPr>
          </w:p>
        </w:tc>
        <w:tc>
          <w:tcPr>
            <w:tcW w:w="3512" w:type="dxa"/>
            <w:vAlign w:val="center"/>
          </w:tcPr>
          <w:p w14:paraId="6D14283E">
            <w:pPr>
              <w:spacing w:line="240" w:lineRule="auto"/>
              <w:jc w:val="center"/>
              <w:rPr>
                <w:rFonts w:ascii="宋体" w:hAnsi="宋体" w:eastAsia="宋体" w:cs="宋体"/>
                <w:sz w:val="24"/>
                <w:szCs w:val="24"/>
                <w:highlight w:val="none"/>
              </w:rPr>
            </w:pPr>
          </w:p>
        </w:tc>
        <w:tc>
          <w:tcPr>
            <w:tcW w:w="1275" w:type="dxa"/>
            <w:vAlign w:val="center"/>
          </w:tcPr>
          <w:p w14:paraId="220B31DF">
            <w:pPr>
              <w:spacing w:line="240" w:lineRule="auto"/>
              <w:jc w:val="center"/>
              <w:rPr>
                <w:rFonts w:ascii="宋体" w:hAnsi="宋体" w:eastAsia="宋体" w:cs="宋体"/>
                <w:sz w:val="24"/>
                <w:szCs w:val="24"/>
                <w:highlight w:val="none"/>
              </w:rPr>
            </w:pPr>
          </w:p>
        </w:tc>
        <w:tc>
          <w:tcPr>
            <w:tcW w:w="1941" w:type="dxa"/>
            <w:vAlign w:val="center"/>
          </w:tcPr>
          <w:p w14:paraId="32465C26">
            <w:pPr>
              <w:spacing w:line="240" w:lineRule="auto"/>
              <w:jc w:val="center"/>
              <w:rPr>
                <w:rFonts w:ascii="宋体" w:hAnsi="宋体" w:eastAsia="宋体" w:cs="宋体"/>
                <w:sz w:val="24"/>
                <w:szCs w:val="24"/>
                <w:highlight w:val="none"/>
              </w:rPr>
            </w:pPr>
          </w:p>
        </w:tc>
      </w:tr>
      <w:tr w14:paraId="01D90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2DA55B48">
            <w:pPr>
              <w:spacing w:line="240" w:lineRule="auto"/>
              <w:jc w:val="center"/>
              <w:rPr>
                <w:rFonts w:ascii="宋体" w:hAnsi="宋体" w:eastAsia="宋体" w:cs="宋体"/>
                <w:sz w:val="24"/>
                <w:szCs w:val="24"/>
                <w:highlight w:val="none"/>
              </w:rPr>
            </w:pPr>
          </w:p>
        </w:tc>
        <w:tc>
          <w:tcPr>
            <w:tcW w:w="1698" w:type="dxa"/>
            <w:vAlign w:val="center"/>
          </w:tcPr>
          <w:p w14:paraId="645DEED4">
            <w:pPr>
              <w:spacing w:line="240" w:lineRule="auto"/>
              <w:jc w:val="center"/>
              <w:rPr>
                <w:rFonts w:ascii="宋体" w:hAnsi="宋体" w:eastAsia="宋体" w:cs="宋体"/>
                <w:sz w:val="24"/>
                <w:szCs w:val="24"/>
                <w:highlight w:val="none"/>
              </w:rPr>
            </w:pPr>
          </w:p>
        </w:tc>
        <w:tc>
          <w:tcPr>
            <w:tcW w:w="3512" w:type="dxa"/>
            <w:vAlign w:val="center"/>
          </w:tcPr>
          <w:p w14:paraId="4F04AF03">
            <w:pPr>
              <w:spacing w:line="240" w:lineRule="auto"/>
              <w:jc w:val="center"/>
              <w:rPr>
                <w:rFonts w:ascii="宋体" w:hAnsi="宋体" w:eastAsia="宋体" w:cs="宋体"/>
                <w:sz w:val="24"/>
                <w:szCs w:val="24"/>
                <w:highlight w:val="none"/>
              </w:rPr>
            </w:pPr>
          </w:p>
        </w:tc>
        <w:tc>
          <w:tcPr>
            <w:tcW w:w="1275" w:type="dxa"/>
            <w:vAlign w:val="center"/>
          </w:tcPr>
          <w:p w14:paraId="6932BEEE">
            <w:pPr>
              <w:spacing w:line="240" w:lineRule="auto"/>
              <w:jc w:val="center"/>
              <w:rPr>
                <w:rFonts w:ascii="宋体" w:hAnsi="宋体" w:eastAsia="宋体" w:cs="宋体"/>
                <w:sz w:val="24"/>
                <w:szCs w:val="24"/>
                <w:highlight w:val="none"/>
              </w:rPr>
            </w:pPr>
          </w:p>
        </w:tc>
        <w:tc>
          <w:tcPr>
            <w:tcW w:w="1941" w:type="dxa"/>
            <w:vAlign w:val="center"/>
          </w:tcPr>
          <w:p w14:paraId="2E9FECAF">
            <w:pPr>
              <w:spacing w:line="240" w:lineRule="auto"/>
              <w:jc w:val="center"/>
              <w:rPr>
                <w:rFonts w:ascii="宋体" w:hAnsi="宋体" w:eastAsia="宋体" w:cs="宋体"/>
                <w:sz w:val="24"/>
                <w:szCs w:val="24"/>
                <w:highlight w:val="none"/>
              </w:rPr>
            </w:pPr>
          </w:p>
        </w:tc>
      </w:tr>
      <w:tr w14:paraId="63C36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318F3F07">
            <w:pPr>
              <w:spacing w:line="24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w:t>
            </w:r>
          </w:p>
        </w:tc>
        <w:tc>
          <w:tcPr>
            <w:tcW w:w="1698" w:type="dxa"/>
            <w:vAlign w:val="center"/>
          </w:tcPr>
          <w:p w14:paraId="6FBE8929">
            <w:pPr>
              <w:spacing w:line="240" w:lineRule="auto"/>
              <w:jc w:val="center"/>
              <w:rPr>
                <w:rFonts w:ascii="宋体" w:hAnsi="宋体" w:eastAsia="宋体" w:cs="宋体"/>
                <w:sz w:val="24"/>
                <w:szCs w:val="24"/>
                <w:highlight w:val="none"/>
              </w:rPr>
            </w:pPr>
          </w:p>
        </w:tc>
        <w:tc>
          <w:tcPr>
            <w:tcW w:w="3512" w:type="dxa"/>
            <w:vAlign w:val="center"/>
          </w:tcPr>
          <w:p w14:paraId="390060B7">
            <w:pPr>
              <w:spacing w:line="240" w:lineRule="auto"/>
              <w:jc w:val="center"/>
              <w:rPr>
                <w:rFonts w:ascii="宋体" w:hAnsi="宋体" w:eastAsia="宋体" w:cs="宋体"/>
                <w:sz w:val="24"/>
                <w:szCs w:val="24"/>
                <w:highlight w:val="none"/>
              </w:rPr>
            </w:pPr>
          </w:p>
        </w:tc>
        <w:tc>
          <w:tcPr>
            <w:tcW w:w="1275" w:type="dxa"/>
            <w:vAlign w:val="center"/>
          </w:tcPr>
          <w:p w14:paraId="6EEC1AC1">
            <w:pPr>
              <w:spacing w:line="240" w:lineRule="auto"/>
              <w:jc w:val="center"/>
              <w:rPr>
                <w:rFonts w:ascii="宋体" w:hAnsi="宋体" w:eastAsia="宋体" w:cs="宋体"/>
                <w:sz w:val="24"/>
                <w:szCs w:val="24"/>
                <w:highlight w:val="none"/>
              </w:rPr>
            </w:pPr>
          </w:p>
        </w:tc>
        <w:tc>
          <w:tcPr>
            <w:tcW w:w="1941" w:type="dxa"/>
            <w:vAlign w:val="center"/>
          </w:tcPr>
          <w:p w14:paraId="2FCDE843">
            <w:pPr>
              <w:spacing w:line="240" w:lineRule="auto"/>
              <w:jc w:val="center"/>
              <w:rPr>
                <w:rFonts w:ascii="宋体" w:hAnsi="宋体" w:eastAsia="宋体" w:cs="宋体"/>
                <w:sz w:val="24"/>
                <w:szCs w:val="24"/>
                <w:highlight w:val="none"/>
              </w:rPr>
            </w:pPr>
          </w:p>
        </w:tc>
      </w:tr>
    </w:tbl>
    <w:p w14:paraId="0CA1D043">
      <w:pPr>
        <w:pStyle w:val="22"/>
        <w:ind w:firstLine="243"/>
        <w:rPr>
          <w:rFonts w:ascii="宋体" w:hAnsi="宋体" w:eastAsia="仿宋" w:cs="宋体"/>
          <w:bCs/>
          <w:sz w:val="24"/>
          <w:highlight w:val="none"/>
        </w:rPr>
      </w:pPr>
    </w:p>
    <w:p w14:paraId="262770AE">
      <w:pPr>
        <w:tabs>
          <w:tab w:val="left" w:pos="5670"/>
        </w:tabs>
        <w:spacing w:beforeAutospacing="0" w:afterAutospacing="0" w:line="560" w:lineRule="exact"/>
        <w:ind w:firstLine="426"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备注：请对应谈判文件的“第</w:t>
      </w:r>
      <w:r>
        <w:rPr>
          <w:rFonts w:hint="eastAsia" w:ascii="宋体" w:hAnsi="宋体" w:eastAsia="宋体" w:cs="宋体"/>
          <w:sz w:val="21"/>
          <w:szCs w:val="21"/>
          <w:highlight w:val="none"/>
          <w:lang w:val="en-US" w:eastAsia="zh-CN"/>
        </w:rPr>
        <w:t>三</w:t>
      </w:r>
      <w:r>
        <w:rPr>
          <w:rFonts w:hint="eastAsia" w:ascii="宋体" w:hAnsi="宋体" w:eastAsia="宋体" w:cs="宋体"/>
          <w:sz w:val="21"/>
          <w:szCs w:val="21"/>
          <w:highlight w:val="none"/>
        </w:rPr>
        <w:t>部分”中的要求依次、认真填写本表。偏离情况填写：“优于、等于或低于”。如有优于请在说明栏写明“优于”的详细情况。如供应商承诺响应谈判文件中规定的实质性要求和条件，上栏可不填写，但本页必须满足签字或盖章要求；</w:t>
      </w:r>
    </w:p>
    <w:p w14:paraId="355D875C">
      <w:pPr>
        <w:spacing w:line="500" w:lineRule="exact"/>
        <w:ind w:firstLine="566" w:firstLineChars="200"/>
        <w:rPr>
          <w:rFonts w:ascii="仿宋" w:hAnsi="仿宋" w:eastAsia="仿宋"/>
          <w:highlight w:val="none"/>
        </w:rPr>
      </w:pPr>
    </w:p>
    <w:p w14:paraId="6FDB0F99">
      <w:pPr>
        <w:spacing w:line="500" w:lineRule="exact"/>
        <w:ind w:firstLine="4250" w:firstLineChars="1502"/>
        <w:rPr>
          <w:rFonts w:ascii="仿宋" w:hAnsi="仿宋" w:eastAsia="仿宋" w:cs="仿宋"/>
          <w:highlight w:val="none"/>
        </w:rPr>
      </w:pPr>
      <w:r>
        <w:rPr>
          <w:rFonts w:hint="eastAsia" w:ascii="仿宋" w:hAnsi="仿宋" w:eastAsia="仿宋" w:cs="仿宋"/>
          <w:highlight w:val="none"/>
        </w:rPr>
        <w:t>供应商：</w:t>
      </w:r>
      <w:r>
        <w:rPr>
          <w:rFonts w:hint="eastAsia" w:ascii="仿宋" w:hAnsi="仿宋" w:eastAsia="仿宋" w:cs="仿宋"/>
          <w:highlight w:val="none"/>
          <w:u w:val="single"/>
        </w:rPr>
        <w:t>名称</w:t>
      </w:r>
      <w:r>
        <w:rPr>
          <w:rFonts w:hint="eastAsia" w:ascii="仿宋" w:hAnsi="仿宋" w:eastAsia="仿宋" w:cs="仿宋"/>
          <w:highlight w:val="none"/>
        </w:rPr>
        <w:t>（加盖公章）</w:t>
      </w:r>
    </w:p>
    <w:p w14:paraId="7B2381EC">
      <w:pPr>
        <w:spacing w:line="500" w:lineRule="exact"/>
        <w:ind w:firstLine="4250" w:firstLineChars="1502"/>
        <w:rPr>
          <w:rFonts w:ascii="仿宋" w:hAnsi="仿宋" w:eastAsia="仿宋" w:cs="仿宋"/>
          <w:highlight w:val="none"/>
        </w:rPr>
      </w:pPr>
      <w:r>
        <w:rPr>
          <w:rFonts w:hint="eastAsia" w:ascii="仿宋" w:hAnsi="仿宋" w:eastAsia="仿宋" w:cs="仿宋"/>
          <w:highlight w:val="none"/>
        </w:rPr>
        <w:t>法定代表人或授权代表：（签字或盖章）</w:t>
      </w:r>
    </w:p>
    <w:p w14:paraId="348C58FC">
      <w:pPr>
        <w:spacing w:line="500" w:lineRule="exact"/>
        <w:ind w:firstLine="4250" w:firstLineChars="1502"/>
        <w:rPr>
          <w:rFonts w:ascii="仿宋" w:hAnsi="仿宋" w:eastAsia="仿宋" w:cs="仿宋"/>
          <w:highlight w:val="none"/>
        </w:rPr>
      </w:pPr>
      <w:r>
        <w:rPr>
          <w:rFonts w:hint="eastAsia" w:ascii="仿宋" w:hAnsi="仿宋" w:eastAsia="仿宋" w:cs="仿宋"/>
          <w:highlight w:val="none"/>
        </w:rPr>
        <w:t>日  期：   年  月  日</w:t>
      </w:r>
    </w:p>
    <w:p w14:paraId="376B64F1">
      <w:pPr>
        <w:pStyle w:val="22"/>
        <w:ind w:firstLine="243"/>
        <w:rPr>
          <w:rFonts w:ascii="宋体" w:hAnsi="宋体" w:eastAsia="仿宋" w:cs="宋体"/>
          <w:bCs/>
          <w:sz w:val="24"/>
          <w:highlight w:val="none"/>
        </w:rPr>
      </w:pPr>
    </w:p>
    <w:p w14:paraId="53DAF0EE">
      <w:pPr>
        <w:pStyle w:val="22"/>
        <w:ind w:firstLine="243"/>
        <w:rPr>
          <w:rFonts w:ascii="宋体" w:hAnsi="宋体" w:eastAsia="仿宋" w:cs="宋体"/>
          <w:bCs/>
          <w:sz w:val="24"/>
          <w:highlight w:val="none"/>
        </w:rPr>
      </w:pPr>
    </w:p>
    <w:p w14:paraId="42167F06">
      <w:pPr>
        <w:ind w:firstLine="486" w:firstLineChars="200"/>
        <w:rPr>
          <w:rFonts w:ascii="宋体" w:hAnsi="宋体" w:eastAsia="仿宋" w:cs="宋体"/>
          <w:bCs/>
          <w:sz w:val="24"/>
          <w:highlight w:val="none"/>
        </w:rPr>
      </w:pPr>
      <w:r>
        <w:rPr>
          <w:rFonts w:hint="eastAsia" w:ascii="宋体" w:hAnsi="宋体" w:eastAsia="仿宋" w:cs="宋体"/>
          <w:bCs/>
          <w:sz w:val="24"/>
          <w:highlight w:val="none"/>
        </w:rPr>
        <w:br w:type="page"/>
      </w:r>
    </w:p>
    <w:p w14:paraId="09E64745">
      <w:pPr>
        <w:pStyle w:val="5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outlineLvl w:val="0"/>
        <w:rPr>
          <w:rFonts w:ascii="黑体" w:hAnsi="黑体" w:eastAsia="黑体" w:cs="黑体"/>
          <w:b w:val="0"/>
          <w:bCs w:val="0"/>
          <w:sz w:val="32"/>
          <w:szCs w:val="32"/>
          <w:highlight w:val="none"/>
        </w:rPr>
      </w:pPr>
      <w:bookmarkStart w:id="539" w:name="_Toc27702"/>
      <w:bookmarkStart w:id="540" w:name="_Toc24858"/>
      <w:bookmarkStart w:id="541" w:name="_Toc1502"/>
      <w:bookmarkStart w:id="542" w:name="_Toc13901"/>
      <w:bookmarkStart w:id="543" w:name="_Toc25987"/>
      <w:bookmarkStart w:id="544" w:name="_Toc15847"/>
      <w:bookmarkStart w:id="545" w:name="_Toc9741"/>
      <w:bookmarkStart w:id="546" w:name="_Toc28681289"/>
      <w:bookmarkStart w:id="547" w:name="_Toc12714"/>
      <w:bookmarkStart w:id="548" w:name="_Toc13494"/>
      <w:bookmarkStart w:id="549" w:name="_Toc10904"/>
      <w:r>
        <w:rPr>
          <w:rFonts w:hint="eastAsia" w:ascii="黑体" w:hAnsi="黑体" w:eastAsia="黑体" w:cs="黑体"/>
          <w:b w:val="0"/>
          <w:bCs w:val="0"/>
          <w:sz w:val="32"/>
          <w:szCs w:val="32"/>
          <w:highlight w:val="none"/>
        </w:rPr>
        <w:t>第三部分  响应方案</w:t>
      </w:r>
      <w:bookmarkEnd w:id="539"/>
      <w:bookmarkEnd w:id="540"/>
      <w:bookmarkEnd w:id="541"/>
      <w:bookmarkEnd w:id="542"/>
      <w:bookmarkEnd w:id="543"/>
      <w:bookmarkEnd w:id="544"/>
      <w:bookmarkEnd w:id="545"/>
      <w:bookmarkEnd w:id="546"/>
      <w:bookmarkEnd w:id="547"/>
      <w:bookmarkEnd w:id="548"/>
      <w:bookmarkEnd w:id="549"/>
    </w:p>
    <w:p w14:paraId="5BF2BC54">
      <w:pPr>
        <w:pStyle w:val="50"/>
        <w:pageBreakBefore w:val="0"/>
        <w:widowControl/>
        <w:kinsoku/>
        <w:wordWrap/>
        <w:overflowPunct/>
        <w:topLinePunct w:val="0"/>
        <w:autoSpaceDE/>
        <w:autoSpaceDN/>
        <w:bidi w:val="0"/>
        <w:adjustRightInd/>
        <w:snapToGrid/>
        <w:spacing w:beforeAutospacing="0" w:afterAutospacing="0" w:line="560" w:lineRule="exact"/>
        <w:ind w:firstLine="646" w:firstLineChars="200"/>
        <w:jc w:val="both"/>
        <w:textAlignment w:val="auto"/>
        <w:rPr>
          <w:rFonts w:cs="仿宋"/>
          <w:sz w:val="32"/>
          <w:szCs w:val="32"/>
          <w:highlight w:val="none"/>
        </w:rPr>
      </w:pPr>
      <w:bookmarkStart w:id="550" w:name="_Toc15766"/>
      <w:bookmarkStart w:id="551" w:name="_Toc14977"/>
      <w:bookmarkStart w:id="552" w:name="_Toc31854"/>
      <w:bookmarkStart w:id="553" w:name="_Toc10990"/>
      <w:bookmarkStart w:id="554" w:name="_Toc28681290"/>
      <w:bookmarkStart w:id="555" w:name="_Toc21831"/>
      <w:bookmarkStart w:id="556" w:name="_Toc26225"/>
      <w:bookmarkStart w:id="557" w:name="_Toc30122"/>
      <w:bookmarkStart w:id="558" w:name="_Toc21177"/>
      <w:bookmarkStart w:id="559" w:name="_Toc31380"/>
      <w:bookmarkStart w:id="560" w:name="_Toc28681581"/>
      <w:r>
        <w:rPr>
          <w:rFonts w:hint="eastAsia" w:cs="仿宋"/>
          <w:sz w:val="32"/>
          <w:szCs w:val="32"/>
          <w:highlight w:val="none"/>
        </w:rPr>
        <w:t>一、供应商性质及其概况</w:t>
      </w:r>
      <w:bookmarkEnd w:id="550"/>
      <w:bookmarkEnd w:id="551"/>
      <w:bookmarkEnd w:id="552"/>
      <w:bookmarkEnd w:id="553"/>
      <w:bookmarkEnd w:id="554"/>
      <w:bookmarkEnd w:id="555"/>
      <w:bookmarkEnd w:id="556"/>
      <w:bookmarkEnd w:id="557"/>
      <w:bookmarkEnd w:id="558"/>
      <w:bookmarkEnd w:id="559"/>
      <w:bookmarkEnd w:id="560"/>
    </w:p>
    <w:p w14:paraId="0625DE46">
      <w:pPr>
        <w:pageBreakBefore w:val="0"/>
        <w:widowControl/>
        <w:kinsoku/>
        <w:wordWrap/>
        <w:overflowPunct/>
        <w:topLinePunct w:val="0"/>
        <w:autoSpaceDE/>
        <w:autoSpaceDN/>
        <w:bidi w:val="0"/>
        <w:adjustRightInd/>
        <w:snapToGrid/>
        <w:spacing w:beforeAutospacing="0" w:afterAutospacing="0" w:line="560" w:lineRule="exact"/>
        <w:ind w:firstLine="566" w:firstLineChars="200"/>
        <w:textAlignment w:val="auto"/>
        <w:outlineLvl w:val="2"/>
        <w:rPr>
          <w:rFonts w:eastAsia="仿宋"/>
          <w:b/>
          <w:bCs/>
          <w:highlight w:val="none"/>
        </w:rPr>
      </w:pPr>
      <w:bookmarkStart w:id="561" w:name="_Toc28681291"/>
      <w:r>
        <w:rPr>
          <w:rFonts w:hint="eastAsia" w:eastAsia="仿宋"/>
          <w:b/>
          <w:bCs/>
          <w:highlight w:val="none"/>
        </w:rPr>
        <w:t>（</w:t>
      </w:r>
      <w:r>
        <w:rPr>
          <w:rFonts w:eastAsia="仿宋"/>
          <w:b/>
          <w:bCs/>
          <w:highlight w:val="none"/>
        </w:rPr>
        <w:t>一</w:t>
      </w:r>
      <w:r>
        <w:rPr>
          <w:rFonts w:hint="eastAsia" w:eastAsia="仿宋"/>
          <w:b/>
          <w:bCs/>
          <w:highlight w:val="none"/>
        </w:rPr>
        <w:t>）供应</w:t>
      </w:r>
      <w:r>
        <w:rPr>
          <w:rFonts w:eastAsia="仿宋"/>
          <w:b/>
          <w:bCs/>
          <w:highlight w:val="none"/>
        </w:rPr>
        <w:t>商基本</w:t>
      </w:r>
      <w:r>
        <w:rPr>
          <w:rFonts w:hint="eastAsia" w:eastAsia="仿宋"/>
          <w:b/>
          <w:bCs/>
          <w:highlight w:val="none"/>
        </w:rPr>
        <w:t>情况</w:t>
      </w:r>
      <w:bookmarkEnd w:id="561"/>
    </w:p>
    <w:p w14:paraId="294986EA">
      <w:pPr>
        <w:pageBreakBefore w:val="0"/>
        <w:widowControl/>
        <w:kinsoku/>
        <w:wordWrap/>
        <w:overflowPunct/>
        <w:topLinePunct w:val="0"/>
        <w:autoSpaceDE/>
        <w:autoSpaceDN/>
        <w:bidi w:val="0"/>
        <w:adjustRightInd/>
        <w:snapToGrid/>
        <w:spacing w:beforeAutospacing="0" w:afterAutospacing="0" w:line="560" w:lineRule="exact"/>
        <w:ind w:firstLine="566" w:firstLineChars="200"/>
        <w:textAlignment w:val="auto"/>
        <w:rPr>
          <w:rFonts w:eastAsia="仿宋"/>
          <w:highlight w:val="none"/>
        </w:rPr>
      </w:pPr>
      <w:r>
        <w:rPr>
          <w:rFonts w:hint="eastAsia" w:eastAsia="仿宋"/>
          <w:highlight w:val="none"/>
        </w:rPr>
        <w:t>包括但不限于成立时间、经营范围、股权变更、总公司分公司分布及经营状况、管理制度、人员配备、用户评价、正在实施的项目以及评优获奖等情况，以及供应商认为有利于成交的其他情况等说明。</w:t>
      </w:r>
    </w:p>
    <w:p w14:paraId="0FC40A04">
      <w:pPr>
        <w:pageBreakBefore w:val="0"/>
        <w:widowControl/>
        <w:kinsoku/>
        <w:wordWrap/>
        <w:overflowPunct/>
        <w:topLinePunct w:val="0"/>
        <w:autoSpaceDE/>
        <w:autoSpaceDN/>
        <w:bidi w:val="0"/>
        <w:adjustRightInd/>
        <w:snapToGrid/>
        <w:spacing w:beforeAutospacing="0" w:afterAutospacing="0" w:line="560" w:lineRule="exact"/>
        <w:ind w:firstLine="566" w:firstLineChars="200"/>
        <w:textAlignment w:val="auto"/>
        <w:outlineLvl w:val="2"/>
        <w:rPr>
          <w:rFonts w:eastAsia="仿宋"/>
          <w:b/>
          <w:bCs/>
          <w:highlight w:val="none"/>
        </w:rPr>
      </w:pPr>
      <w:r>
        <w:rPr>
          <w:rFonts w:hint="eastAsia" w:eastAsia="仿宋"/>
          <w:b/>
          <w:bCs/>
          <w:highlight w:val="none"/>
        </w:rPr>
        <w:t>（二）供应商性质</w:t>
      </w:r>
    </w:p>
    <w:p w14:paraId="1D73FAF5">
      <w:pPr>
        <w:pageBreakBefore w:val="0"/>
        <w:widowControl/>
        <w:kinsoku/>
        <w:wordWrap/>
        <w:overflowPunct/>
        <w:topLinePunct w:val="0"/>
        <w:autoSpaceDE/>
        <w:autoSpaceDN/>
        <w:bidi w:val="0"/>
        <w:adjustRightInd/>
        <w:snapToGrid/>
        <w:spacing w:beforeAutospacing="0" w:afterAutospacing="0" w:line="560" w:lineRule="exact"/>
        <w:ind w:firstLine="566" w:firstLineChars="200"/>
        <w:textAlignment w:val="auto"/>
        <w:rPr>
          <w:rFonts w:eastAsia="仿宋"/>
          <w:highlight w:val="none"/>
        </w:rPr>
      </w:pPr>
      <w:r>
        <w:rPr>
          <w:rFonts w:hint="eastAsia" w:eastAsia="仿宋"/>
          <w:highlight w:val="none"/>
        </w:rPr>
        <w:t>中小企业、残疾人福利性单位投标时，应提供声明函（按下文给定格式）。未提供或未按给定格式提供</w:t>
      </w:r>
      <w:r>
        <w:rPr>
          <w:rFonts w:hint="eastAsia" w:eastAsia="仿宋"/>
          <w:b/>
          <w:bCs/>
          <w:highlight w:val="none"/>
        </w:rPr>
        <w:t>声明函</w:t>
      </w:r>
      <w:r>
        <w:rPr>
          <w:rFonts w:hint="eastAsia" w:eastAsia="仿宋"/>
          <w:highlight w:val="none"/>
        </w:rPr>
        <w:t>的，其投标产品中的小型、微型企业产品、残疾人福利性单位生产的产品将不能享受谈判文件规定的价格扣除，但不影响投标文件的有效性。</w:t>
      </w:r>
    </w:p>
    <w:p w14:paraId="34CB7864">
      <w:pPr>
        <w:pageBreakBefore w:val="0"/>
        <w:widowControl/>
        <w:kinsoku/>
        <w:wordWrap/>
        <w:overflowPunct/>
        <w:topLinePunct w:val="0"/>
        <w:autoSpaceDE/>
        <w:autoSpaceDN/>
        <w:bidi w:val="0"/>
        <w:adjustRightInd/>
        <w:snapToGrid/>
        <w:spacing w:beforeAutospacing="0" w:afterAutospacing="0" w:line="560" w:lineRule="exact"/>
        <w:ind w:firstLine="566" w:firstLineChars="200"/>
        <w:textAlignment w:val="auto"/>
        <w:rPr>
          <w:rFonts w:eastAsia="仿宋"/>
          <w:highlight w:val="none"/>
        </w:rPr>
      </w:pPr>
      <w:r>
        <w:rPr>
          <w:rFonts w:hint="eastAsia" w:eastAsia="仿宋"/>
          <w:highlight w:val="none"/>
        </w:rPr>
        <w:t>监狱企业投标时，应当提供由省级以上监狱管理局、戒毒管理局（含新疆生产建设兵团）出具的属于监狱企业的</w:t>
      </w:r>
      <w:r>
        <w:rPr>
          <w:rFonts w:hint="eastAsia" w:eastAsia="仿宋"/>
          <w:b/>
          <w:bCs/>
          <w:highlight w:val="none"/>
        </w:rPr>
        <w:t>证明文件</w:t>
      </w:r>
      <w:r>
        <w:rPr>
          <w:rFonts w:hint="eastAsia" w:eastAsia="仿宋"/>
          <w:highlight w:val="none"/>
        </w:rPr>
        <w:t>（格式不做要求）。未提供证明文件的不能享受谈判文件规定的价格扣除，但不影响投标文件的有效性。</w:t>
      </w:r>
    </w:p>
    <w:p w14:paraId="39D9D169">
      <w:pPr>
        <w:pageBreakBefore w:val="0"/>
        <w:widowControl/>
        <w:kinsoku/>
        <w:wordWrap/>
        <w:overflowPunct/>
        <w:topLinePunct w:val="0"/>
        <w:autoSpaceDE/>
        <w:autoSpaceDN/>
        <w:bidi w:val="0"/>
        <w:adjustRightInd/>
        <w:snapToGrid/>
        <w:spacing w:beforeAutospacing="0" w:afterAutospacing="0" w:line="560" w:lineRule="exact"/>
        <w:ind w:firstLine="566" w:firstLineChars="200"/>
        <w:textAlignment w:val="auto"/>
        <w:rPr>
          <w:rFonts w:eastAsia="仿宋"/>
          <w:highlight w:val="none"/>
        </w:rPr>
      </w:pPr>
      <w:r>
        <w:rPr>
          <w:rFonts w:hint="eastAsia" w:eastAsia="仿宋"/>
          <w:highlight w:val="none"/>
        </w:rPr>
        <w:t>本项目不接受联合体响应，不允许分包。供应商提供《非联合体不分包投标声明》，视为独立投标，不分包。</w:t>
      </w:r>
    </w:p>
    <w:p w14:paraId="289EB2E1">
      <w:pPr>
        <w:pageBreakBefore w:val="0"/>
        <w:widowControl/>
        <w:kinsoku/>
        <w:wordWrap/>
        <w:overflowPunct/>
        <w:topLinePunct w:val="0"/>
        <w:autoSpaceDE/>
        <w:autoSpaceDN/>
        <w:bidi w:val="0"/>
        <w:adjustRightInd/>
        <w:snapToGrid/>
        <w:spacing w:beforeAutospacing="0" w:afterAutospacing="0" w:line="560" w:lineRule="exact"/>
        <w:ind w:firstLine="566" w:firstLineChars="200"/>
        <w:textAlignment w:val="auto"/>
        <w:rPr>
          <w:rFonts w:eastAsia="仿宋"/>
          <w:b/>
          <w:bCs/>
          <w:highlight w:val="none"/>
        </w:rPr>
      </w:pPr>
      <w:r>
        <w:rPr>
          <w:rFonts w:hint="eastAsia" w:eastAsia="仿宋"/>
          <w:b/>
          <w:bCs/>
          <w:highlight w:val="none"/>
        </w:rPr>
        <w:t>特别提醒：供应商性质（声明函或证明文件）将随中标公告一同公布，接受社会监督。</w:t>
      </w:r>
    </w:p>
    <w:p w14:paraId="7E6E21B7">
      <w:pPr>
        <w:pageBreakBefore w:val="0"/>
        <w:widowControl/>
        <w:kinsoku/>
        <w:wordWrap/>
        <w:overflowPunct/>
        <w:topLinePunct w:val="0"/>
        <w:autoSpaceDE/>
        <w:autoSpaceDN/>
        <w:bidi w:val="0"/>
        <w:adjustRightInd/>
        <w:snapToGrid/>
        <w:spacing w:beforeAutospacing="0" w:afterAutospacing="0" w:line="560" w:lineRule="exact"/>
        <w:ind w:firstLine="566" w:firstLineChars="200"/>
        <w:textAlignment w:val="auto"/>
        <w:rPr>
          <w:rFonts w:eastAsia="仿宋"/>
          <w:b/>
          <w:highlight w:val="none"/>
        </w:rPr>
      </w:pPr>
      <w:r>
        <w:rPr>
          <w:rFonts w:hint="eastAsia" w:eastAsia="仿宋"/>
          <w:b/>
          <w:highlight w:val="none"/>
        </w:rPr>
        <w:t>（三）</w:t>
      </w:r>
      <w:r>
        <w:rPr>
          <w:rFonts w:eastAsia="仿宋"/>
          <w:b/>
          <w:highlight w:val="none"/>
        </w:rPr>
        <w:t>其他</w:t>
      </w:r>
    </w:p>
    <w:p w14:paraId="6A08CA1C">
      <w:pPr>
        <w:pageBreakBefore w:val="0"/>
        <w:widowControl/>
        <w:tabs>
          <w:tab w:val="right" w:pos="8364"/>
        </w:tabs>
        <w:kinsoku/>
        <w:wordWrap/>
        <w:overflowPunct/>
        <w:topLinePunct w:val="0"/>
        <w:autoSpaceDE/>
        <w:autoSpaceDN/>
        <w:bidi w:val="0"/>
        <w:adjustRightInd/>
        <w:snapToGrid/>
        <w:spacing w:beforeAutospacing="0" w:afterAutospacing="0" w:line="560" w:lineRule="exact"/>
        <w:ind w:firstLine="566" w:firstLineChars="200"/>
        <w:jc w:val="left"/>
        <w:textAlignment w:val="auto"/>
        <w:rPr>
          <w:rFonts w:eastAsia="仿宋"/>
          <w:highlight w:val="none"/>
        </w:rPr>
      </w:pPr>
      <w:r>
        <w:rPr>
          <w:rFonts w:hint="eastAsia" w:eastAsia="仿宋"/>
          <w:highlight w:val="none"/>
        </w:rPr>
        <w:t>如：</w:t>
      </w:r>
      <w:r>
        <w:rPr>
          <w:rFonts w:eastAsia="仿宋"/>
          <w:highlight w:val="none"/>
        </w:rPr>
        <w:t>经营状况</w:t>
      </w:r>
      <w:r>
        <w:rPr>
          <w:rFonts w:hint="eastAsia" w:eastAsia="仿宋"/>
          <w:highlight w:val="none"/>
        </w:rPr>
        <w:t>、相关产品、</w:t>
      </w:r>
      <w:r>
        <w:rPr>
          <w:rFonts w:eastAsia="仿宋"/>
          <w:highlight w:val="none"/>
        </w:rPr>
        <w:t>用户评价</w:t>
      </w:r>
      <w:r>
        <w:rPr>
          <w:rFonts w:hint="eastAsia" w:eastAsia="仿宋"/>
          <w:highlight w:val="none"/>
        </w:rPr>
        <w:t>等</w:t>
      </w:r>
      <w:r>
        <w:rPr>
          <w:rFonts w:eastAsia="仿宋"/>
          <w:highlight w:val="none"/>
        </w:rPr>
        <w:t>。</w:t>
      </w:r>
    </w:p>
    <w:p w14:paraId="554FF406">
      <w:pPr>
        <w:spacing w:beforeAutospacing="0" w:afterAutospacing="0" w:line="560" w:lineRule="exact"/>
        <w:ind w:firstLine="566" w:firstLineChars="200"/>
        <w:jc w:val="left"/>
        <w:rPr>
          <w:rFonts w:eastAsia="仿宋"/>
          <w:highlight w:val="none"/>
        </w:rPr>
      </w:pPr>
      <w:r>
        <w:rPr>
          <w:rFonts w:eastAsia="仿宋"/>
          <w:highlight w:val="none"/>
        </w:rPr>
        <w:br w:type="page"/>
      </w:r>
    </w:p>
    <w:p w14:paraId="388AB7ED">
      <w:pPr>
        <w:spacing w:beforeAutospacing="0" w:afterAutospacing="0" w:line="560" w:lineRule="exact"/>
        <w:jc w:val="center"/>
        <w:outlineLvl w:val="2"/>
        <w:rPr>
          <w:rFonts w:eastAsia="仿宋"/>
          <w:b/>
          <w:sz w:val="30"/>
          <w:szCs w:val="30"/>
          <w:highlight w:val="none"/>
        </w:rPr>
      </w:pPr>
      <w:r>
        <w:rPr>
          <w:rFonts w:hint="eastAsia" w:eastAsia="仿宋"/>
          <w:b/>
          <w:sz w:val="30"/>
          <w:szCs w:val="30"/>
          <w:highlight w:val="none"/>
        </w:rPr>
        <w:t>中小企业声明函（格式）</w:t>
      </w:r>
    </w:p>
    <w:p w14:paraId="3980A0FF">
      <w:pPr>
        <w:spacing w:beforeAutospacing="0" w:afterAutospacing="0" w:line="560" w:lineRule="exact"/>
        <w:ind w:firstLine="566" w:firstLineChars="200"/>
        <w:rPr>
          <w:rFonts w:eastAsia="仿宋"/>
          <w:highlight w:val="none"/>
        </w:rPr>
      </w:pPr>
      <w:r>
        <w:rPr>
          <w:rFonts w:hint="eastAsia" w:eastAsia="仿宋"/>
          <w:highlight w:val="none"/>
        </w:rPr>
        <w:t>本公司郑重声明，根据《政府采购促进中小企业发展暂行办法》（财库[2011]181号）的规定，本公司为______（请填写：中型、小型、微型）企业。即，本公司同时满足以下条件：</w:t>
      </w:r>
    </w:p>
    <w:p w14:paraId="27E45FAB">
      <w:pPr>
        <w:spacing w:beforeAutospacing="0" w:afterAutospacing="0" w:line="560" w:lineRule="exact"/>
        <w:ind w:firstLine="566" w:firstLineChars="200"/>
        <w:rPr>
          <w:rFonts w:eastAsia="仿宋"/>
          <w:highlight w:val="none"/>
        </w:rPr>
      </w:pPr>
      <w:r>
        <w:rPr>
          <w:rFonts w:hint="eastAsia" w:eastAsia="仿宋"/>
          <w:highlight w:val="none"/>
        </w:rPr>
        <w:t>1、根据《工业和信息化部、国家统计局、国家发展和改革委员会、财政部关于印发中小企业划型标准规定的通知》（工信部联企业[2011]300号）规定的划分标准，本公司为______（请填写：中型、小型、微型）企业。</w:t>
      </w:r>
    </w:p>
    <w:p w14:paraId="600F6D0D">
      <w:pPr>
        <w:spacing w:beforeAutospacing="0" w:afterAutospacing="0" w:line="560" w:lineRule="exact"/>
        <w:ind w:firstLine="566" w:firstLineChars="200"/>
        <w:rPr>
          <w:rFonts w:eastAsia="仿宋"/>
          <w:highlight w:val="none"/>
        </w:rPr>
      </w:pPr>
      <w:r>
        <w:rPr>
          <w:rFonts w:hint="eastAsia" w:eastAsia="仿宋"/>
          <w:highlight w:val="none"/>
        </w:rPr>
        <w:t>2、本公司参加</w:t>
      </w:r>
      <w:r>
        <w:rPr>
          <w:rFonts w:hint="eastAsia" w:eastAsia="仿宋"/>
          <w:highlight w:val="none"/>
          <w:u w:val="single"/>
        </w:rPr>
        <w:t xml:space="preserve">  项目名称  （</w:t>
      </w:r>
      <w:r>
        <w:rPr>
          <w:rFonts w:hint="eastAsia" w:eastAsia="仿宋"/>
          <w:highlight w:val="none"/>
        </w:rPr>
        <w:t>项目编号：</w:t>
      </w:r>
      <w:r>
        <w:rPr>
          <w:rFonts w:hint="eastAsia" w:ascii="仿宋" w:hAnsi="仿宋" w:eastAsia="仿宋" w:cs="仿宋"/>
          <w:highlight w:val="none"/>
          <w:u w:val="single"/>
        </w:rPr>
        <w:t xml:space="preserve">      </w:t>
      </w:r>
      <w:r>
        <w:rPr>
          <w:rFonts w:hint="eastAsia" w:eastAsia="仿宋"/>
          <w:highlight w:val="none"/>
        </w:rPr>
        <w:t>）采购活动提供本企业制造的货物，由本企业承担工程、提供服务，或者提供其他______（请填写：中型、小型、微型）企业制造的货物。本条所称货物不包括使用大型企业注册商标的货物。</w:t>
      </w:r>
    </w:p>
    <w:p w14:paraId="2396D90A">
      <w:pPr>
        <w:spacing w:beforeAutospacing="0" w:afterAutospacing="0" w:line="560" w:lineRule="exact"/>
        <w:ind w:firstLine="566" w:firstLineChars="200"/>
        <w:rPr>
          <w:rFonts w:eastAsia="仿宋"/>
          <w:highlight w:val="none"/>
        </w:rPr>
      </w:pPr>
      <w:r>
        <w:rPr>
          <w:rFonts w:hint="eastAsia" w:eastAsia="仿宋"/>
          <w:highlight w:val="none"/>
        </w:rPr>
        <w:t>本公司对上述声明的真实性负责。如有虚假，将依法承担相应责任。</w:t>
      </w:r>
    </w:p>
    <w:p w14:paraId="79A8E811">
      <w:pPr>
        <w:tabs>
          <w:tab w:val="left" w:pos="5670"/>
        </w:tabs>
        <w:spacing w:beforeAutospacing="0" w:afterAutospacing="0" w:line="560" w:lineRule="exact"/>
        <w:ind w:firstLine="566" w:firstLineChars="200"/>
        <w:jc w:val="left"/>
        <w:rPr>
          <w:rFonts w:eastAsia="仿宋"/>
          <w:highlight w:val="none"/>
        </w:rPr>
      </w:pPr>
    </w:p>
    <w:p w14:paraId="054949F1">
      <w:pPr>
        <w:spacing w:beforeAutospacing="0" w:afterAutospacing="0" w:line="560" w:lineRule="exact"/>
        <w:ind w:firstLine="566" w:firstLineChars="200"/>
        <w:rPr>
          <w:rFonts w:ascii="仿宋" w:hAnsi="仿宋" w:eastAsia="仿宋"/>
          <w:highlight w:val="none"/>
        </w:rPr>
      </w:pPr>
      <w:r>
        <w:rPr>
          <w:rFonts w:ascii="仿宋" w:hAnsi="仿宋" w:eastAsia="仿宋"/>
          <w:highlight w:val="none"/>
        </w:rPr>
        <w:t>供应商：</w:t>
      </w:r>
      <w:r>
        <w:rPr>
          <w:rFonts w:hint="eastAsia" w:ascii="仿宋" w:hAnsi="仿宋" w:eastAsia="仿宋"/>
          <w:highlight w:val="none"/>
          <w:u w:val="single"/>
        </w:rPr>
        <w:t>名称</w:t>
      </w:r>
      <w:r>
        <w:rPr>
          <w:rFonts w:ascii="仿宋" w:hAnsi="仿宋" w:eastAsia="仿宋"/>
          <w:highlight w:val="none"/>
        </w:rPr>
        <w:t>（加盖公章）</w:t>
      </w:r>
      <w:r>
        <w:rPr>
          <w:rFonts w:ascii="仿宋" w:hAnsi="仿宋" w:eastAsia="仿宋"/>
          <w:highlight w:val="none"/>
        </w:rPr>
        <w:tab/>
      </w:r>
      <w:r>
        <w:rPr>
          <w:rFonts w:hint="eastAsia" w:ascii="仿宋" w:hAnsi="仿宋" w:eastAsia="仿宋"/>
          <w:highlight w:val="none"/>
        </w:rPr>
        <w:t xml:space="preserve">   </w:t>
      </w:r>
    </w:p>
    <w:p w14:paraId="415EC107">
      <w:pPr>
        <w:spacing w:beforeAutospacing="0" w:afterAutospacing="0" w:line="560" w:lineRule="exact"/>
        <w:ind w:firstLine="566" w:firstLineChars="200"/>
        <w:rPr>
          <w:rFonts w:ascii="仿宋" w:hAnsi="仿宋" w:eastAsia="仿宋"/>
          <w:highlight w:val="none"/>
        </w:rPr>
      </w:pPr>
      <w:r>
        <w:rPr>
          <w:rFonts w:ascii="仿宋" w:hAnsi="仿宋" w:eastAsia="仿宋"/>
          <w:highlight w:val="none"/>
        </w:rPr>
        <w:t>法定代表人或</w:t>
      </w:r>
      <w:r>
        <w:rPr>
          <w:rFonts w:hint="eastAsia" w:ascii="仿宋" w:hAnsi="仿宋" w:eastAsia="仿宋"/>
          <w:highlight w:val="none"/>
        </w:rPr>
        <w:t>授权代表</w:t>
      </w:r>
      <w:r>
        <w:rPr>
          <w:rFonts w:ascii="仿宋" w:hAnsi="仿宋" w:eastAsia="仿宋"/>
          <w:highlight w:val="none"/>
        </w:rPr>
        <w:t>：</w:t>
      </w:r>
      <w:r>
        <w:rPr>
          <w:rFonts w:hint="eastAsia" w:ascii="仿宋" w:hAnsi="仿宋" w:eastAsia="仿宋"/>
          <w:highlight w:val="none"/>
        </w:rPr>
        <w:t xml:space="preserve">  </w:t>
      </w:r>
      <w:r>
        <w:rPr>
          <w:rFonts w:ascii="仿宋" w:hAnsi="仿宋" w:eastAsia="仿宋"/>
          <w:highlight w:val="none"/>
        </w:rPr>
        <w:t>（</w:t>
      </w:r>
      <w:r>
        <w:rPr>
          <w:rFonts w:hint="eastAsia" w:ascii="仿宋" w:hAnsi="仿宋" w:eastAsia="仿宋"/>
          <w:highlight w:val="none"/>
        </w:rPr>
        <w:t>签字或</w:t>
      </w:r>
      <w:r>
        <w:rPr>
          <w:rFonts w:ascii="仿宋" w:hAnsi="仿宋" w:eastAsia="仿宋"/>
          <w:highlight w:val="none"/>
        </w:rPr>
        <w:t>盖章）</w:t>
      </w:r>
    </w:p>
    <w:p w14:paraId="0136FDCE">
      <w:pPr>
        <w:tabs>
          <w:tab w:val="left" w:pos="5670"/>
        </w:tabs>
        <w:spacing w:beforeAutospacing="0" w:afterAutospacing="0" w:line="560" w:lineRule="exact"/>
        <w:ind w:firstLine="566" w:firstLineChars="200"/>
        <w:jc w:val="left"/>
        <w:rPr>
          <w:rFonts w:eastAsia="仿宋"/>
          <w:highlight w:val="none"/>
        </w:rPr>
      </w:pPr>
      <w:r>
        <w:rPr>
          <w:rFonts w:hint="eastAsia" w:ascii="仿宋" w:hAnsi="仿宋" w:eastAsia="仿宋"/>
          <w:highlight w:val="none"/>
        </w:rPr>
        <w:t xml:space="preserve">                                    日期：   年</w:t>
      </w:r>
      <w:r>
        <w:rPr>
          <w:rFonts w:hint="eastAsia" w:ascii="仿宋" w:hAnsi="仿宋" w:eastAsia="仿宋"/>
          <w:highlight w:val="none"/>
          <w:lang w:eastAsia="zh-CN"/>
        </w:rPr>
        <w:t xml:space="preserve"> </w:t>
      </w:r>
      <w:r>
        <w:rPr>
          <w:rFonts w:hint="eastAsia" w:ascii="仿宋" w:hAnsi="仿宋" w:eastAsia="仿宋"/>
          <w:highlight w:val="none"/>
        </w:rPr>
        <w:t>月</w:t>
      </w:r>
      <w:r>
        <w:rPr>
          <w:rFonts w:hint="eastAsia" w:ascii="仿宋" w:hAnsi="仿宋" w:eastAsia="仿宋"/>
          <w:highlight w:val="none"/>
          <w:lang w:eastAsia="zh-CN"/>
        </w:rPr>
        <w:t xml:space="preserve"> </w:t>
      </w:r>
      <w:r>
        <w:rPr>
          <w:rFonts w:hint="eastAsia" w:ascii="仿宋" w:hAnsi="仿宋" w:eastAsia="仿宋"/>
          <w:highlight w:val="none"/>
        </w:rPr>
        <w:t>日</w:t>
      </w:r>
    </w:p>
    <w:p w14:paraId="5320C7FE">
      <w:pPr>
        <w:tabs>
          <w:tab w:val="left" w:pos="5670"/>
        </w:tabs>
        <w:spacing w:beforeAutospacing="0" w:afterAutospacing="0" w:line="560" w:lineRule="exact"/>
        <w:ind w:firstLine="566" w:firstLineChars="200"/>
        <w:jc w:val="left"/>
        <w:rPr>
          <w:rFonts w:eastAsia="仿宋"/>
          <w:highlight w:val="none"/>
        </w:rPr>
      </w:pPr>
    </w:p>
    <w:p w14:paraId="58C9C9DE">
      <w:pPr>
        <w:tabs>
          <w:tab w:val="left" w:pos="5670"/>
        </w:tabs>
        <w:spacing w:beforeAutospacing="0" w:afterAutospacing="0" w:line="560" w:lineRule="exact"/>
        <w:ind w:firstLine="426" w:firstLineChars="200"/>
        <w:jc w:val="left"/>
        <w:rPr>
          <w:rFonts w:eastAsia="宋体"/>
          <w:highlight w:val="none"/>
        </w:rPr>
      </w:pPr>
      <w:r>
        <w:rPr>
          <w:rFonts w:hint="eastAsia" w:ascii="宋体" w:hAnsi="宋体" w:eastAsia="宋体" w:cs="宋体"/>
          <w:b/>
          <w:bCs/>
          <w:sz w:val="21"/>
          <w:szCs w:val="21"/>
          <w:highlight w:val="none"/>
        </w:rPr>
        <w:t>备注：</w:t>
      </w:r>
      <w:r>
        <w:rPr>
          <w:rFonts w:hint="eastAsia" w:ascii="宋体" w:hAnsi="宋体" w:eastAsia="宋体" w:cs="宋体"/>
          <w:sz w:val="21"/>
          <w:szCs w:val="21"/>
          <w:highlight w:val="none"/>
        </w:rPr>
        <w:t>填写前请认真阅读《工业和信息化部、国家统计局、国家发展和改革委员会、财政部关于印发中小企业划型标准规定的通知》（工信部联企业[2011]300号）和《财政部 工业和信息化部关于印发政府采购促进中小企业发展暂行办法的通知》(财库[2011]181号)相关规定。</w:t>
      </w:r>
    </w:p>
    <w:p w14:paraId="671A8B32">
      <w:pPr>
        <w:tabs>
          <w:tab w:val="left" w:pos="5670"/>
        </w:tabs>
        <w:spacing w:beforeAutospacing="0" w:afterAutospacing="0" w:line="560" w:lineRule="exact"/>
        <w:ind w:firstLine="566" w:firstLineChars="200"/>
        <w:jc w:val="left"/>
        <w:rPr>
          <w:rFonts w:eastAsia="仿宋"/>
          <w:highlight w:val="none"/>
        </w:rPr>
      </w:pPr>
    </w:p>
    <w:p w14:paraId="2A5F8EF3">
      <w:pPr>
        <w:tabs>
          <w:tab w:val="left" w:pos="5670"/>
        </w:tabs>
        <w:spacing w:line="500" w:lineRule="exact"/>
        <w:ind w:firstLine="566" w:firstLineChars="200"/>
        <w:jc w:val="left"/>
        <w:rPr>
          <w:rFonts w:eastAsia="仿宋"/>
          <w:highlight w:val="none"/>
        </w:rPr>
      </w:pPr>
      <w:r>
        <w:rPr>
          <w:rFonts w:eastAsia="仿宋"/>
          <w:highlight w:val="none"/>
        </w:rPr>
        <w:br w:type="page"/>
      </w:r>
    </w:p>
    <w:p w14:paraId="3F2BC198">
      <w:pPr>
        <w:spacing w:beforeAutospacing="0" w:afterAutospacing="0" w:line="560" w:lineRule="exact"/>
        <w:jc w:val="center"/>
        <w:outlineLvl w:val="2"/>
        <w:rPr>
          <w:rFonts w:eastAsia="仿宋"/>
          <w:b/>
          <w:sz w:val="30"/>
          <w:szCs w:val="30"/>
          <w:highlight w:val="none"/>
        </w:rPr>
      </w:pPr>
      <w:r>
        <w:rPr>
          <w:rFonts w:hint="eastAsia" w:eastAsia="仿宋"/>
          <w:b/>
          <w:sz w:val="30"/>
          <w:szCs w:val="30"/>
          <w:highlight w:val="none"/>
        </w:rPr>
        <w:t>残疾人福利性单位声明函（格式）</w:t>
      </w:r>
    </w:p>
    <w:p w14:paraId="0A7807B0">
      <w:pPr>
        <w:spacing w:beforeAutospacing="0" w:afterAutospacing="0" w:line="560" w:lineRule="exact"/>
        <w:ind w:firstLine="566" w:firstLineChars="200"/>
        <w:jc w:val="left"/>
        <w:rPr>
          <w:rFonts w:eastAsia="仿宋"/>
          <w:highlight w:val="none"/>
        </w:rPr>
      </w:pPr>
      <w:r>
        <w:rPr>
          <w:rFonts w:hint="eastAsia" w:eastAsia="仿宋"/>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eastAsia="仿宋"/>
          <w:highlight w:val="none"/>
          <w:u w:val="single"/>
        </w:rPr>
        <w:t xml:space="preserve">   项目名称 （</w:t>
      </w:r>
      <w:r>
        <w:rPr>
          <w:rFonts w:hint="eastAsia" w:eastAsia="仿宋"/>
          <w:highlight w:val="none"/>
        </w:rPr>
        <w:t>项目编号：</w:t>
      </w:r>
      <w:r>
        <w:rPr>
          <w:rFonts w:hint="eastAsia" w:eastAsia="仿宋"/>
          <w:highlight w:val="none"/>
          <w:u w:val="single"/>
        </w:rPr>
        <w:t xml:space="preserve">        </w:t>
      </w:r>
      <w:r>
        <w:rPr>
          <w:rFonts w:hint="eastAsia" w:eastAsia="仿宋"/>
          <w:highlight w:val="none"/>
        </w:rPr>
        <w:t>）采购活动提供本单位制造的货物（由本单位承担工程/提供服务），或者提供其他残疾人福利性单位制造的货物（不包括使用非残疾人福利性单位注册商标的货物）。</w:t>
      </w:r>
    </w:p>
    <w:p w14:paraId="10011CE1">
      <w:pPr>
        <w:spacing w:beforeAutospacing="0" w:afterAutospacing="0" w:line="560" w:lineRule="exact"/>
        <w:ind w:firstLine="566" w:firstLineChars="200"/>
        <w:jc w:val="left"/>
        <w:rPr>
          <w:rFonts w:eastAsia="仿宋"/>
          <w:highlight w:val="none"/>
        </w:rPr>
      </w:pPr>
      <w:r>
        <w:rPr>
          <w:rFonts w:hint="eastAsia" w:eastAsia="仿宋"/>
          <w:highlight w:val="none"/>
        </w:rPr>
        <w:t>本单位对上述声明的真实性负责。如有虚假，将依法承担相应责任。</w:t>
      </w:r>
    </w:p>
    <w:p w14:paraId="01FB82EA">
      <w:pPr>
        <w:spacing w:beforeAutospacing="0" w:afterAutospacing="0" w:line="560" w:lineRule="exact"/>
        <w:ind w:firstLine="566" w:firstLineChars="200"/>
        <w:jc w:val="left"/>
        <w:rPr>
          <w:rFonts w:eastAsia="仿宋"/>
          <w:highlight w:val="none"/>
        </w:rPr>
      </w:pPr>
    </w:p>
    <w:p w14:paraId="4A2C58F4">
      <w:pPr>
        <w:spacing w:beforeAutospacing="0" w:afterAutospacing="0" w:line="560" w:lineRule="exact"/>
        <w:ind w:firstLine="566" w:firstLineChars="200"/>
        <w:rPr>
          <w:rFonts w:ascii="仿宋" w:hAnsi="仿宋" w:eastAsia="仿宋"/>
          <w:highlight w:val="none"/>
        </w:rPr>
      </w:pPr>
      <w:r>
        <w:rPr>
          <w:rFonts w:ascii="仿宋" w:hAnsi="仿宋" w:eastAsia="仿宋"/>
          <w:highlight w:val="none"/>
        </w:rPr>
        <w:t>供应商：</w:t>
      </w:r>
      <w:r>
        <w:rPr>
          <w:rFonts w:hint="eastAsia" w:ascii="仿宋" w:hAnsi="仿宋" w:eastAsia="仿宋"/>
          <w:highlight w:val="none"/>
          <w:u w:val="single"/>
        </w:rPr>
        <w:t>名称</w:t>
      </w:r>
      <w:r>
        <w:rPr>
          <w:rFonts w:ascii="仿宋" w:hAnsi="仿宋" w:eastAsia="仿宋"/>
          <w:highlight w:val="none"/>
        </w:rPr>
        <w:t>（加盖公章）</w:t>
      </w:r>
      <w:r>
        <w:rPr>
          <w:rFonts w:ascii="仿宋" w:hAnsi="仿宋" w:eastAsia="仿宋"/>
          <w:highlight w:val="none"/>
        </w:rPr>
        <w:tab/>
      </w:r>
      <w:r>
        <w:rPr>
          <w:rFonts w:hint="eastAsia" w:ascii="仿宋" w:hAnsi="仿宋" w:eastAsia="仿宋"/>
          <w:highlight w:val="none"/>
        </w:rPr>
        <w:t xml:space="preserve">   </w:t>
      </w:r>
    </w:p>
    <w:p w14:paraId="06903A2D">
      <w:pPr>
        <w:spacing w:beforeAutospacing="0" w:afterAutospacing="0" w:line="560" w:lineRule="exact"/>
        <w:ind w:firstLine="566" w:firstLineChars="200"/>
        <w:rPr>
          <w:rFonts w:ascii="仿宋" w:hAnsi="仿宋" w:eastAsia="仿宋"/>
          <w:highlight w:val="none"/>
        </w:rPr>
      </w:pPr>
      <w:r>
        <w:rPr>
          <w:rFonts w:ascii="仿宋" w:hAnsi="仿宋" w:eastAsia="仿宋"/>
          <w:highlight w:val="none"/>
        </w:rPr>
        <w:t>法定代表人或</w:t>
      </w:r>
      <w:r>
        <w:rPr>
          <w:rFonts w:hint="eastAsia" w:ascii="仿宋" w:hAnsi="仿宋" w:eastAsia="仿宋"/>
          <w:highlight w:val="none"/>
        </w:rPr>
        <w:t>授权代表</w:t>
      </w:r>
      <w:r>
        <w:rPr>
          <w:rFonts w:ascii="仿宋" w:hAnsi="仿宋" w:eastAsia="仿宋"/>
          <w:highlight w:val="none"/>
        </w:rPr>
        <w:t>：</w:t>
      </w:r>
      <w:r>
        <w:rPr>
          <w:rFonts w:hint="eastAsia" w:ascii="仿宋" w:hAnsi="仿宋" w:eastAsia="仿宋"/>
          <w:highlight w:val="none"/>
        </w:rPr>
        <w:t xml:space="preserve">  </w:t>
      </w:r>
      <w:r>
        <w:rPr>
          <w:rFonts w:ascii="仿宋" w:hAnsi="仿宋" w:eastAsia="仿宋"/>
          <w:highlight w:val="none"/>
        </w:rPr>
        <w:t>（</w:t>
      </w:r>
      <w:r>
        <w:rPr>
          <w:rFonts w:hint="eastAsia" w:ascii="仿宋" w:hAnsi="仿宋" w:eastAsia="仿宋"/>
          <w:highlight w:val="none"/>
        </w:rPr>
        <w:t>签字或</w:t>
      </w:r>
      <w:r>
        <w:rPr>
          <w:rFonts w:ascii="仿宋" w:hAnsi="仿宋" w:eastAsia="仿宋"/>
          <w:highlight w:val="none"/>
        </w:rPr>
        <w:t>盖章）</w:t>
      </w:r>
    </w:p>
    <w:p w14:paraId="15BDBF10">
      <w:pPr>
        <w:tabs>
          <w:tab w:val="left" w:pos="5670"/>
        </w:tabs>
        <w:spacing w:beforeAutospacing="0" w:afterAutospacing="0" w:line="560" w:lineRule="exact"/>
        <w:ind w:firstLine="566" w:firstLineChars="200"/>
        <w:jc w:val="left"/>
        <w:rPr>
          <w:rFonts w:eastAsia="仿宋"/>
          <w:highlight w:val="none"/>
        </w:rPr>
      </w:pPr>
      <w:r>
        <w:rPr>
          <w:rFonts w:hint="eastAsia" w:ascii="仿宋" w:hAnsi="仿宋" w:eastAsia="仿宋"/>
          <w:highlight w:val="none"/>
        </w:rPr>
        <w:t xml:space="preserve">                                    日期：   年</w:t>
      </w:r>
      <w:r>
        <w:rPr>
          <w:rFonts w:hint="eastAsia" w:ascii="仿宋" w:hAnsi="仿宋" w:eastAsia="仿宋"/>
          <w:highlight w:val="none"/>
          <w:lang w:eastAsia="zh-CN"/>
        </w:rPr>
        <w:t xml:space="preserve"> </w:t>
      </w:r>
      <w:r>
        <w:rPr>
          <w:rFonts w:hint="eastAsia" w:ascii="仿宋" w:hAnsi="仿宋" w:eastAsia="仿宋"/>
          <w:highlight w:val="none"/>
        </w:rPr>
        <w:t>月</w:t>
      </w:r>
      <w:r>
        <w:rPr>
          <w:rFonts w:hint="eastAsia" w:ascii="仿宋" w:hAnsi="仿宋" w:eastAsia="仿宋"/>
          <w:highlight w:val="none"/>
          <w:lang w:eastAsia="zh-CN"/>
        </w:rPr>
        <w:t xml:space="preserve"> </w:t>
      </w:r>
      <w:r>
        <w:rPr>
          <w:rFonts w:hint="eastAsia" w:ascii="仿宋" w:hAnsi="仿宋" w:eastAsia="仿宋"/>
          <w:highlight w:val="none"/>
        </w:rPr>
        <w:t>日</w:t>
      </w:r>
    </w:p>
    <w:p w14:paraId="0D8784EA">
      <w:pPr>
        <w:tabs>
          <w:tab w:val="left" w:pos="5670"/>
        </w:tabs>
        <w:spacing w:beforeAutospacing="0" w:afterAutospacing="0" w:line="560" w:lineRule="exact"/>
        <w:ind w:firstLine="566" w:firstLineChars="200"/>
        <w:jc w:val="left"/>
        <w:rPr>
          <w:rFonts w:eastAsia="仿宋"/>
          <w:highlight w:val="none"/>
        </w:rPr>
      </w:pPr>
    </w:p>
    <w:p w14:paraId="06A0FF84">
      <w:pPr>
        <w:pStyle w:val="22"/>
        <w:spacing w:beforeAutospacing="0" w:after="0" w:afterAutospacing="0" w:line="560" w:lineRule="exact"/>
        <w:ind w:firstLine="426" w:firstLineChars="200"/>
        <w:rPr>
          <w:rFonts w:eastAsia="宋体"/>
          <w:highlight w:val="none"/>
        </w:rPr>
      </w:pPr>
      <w:r>
        <w:rPr>
          <w:rFonts w:hint="eastAsia" w:ascii="宋体" w:hAnsi="宋体" w:eastAsia="宋体" w:cs="宋体"/>
          <w:b/>
          <w:bCs/>
          <w:sz w:val="21"/>
          <w:szCs w:val="21"/>
          <w:highlight w:val="none"/>
        </w:rPr>
        <w:t>备注：</w:t>
      </w:r>
    </w:p>
    <w:p w14:paraId="28A8AA7F">
      <w:pPr>
        <w:tabs>
          <w:tab w:val="left" w:pos="5670"/>
        </w:tabs>
        <w:spacing w:beforeAutospacing="0" w:afterAutospacing="0" w:line="560" w:lineRule="exact"/>
        <w:ind w:firstLine="426"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根据《财政部 民政部 中国残疾人联合会关于促进残疾人就业政府采购政策的通知》（财库〔2017〕141号）的规定：</w:t>
      </w:r>
    </w:p>
    <w:p w14:paraId="05A9B98A">
      <w:pPr>
        <w:tabs>
          <w:tab w:val="left" w:pos="5670"/>
        </w:tabs>
        <w:spacing w:beforeAutospacing="0" w:afterAutospacing="0" w:line="560" w:lineRule="exact"/>
        <w:ind w:firstLine="426"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一、享受政府采购支持政策的残疾人福利性单位应当同时满足以下条件：</w:t>
      </w:r>
    </w:p>
    <w:p w14:paraId="4926A636">
      <w:pPr>
        <w:tabs>
          <w:tab w:val="left" w:pos="5670"/>
        </w:tabs>
        <w:spacing w:beforeAutospacing="0" w:afterAutospacing="0" w:line="560" w:lineRule="exact"/>
        <w:ind w:firstLine="426"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（一）安置的残疾人占本单位在职职工人数的比例不低于25%（含25%），并且安置的残疾人人数不少于10人（含10人）；</w:t>
      </w:r>
    </w:p>
    <w:p w14:paraId="3BAA648D">
      <w:pPr>
        <w:tabs>
          <w:tab w:val="left" w:pos="5670"/>
        </w:tabs>
        <w:spacing w:beforeAutospacing="0" w:afterAutospacing="0" w:line="560" w:lineRule="exact"/>
        <w:ind w:firstLine="426"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（二）依法与安置的每位残疾人签订了一年以上（含一年）的劳动合同或服务协议；</w:t>
      </w:r>
    </w:p>
    <w:p w14:paraId="02943407">
      <w:pPr>
        <w:tabs>
          <w:tab w:val="left" w:pos="5670"/>
        </w:tabs>
        <w:spacing w:beforeAutospacing="0" w:afterAutospacing="0" w:line="560" w:lineRule="exact"/>
        <w:ind w:firstLine="426"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（三）为安置的每位残疾人按月足额缴纳了基本养老保险、基本医疗保险、失业保险、工伤保险和生育保险等社会保险费；</w:t>
      </w:r>
    </w:p>
    <w:p w14:paraId="1DFD2985">
      <w:pPr>
        <w:tabs>
          <w:tab w:val="left" w:pos="5670"/>
        </w:tabs>
        <w:spacing w:beforeAutospacing="0" w:afterAutospacing="0" w:line="560" w:lineRule="exact"/>
        <w:ind w:firstLine="426"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（四）通过银行等金融机构向安置的每位残疾人，按月支付了不低于单位所在区县适用的经省级人民政府批准的月最低工资标准的工资；</w:t>
      </w:r>
    </w:p>
    <w:p w14:paraId="1E6BBBCB">
      <w:pPr>
        <w:tabs>
          <w:tab w:val="left" w:pos="5670"/>
        </w:tabs>
        <w:spacing w:beforeAutospacing="0" w:afterAutospacing="0" w:line="560" w:lineRule="exact"/>
        <w:ind w:firstLine="426"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（五）提供本单位制造的货物、承担的工程或者服务（以下简称产品），或者提供其他残疾人福利性单位制造的货物（不包括使用非残疾人福利性单位注册商标的货物）。</w:t>
      </w:r>
    </w:p>
    <w:p w14:paraId="4460F8A1">
      <w:pPr>
        <w:tabs>
          <w:tab w:val="left" w:pos="5670"/>
        </w:tabs>
        <w:spacing w:beforeAutospacing="0" w:afterAutospacing="0" w:line="560" w:lineRule="exact"/>
        <w:ind w:firstLine="426"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9E740E3">
      <w:pPr>
        <w:tabs>
          <w:tab w:val="left" w:pos="5670"/>
        </w:tabs>
        <w:spacing w:beforeAutospacing="0" w:afterAutospacing="0" w:line="560" w:lineRule="exact"/>
        <w:ind w:firstLine="426" w:firstLineChars="200"/>
        <w:jc w:val="left"/>
        <w:rPr>
          <w:rFonts w:eastAsia="仿宋"/>
          <w:highlight w:val="none"/>
        </w:rPr>
      </w:pPr>
      <w:r>
        <w:rPr>
          <w:rFonts w:hint="eastAsia" w:ascii="宋体" w:hAnsi="宋体" w:eastAsia="宋体" w:cs="宋体"/>
          <w:sz w:val="21"/>
          <w:szCs w:val="21"/>
          <w:highlight w:val="none"/>
        </w:rPr>
        <w:t>二、中标、成交供应商为残疾人福利性单位的，采购人或者其委托的采购代理机构应当随中标、成交结果同时公告其《残疾人福利性单位声明函》，接受社会监督。</w:t>
      </w:r>
    </w:p>
    <w:p w14:paraId="7E2E7F46">
      <w:pPr>
        <w:tabs>
          <w:tab w:val="left" w:pos="5670"/>
        </w:tabs>
        <w:spacing w:beforeAutospacing="0" w:afterAutospacing="0" w:line="560" w:lineRule="exact"/>
        <w:jc w:val="center"/>
        <w:outlineLvl w:val="2"/>
        <w:rPr>
          <w:rFonts w:eastAsia="仿宋"/>
          <w:b/>
          <w:sz w:val="30"/>
          <w:szCs w:val="30"/>
          <w:highlight w:val="none"/>
        </w:rPr>
      </w:pPr>
      <w:r>
        <w:rPr>
          <w:rFonts w:hint="eastAsia" w:eastAsia="仿宋"/>
          <w:b/>
          <w:sz w:val="30"/>
          <w:szCs w:val="30"/>
          <w:highlight w:val="none"/>
        </w:rPr>
        <w:t>监狱企业证明函（格式）</w:t>
      </w:r>
    </w:p>
    <w:p w14:paraId="2E78EBD9">
      <w:pPr>
        <w:spacing w:beforeAutospacing="0" w:afterAutospacing="0" w:line="560" w:lineRule="exact"/>
        <w:ind w:firstLine="566" w:firstLineChars="200"/>
        <w:jc w:val="left"/>
        <w:rPr>
          <w:rFonts w:eastAsia="仿宋"/>
          <w:highlight w:val="none"/>
        </w:rPr>
      </w:pPr>
      <w:r>
        <w:rPr>
          <w:rFonts w:hint="eastAsia" w:eastAsia="仿宋"/>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B318E48">
      <w:pPr>
        <w:spacing w:beforeAutospacing="0" w:afterAutospacing="0" w:line="560" w:lineRule="exact"/>
        <w:ind w:firstLine="566" w:firstLineChars="200"/>
        <w:jc w:val="left"/>
        <w:rPr>
          <w:rFonts w:eastAsia="仿宋"/>
          <w:highlight w:val="none"/>
        </w:rPr>
      </w:pPr>
      <w:r>
        <w:rPr>
          <w:rFonts w:hint="eastAsia" w:eastAsia="仿宋"/>
          <w:highlight w:val="none"/>
        </w:rPr>
        <w:t>监狱企业参加政府采购活动时，应当提供由省级以上监狱管理局、戒毒管理局（含新疆生产建设兵团）出具的属于监狱企业的证明文件。</w:t>
      </w:r>
    </w:p>
    <w:p w14:paraId="4F000B80">
      <w:pPr>
        <w:spacing w:beforeAutospacing="0" w:afterAutospacing="0" w:line="560" w:lineRule="exact"/>
        <w:ind w:firstLine="566" w:firstLineChars="200"/>
        <w:rPr>
          <w:rFonts w:eastAsia="仿宋"/>
          <w:b/>
          <w:highlight w:val="none"/>
        </w:rPr>
      </w:pPr>
      <w:r>
        <w:rPr>
          <w:rFonts w:eastAsia="仿宋"/>
          <w:b/>
          <w:highlight w:val="none"/>
        </w:rPr>
        <w:br w:type="page"/>
      </w:r>
    </w:p>
    <w:p w14:paraId="7DC3BB36">
      <w:pPr>
        <w:pStyle w:val="50"/>
        <w:spacing w:beforeAutospacing="0" w:afterAutospacing="0" w:line="560" w:lineRule="exact"/>
        <w:ind w:firstLine="646" w:firstLineChars="200"/>
        <w:jc w:val="left"/>
        <w:rPr>
          <w:rFonts w:ascii="仿宋" w:hAnsi="华文仿宋" w:eastAsia="仿宋" w:cs="华文仿宋"/>
          <w:sz w:val="32"/>
          <w:szCs w:val="32"/>
          <w:highlight w:val="none"/>
        </w:rPr>
      </w:pPr>
      <w:bookmarkStart w:id="562" w:name="_Toc8360"/>
      <w:bookmarkStart w:id="563" w:name="_Toc14706"/>
      <w:bookmarkStart w:id="564" w:name="_Toc15951"/>
      <w:bookmarkStart w:id="565" w:name="_Toc17242"/>
      <w:bookmarkStart w:id="566" w:name="_Toc22002"/>
      <w:bookmarkStart w:id="567" w:name="_Toc12827"/>
      <w:bookmarkStart w:id="568" w:name="_Toc2402"/>
      <w:bookmarkStart w:id="569" w:name="_Toc23158"/>
      <w:bookmarkStart w:id="570" w:name="_Toc28681582"/>
      <w:bookmarkStart w:id="571" w:name="_Toc11318"/>
      <w:r>
        <w:rPr>
          <w:rFonts w:hint="eastAsia" w:ascii="仿宋" w:hAnsi="华文仿宋" w:eastAsia="仿宋" w:cs="华文仿宋"/>
          <w:sz w:val="32"/>
          <w:szCs w:val="32"/>
          <w:highlight w:val="none"/>
        </w:rPr>
        <w:t>二、响应方案</w:t>
      </w:r>
      <w:bookmarkEnd w:id="562"/>
      <w:bookmarkEnd w:id="563"/>
      <w:bookmarkEnd w:id="564"/>
      <w:bookmarkEnd w:id="565"/>
      <w:bookmarkEnd w:id="566"/>
      <w:bookmarkEnd w:id="567"/>
      <w:bookmarkEnd w:id="568"/>
      <w:bookmarkEnd w:id="569"/>
      <w:bookmarkEnd w:id="570"/>
      <w:bookmarkEnd w:id="571"/>
    </w:p>
    <w:p w14:paraId="0AA76D69">
      <w:pPr>
        <w:spacing w:beforeAutospacing="0" w:afterAutospacing="0" w:line="560" w:lineRule="exact"/>
        <w:ind w:firstLine="566" w:firstLineChars="200"/>
        <w:rPr>
          <w:rFonts w:ascii="仿宋" w:hAnsi="仿宋" w:eastAsia="仿宋"/>
          <w:bCs/>
          <w:highlight w:val="none"/>
        </w:rPr>
      </w:pPr>
      <w:r>
        <w:rPr>
          <w:rFonts w:hint="eastAsia" w:ascii="仿宋" w:hAnsi="仿宋" w:eastAsia="仿宋"/>
          <w:bCs/>
          <w:highlight w:val="none"/>
        </w:rPr>
        <w:t>结合谈判文件</w:t>
      </w:r>
      <w:r>
        <w:rPr>
          <w:rFonts w:ascii="仿宋" w:hAnsi="仿宋" w:eastAsia="仿宋"/>
          <w:bCs/>
          <w:highlight w:val="none"/>
        </w:rPr>
        <w:t>第三章《</w:t>
      </w:r>
      <w:r>
        <w:rPr>
          <w:rFonts w:hint="eastAsia" w:ascii="仿宋" w:hAnsi="仿宋" w:eastAsia="仿宋"/>
          <w:bCs/>
          <w:highlight w:val="none"/>
        </w:rPr>
        <w:t>采购</w:t>
      </w:r>
      <w:r>
        <w:rPr>
          <w:rFonts w:ascii="仿宋" w:hAnsi="仿宋" w:eastAsia="仿宋"/>
          <w:bCs/>
          <w:highlight w:val="none"/>
        </w:rPr>
        <w:t>内容及</w:t>
      </w:r>
      <w:r>
        <w:rPr>
          <w:rFonts w:hint="eastAsia" w:ascii="仿宋" w:hAnsi="仿宋" w:eastAsia="仿宋"/>
          <w:bCs/>
          <w:highlight w:val="none"/>
        </w:rPr>
        <w:t>采购</w:t>
      </w:r>
      <w:r>
        <w:rPr>
          <w:rFonts w:ascii="仿宋" w:hAnsi="仿宋" w:eastAsia="仿宋"/>
          <w:bCs/>
          <w:highlight w:val="none"/>
        </w:rPr>
        <w:t>要求》编制</w:t>
      </w:r>
      <w:r>
        <w:rPr>
          <w:rFonts w:hint="eastAsia" w:ascii="仿宋" w:hAnsi="仿宋" w:eastAsia="仿宋"/>
          <w:bCs/>
          <w:highlight w:val="none"/>
        </w:rPr>
        <w:t>响应</w:t>
      </w:r>
      <w:r>
        <w:rPr>
          <w:rFonts w:ascii="仿宋" w:hAnsi="仿宋" w:eastAsia="仿宋"/>
          <w:bCs/>
          <w:highlight w:val="none"/>
        </w:rPr>
        <w:t>方案。</w:t>
      </w:r>
    </w:p>
    <w:p w14:paraId="70DE037B">
      <w:pPr>
        <w:pStyle w:val="50"/>
        <w:spacing w:beforeAutospacing="0" w:afterAutospacing="0" w:line="560" w:lineRule="exact"/>
        <w:ind w:firstLine="646" w:firstLineChars="200"/>
        <w:jc w:val="left"/>
        <w:rPr>
          <w:highlight w:val="none"/>
        </w:rPr>
      </w:pPr>
      <w:bookmarkStart w:id="572" w:name="_Toc28681583"/>
      <w:bookmarkStart w:id="573" w:name="_Toc3065"/>
      <w:bookmarkStart w:id="574" w:name="_Toc3487"/>
      <w:bookmarkStart w:id="575" w:name="_Toc9457"/>
      <w:bookmarkStart w:id="576" w:name="_Toc24967"/>
      <w:bookmarkStart w:id="577" w:name="_Toc21775"/>
      <w:bookmarkStart w:id="578" w:name="_Toc3263"/>
      <w:bookmarkStart w:id="579" w:name="_Toc25154"/>
      <w:bookmarkStart w:id="580" w:name="_Toc25404"/>
      <w:bookmarkStart w:id="581" w:name="_Toc13658"/>
      <w:r>
        <w:rPr>
          <w:rFonts w:hint="eastAsia" w:ascii="仿宋" w:hAnsi="华文仿宋" w:eastAsia="仿宋" w:cs="华文仿宋"/>
          <w:sz w:val="32"/>
          <w:szCs w:val="32"/>
          <w:highlight w:val="none"/>
        </w:rPr>
        <w:t>三、参考样表</w:t>
      </w:r>
      <w:bookmarkEnd w:id="572"/>
      <w:bookmarkEnd w:id="573"/>
      <w:bookmarkEnd w:id="574"/>
      <w:bookmarkEnd w:id="575"/>
      <w:bookmarkEnd w:id="576"/>
      <w:bookmarkEnd w:id="577"/>
      <w:bookmarkEnd w:id="578"/>
      <w:bookmarkEnd w:id="579"/>
      <w:bookmarkEnd w:id="580"/>
      <w:bookmarkEnd w:id="581"/>
    </w:p>
    <w:p w14:paraId="4A9301D9">
      <w:pPr>
        <w:tabs>
          <w:tab w:val="right" w:pos="9070"/>
        </w:tabs>
        <w:snapToGrid w:val="0"/>
        <w:spacing w:beforeAutospacing="0" w:afterAutospacing="0" w:line="560" w:lineRule="exact"/>
        <w:ind w:firstLine="566" w:firstLineChars="200"/>
        <w:rPr>
          <w:rFonts w:ascii="仿宋" w:hAnsi="仿宋" w:eastAsia="仿宋" w:cs="华文仿宋"/>
          <w:szCs w:val="21"/>
          <w:highlight w:val="none"/>
        </w:rPr>
      </w:pPr>
      <w:r>
        <w:rPr>
          <w:rFonts w:hint="eastAsia" w:ascii="仿宋" w:hAnsi="仿宋" w:eastAsia="仿宋" w:cs="华文仿宋"/>
          <w:b/>
          <w:bCs/>
          <w:szCs w:val="21"/>
          <w:highlight w:val="none"/>
        </w:rPr>
        <w:t>（一）服务团队样表（仅供参考）</w:t>
      </w:r>
    </w:p>
    <w:p w14:paraId="74BC906C">
      <w:pPr>
        <w:tabs>
          <w:tab w:val="right" w:pos="9070"/>
        </w:tabs>
        <w:spacing w:beforeAutospacing="0" w:afterAutospacing="0" w:line="560" w:lineRule="exact"/>
        <w:ind w:firstLine="566" w:firstLineChars="200"/>
        <w:rPr>
          <w:rFonts w:ascii="仿宋" w:hAnsi="仿宋" w:eastAsia="仿宋" w:cs="华文仿宋"/>
          <w:highlight w:val="none"/>
        </w:rPr>
      </w:pPr>
      <w:r>
        <w:rPr>
          <w:rFonts w:hint="eastAsia" w:ascii="仿宋" w:hAnsi="仿宋" w:eastAsia="仿宋" w:cs="华文仿宋"/>
          <w:highlight w:val="none"/>
        </w:rPr>
        <w:t>1、服务团队情况概述</w:t>
      </w:r>
    </w:p>
    <w:p w14:paraId="0CC25B2F">
      <w:pPr>
        <w:tabs>
          <w:tab w:val="right" w:pos="9070"/>
        </w:tabs>
        <w:spacing w:beforeAutospacing="0" w:afterAutospacing="0" w:line="560" w:lineRule="exact"/>
        <w:ind w:firstLine="566" w:firstLineChars="200"/>
        <w:rPr>
          <w:rFonts w:ascii="仿宋" w:hAnsi="仿宋" w:eastAsia="仿宋" w:cs="华文仿宋"/>
          <w:highlight w:val="none"/>
        </w:rPr>
      </w:pPr>
      <w:r>
        <w:rPr>
          <w:rFonts w:hint="eastAsia" w:ascii="仿宋" w:hAnsi="仿宋" w:eastAsia="仿宋" w:cs="华文仿宋"/>
          <w:highlight w:val="none"/>
        </w:rPr>
        <w:t>概述内容包括但不限于为本项目提供服务的团队整体情况、团队负责人、联系人基本情况、背景、能力介绍等，具体内容自行编制。</w:t>
      </w:r>
    </w:p>
    <w:p w14:paraId="7A62DB67">
      <w:pPr>
        <w:tabs>
          <w:tab w:val="right" w:pos="9070"/>
        </w:tabs>
        <w:spacing w:beforeAutospacing="0" w:afterAutospacing="0" w:line="560" w:lineRule="exact"/>
        <w:ind w:firstLine="566" w:firstLineChars="200"/>
        <w:rPr>
          <w:rFonts w:ascii="仿宋" w:hAnsi="仿宋" w:eastAsia="仿宋" w:cs="华文仿宋"/>
          <w:highlight w:val="none"/>
        </w:rPr>
      </w:pPr>
      <w:r>
        <w:rPr>
          <w:rFonts w:hint="eastAsia" w:ascii="仿宋" w:hAnsi="仿宋" w:eastAsia="仿宋" w:cs="华文仿宋"/>
          <w:highlight w:val="none"/>
        </w:rPr>
        <w:t>2、服务团队人员清单</w:t>
      </w:r>
    </w:p>
    <w:tbl>
      <w:tblPr>
        <w:tblStyle w:val="23"/>
        <w:tblW w:w="8453" w:type="dxa"/>
        <w:tblInd w:w="4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279"/>
        <w:gridCol w:w="1278"/>
        <w:gridCol w:w="1278"/>
        <w:gridCol w:w="1506"/>
        <w:gridCol w:w="1050"/>
        <w:gridCol w:w="1278"/>
      </w:tblGrid>
      <w:tr w14:paraId="41E33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14:paraId="099F2DA3">
            <w:pPr>
              <w:spacing w:beforeAutospacing="0" w:afterAutospacing="0" w:line="560" w:lineRule="exact"/>
              <w:jc w:val="center"/>
              <w:rPr>
                <w:rFonts w:ascii="仿宋" w:hAnsi="仿宋" w:eastAsia="仿宋" w:cs="华文仿宋"/>
                <w:b/>
                <w:sz w:val="24"/>
                <w:szCs w:val="24"/>
                <w:highlight w:val="none"/>
              </w:rPr>
            </w:pPr>
            <w:r>
              <w:rPr>
                <w:rFonts w:hint="eastAsia" w:ascii="仿宋" w:hAnsi="仿宋" w:eastAsia="仿宋" w:cs="华文仿宋"/>
                <w:b/>
                <w:sz w:val="24"/>
                <w:szCs w:val="24"/>
                <w:highlight w:val="none"/>
              </w:rPr>
              <w:t>序号</w:t>
            </w:r>
          </w:p>
        </w:tc>
        <w:tc>
          <w:tcPr>
            <w:tcW w:w="1279" w:type="dxa"/>
            <w:vAlign w:val="center"/>
          </w:tcPr>
          <w:p w14:paraId="3C7BD6C0">
            <w:pPr>
              <w:spacing w:beforeAutospacing="0" w:afterAutospacing="0" w:line="560" w:lineRule="exact"/>
              <w:jc w:val="center"/>
              <w:rPr>
                <w:rFonts w:ascii="仿宋" w:hAnsi="仿宋" w:eastAsia="仿宋" w:cs="华文仿宋"/>
                <w:b/>
                <w:sz w:val="24"/>
                <w:szCs w:val="24"/>
                <w:highlight w:val="none"/>
              </w:rPr>
            </w:pPr>
            <w:r>
              <w:rPr>
                <w:rFonts w:hint="eastAsia" w:ascii="仿宋" w:hAnsi="仿宋" w:eastAsia="仿宋" w:cs="华文仿宋"/>
                <w:b/>
                <w:sz w:val="24"/>
                <w:szCs w:val="24"/>
                <w:highlight w:val="none"/>
              </w:rPr>
              <w:t>姓名</w:t>
            </w:r>
          </w:p>
        </w:tc>
        <w:tc>
          <w:tcPr>
            <w:tcW w:w="1278" w:type="dxa"/>
            <w:vAlign w:val="center"/>
          </w:tcPr>
          <w:p w14:paraId="24467B56">
            <w:pPr>
              <w:spacing w:beforeAutospacing="0" w:afterAutospacing="0" w:line="560" w:lineRule="exact"/>
              <w:jc w:val="center"/>
              <w:rPr>
                <w:rFonts w:ascii="仿宋" w:hAnsi="仿宋" w:eastAsia="仿宋" w:cs="华文仿宋"/>
                <w:b/>
                <w:sz w:val="24"/>
                <w:szCs w:val="24"/>
                <w:highlight w:val="none"/>
              </w:rPr>
            </w:pPr>
            <w:r>
              <w:rPr>
                <w:rFonts w:hint="eastAsia" w:ascii="仿宋" w:hAnsi="仿宋" w:eastAsia="仿宋" w:cs="华文仿宋"/>
                <w:b/>
                <w:sz w:val="24"/>
                <w:szCs w:val="24"/>
                <w:highlight w:val="none"/>
              </w:rPr>
              <w:t>性别</w:t>
            </w:r>
          </w:p>
        </w:tc>
        <w:tc>
          <w:tcPr>
            <w:tcW w:w="1278" w:type="dxa"/>
            <w:vAlign w:val="center"/>
          </w:tcPr>
          <w:p w14:paraId="3AFA5A2E">
            <w:pPr>
              <w:spacing w:beforeAutospacing="0" w:afterAutospacing="0" w:line="560" w:lineRule="exact"/>
              <w:jc w:val="center"/>
              <w:rPr>
                <w:rFonts w:ascii="仿宋" w:hAnsi="仿宋" w:eastAsia="仿宋" w:cs="华文仿宋"/>
                <w:b/>
                <w:sz w:val="24"/>
                <w:szCs w:val="24"/>
                <w:highlight w:val="none"/>
              </w:rPr>
            </w:pPr>
            <w:r>
              <w:rPr>
                <w:rFonts w:hint="eastAsia" w:ascii="仿宋" w:hAnsi="仿宋" w:eastAsia="仿宋" w:cs="华文仿宋"/>
                <w:b/>
                <w:sz w:val="24"/>
                <w:szCs w:val="24"/>
                <w:highlight w:val="none"/>
              </w:rPr>
              <w:t>年龄</w:t>
            </w:r>
          </w:p>
        </w:tc>
        <w:tc>
          <w:tcPr>
            <w:tcW w:w="1506" w:type="dxa"/>
            <w:vAlign w:val="center"/>
          </w:tcPr>
          <w:p w14:paraId="6E5BBF54">
            <w:pPr>
              <w:spacing w:beforeAutospacing="0" w:afterAutospacing="0" w:line="560" w:lineRule="exact"/>
              <w:jc w:val="center"/>
              <w:rPr>
                <w:rFonts w:ascii="仿宋" w:hAnsi="仿宋" w:eastAsia="仿宋" w:cs="华文仿宋"/>
                <w:b/>
                <w:sz w:val="24"/>
                <w:szCs w:val="24"/>
                <w:highlight w:val="none"/>
              </w:rPr>
            </w:pPr>
            <w:r>
              <w:rPr>
                <w:rFonts w:hint="eastAsia" w:ascii="仿宋" w:hAnsi="仿宋" w:eastAsia="仿宋" w:cs="华文仿宋"/>
                <w:b/>
                <w:sz w:val="24"/>
                <w:szCs w:val="24"/>
                <w:highlight w:val="none"/>
              </w:rPr>
              <w:t>职务/职称/执业资格</w:t>
            </w:r>
          </w:p>
        </w:tc>
        <w:tc>
          <w:tcPr>
            <w:tcW w:w="1050" w:type="dxa"/>
            <w:vAlign w:val="center"/>
          </w:tcPr>
          <w:p w14:paraId="39CBBABB">
            <w:pPr>
              <w:spacing w:beforeAutospacing="0" w:afterAutospacing="0" w:line="560" w:lineRule="exact"/>
              <w:jc w:val="center"/>
              <w:rPr>
                <w:rFonts w:ascii="仿宋" w:hAnsi="仿宋" w:eastAsia="仿宋" w:cs="华文仿宋"/>
                <w:b/>
                <w:sz w:val="24"/>
                <w:szCs w:val="24"/>
                <w:highlight w:val="none"/>
              </w:rPr>
            </w:pPr>
            <w:r>
              <w:rPr>
                <w:rFonts w:hint="eastAsia" w:ascii="仿宋" w:hAnsi="仿宋" w:eastAsia="仿宋" w:cs="华文仿宋"/>
                <w:b/>
                <w:sz w:val="24"/>
                <w:szCs w:val="24"/>
                <w:highlight w:val="none"/>
              </w:rPr>
              <w:t>学历</w:t>
            </w:r>
          </w:p>
        </w:tc>
        <w:tc>
          <w:tcPr>
            <w:tcW w:w="1278" w:type="dxa"/>
            <w:vAlign w:val="center"/>
          </w:tcPr>
          <w:p w14:paraId="3FAB2614">
            <w:pPr>
              <w:spacing w:beforeAutospacing="0" w:afterAutospacing="0" w:line="560" w:lineRule="exact"/>
              <w:jc w:val="center"/>
              <w:rPr>
                <w:rFonts w:ascii="仿宋" w:hAnsi="仿宋" w:eastAsia="仿宋" w:cs="华文仿宋"/>
                <w:b/>
                <w:sz w:val="24"/>
                <w:szCs w:val="24"/>
                <w:highlight w:val="none"/>
              </w:rPr>
            </w:pPr>
            <w:r>
              <w:rPr>
                <w:rFonts w:hint="eastAsia" w:ascii="仿宋" w:hAnsi="仿宋" w:eastAsia="仿宋" w:cs="华文仿宋"/>
                <w:b/>
                <w:sz w:val="24"/>
                <w:szCs w:val="24"/>
                <w:highlight w:val="none"/>
              </w:rPr>
              <w:t>主要经历经验</w:t>
            </w:r>
          </w:p>
        </w:tc>
      </w:tr>
      <w:tr w14:paraId="6A9FA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14:paraId="00D955A1">
            <w:pPr>
              <w:spacing w:beforeAutospacing="0" w:afterAutospacing="0" w:line="560" w:lineRule="exact"/>
              <w:jc w:val="center"/>
              <w:rPr>
                <w:rFonts w:ascii="仿宋" w:hAnsi="仿宋" w:eastAsia="仿宋" w:cs="华文仿宋"/>
                <w:sz w:val="24"/>
                <w:szCs w:val="24"/>
                <w:highlight w:val="none"/>
              </w:rPr>
            </w:pPr>
            <w:r>
              <w:rPr>
                <w:rFonts w:hint="eastAsia" w:ascii="仿宋" w:hAnsi="仿宋" w:eastAsia="仿宋" w:cs="华文仿宋"/>
                <w:sz w:val="24"/>
                <w:szCs w:val="24"/>
                <w:highlight w:val="none"/>
              </w:rPr>
              <w:t>1</w:t>
            </w:r>
          </w:p>
        </w:tc>
        <w:tc>
          <w:tcPr>
            <w:tcW w:w="1279" w:type="dxa"/>
            <w:vAlign w:val="center"/>
          </w:tcPr>
          <w:p w14:paraId="11AA43A9">
            <w:pPr>
              <w:spacing w:beforeAutospacing="0" w:afterAutospacing="0" w:line="560" w:lineRule="exact"/>
              <w:jc w:val="center"/>
              <w:rPr>
                <w:rFonts w:ascii="仿宋" w:hAnsi="仿宋" w:eastAsia="仿宋" w:cs="华文仿宋"/>
                <w:sz w:val="24"/>
                <w:szCs w:val="24"/>
                <w:highlight w:val="none"/>
              </w:rPr>
            </w:pPr>
          </w:p>
        </w:tc>
        <w:tc>
          <w:tcPr>
            <w:tcW w:w="1278" w:type="dxa"/>
            <w:vAlign w:val="center"/>
          </w:tcPr>
          <w:p w14:paraId="5AAA4913">
            <w:pPr>
              <w:spacing w:beforeAutospacing="0" w:afterAutospacing="0" w:line="560" w:lineRule="exact"/>
              <w:jc w:val="center"/>
              <w:rPr>
                <w:rFonts w:ascii="仿宋" w:hAnsi="仿宋" w:eastAsia="仿宋" w:cs="华文仿宋"/>
                <w:sz w:val="24"/>
                <w:szCs w:val="24"/>
                <w:highlight w:val="none"/>
              </w:rPr>
            </w:pPr>
          </w:p>
        </w:tc>
        <w:tc>
          <w:tcPr>
            <w:tcW w:w="1278" w:type="dxa"/>
            <w:vAlign w:val="center"/>
          </w:tcPr>
          <w:p w14:paraId="532791EC">
            <w:pPr>
              <w:spacing w:beforeAutospacing="0" w:afterAutospacing="0" w:line="560" w:lineRule="exact"/>
              <w:jc w:val="center"/>
              <w:rPr>
                <w:rFonts w:ascii="仿宋" w:hAnsi="仿宋" w:eastAsia="仿宋" w:cs="华文仿宋"/>
                <w:sz w:val="24"/>
                <w:szCs w:val="24"/>
                <w:highlight w:val="none"/>
              </w:rPr>
            </w:pPr>
          </w:p>
        </w:tc>
        <w:tc>
          <w:tcPr>
            <w:tcW w:w="1506" w:type="dxa"/>
          </w:tcPr>
          <w:p w14:paraId="3E488EB8">
            <w:pPr>
              <w:spacing w:beforeAutospacing="0" w:afterAutospacing="0" w:line="560" w:lineRule="exact"/>
              <w:jc w:val="center"/>
              <w:rPr>
                <w:rFonts w:ascii="仿宋" w:hAnsi="仿宋" w:eastAsia="仿宋" w:cs="华文仿宋"/>
                <w:sz w:val="24"/>
                <w:szCs w:val="24"/>
                <w:highlight w:val="none"/>
              </w:rPr>
            </w:pPr>
          </w:p>
        </w:tc>
        <w:tc>
          <w:tcPr>
            <w:tcW w:w="1050" w:type="dxa"/>
          </w:tcPr>
          <w:p w14:paraId="4014FF02">
            <w:pPr>
              <w:spacing w:beforeAutospacing="0" w:afterAutospacing="0" w:line="560" w:lineRule="exact"/>
              <w:jc w:val="center"/>
              <w:rPr>
                <w:rFonts w:ascii="仿宋" w:hAnsi="仿宋" w:eastAsia="仿宋" w:cs="华文仿宋"/>
                <w:sz w:val="24"/>
                <w:szCs w:val="24"/>
                <w:highlight w:val="none"/>
              </w:rPr>
            </w:pPr>
          </w:p>
        </w:tc>
        <w:tc>
          <w:tcPr>
            <w:tcW w:w="1278" w:type="dxa"/>
          </w:tcPr>
          <w:p w14:paraId="5FE03951">
            <w:pPr>
              <w:spacing w:beforeAutospacing="0" w:afterAutospacing="0" w:line="560" w:lineRule="exact"/>
              <w:jc w:val="center"/>
              <w:rPr>
                <w:rFonts w:ascii="仿宋" w:hAnsi="仿宋" w:eastAsia="仿宋" w:cs="华文仿宋"/>
                <w:sz w:val="24"/>
                <w:szCs w:val="24"/>
                <w:highlight w:val="none"/>
              </w:rPr>
            </w:pPr>
          </w:p>
        </w:tc>
      </w:tr>
      <w:tr w14:paraId="34805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14:paraId="2EB16667">
            <w:pPr>
              <w:spacing w:beforeAutospacing="0" w:afterAutospacing="0" w:line="560" w:lineRule="exact"/>
              <w:jc w:val="center"/>
              <w:rPr>
                <w:rFonts w:ascii="仿宋" w:hAnsi="仿宋" w:eastAsia="仿宋" w:cs="华文仿宋"/>
                <w:sz w:val="24"/>
                <w:szCs w:val="24"/>
                <w:highlight w:val="none"/>
              </w:rPr>
            </w:pPr>
            <w:r>
              <w:rPr>
                <w:rFonts w:hint="eastAsia" w:ascii="仿宋" w:hAnsi="仿宋" w:eastAsia="仿宋" w:cs="华文仿宋"/>
                <w:sz w:val="24"/>
                <w:szCs w:val="24"/>
                <w:highlight w:val="none"/>
              </w:rPr>
              <w:t>2</w:t>
            </w:r>
          </w:p>
        </w:tc>
        <w:tc>
          <w:tcPr>
            <w:tcW w:w="1279" w:type="dxa"/>
            <w:vAlign w:val="center"/>
          </w:tcPr>
          <w:p w14:paraId="03B9F2DF">
            <w:pPr>
              <w:spacing w:beforeAutospacing="0" w:afterAutospacing="0" w:line="560" w:lineRule="exact"/>
              <w:jc w:val="center"/>
              <w:rPr>
                <w:rFonts w:ascii="仿宋" w:hAnsi="仿宋" w:eastAsia="仿宋" w:cs="华文仿宋"/>
                <w:sz w:val="24"/>
                <w:szCs w:val="24"/>
                <w:highlight w:val="none"/>
              </w:rPr>
            </w:pPr>
          </w:p>
        </w:tc>
        <w:tc>
          <w:tcPr>
            <w:tcW w:w="1278" w:type="dxa"/>
            <w:vAlign w:val="center"/>
          </w:tcPr>
          <w:p w14:paraId="1386144C">
            <w:pPr>
              <w:spacing w:beforeAutospacing="0" w:afterAutospacing="0" w:line="560" w:lineRule="exact"/>
              <w:jc w:val="center"/>
              <w:rPr>
                <w:rFonts w:ascii="仿宋" w:hAnsi="仿宋" w:eastAsia="仿宋" w:cs="华文仿宋"/>
                <w:sz w:val="24"/>
                <w:szCs w:val="24"/>
                <w:highlight w:val="none"/>
              </w:rPr>
            </w:pPr>
          </w:p>
        </w:tc>
        <w:tc>
          <w:tcPr>
            <w:tcW w:w="1278" w:type="dxa"/>
            <w:vAlign w:val="center"/>
          </w:tcPr>
          <w:p w14:paraId="79C6CD92">
            <w:pPr>
              <w:spacing w:beforeAutospacing="0" w:afterAutospacing="0" w:line="560" w:lineRule="exact"/>
              <w:jc w:val="center"/>
              <w:rPr>
                <w:rFonts w:ascii="仿宋" w:hAnsi="仿宋" w:eastAsia="仿宋" w:cs="华文仿宋"/>
                <w:sz w:val="24"/>
                <w:szCs w:val="24"/>
                <w:highlight w:val="none"/>
              </w:rPr>
            </w:pPr>
          </w:p>
        </w:tc>
        <w:tc>
          <w:tcPr>
            <w:tcW w:w="1506" w:type="dxa"/>
          </w:tcPr>
          <w:p w14:paraId="4E8D4CCE">
            <w:pPr>
              <w:spacing w:beforeAutospacing="0" w:afterAutospacing="0" w:line="560" w:lineRule="exact"/>
              <w:jc w:val="center"/>
              <w:rPr>
                <w:rFonts w:ascii="仿宋" w:hAnsi="仿宋" w:eastAsia="仿宋" w:cs="华文仿宋"/>
                <w:sz w:val="24"/>
                <w:szCs w:val="24"/>
                <w:highlight w:val="none"/>
              </w:rPr>
            </w:pPr>
          </w:p>
        </w:tc>
        <w:tc>
          <w:tcPr>
            <w:tcW w:w="1050" w:type="dxa"/>
          </w:tcPr>
          <w:p w14:paraId="56D986FC">
            <w:pPr>
              <w:spacing w:beforeAutospacing="0" w:afterAutospacing="0" w:line="560" w:lineRule="exact"/>
              <w:jc w:val="center"/>
              <w:rPr>
                <w:rFonts w:ascii="仿宋" w:hAnsi="仿宋" w:eastAsia="仿宋" w:cs="华文仿宋"/>
                <w:sz w:val="24"/>
                <w:szCs w:val="24"/>
                <w:highlight w:val="none"/>
              </w:rPr>
            </w:pPr>
          </w:p>
        </w:tc>
        <w:tc>
          <w:tcPr>
            <w:tcW w:w="1278" w:type="dxa"/>
          </w:tcPr>
          <w:p w14:paraId="27CC2633">
            <w:pPr>
              <w:spacing w:beforeAutospacing="0" w:afterAutospacing="0" w:line="560" w:lineRule="exact"/>
              <w:jc w:val="center"/>
              <w:rPr>
                <w:rFonts w:ascii="仿宋" w:hAnsi="仿宋" w:eastAsia="仿宋" w:cs="华文仿宋"/>
                <w:sz w:val="24"/>
                <w:szCs w:val="24"/>
                <w:highlight w:val="none"/>
              </w:rPr>
            </w:pPr>
          </w:p>
        </w:tc>
      </w:tr>
      <w:tr w14:paraId="4EF76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14:paraId="02B11F69">
            <w:pPr>
              <w:spacing w:beforeAutospacing="0" w:afterAutospacing="0" w:line="560" w:lineRule="exact"/>
              <w:jc w:val="center"/>
              <w:rPr>
                <w:rFonts w:ascii="仿宋" w:hAnsi="仿宋" w:eastAsia="仿宋" w:cs="华文仿宋"/>
                <w:sz w:val="24"/>
                <w:szCs w:val="24"/>
                <w:highlight w:val="none"/>
              </w:rPr>
            </w:pPr>
            <w:r>
              <w:rPr>
                <w:rFonts w:hint="eastAsia" w:ascii="仿宋" w:hAnsi="仿宋" w:eastAsia="仿宋" w:cs="华文仿宋"/>
                <w:sz w:val="24"/>
                <w:szCs w:val="24"/>
                <w:highlight w:val="none"/>
              </w:rPr>
              <w:t>3</w:t>
            </w:r>
          </w:p>
        </w:tc>
        <w:tc>
          <w:tcPr>
            <w:tcW w:w="1279" w:type="dxa"/>
            <w:vAlign w:val="center"/>
          </w:tcPr>
          <w:p w14:paraId="31CE5B35">
            <w:pPr>
              <w:spacing w:beforeAutospacing="0" w:afterAutospacing="0" w:line="560" w:lineRule="exact"/>
              <w:jc w:val="center"/>
              <w:rPr>
                <w:rFonts w:ascii="仿宋" w:hAnsi="仿宋" w:eastAsia="仿宋" w:cs="华文仿宋"/>
                <w:sz w:val="24"/>
                <w:szCs w:val="24"/>
                <w:highlight w:val="none"/>
              </w:rPr>
            </w:pPr>
          </w:p>
        </w:tc>
        <w:tc>
          <w:tcPr>
            <w:tcW w:w="1278" w:type="dxa"/>
            <w:vAlign w:val="center"/>
          </w:tcPr>
          <w:p w14:paraId="2B12E033">
            <w:pPr>
              <w:spacing w:beforeAutospacing="0" w:afterAutospacing="0" w:line="560" w:lineRule="exact"/>
              <w:jc w:val="center"/>
              <w:rPr>
                <w:rFonts w:ascii="仿宋" w:hAnsi="仿宋" w:eastAsia="仿宋" w:cs="华文仿宋"/>
                <w:sz w:val="24"/>
                <w:szCs w:val="24"/>
                <w:highlight w:val="none"/>
              </w:rPr>
            </w:pPr>
          </w:p>
        </w:tc>
        <w:tc>
          <w:tcPr>
            <w:tcW w:w="1278" w:type="dxa"/>
            <w:vAlign w:val="center"/>
          </w:tcPr>
          <w:p w14:paraId="4DBFD6E0">
            <w:pPr>
              <w:spacing w:beforeAutospacing="0" w:afterAutospacing="0" w:line="560" w:lineRule="exact"/>
              <w:jc w:val="center"/>
              <w:rPr>
                <w:rFonts w:ascii="仿宋" w:hAnsi="仿宋" w:eastAsia="仿宋" w:cs="华文仿宋"/>
                <w:sz w:val="24"/>
                <w:szCs w:val="24"/>
                <w:highlight w:val="none"/>
              </w:rPr>
            </w:pPr>
          </w:p>
        </w:tc>
        <w:tc>
          <w:tcPr>
            <w:tcW w:w="1506" w:type="dxa"/>
          </w:tcPr>
          <w:p w14:paraId="6D71554F">
            <w:pPr>
              <w:spacing w:beforeAutospacing="0" w:afterAutospacing="0" w:line="560" w:lineRule="exact"/>
              <w:jc w:val="center"/>
              <w:rPr>
                <w:rFonts w:ascii="仿宋" w:hAnsi="仿宋" w:eastAsia="仿宋" w:cs="华文仿宋"/>
                <w:sz w:val="24"/>
                <w:szCs w:val="24"/>
                <w:highlight w:val="none"/>
              </w:rPr>
            </w:pPr>
          </w:p>
        </w:tc>
        <w:tc>
          <w:tcPr>
            <w:tcW w:w="1050" w:type="dxa"/>
          </w:tcPr>
          <w:p w14:paraId="0CB90FD2">
            <w:pPr>
              <w:spacing w:beforeAutospacing="0" w:afterAutospacing="0" w:line="560" w:lineRule="exact"/>
              <w:jc w:val="center"/>
              <w:rPr>
                <w:rFonts w:ascii="仿宋" w:hAnsi="仿宋" w:eastAsia="仿宋" w:cs="华文仿宋"/>
                <w:sz w:val="24"/>
                <w:szCs w:val="24"/>
                <w:highlight w:val="none"/>
              </w:rPr>
            </w:pPr>
          </w:p>
        </w:tc>
        <w:tc>
          <w:tcPr>
            <w:tcW w:w="1278" w:type="dxa"/>
          </w:tcPr>
          <w:p w14:paraId="25FBC62B">
            <w:pPr>
              <w:spacing w:beforeAutospacing="0" w:afterAutospacing="0" w:line="560" w:lineRule="exact"/>
              <w:jc w:val="center"/>
              <w:rPr>
                <w:rFonts w:ascii="仿宋" w:hAnsi="仿宋" w:eastAsia="仿宋" w:cs="华文仿宋"/>
                <w:sz w:val="24"/>
                <w:szCs w:val="24"/>
                <w:highlight w:val="none"/>
              </w:rPr>
            </w:pPr>
          </w:p>
        </w:tc>
      </w:tr>
      <w:tr w14:paraId="002FB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14:paraId="507DF51C">
            <w:pPr>
              <w:spacing w:beforeAutospacing="0" w:afterAutospacing="0" w:line="560" w:lineRule="exact"/>
              <w:jc w:val="center"/>
              <w:rPr>
                <w:rFonts w:ascii="仿宋" w:hAnsi="仿宋" w:eastAsia="仿宋" w:cs="华文仿宋"/>
                <w:sz w:val="24"/>
                <w:szCs w:val="24"/>
                <w:highlight w:val="none"/>
              </w:rPr>
            </w:pPr>
            <w:r>
              <w:rPr>
                <w:rFonts w:hint="eastAsia" w:ascii="仿宋" w:hAnsi="仿宋" w:eastAsia="仿宋" w:cs="华文仿宋"/>
                <w:sz w:val="24"/>
                <w:szCs w:val="24"/>
                <w:highlight w:val="none"/>
              </w:rPr>
              <w:t>…</w:t>
            </w:r>
          </w:p>
        </w:tc>
        <w:tc>
          <w:tcPr>
            <w:tcW w:w="1279" w:type="dxa"/>
            <w:vAlign w:val="center"/>
          </w:tcPr>
          <w:p w14:paraId="7C9FBA67">
            <w:pPr>
              <w:spacing w:beforeAutospacing="0" w:afterAutospacing="0" w:line="560" w:lineRule="exact"/>
              <w:jc w:val="center"/>
              <w:rPr>
                <w:rFonts w:ascii="仿宋" w:hAnsi="仿宋" w:eastAsia="仿宋" w:cs="华文仿宋"/>
                <w:sz w:val="24"/>
                <w:szCs w:val="24"/>
                <w:highlight w:val="none"/>
              </w:rPr>
            </w:pPr>
          </w:p>
        </w:tc>
        <w:tc>
          <w:tcPr>
            <w:tcW w:w="1278" w:type="dxa"/>
            <w:vAlign w:val="center"/>
          </w:tcPr>
          <w:p w14:paraId="432750F9">
            <w:pPr>
              <w:spacing w:beforeAutospacing="0" w:afterAutospacing="0" w:line="560" w:lineRule="exact"/>
              <w:jc w:val="center"/>
              <w:rPr>
                <w:rFonts w:ascii="仿宋" w:hAnsi="仿宋" w:eastAsia="仿宋" w:cs="华文仿宋"/>
                <w:sz w:val="24"/>
                <w:szCs w:val="24"/>
                <w:highlight w:val="none"/>
              </w:rPr>
            </w:pPr>
          </w:p>
        </w:tc>
        <w:tc>
          <w:tcPr>
            <w:tcW w:w="1278" w:type="dxa"/>
            <w:vAlign w:val="center"/>
          </w:tcPr>
          <w:p w14:paraId="2758EBC0">
            <w:pPr>
              <w:spacing w:beforeAutospacing="0" w:afterAutospacing="0" w:line="560" w:lineRule="exact"/>
              <w:jc w:val="center"/>
              <w:rPr>
                <w:rFonts w:ascii="仿宋" w:hAnsi="仿宋" w:eastAsia="仿宋" w:cs="华文仿宋"/>
                <w:sz w:val="24"/>
                <w:szCs w:val="24"/>
                <w:highlight w:val="none"/>
              </w:rPr>
            </w:pPr>
          </w:p>
        </w:tc>
        <w:tc>
          <w:tcPr>
            <w:tcW w:w="1506" w:type="dxa"/>
          </w:tcPr>
          <w:p w14:paraId="3C52F502">
            <w:pPr>
              <w:spacing w:beforeAutospacing="0" w:afterAutospacing="0" w:line="560" w:lineRule="exact"/>
              <w:jc w:val="center"/>
              <w:rPr>
                <w:rFonts w:ascii="仿宋" w:hAnsi="仿宋" w:eastAsia="仿宋" w:cs="华文仿宋"/>
                <w:sz w:val="24"/>
                <w:szCs w:val="24"/>
                <w:highlight w:val="none"/>
              </w:rPr>
            </w:pPr>
          </w:p>
        </w:tc>
        <w:tc>
          <w:tcPr>
            <w:tcW w:w="1050" w:type="dxa"/>
          </w:tcPr>
          <w:p w14:paraId="3D5BFB29">
            <w:pPr>
              <w:spacing w:beforeAutospacing="0" w:afterAutospacing="0" w:line="560" w:lineRule="exact"/>
              <w:jc w:val="center"/>
              <w:rPr>
                <w:rFonts w:ascii="仿宋" w:hAnsi="仿宋" w:eastAsia="仿宋" w:cs="华文仿宋"/>
                <w:sz w:val="24"/>
                <w:szCs w:val="24"/>
                <w:highlight w:val="none"/>
              </w:rPr>
            </w:pPr>
          </w:p>
        </w:tc>
        <w:tc>
          <w:tcPr>
            <w:tcW w:w="1278" w:type="dxa"/>
          </w:tcPr>
          <w:p w14:paraId="58BEC2AA">
            <w:pPr>
              <w:spacing w:beforeAutospacing="0" w:afterAutospacing="0" w:line="560" w:lineRule="exact"/>
              <w:jc w:val="center"/>
              <w:rPr>
                <w:rFonts w:ascii="仿宋" w:hAnsi="仿宋" w:eastAsia="仿宋" w:cs="华文仿宋"/>
                <w:sz w:val="24"/>
                <w:szCs w:val="24"/>
                <w:highlight w:val="none"/>
              </w:rPr>
            </w:pPr>
          </w:p>
        </w:tc>
      </w:tr>
    </w:tbl>
    <w:p w14:paraId="4E9FC550">
      <w:pPr>
        <w:spacing w:beforeAutospacing="0" w:afterAutospacing="0" w:line="560" w:lineRule="exact"/>
        <w:ind w:firstLine="566" w:firstLineChars="200"/>
        <w:rPr>
          <w:rFonts w:ascii="仿宋" w:hAnsi="仿宋" w:eastAsia="仿宋" w:cs="华文仿宋"/>
          <w:b/>
          <w:bCs/>
          <w:highlight w:val="none"/>
        </w:rPr>
      </w:pPr>
      <w:r>
        <w:rPr>
          <w:rFonts w:hint="eastAsia" w:ascii="仿宋" w:hAnsi="仿宋" w:eastAsia="仿宋" w:cs="华文仿宋"/>
          <w:b/>
          <w:bCs/>
          <w:highlight w:val="none"/>
        </w:rPr>
        <w:t>（二）业绩合同样表（仅供参考）</w:t>
      </w:r>
    </w:p>
    <w:tbl>
      <w:tblPr>
        <w:tblStyle w:val="23"/>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736"/>
        <w:gridCol w:w="1701"/>
        <w:gridCol w:w="2557"/>
        <w:gridCol w:w="1984"/>
      </w:tblGrid>
      <w:tr w14:paraId="79D5F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11" w:type="dxa"/>
            <w:vAlign w:val="center"/>
          </w:tcPr>
          <w:p w14:paraId="4E601541">
            <w:pPr>
              <w:widowControl w:val="0"/>
              <w:adjustRightInd w:val="0"/>
              <w:snapToGrid w:val="0"/>
              <w:spacing w:beforeAutospacing="0" w:afterAutospacing="0" w:line="560" w:lineRule="exact"/>
              <w:jc w:val="center"/>
              <w:rPr>
                <w:rFonts w:ascii="仿宋" w:hAnsi="仿宋" w:eastAsia="仿宋"/>
                <w:b/>
                <w:sz w:val="24"/>
                <w:szCs w:val="24"/>
                <w:highlight w:val="none"/>
              </w:rPr>
            </w:pPr>
            <w:r>
              <w:rPr>
                <w:rFonts w:hint="eastAsia" w:ascii="仿宋" w:hAnsi="仿宋" w:eastAsia="仿宋"/>
                <w:b/>
                <w:sz w:val="24"/>
                <w:szCs w:val="24"/>
                <w:highlight w:val="none"/>
              </w:rPr>
              <w:t>序号</w:t>
            </w:r>
          </w:p>
        </w:tc>
        <w:tc>
          <w:tcPr>
            <w:tcW w:w="1736" w:type="dxa"/>
            <w:vAlign w:val="center"/>
          </w:tcPr>
          <w:p w14:paraId="129525D7">
            <w:pPr>
              <w:widowControl w:val="0"/>
              <w:adjustRightInd w:val="0"/>
              <w:snapToGrid w:val="0"/>
              <w:spacing w:beforeAutospacing="0" w:afterAutospacing="0" w:line="560" w:lineRule="exact"/>
              <w:jc w:val="center"/>
              <w:rPr>
                <w:rFonts w:ascii="仿宋" w:hAnsi="仿宋" w:eastAsia="仿宋"/>
                <w:b/>
                <w:sz w:val="24"/>
                <w:szCs w:val="24"/>
                <w:highlight w:val="none"/>
              </w:rPr>
            </w:pPr>
            <w:r>
              <w:rPr>
                <w:rFonts w:hint="eastAsia" w:ascii="仿宋" w:hAnsi="仿宋" w:eastAsia="仿宋"/>
                <w:b/>
                <w:sz w:val="24"/>
                <w:szCs w:val="24"/>
                <w:highlight w:val="none"/>
              </w:rPr>
              <w:t>合同签署日期</w:t>
            </w:r>
          </w:p>
        </w:tc>
        <w:tc>
          <w:tcPr>
            <w:tcW w:w="1701" w:type="dxa"/>
            <w:vAlign w:val="center"/>
          </w:tcPr>
          <w:p w14:paraId="6B96CB4F">
            <w:pPr>
              <w:widowControl w:val="0"/>
              <w:adjustRightInd w:val="0"/>
              <w:snapToGrid w:val="0"/>
              <w:spacing w:beforeAutospacing="0" w:afterAutospacing="0" w:line="560" w:lineRule="exact"/>
              <w:jc w:val="center"/>
              <w:rPr>
                <w:rFonts w:ascii="仿宋" w:hAnsi="仿宋" w:eastAsia="仿宋"/>
                <w:b/>
                <w:sz w:val="24"/>
                <w:szCs w:val="24"/>
                <w:highlight w:val="none"/>
              </w:rPr>
            </w:pPr>
            <w:r>
              <w:rPr>
                <w:rFonts w:hint="eastAsia" w:ascii="仿宋" w:hAnsi="仿宋" w:eastAsia="仿宋"/>
                <w:b/>
                <w:sz w:val="24"/>
                <w:szCs w:val="24"/>
                <w:highlight w:val="none"/>
              </w:rPr>
              <w:t>采购单位名称</w:t>
            </w:r>
          </w:p>
        </w:tc>
        <w:tc>
          <w:tcPr>
            <w:tcW w:w="2557" w:type="dxa"/>
            <w:vAlign w:val="center"/>
          </w:tcPr>
          <w:p w14:paraId="27AB4603">
            <w:pPr>
              <w:widowControl w:val="0"/>
              <w:adjustRightInd w:val="0"/>
              <w:snapToGrid w:val="0"/>
              <w:spacing w:beforeAutospacing="0" w:afterAutospacing="0" w:line="560" w:lineRule="exact"/>
              <w:jc w:val="center"/>
              <w:rPr>
                <w:rFonts w:ascii="仿宋" w:hAnsi="仿宋" w:eastAsia="仿宋"/>
                <w:b/>
                <w:sz w:val="24"/>
                <w:szCs w:val="24"/>
                <w:highlight w:val="none"/>
              </w:rPr>
            </w:pPr>
            <w:r>
              <w:rPr>
                <w:rFonts w:hint="eastAsia" w:ascii="仿宋" w:hAnsi="仿宋" w:eastAsia="仿宋"/>
                <w:b/>
                <w:sz w:val="24"/>
                <w:szCs w:val="24"/>
                <w:highlight w:val="none"/>
              </w:rPr>
              <w:t>服务名称/内容</w:t>
            </w:r>
          </w:p>
        </w:tc>
        <w:tc>
          <w:tcPr>
            <w:tcW w:w="1984" w:type="dxa"/>
            <w:vAlign w:val="center"/>
          </w:tcPr>
          <w:p w14:paraId="52505309">
            <w:pPr>
              <w:widowControl w:val="0"/>
              <w:adjustRightInd w:val="0"/>
              <w:snapToGrid w:val="0"/>
              <w:spacing w:beforeAutospacing="0" w:afterAutospacing="0" w:line="560" w:lineRule="exact"/>
              <w:jc w:val="center"/>
              <w:rPr>
                <w:rFonts w:ascii="仿宋" w:hAnsi="仿宋" w:eastAsia="仿宋"/>
                <w:b/>
                <w:sz w:val="24"/>
                <w:szCs w:val="24"/>
                <w:highlight w:val="none"/>
              </w:rPr>
            </w:pPr>
            <w:r>
              <w:rPr>
                <w:rFonts w:hint="eastAsia" w:ascii="仿宋" w:hAnsi="仿宋" w:eastAsia="仿宋"/>
                <w:b/>
                <w:sz w:val="24"/>
                <w:szCs w:val="24"/>
                <w:highlight w:val="none"/>
              </w:rPr>
              <w:t>资产总额</w:t>
            </w:r>
          </w:p>
        </w:tc>
      </w:tr>
      <w:tr w14:paraId="2801C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11" w:type="dxa"/>
            <w:vAlign w:val="center"/>
          </w:tcPr>
          <w:p w14:paraId="408BA585">
            <w:pPr>
              <w:widowControl w:val="0"/>
              <w:spacing w:beforeAutospacing="0" w:afterAutospacing="0" w:line="560" w:lineRule="exact"/>
              <w:jc w:val="center"/>
              <w:rPr>
                <w:rFonts w:ascii="仿宋" w:hAnsi="仿宋" w:eastAsia="仿宋"/>
                <w:sz w:val="24"/>
                <w:szCs w:val="24"/>
                <w:highlight w:val="none"/>
              </w:rPr>
            </w:pPr>
          </w:p>
        </w:tc>
        <w:tc>
          <w:tcPr>
            <w:tcW w:w="1736" w:type="dxa"/>
            <w:vAlign w:val="center"/>
          </w:tcPr>
          <w:p w14:paraId="3533DF7F">
            <w:pPr>
              <w:widowControl w:val="0"/>
              <w:spacing w:beforeAutospacing="0" w:afterAutospacing="0" w:line="560" w:lineRule="exact"/>
              <w:jc w:val="center"/>
              <w:rPr>
                <w:rFonts w:ascii="仿宋" w:hAnsi="仿宋" w:eastAsia="仿宋"/>
                <w:sz w:val="24"/>
                <w:szCs w:val="24"/>
                <w:highlight w:val="none"/>
              </w:rPr>
            </w:pPr>
          </w:p>
        </w:tc>
        <w:tc>
          <w:tcPr>
            <w:tcW w:w="1701" w:type="dxa"/>
            <w:vAlign w:val="center"/>
          </w:tcPr>
          <w:p w14:paraId="322A0193">
            <w:pPr>
              <w:widowControl w:val="0"/>
              <w:spacing w:beforeAutospacing="0" w:afterAutospacing="0" w:line="560" w:lineRule="exact"/>
              <w:jc w:val="center"/>
              <w:rPr>
                <w:rFonts w:ascii="仿宋" w:hAnsi="仿宋" w:eastAsia="仿宋"/>
                <w:sz w:val="24"/>
                <w:szCs w:val="24"/>
                <w:highlight w:val="none"/>
              </w:rPr>
            </w:pPr>
          </w:p>
        </w:tc>
        <w:tc>
          <w:tcPr>
            <w:tcW w:w="2557" w:type="dxa"/>
            <w:vAlign w:val="center"/>
          </w:tcPr>
          <w:p w14:paraId="2FEF4840">
            <w:pPr>
              <w:widowControl w:val="0"/>
              <w:spacing w:beforeAutospacing="0" w:afterAutospacing="0" w:line="560" w:lineRule="exact"/>
              <w:jc w:val="center"/>
              <w:rPr>
                <w:rFonts w:ascii="仿宋" w:hAnsi="仿宋" w:eastAsia="仿宋"/>
                <w:sz w:val="24"/>
                <w:szCs w:val="24"/>
                <w:highlight w:val="none"/>
              </w:rPr>
            </w:pPr>
          </w:p>
        </w:tc>
        <w:tc>
          <w:tcPr>
            <w:tcW w:w="1984" w:type="dxa"/>
            <w:vAlign w:val="center"/>
          </w:tcPr>
          <w:p w14:paraId="02D7C724">
            <w:pPr>
              <w:widowControl w:val="0"/>
              <w:spacing w:beforeAutospacing="0" w:afterAutospacing="0" w:line="560" w:lineRule="exact"/>
              <w:jc w:val="center"/>
              <w:rPr>
                <w:rFonts w:ascii="仿宋" w:hAnsi="仿宋" w:eastAsia="仿宋"/>
                <w:sz w:val="24"/>
                <w:szCs w:val="24"/>
                <w:highlight w:val="none"/>
              </w:rPr>
            </w:pPr>
          </w:p>
        </w:tc>
      </w:tr>
      <w:tr w14:paraId="4C00F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11" w:type="dxa"/>
            <w:vAlign w:val="center"/>
          </w:tcPr>
          <w:p w14:paraId="00AAFB80">
            <w:pPr>
              <w:widowControl w:val="0"/>
              <w:spacing w:beforeAutospacing="0" w:afterAutospacing="0" w:line="560" w:lineRule="exact"/>
              <w:jc w:val="center"/>
              <w:rPr>
                <w:rFonts w:ascii="仿宋" w:hAnsi="仿宋" w:eastAsia="仿宋"/>
                <w:sz w:val="24"/>
                <w:szCs w:val="24"/>
                <w:highlight w:val="none"/>
              </w:rPr>
            </w:pPr>
            <w:r>
              <w:rPr>
                <w:rFonts w:ascii="仿宋" w:hAnsi="仿宋" w:eastAsia="仿宋"/>
                <w:sz w:val="24"/>
                <w:szCs w:val="24"/>
                <w:highlight w:val="none"/>
              </w:rPr>
              <w:t>……</w:t>
            </w:r>
          </w:p>
        </w:tc>
        <w:tc>
          <w:tcPr>
            <w:tcW w:w="1736" w:type="dxa"/>
            <w:vAlign w:val="center"/>
          </w:tcPr>
          <w:p w14:paraId="5241E672">
            <w:pPr>
              <w:widowControl w:val="0"/>
              <w:spacing w:beforeAutospacing="0" w:afterAutospacing="0" w:line="560" w:lineRule="exact"/>
              <w:jc w:val="center"/>
              <w:rPr>
                <w:rFonts w:ascii="仿宋" w:hAnsi="仿宋" w:eastAsia="仿宋"/>
                <w:sz w:val="24"/>
                <w:szCs w:val="24"/>
                <w:highlight w:val="none"/>
              </w:rPr>
            </w:pPr>
          </w:p>
        </w:tc>
        <w:tc>
          <w:tcPr>
            <w:tcW w:w="1701" w:type="dxa"/>
            <w:vAlign w:val="center"/>
          </w:tcPr>
          <w:p w14:paraId="484E3CD9">
            <w:pPr>
              <w:widowControl w:val="0"/>
              <w:spacing w:beforeAutospacing="0" w:afterAutospacing="0" w:line="560" w:lineRule="exact"/>
              <w:jc w:val="center"/>
              <w:rPr>
                <w:rFonts w:ascii="仿宋" w:hAnsi="仿宋" w:eastAsia="仿宋"/>
                <w:sz w:val="24"/>
                <w:szCs w:val="24"/>
                <w:highlight w:val="none"/>
              </w:rPr>
            </w:pPr>
          </w:p>
        </w:tc>
        <w:tc>
          <w:tcPr>
            <w:tcW w:w="2557" w:type="dxa"/>
            <w:vAlign w:val="center"/>
          </w:tcPr>
          <w:p w14:paraId="61DBD481">
            <w:pPr>
              <w:widowControl w:val="0"/>
              <w:spacing w:beforeAutospacing="0" w:afterAutospacing="0" w:line="560" w:lineRule="exact"/>
              <w:jc w:val="center"/>
              <w:rPr>
                <w:rFonts w:ascii="仿宋" w:hAnsi="仿宋" w:eastAsia="仿宋"/>
                <w:sz w:val="24"/>
                <w:szCs w:val="24"/>
                <w:highlight w:val="none"/>
              </w:rPr>
            </w:pPr>
          </w:p>
        </w:tc>
        <w:tc>
          <w:tcPr>
            <w:tcW w:w="1984" w:type="dxa"/>
            <w:vAlign w:val="center"/>
          </w:tcPr>
          <w:p w14:paraId="21541D31">
            <w:pPr>
              <w:widowControl w:val="0"/>
              <w:spacing w:beforeAutospacing="0" w:afterAutospacing="0" w:line="560" w:lineRule="exact"/>
              <w:jc w:val="center"/>
              <w:rPr>
                <w:rFonts w:ascii="仿宋" w:hAnsi="仿宋" w:eastAsia="仿宋"/>
                <w:sz w:val="24"/>
                <w:szCs w:val="24"/>
                <w:highlight w:val="none"/>
              </w:rPr>
            </w:pPr>
          </w:p>
        </w:tc>
      </w:tr>
      <w:tr w14:paraId="269B8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789" w:type="dxa"/>
            <w:gridSpan w:val="5"/>
            <w:vAlign w:val="center"/>
          </w:tcPr>
          <w:p w14:paraId="4363F1D0">
            <w:pPr>
              <w:widowControl w:val="0"/>
              <w:spacing w:beforeAutospacing="0" w:afterAutospacing="0" w:line="560" w:lineRule="exact"/>
              <w:jc w:val="left"/>
              <w:rPr>
                <w:rFonts w:ascii="仿宋" w:hAnsi="仿宋" w:eastAsia="仿宋"/>
                <w:sz w:val="24"/>
                <w:szCs w:val="24"/>
                <w:highlight w:val="none"/>
              </w:rPr>
            </w:pPr>
            <w:r>
              <w:rPr>
                <w:rFonts w:hint="eastAsia" w:ascii="仿宋" w:hAnsi="仿宋" w:eastAsia="仿宋"/>
                <w:b/>
                <w:sz w:val="24"/>
                <w:szCs w:val="24"/>
                <w:highlight w:val="none"/>
              </w:rPr>
              <w:t>数量合计（个）</w:t>
            </w:r>
            <w:r>
              <w:rPr>
                <w:rFonts w:hint="eastAsia" w:ascii="仿宋" w:hAnsi="仿宋" w:eastAsia="仿宋"/>
                <w:sz w:val="24"/>
                <w:szCs w:val="24"/>
                <w:highlight w:val="none"/>
              </w:rPr>
              <w:t>：</w:t>
            </w:r>
          </w:p>
        </w:tc>
      </w:tr>
    </w:tbl>
    <w:p w14:paraId="2F616E40">
      <w:pPr>
        <w:spacing w:beforeAutospacing="0" w:afterAutospacing="0" w:line="560" w:lineRule="exact"/>
        <w:ind w:firstLine="566" w:firstLineChars="200"/>
        <w:rPr>
          <w:rFonts w:eastAsia="仿宋"/>
          <w:highlight w:val="none"/>
        </w:rPr>
      </w:pPr>
      <w:r>
        <w:rPr>
          <w:rFonts w:hint="eastAsia" w:eastAsia="仿宋"/>
          <w:highlight w:val="none"/>
        </w:rPr>
        <w:t xml:space="preserve">   </w:t>
      </w:r>
      <w:r>
        <w:rPr>
          <w:rFonts w:hint="eastAsia" w:eastAsia="仿宋"/>
          <w:sz w:val="24"/>
          <w:szCs w:val="24"/>
          <w:highlight w:val="none"/>
        </w:rPr>
        <w:t xml:space="preserve"> 备注：后附</w:t>
      </w:r>
      <w:r>
        <w:rPr>
          <w:rFonts w:hint="eastAsia" w:ascii="仿宋" w:hAnsi="仿宋" w:eastAsia="仿宋" w:cs="仿宋"/>
          <w:bCs/>
          <w:sz w:val="24"/>
          <w:szCs w:val="24"/>
          <w:highlight w:val="none"/>
        </w:rPr>
        <w:t>近一年以来同类项目业绩，以合同签订日期为准，并加盖供应商公章的合同关键页复印件。</w:t>
      </w:r>
    </w:p>
    <w:p w14:paraId="0B2D26F6">
      <w:pPr>
        <w:pStyle w:val="50"/>
        <w:spacing w:beforeAutospacing="0" w:afterAutospacing="0" w:line="560" w:lineRule="exact"/>
        <w:ind w:firstLine="646" w:firstLineChars="200"/>
        <w:jc w:val="left"/>
        <w:rPr>
          <w:highlight w:val="none"/>
        </w:rPr>
      </w:pPr>
      <w:bookmarkStart w:id="582" w:name="_Toc12603"/>
      <w:bookmarkStart w:id="583" w:name="_Toc17901"/>
      <w:bookmarkStart w:id="584" w:name="_Toc28681292"/>
      <w:bookmarkStart w:id="585" w:name="_Toc28058"/>
      <w:bookmarkStart w:id="586" w:name="_Toc17159"/>
      <w:bookmarkStart w:id="587" w:name="_Toc14992"/>
      <w:bookmarkStart w:id="588" w:name="_Toc28681584"/>
      <w:bookmarkStart w:id="589" w:name="_Toc13228"/>
      <w:bookmarkStart w:id="590" w:name="_Toc19018"/>
      <w:bookmarkStart w:id="591" w:name="_Toc31915"/>
      <w:bookmarkStart w:id="592" w:name="_Toc13192"/>
      <w:r>
        <w:rPr>
          <w:rFonts w:hint="eastAsia" w:ascii="仿宋" w:hAnsi="华文仿宋" w:eastAsia="仿宋" w:cs="华文仿宋"/>
          <w:sz w:val="32"/>
          <w:szCs w:val="32"/>
          <w:highlight w:val="none"/>
        </w:rPr>
        <w:t>四、供应商认为有利于本次谈判的其他情况说明。</w:t>
      </w:r>
      <w:bookmarkEnd w:id="582"/>
      <w:bookmarkEnd w:id="583"/>
      <w:bookmarkEnd w:id="584"/>
      <w:bookmarkEnd w:id="585"/>
      <w:bookmarkEnd w:id="586"/>
      <w:bookmarkEnd w:id="587"/>
      <w:bookmarkEnd w:id="588"/>
      <w:bookmarkEnd w:id="589"/>
      <w:bookmarkEnd w:id="590"/>
      <w:bookmarkEnd w:id="591"/>
      <w:bookmarkEnd w:id="592"/>
    </w:p>
    <w:p w14:paraId="3BFE12EC">
      <w:pPr>
        <w:rPr>
          <w:rFonts w:eastAsia="仿宋"/>
          <w:highlight w:val="none"/>
        </w:rPr>
      </w:pPr>
    </w:p>
    <w:p w14:paraId="4D1E7877">
      <w:pPr>
        <w:pStyle w:val="50"/>
        <w:ind w:firstLine="566" w:firstLineChars="200"/>
        <w:outlineLvl w:val="0"/>
        <w:rPr>
          <w:rFonts w:ascii="黑体" w:hAnsi="黑体" w:eastAsia="黑体" w:cs="黑体"/>
          <w:b w:val="0"/>
          <w:bCs w:val="0"/>
          <w:sz w:val="32"/>
          <w:szCs w:val="32"/>
          <w:highlight w:val="none"/>
        </w:rPr>
      </w:pPr>
      <w:r>
        <w:rPr>
          <w:highlight w:val="none"/>
        </w:rPr>
        <w:br w:type="page"/>
      </w:r>
      <w:bookmarkStart w:id="593" w:name="_Toc32728"/>
      <w:bookmarkStart w:id="594" w:name="_Toc6938"/>
      <w:bookmarkStart w:id="595" w:name="_Toc12580"/>
      <w:bookmarkStart w:id="596" w:name="_Toc22824"/>
      <w:bookmarkStart w:id="597" w:name="_Toc11950"/>
      <w:bookmarkStart w:id="598" w:name="_Toc16695"/>
      <w:bookmarkStart w:id="599" w:name="_Toc249"/>
      <w:bookmarkStart w:id="600" w:name="_Toc19551"/>
      <w:bookmarkStart w:id="601" w:name="_Toc4328"/>
      <w:bookmarkStart w:id="602" w:name="_Toc21029"/>
      <w:bookmarkStart w:id="603" w:name="_Toc28681293"/>
      <w:bookmarkStart w:id="604" w:name="_Toc26192"/>
      <w:bookmarkStart w:id="605" w:name="_Toc16537"/>
      <w:bookmarkStart w:id="606" w:name="_Toc12048"/>
      <w:r>
        <w:rPr>
          <w:rFonts w:hint="eastAsia" w:ascii="黑体" w:hAnsi="黑体" w:eastAsia="黑体" w:cs="黑体"/>
          <w:b w:val="0"/>
          <w:bCs w:val="0"/>
          <w:sz w:val="32"/>
          <w:szCs w:val="32"/>
          <w:highlight w:val="none"/>
        </w:rPr>
        <w:t>第四部分  响应文件封袋标识式样</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14:paraId="3F327F6B">
      <w:pPr>
        <w:ind w:firstLine="726" w:firstLineChars="200"/>
        <w:jc w:val="center"/>
        <w:rPr>
          <w:rFonts w:ascii="仿宋" w:hAnsi="仿宋" w:eastAsia="仿宋"/>
          <w:b/>
          <w:sz w:val="36"/>
          <w:szCs w:val="36"/>
          <w:highlight w:val="none"/>
        </w:rPr>
      </w:pPr>
    </w:p>
    <w:p w14:paraId="08593AC1">
      <w:pPr>
        <w:jc w:val="center"/>
        <w:rPr>
          <w:rFonts w:eastAsia="仿宋"/>
          <w:b/>
          <w:sz w:val="36"/>
          <w:szCs w:val="36"/>
          <w:highlight w:val="none"/>
        </w:rPr>
      </w:pPr>
    </w:p>
    <w:p w14:paraId="62BF0D14">
      <w:pPr>
        <w:pBdr>
          <w:top w:val="thickThinSmallGap" w:color="auto" w:sz="24" w:space="1"/>
          <w:left w:val="thickThinSmallGap" w:color="auto" w:sz="24" w:space="4"/>
          <w:bottom w:val="thinThickSmallGap" w:color="auto" w:sz="24" w:space="1"/>
          <w:right w:val="thinThickSmallGap" w:color="auto" w:sz="24" w:space="4"/>
        </w:pBdr>
        <w:spacing w:line="500" w:lineRule="exact"/>
        <w:ind w:firstLine="606" w:firstLineChars="200"/>
        <w:rPr>
          <w:rFonts w:ascii="仿宋" w:hAnsi="华文仿宋" w:eastAsia="仿宋" w:cs="华文仿宋"/>
          <w:sz w:val="30"/>
          <w:szCs w:val="30"/>
          <w:highlight w:val="none"/>
        </w:rPr>
      </w:pPr>
      <w:bookmarkStart w:id="607" w:name="_Toc522"/>
      <w:bookmarkStart w:id="608" w:name="_Toc9861"/>
      <w:bookmarkStart w:id="609" w:name="_Toc28571"/>
      <w:r>
        <w:rPr>
          <w:rFonts w:hint="eastAsia" w:ascii="仿宋" w:hAnsi="华文仿宋" w:eastAsia="仿宋" w:cs="华文仿宋"/>
          <w:sz w:val="30"/>
          <w:szCs w:val="30"/>
          <w:highlight w:val="none"/>
        </w:rPr>
        <w:t>致：陕西中发项目管理发展有限公司</w:t>
      </w:r>
      <w:bookmarkEnd w:id="607"/>
      <w:bookmarkEnd w:id="608"/>
      <w:bookmarkEnd w:id="609"/>
    </w:p>
    <w:p w14:paraId="737BA68F">
      <w:pPr>
        <w:pBdr>
          <w:top w:val="thickThinSmallGap" w:color="auto" w:sz="24" w:space="1"/>
          <w:left w:val="thickThinSmallGap" w:color="auto" w:sz="24" w:space="4"/>
          <w:bottom w:val="thinThickSmallGap" w:color="auto" w:sz="24" w:space="1"/>
          <w:right w:val="thinThickSmallGap" w:color="auto" w:sz="24" w:space="4"/>
        </w:pBdr>
        <w:spacing w:line="500" w:lineRule="exact"/>
        <w:ind w:firstLine="606" w:firstLineChars="200"/>
        <w:rPr>
          <w:rFonts w:ascii="仿宋" w:hAnsi="华文仿宋" w:eastAsia="仿宋" w:cs="华文仿宋"/>
          <w:sz w:val="30"/>
          <w:szCs w:val="30"/>
          <w:highlight w:val="none"/>
        </w:rPr>
      </w:pPr>
      <w:bookmarkStart w:id="610" w:name="_Toc18679"/>
      <w:bookmarkStart w:id="611" w:name="_Toc26279"/>
      <w:bookmarkStart w:id="612" w:name="_Toc4190"/>
      <w:r>
        <w:rPr>
          <w:rFonts w:hint="eastAsia" w:ascii="仿宋" w:hAnsi="华文仿宋" w:eastAsia="仿宋" w:cs="华文仿宋"/>
          <w:sz w:val="30"/>
          <w:szCs w:val="30"/>
          <w:highlight w:val="none"/>
        </w:rPr>
        <w:t>项目名称：</w:t>
      </w:r>
      <w:bookmarkEnd w:id="610"/>
      <w:bookmarkEnd w:id="611"/>
      <w:bookmarkEnd w:id="612"/>
      <w:r>
        <w:rPr>
          <w:rFonts w:hint="eastAsia" w:ascii="仿宋" w:hAnsi="华文仿宋" w:eastAsia="仿宋" w:cs="华文仿宋"/>
          <w:sz w:val="30"/>
          <w:szCs w:val="30"/>
          <w:highlight w:val="none"/>
          <w:u w:val="single"/>
        </w:rPr>
        <w:t xml:space="preserve">                       </w:t>
      </w:r>
    </w:p>
    <w:p w14:paraId="2582A605">
      <w:pPr>
        <w:pBdr>
          <w:top w:val="thickThinSmallGap" w:color="auto" w:sz="24" w:space="1"/>
          <w:left w:val="thickThinSmallGap" w:color="auto" w:sz="24" w:space="4"/>
          <w:bottom w:val="thinThickSmallGap" w:color="auto" w:sz="24" w:space="1"/>
          <w:right w:val="thinThickSmallGap" w:color="auto" w:sz="24" w:space="4"/>
        </w:pBdr>
        <w:spacing w:line="500" w:lineRule="exact"/>
        <w:ind w:firstLine="606" w:firstLineChars="200"/>
        <w:rPr>
          <w:rFonts w:ascii="仿宋" w:hAnsi="华文仿宋" w:eastAsia="仿宋" w:cs="华文仿宋"/>
          <w:sz w:val="30"/>
          <w:szCs w:val="30"/>
          <w:highlight w:val="none"/>
        </w:rPr>
      </w:pPr>
      <w:bookmarkStart w:id="613" w:name="_Toc29515"/>
      <w:bookmarkStart w:id="614" w:name="_Toc430"/>
      <w:bookmarkStart w:id="615" w:name="_Toc25487"/>
      <w:r>
        <w:rPr>
          <w:rFonts w:hint="eastAsia" w:ascii="仿宋" w:hAnsi="华文仿宋" w:eastAsia="仿宋" w:cs="华文仿宋"/>
          <w:sz w:val="30"/>
          <w:szCs w:val="30"/>
          <w:highlight w:val="none"/>
        </w:rPr>
        <w:t>项目编号：</w:t>
      </w:r>
      <w:bookmarkEnd w:id="613"/>
      <w:bookmarkEnd w:id="614"/>
      <w:bookmarkEnd w:id="615"/>
      <w:r>
        <w:rPr>
          <w:rFonts w:hint="eastAsia" w:ascii="仿宋" w:hAnsi="华文仿宋" w:eastAsia="仿宋" w:cs="华文仿宋"/>
          <w:sz w:val="30"/>
          <w:szCs w:val="30"/>
          <w:highlight w:val="none"/>
          <w:u w:val="single"/>
        </w:rPr>
        <w:t xml:space="preserve">                       </w:t>
      </w:r>
    </w:p>
    <w:p w14:paraId="6D761900">
      <w:pPr>
        <w:pBdr>
          <w:top w:val="thickThinSmallGap" w:color="auto" w:sz="24" w:space="1"/>
          <w:left w:val="thickThinSmallGap" w:color="auto" w:sz="24" w:space="4"/>
          <w:bottom w:val="thinThickSmallGap" w:color="auto" w:sz="24" w:space="1"/>
          <w:right w:val="thinThickSmallGap" w:color="auto" w:sz="24" w:space="4"/>
        </w:pBdr>
        <w:spacing w:line="500" w:lineRule="exact"/>
        <w:rPr>
          <w:rFonts w:ascii="仿宋" w:hAnsi="华文仿宋" w:eastAsia="仿宋" w:cs="华文仿宋"/>
          <w:sz w:val="30"/>
          <w:szCs w:val="30"/>
          <w:highlight w:val="none"/>
        </w:rPr>
      </w:pPr>
    </w:p>
    <w:p w14:paraId="3956DAFB">
      <w:pPr>
        <w:pBdr>
          <w:top w:val="thickThinSmallGap" w:color="auto" w:sz="24" w:space="1"/>
          <w:left w:val="thickThinSmallGap" w:color="auto" w:sz="24" w:space="4"/>
          <w:bottom w:val="thinThickSmallGap" w:color="auto" w:sz="24" w:space="1"/>
          <w:right w:val="thinThickSmallGap" w:color="auto" w:sz="24" w:space="4"/>
        </w:pBdr>
        <w:jc w:val="center"/>
        <w:rPr>
          <w:rFonts w:eastAsia="仿宋"/>
          <w:b/>
          <w:sz w:val="44"/>
          <w:szCs w:val="44"/>
          <w:highlight w:val="none"/>
        </w:rPr>
      </w:pPr>
    </w:p>
    <w:p w14:paraId="2ACA85CC">
      <w:pPr>
        <w:pBdr>
          <w:top w:val="thickThinSmallGap" w:color="auto" w:sz="24" w:space="1"/>
          <w:left w:val="thickThinSmallGap" w:color="auto" w:sz="24" w:space="4"/>
          <w:bottom w:val="thinThickSmallGap" w:color="auto" w:sz="24" w:space="1"/>
          <w:right w:val="thinThickSmallGap" w:color="auto" w:sz="24" w:space="4"/>
        </w:pBdr>
        <w:spacing w:line="240" w:lineRule="auto"/>
        <w:ind w:firstLine="806" w:firstLineChars="200"/>
        <w:jc w:val="center"/>
        <w:rPr>
          <w:rFonts w:eastAsia="仿宋"/>
          <w:sz w:val="36"/>
          <w:szCs w:val="44"/>
          <w:highlight w:val="none"/>
        </w:rPr>
      </w:pPr>
      <w:r>
        <w:rPr>
          <w:rFonts w:hint="eastAsia" w:ascii="黑体" w:hAnsi="黑体" w:eastAsia="黑体" w:cs="黑体"/>
          <w:sz w:val="40"/>
          <w:szCs w:val="48"/>
          <w:highlight w:val="none"/>
        </w:rPr>
        <w:t>响应文件（正本/副本、电子件）</w:t>
      </w:r>
    </w:p>
    <w:p w14:paraId="3EBFBC28">
      <w:pPr>
        <w:pBdr>
          <w:top w:val="thickThinSmallGap" w:color="auto" w:sz="24" w:space="1"/>
          <w:left w:val="thickThinSmallGap" w:color="auto" w:sz="24" w:space="4"/>
          <w:bottom w:val="thinThickSmallGap" w:color="auto" w:sz="24" w:space="1"/>
          <w:right w:val="thinThickSmallGap" w:color="auto" w:sz="24" w:space="4"/>
        </w:pBdr>
        <w:spacing w:line="500" w:lineRule="exact"/>
        <w:ind w:firstLine="566" w:firstLineChars="200"/>
        <w:jc w:val="center"/>
        <w:rPr>
          <w:rFonts w:ascii="仿宋" w:hAnsi="华文仿宋" w:eastAsia="仿宋" w:cs="华文仿宋"/>
          <w:highlight w:val="none"/>
        </w:rPr>
      </w:pPr>
      <w:r>
        <w:rPr>
          <w:rFonts w:hint="eastAsia" w:ascii="仿宋" w:hAnsi="华文仿宋" w:eastAsia="仿宋" w:cs="华文仿宋"/>
          <w:highlight w:val="none"/>
        </w:rPr>
        <w:t>（在规定的开启时间前不得启封）</w:t>
      </w:r>
    </w:p>
    <w:p w14:paraId="03C840A5">
      <w:pPr>
        <w:pBdr>
          <w:top w:val="thickThinSmallGap" w:color="auto" w:sz="24" w:space="1"/>
          <w:left w:val="thickThinSmallGap" w:color="auto" w:sz="24" w:space="4"/>
          <w:bottom w:val="thinThickSmallGap" w:color="auto" w:sz="24" w:space="1"/>
          <w:right w:val="thinThickSmallGap" w:color="auto" w:sz="24" w:space="4"/>
        </w:pBdr>
        <w:spacing w:line="500" w:lineRule="exact"/>
        <w:jc w:val="center"/>
        <w:rPr>
          <w:rFonts w:ascii="仿宋" w:hAnsi="华文仿宋" w:eastAsia="仿宋" w:cs="华文仿宋"/>
          <w:highlight w:val="none"/>
        </w:rPr>
      </w:pPr>
    </w:p>
    <w:p w14:paraId="6F18F6A0">
      <w:pPr>
        <w:pBdr>
          <w:top w:val="thickThinSmallGap" w:color="auto" w:sz="24" w:space="1"/>
          <w:left w:val="thickThinSmallGap" w:color="auto" w:sz="24" w:space="4"/>
          <w:bottom w:val="thinThickSmallGap" w:color="auto" w:sz="24" w:space="1"/>
          <w:right w:val="thinThickSmallGap" w:color="auto" w:sz="24" w:space="4"/>
        </w:pBdr>
        <w:spacing w:line="500" w:lineRule="exact"/>
        <w:jc w:val="center"/>
        <w:rPr>
          <w:rFonts w:ascii="仿宋" w:hAnsi="华文仿宋" w:eastAsia="仿宋" w:cs="华文仿宋"/>
          <w:highlight w:val="none"/>
        </w:rPr>
      </w:pPr>
    </w:p>
    <w:p w14:paraId="7021C7E1">
      <w:pPr>
        <w:pBdr>
          <w:top w:val="thickThinSmallGap" w:color="auto" w:sz="24" w:space="1"/>
          <w:left w:val="thickThinSmallGap" w:color="auto" w:sz="24" w:space="4"/>
          <w:bottom w:val="thinThickSmallGap" w:color="auto" w:sz="24" w:space="1"/>
          <w:right w:val="thinThickSmallGap" w:color="auto" w:sz="24" w:space="4"/>
        </w:pBdr>
        <w:spacing w:line="500" w:lineRule="exact"/>
        <w:ind w:firstLine="606" w:firstLineChars="200"/>
        <w:rPr>
          <w:rFonts w:ascii="仿宋" w:hAnsi="华文仿宋" w:eastAsia="仿宋" w:cs="华文仿宋"/>
          <w:sz w:val="30"/>
          <w:szCs w:val="30"/>
          <w:highlight w:val="none"/>
        </w:rPr>
      </w:pPr>
      <w:bookmarkStart w:id="616" w:name="_Toc5396"/>
      <w:bookmarkStart w:id="617" w:name="_Toc7052"/>
      <w:bookmarkStart w:id="618" w:name="_Toc6486"/>
      <w:r>
        <w:rPr>
          <w:rFonts w:hint="eastAsia" w:ascii="仿宋" w:hAnsi="华文仿宋" w:eastAsia="仿宋" w:cs="华文仿宋"/>
          <w:sz w:val="30"/>
          <w:szCs w:val="30"/>
          <w:highlight w:val="none"/>
        </w:rPr>
        <w:t>供应商：</w:t>
      </w:r>
      <w:r>
        <w:rPr>
          <w:rFonts w:hint="eastAsia" w:ascii="仿宋" w:hAnsi="华文仿宋" w:eastAsia="仿宋" w:cs="华文仿宋"/>
          <w:sz w:val="30"/>
          <w:szCs w:val="30"/>
          <w:highlight w:val="none"/>
          <w:u w:val="single"/>
        </w:rPr>
        <w:t xml:space="preserve">                </w:t>
      </w:r>
      <w:r>
        <w:rPr>
          <w:rFonts w:hint="eastAsia" w:ascii="仿宋" w:hAnsi="华文仿宋" w:eastAsia="仿宋" w:cs="华文仿宋"/>
          <w:sz w:val="30"/>
          <w:szCs w:val="30"/>
          <w:highlight w:val="none"/>
        </w:rPr>
        <w:t>（加盖公章）</w:t>
      </w:r>
      <w:bookmarkEnd w:id="616"/>
      <w:bookmarkEnd w:id="617"/>
      <w:bookmarkEnd w:id="618"/>
    </w:p>
    <w:p w14:paraId="636519FD">
      <w:pPr>
        <w:pBdr>
          <w:top w:val="thickThinSmallGap" w:color="auto" w:sz="24" w:space="1"/>
          <w:left w:val="thickThinSmallGap" w:color="auto" w:sz="24" w:space="4"/>
          <w:bottom w:val="thinThickSmallGap" w:color="auto" w:sz="24" w:space="1"/>
          <w:right w:val="thinThickSmallGap" w:color="auto" w:sz="24" w:space="4"/>
        </w:pBdr>
        <w:tabs>
          <w:tab w:val="left" w:pos="5670"/>
        </w:tabs>
        <w:spacing w:line="500" w:lineRule="exact"/>
        <w:ind w:firstLine="606" w:firstLineChars="200"/>
        <w:rPr>
          <w:rFonts w:ascii="仿宋" w:hAnsi="华文仿宋" w:eastAsia="仿宋" w:cs="华文仿宋"/>
          <w:highlight w:val="none"/>
          <w:u w:val="single"/>
        </w:rPr>
      </w:pPr>
      <w:bookmarkStart w:id="619" w:name="_Toc6826"/>
      <w:bookmarkStart w:id="620" w:name="_Toc8049"/>
      <w:bookmarkStart w:id="621" w:name="_Toc2347"/>
      <w:r>
        <w:rPr>
          <w:rFonts w:hint="eastAsia" w:ascii="仿宋" w:hAnsi="华文仿宋" w:eastAsia="仿宋" w:cs="华文仿宋"/>
          <w:sz w:val="30"/>
          <w:szCs w:val="30"/>
          <w:highlight w:val="none"/>
          <w:lang w:val="en-US" w:eastAsia="zh-CN"/>
        </w:rPr>
        <w:t>日  期</w:t>
      </w:r>
      <w:r>
        <w:rPr>
          <w:rFonts w:hint="eastAsia" w:ascii="仿宋" w:hAnsi="华文仿宋" w:eastAsia="仿宋" w:cs="华文仿宋"/>
          <w:sz w:val="30"/>
          <w:szCs w:val="30"/>
          <w:highlight w:val="none"/>
        </w:rPr>
        <w:t>：</w:t>
      </w:r>
      <w:r>
        <w:rPr>
          <w:rFonts w:hint="eastAsia" w:ascii="仿宋" w:hAnsi="华文仿宋" w:eastAsia="仿宋" w:cs="华文仿宋"/>
          <w:sz w:val="30"/>
          <w:szCs w:val="30"/>
          <w:highlight w:val="none"/>
          <w:u w:val="single"/>
        </w:rPr>
        <w:t xml:space="preserve">                 </w:t>
      </w:r>
      <w:bookmarkEnd w:id="619"/>
      <w:bookmarkEnd w:id="620"/>
      <w:bookmarkEnd w:id="621"/>
    </w:p>
    <w:p w14:paraId="385B4A99">
      <w:pPr>
        <w:spacing w:line="240" w:lineRule="auto"/>
        <w:rPr>
          <w:rFonts w:ascii="黑体" w:hAnsi="黑体" w:eastAsia="黑体"/>
          <w:b/>
          <w:highlight w:val="none"/>
        </w:rPr>
      </w:pPr>
    </w:p>
    <w:p w14:paraId="02908072">
      <w:pPr>
        <w:ind w:firstLine="566" w:firstLineChars="200"/>
        <w:jc w:val="left"/>
        <w:rPr>
          <w:rFonts w:ascii="仿宋" w:hAnsi="仿宋" w:eastAsia="仿宋"/>
          <w:highlight w:val="none"/>
        </w:rPr>
      </w:pPr>
    </w:p>
    <w:sectPr>
      <w:footerReference r:id="rId8" w:type="first"/>
      <w:footerReference r:id="rId7" w:type="default"/>
      <w:pgSz w:w="11906" w:h="16838"/>
      <w:pgMar w:top="1440" w:right="1276" w:bottom="1440" w:left="1276" w:header="850" w:footer="992" w:gutter="0"/>
      <w:pgNumType w:fmt="decimal" w:start="1"/>
      <w:cols w:space="0" w:num="1"/>
      <w:titlePg/>
      <w:docGrid w:type="linesAndChars" w:linePitch="387"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AFD16D6-D3A8-41ED-9F76-A9A4CA569C7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embedRegular r:id="rId2" w:fontKey="{BBAA8AFC-66DD-4348-9B6F-3125191D0B5B}"/>
  </w:font>
  <w:font w:name="华文仿宋">
    <w:panose1 w:val="02010600040101010101"/>
    <w:charset w:val="86"/>
    <w:family w:val="auto"/>
    <w:pitch w:val="default"/>
    <w:sig w:usb0="00000287" w:usb1="080F0000" w:usb2="00000000" w:usb3="00000000" w:csb0="0004009F" w:csb1="DFD70000"/>
    <w:embedRegular r:id="rId3" w:fontKey="{87578747-6C67-43F9-A4F2-E3D929F2903D}"/>
  </w:font>
  <w:font w:name="仿宋">
    <w:panose1 w:val="02010609060101010101"/>
    <w:charset w:val="86"/>
    <w:family w:val="modern"/>
    <w:pitch w:val="default"/>
    <w:sig w:usb0="800002BF" w:usb1="38CF7CFA" w:usb2="00000016" w:usb3="00000000" w:csb0="00040001" w:csb1="00000000"/>
    <w:embedRegular r:id="rId4" w:fontKey="{F72FDF2D-5F90-416D-A41A-EB05CFCCA0ED}"/>
  </w:font>
  <w:font w:name="仿宋_GB2312">
    <w:panose1 w:val="02010609030101010101"/>
    <w:charset w:val="86"/>
    <w:family w:val="modern"/>
    <w:pitch w:val="default"/>
    <w:sig w:usb0="00000001" w:usb1="080E0000" w:usb2="00000000" w:usb3="00000000" w:csb0="00040000" w:csb1="00000000"/>
    <w:embedRegular r:id="rId5" w:fontKey="{35AE69A4-353E-493F-B4AC-1A2029F43F3B}"/>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embedRegular r:id="rId6" w:fontKey="{A7CCAECD-CBB8-4498-A506-66911175D20D}"/>
  </w:font>
  <w:font w:name="楷体_GB2312">
    <w:panose1 w:val="02010609030101010101"/>
    <w:charset w:val="86"/>
    <w:family w:val="modern"/>
    <w:pitch w:val="default"/>
    <w:sig w:usb0="00000001" w:usb1="080E0000" w:usb2="00000000" w:usb3="00000000" w:csb0="00040000" w:csb1="00000000"/>
    <w:embedRegular r:id="rId7" w:fontKey="{BA01E835-7B48-46A5-AA53-2D1C6776A8FB}"/>
  </w:font>
  <w:font w:name="宋体-18030">
    <w:altName w:val="微软雅黑"/>
    <w:panose1 w:val="00000000000000000000"/>
    <w:charset w:val="86"/>
    <w:family w:val="modern"/>
    <w:pitch w:val="default"/>
    <w:sig w:usb0="00000000" w:usb1="00000000" w:usb2="000A005E" w:usb3="00000000" w:csb0="00040001" w:csb1="00000000"/>
    <w:embedRegular r:id="rId8" w:fontKey="{5ADE4E9B-8C74-471F-A130-5B893F26A0B6}"/>
  </w:font>
  <w:font w:name="WPSEMBED1">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109E7">
    <w:pPr>
      <w:tabs>
        <w:tab w:val="left" w:pos="5230"/>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6C811A">
                          <w:pPr>
                            <w:pStyle w:val="16"/>
                            <w:rPr>
                              <w:rFonts w:hint="eastAsia" w:ascii="宋体" w:hAnsi="宋体" w:eastAsia="宋体" w:cs="宋体"/>
                              <w:sz w:val="22"/>
                              <w:szCs w:val="40"/>
                            </w:rPr>
                          </w:pPr>
                          <w:r>
                            <w:rPr>
                              <w:rFonts w:hint="eastAsia" w:ascii="宋体" w:hAnsi="宋体" w:eastAsia="宋体" w:cs="宋体"/>
                              <w:sz w:val="22"/>
                              <w:szCs w:val="40"/>
                            </w:rPr>
                            <w:t xml:space="preserve">— </w:t>
                          </w:r>
                          <w:r>
                            <w:rPr>
                              <w:rFonts w:hint="eastAsia" w:ascii="宋体" w:hAnsi="宋体" w:eastAsia="宋体" w:cs="宋体"/>
                              <w:sz w:val="22"/>
                              <w:szCs w:val="40"/>
                            </w:rPr>
                            <w:fldChar w:fldCharType="begin"/>
                          </w:r>
                          <w:r>
                            <w:rPr>
                              <w:rFonts w:hint="eastAsia" w:ascii="宋体" w:hAnsi="宋体" w:eastAsia="宋体" w:cs="宋体"/>
                              <w:sz w:val="22"/>
                              <w:szCs w:val="40"/>
                            </w:rPr>
                            <w:instrText xml:space="preserve"> PAGE  \* MERGEFORMAT </w:instrText>
                          </w:r>
                          <w:r>
                            <w:rPr>
                              <w:rFonts w:hint="eastAsia" w:ascii="宋体" w:hAnsi="宋体" w:eastAsia="宋体" w:cs="宋体"/>
                              <w:sz w:val="22"/>
                              <w:szCs w:val="40"/>
                            </w:rPr>
                            <w:fldChar w:fldCharType="separate"/>
                          </w:r>
                          <w:r>
                            <w:rPr>
                              <w:rFonts w:hint="eastAsia" w:ascii="宋体" w:hAnsi="宋体" w:eastAsia="宋体" w:cs="宋体"/>
                              <w:sz w:val="22"/>
                              <w:szCs w:val="40"/>
                            </w:rPr>
                            <w:t>23</w:t>
                          </w:r>
                          <w:r>
                            <w:rPr>
                              <w:rFonts w:hint="eastAsia" w:ascii="宋体" w:hAnsi="宋体" w:eastAsia="宋体" w:cs="宋体"/>
                              <w:sz w:val="22"/>
                              <w:szCs w:val="40"/>
                            </w:rPr>
                            <w:fldChar w:fldCharType="end"/>
                          </w:r>
                          <w:r>
                            <w:rPr>
                              <w:rFonts w:hint="eastAsia" w:ascii="宋体" w:hAnsi="宋体" w:eastAsia="宋体" w:cs="宋体"/>
                              <w:sz w:val="22"/>
                              <w:szCs w:val="40"/>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036C811A">
                    <w:pPr>
                      <w:pStyle w:val="16"/>
                      <w:rPr>
                        <w:rFonts w:hint="eastAsia" w:ascii="宋体" w:hAnsi="宋体" w:eastAsia="宋体" w:cs="宋体"/>
                        <w:sz w:val="22"/>
                        <w:szCs w:val="40"/>
                      </w:rPr>
                    </w:pPr>
                    <w:r>
                      <w:rPr>
                        <w:rFonts w:hint="eastAsia" w:ascii="宋体" w:hAnsi="宋体" w:eastAsia="宋体" w:cs="宋体"/>
                        <w:sz w:val="22"/>
                        <w:szCs w:val="40"/>
                      </w:rPr>
                      <w:t xml:space="preserve">— </w:t>
                    </w:r>
                    <w:r>
                      <w:rPr>
                        <w:rFonts w:hint="eastAsia" w:ascii="宋体" w:hAnsi="宋体" w:eastAsia="宋体" w:cs="宋体"/>
                        <w:sz w:val="22"/>
                        <w:szCs w:val="40"/>
                      </w:rPr>
                      <w:fldChar w:fldCharType="begin"/>
                    </w:r>
                    <w:r>
                      <w:rPr>
                        <w:rFonts w:hint="eastAsia" w:ascii="宋体" w:hAnsi="宋体" w:eastAsia="宋体" w:cs="宋体"/>
                        <w:sz w:val="22"/>
                        <w:szCs w:val="40"/>
                      </w:rPr>
                      <w:instrText xml:space="preserve"> PAGE  \* MERGEFORMAT </w:instrText>
                    </w:r>
                    <w:r>
                      <w:rPr>
                        <w:rFonts w:hint="eastAsia" w:ascii="宋体" w:hAnsi="宋体" w:eastAsia="宋体" w:cs="宋体"/>
                        <w:sz w:val="22"/>
                        <w:szCs w:val="40"/>
                      </w:rPr>
                      <w:fldChar w:fldCharType="separate"/>
                    </w:r>
                    <w:r>
                      <w:rPr>
                        <w:rFonts w:hint="eastAsia" w:ascii="宋体" w:hAnsi="宋体" w:eastAsia="宋体" w:cs="宋体"/>
                        <w:sz w:val="22"/>
                        <w:szCs w:val="40"/>
                      </w:rPr>
                      <w:t>23</w:t>
                    </w:r>
                    <w:r>
                      <w:rPr>
                        <w:rFonts w:hint="eastAsia" w:ascii="宋体" w:hAnsi="宋体" w:eastAsia="宋体" w:cs="宋体"/>
                        <w:sz w:val="22"/>
                        <w:szCs w:val="40"/>
                      </w:rPr>
                      <w:fldChar w:fldCharType="end"/>
                    </w:r>
                    <w:r>
                      <w:rPr>
                        <w:rFonts w:hint="eastAsia" w:ascii="宋体" w:hAnsi="宋体" w:eastAsia="宋体" w:cs="宋体"/>
                        <w:sz w:val="22"/>
                        <w:szCs w:val="40"/>
                      </w:rPr>
                      <w:t xml:space="preserve"> —</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7EA89B">
                          <w:pPr>
                            <w:pStyle w:val="1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6F7EA89B">
                    <w:pPr>
                      <w:pStyle w:val="16"/>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258696">
                          <w:pPr>
                            <w:pStyle w:val="1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77258696">
                    <w:pPr>
                      <w:pStyle w:val="16"/>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CA403">
    <w:pPr>
      <w:tabs>
        <w:tab w:val="left" w:pos="5230"/>
      </w:tabs>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B4D980">
                          <w:pPr>
                            <w:pStyle w:val="16"/>
                            <w:rPr>
                              <w:rFonts w:hint="eastAsia" w:ascii="宋体" w:hAnsi="宋体" w:eastAsia="宋体" w:cs="宋体"/>
                              <w:sz w:val="22"/>
                              <w:szCs w:val="40"/>
                            </w:rPr>
                          </w:pPr>
                          <w:r>
                            <w:rPr>
                              <w:rFonts w:hint="eastAsia" w:ascii="宋体" w:hAnsi="宋体" w:eastAsia="宋体" w:cs="宋体"/>
                              <w:sz w:val="22"/>
                              <w:szCs w:val="40"/>
                            </w:rPr>
                            <w:t xml:space="preserve">— </w:t>
                          </w:r>
                          <w:r>
                            <w:rPr>
                              <w:rFonts w:hint="eastAsia" w:ascii="宋体" w:hAnsi="宋体" w:eastAsia="宋体" w:cs="宋体"/>
                              <w:sz w:val="22"/>
                              <w:szCs w:val="40"/>
                            </w:rPr>
                            <w:fldChar w:fldCharType="begin"/>
                          </w:r>
                          <w:r>
                            <w:rPr>
                              <w:rFonts w:hint="eastAsia" w:ascii="宋体" w:hAnsi="宋体" w:eastAsia="宋体" w:cs="宋体"/>
                              <w:sz w:val="22"/>
                              <w:szCs w:val="40"/>
                            </w:rPr>
                            <w:instrText xml:space="preserve"> PAGE  \* MERGEFORMAT </w:instrText>
                          </w:r>
                          <w:r>
                            <w:rPr>
                              <w:rFonts w:hint="eastAsia" w:ascii="宋体" w:hAnsi="宋体" w:eastAsia="宋体" w:cs="宋体"/>
                              <w:sz w:val="22"/>
                              <w:szCs w:val="40"/>
                            </w:rPr>
                            <w:fldChar w:fldCharType="separate"/>
                          </w:r>
                          <w:r>
                            <w:rPr>
                              <w:rFonts w:hint="eastAsia" w:ascii="宋体" w:hAnsi="宋体" w:eastAsia="宋体" w:cs="宋体"/>
                              <w:sz w:val="22"/>
                              <w:szCs w:val="40"/>
                            </w:rPr>
                            <w:t>2</w:t>
                          </w:r>
                          <w:r>
                            <w:rPr>
                              <w:rFonts w:hint="eastAsia" w:ascii="宋体" w:hAnsi="宋体" w:eastAsia="宋体" w:cs="宋体"/>
                              <w:sz w:val="22"/>
                              <w:szCs w:val="40"/>
                            </w:rPr>
                            <w:fldChar w:fldCharType="end"/>
                          </w:r>
                          <w:r>
                            <w:rPr>
                              <w:rFonts w:hint="eastAsia" w:ascii="宋体" w:hAnsi="宋体" w:eastAsia="宋体" w:cs="宋体"/>
                              <w:sz w:val="22"/>
                              <w:szCs w:val="40"/>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0B4D980">
                    <w:pPr>
                      <w:pStyle w:val="16"/>
                      <w:rPr>
                        <w:rFonts w:hint="eastAsia" w:ascii="宋体" w:hAnsi="宋体" w:eastAsia="宋体" w:cs="宋体"/>
                        <w:sz w:val="22"/>
                        <w:szCs w:val="40"/>
                      </w:rPr>
                    </w:pPr>
                    <w:r>
                      <w:rPr>
                        <w:rFonts w:hint="eastAsia" w:ascii="宋体" w:hAnsi="宋体" w:eastAsia="宋体" w:cs="宋体"/>
                        <w:sz w:val="22"/>
                        <w:szCs w:val="40"/>
                      </w:rPr>
                      <w:t xml:space="preserve">— </w:t>
                    </w:r>
                    <w:r>
                      <w:rPr>
                        <w:rFonts w:hint="eastAsia" w:ascii="宋体" w:hAnsi="宋体" w:eastAsia="宋体" w:cs="宋体"/>
                        <w:sz w:val="22"/>
                        <w:szCs w:val="40"/>
                      </w:rPr>
                      <w:fldChar w:fldCharType="begin"/>
                    </w:r>
                    <w:r>
                      <w:rPr>
                        <w:rFonts w:hint="eastAsia" w:ascii="宋体" w:hAnsi="宋体" w:eastAsia="宋体" w:cs="宋体"/>
                        <w:sz w:val="22"/>
                        <w:szCs w:val="40"/>
                      </w:rPr>
                      <w:instrText xml:space="preserve"> PAGE  \* MERGEFORMAT </w:instrText>
                    </w:r>
                    <w:r>
                      <w:rPr>
                        <w:rFonts w:hint="eastAsia" w:ascii="宋体" w:hAnsi="宋体" w:eastAsia="宋体" w:cs="宋体"/>
                        <w:sz w:val="22"/>
                        <w:szCs w:val="40"/>
                      </w:rPr>
                      <w:fldChar w:fldCharType="separate"/>
                    </w:r>
                    <w:r>
                      <w:rPr>
                        <w:rFonts w:hint="eastAsia" w:ascii="宋体" w:hAnsi="宋体" w:eastAsia="宋体" w:cs="宋体"/>
                        <w:sz w:val="22"/>
                        <w:szCs w:val="40"/>
                      </w:rPr>
                      <w:t>2</w:t>
                    </w:r>
                    <w:r>
                      <w:rPr>
                        <w:rFonts w:hint="eastAsia" w:ascii="宋体" w:hAnsi="宋体" w:eastAsia="宋体" w:cs="宋体"/>
                        <w:sz w:val="22"/>
                        <w:szCs w:val="40"/>
                      </w:rPr>
                      <w:fldChar w:fldCharType="end"/>
                    </w:r>
                    <w:r>
                      <w:rPr>
                        <w:rFonts w:hint="eastAsia" w:ascii="宋体" w:hAnsi="宋体" w:eastAsia="宋体" w:cs="宋体"/>
                        <w:sz w:val="22"/>
                        <w:szCs w:val="40"/>
                      </w:rPr>
                      <w:t xml:space="preserve"> —</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0B5E02">
                          <w:pPr>
                            <w:pStyle w:val="1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F0B5E02">
                    <w:pPr>
                      <w:pStyle w:val="16"/>
                    </w:pP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A01C0E">
                          <w:pPr>
                            <w:pStyle w:val="1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3A01C0E">
                    <w:pPr>
                      <w:pStyle w:val="16"/>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84F01">
    <w:pPr>
      <w:pStyle w:val="16"/>
    </w:pPr>
    <w:r>
      <w:rPr>
        <w:sz w:val="18"/>
      </w:rPr>
      <mc:AlternateContent>
        <mc:Choice Requires="wps">
          <w:drawing>
            <wp:anchor distT="0" distB="0" distL="114300" distR="114300" simplePos="0" relativeHeight="251663360" behindDoc="0" locked="0" layoutInCell="1" allowOverlap="1">
              <wp:simplePos x="0" y="0"/>
              <wp:positionH relativeFrom="margin">
                <wp:posOffset>2778125</wp:posOffset>
              </wp:positionH>
              <wp:positionV relativeFrom="paragraph">
                <wp:posOffset>-132080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A23108">
                          <w:pPr>
                            <w:pStyle w:val="16"/>
                            <w:rPr>
                              <w:rFonts w:hint="eastAsia" w:ascii="宋体" w:hAnsi="宋体" w:eastAsia="宋体" w:cs="宋体"/>
                              <w:sz w:val="22"/>
                              <w:szCs w:val="22"/>
                            </w:rPr>
                          </w:pPr>
                          <w:r>
                            <w:rPr>
                              <w:rFonts w:hint="eastAsia" w:ascii="宋体" w:hAnsi="宋体" w:eastAsia="宋体" w:cs="宋体"/>
                              <w:sz w:val="22"/>
                              <w:szCs w:val="22"/>
                            </w:rPr>
                            <w:t xml:space="preserve">— </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  \* MERGEFORMAT </w:instrText>
                          </w:r>
                          <w:r>
                            <w:rPr>
                              <w:rFonts w:hint="eastAsia" w:ascii="宋体" w:hAnsi="宋体" w:eastAsia="宋体" w:cs="宋体"/>
                              <w:sz w:val="22"/>
                              <w:szCs w:val="22"/>
                            </w:rPr>
                            <w:fldChar w:fldCharType="separate"/>
                          </w:r>
                          <w:r>
                            <w:rPr>
                              <w:rFonts w:hint="eastAsia" w:ascii="宋体" w:hAnsi="宋体" w:eastAsia="宋体" w:cs="宋体"/>
                              <w:sz w:val="22"/>
                              <w:szCs w:val="22"/>
                            </w:rPr>
                            <w:t>1</w:t>
                          </w:r>
                          <w:r>
                            <w:rPr>
                              <w:rFonts w:hint="eastAsia" w:ascii="宋体" w:hAnsi="宋体" w:eastAsia="宋体" w:cs="宋体"/>
                              <w:sz w:val="22"/>
                              <w:szCs w:val="22"/>
                            </w:rPr>
                            <w:fldChar w:fldCharType="end"/>
                          </w:r>
                          <w:r>
                            <w:rPr>
                              <w:rFonts w:hint="eastAsia" w:ascii="宋体" w:hAnsi="宋体" w:eastAsia="宋体" w:cs="宋体"/>
                              <w:sz w:val="22"/>
                              <w:szCs w:val="2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8.75pt;margin-top:-10.4pt;height:144pt;width:144pt;mso-position-horizontal-relative:margin;mso-wrap-style:none;z-index:251663360;mso-width-relative:page;mso-height-relative:page;" filled="f" stroked="f" coordsize="21600,21600" o:gfxdata="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s7WxrYAAAACwEAAA8AAAAAAAAAAQAgAAAAIgAAAGRycy9kb3ducmV2Lnht&#10;bFBLAQIUABQAAAAIAIdO4kC6jDgrMgIAAGEEAAAOAAAAAAAAAAEAIAAAACcBAABkcnMvZTJvRG9j&#10;LnhtbFBLBQYAAAAABgAGAFkBAADLBQAAAAA=&#10;">
              <v:fill on="f" focussize="0,0"/>
              <v:stroke on="f" weight="0.5pt"/>
              <v:imagedata o:title=""/>
              <o:lock v:ext="edit" aspectratio="f"/>
              <v:textbox inset="0mm,0mm,0mm,0mm" style="mso-fit-shape-to-text:t;">
                <w:txbxContent>
                  <w:p w14:paraId="12A23108">
                    <w:pPr>
                      <w:pStyle w:val="16"/>
                      <w:rPr>
                        <w:rFonts w:hint="eastAsia" w:ascii="宋体" w:hAnsi="宋体" w:eastAsia="宋体" w:cs="宋体"/>
                        <w:sz w:val="22"/>
                        <w:szCs w:val="22"/>
                      </w:rPr>
                    </w:pPr>
                    <w:r>
                      <w:rPr>
                        <w:rFonts w:hint="eastAsia" w:ascii="宋体" w:hAnsi="宋体" w:eastAsia="宋体" w:cs="宋体"/>
                        <w:sz w:val="22"/>
                        <w:szCs w:val="22"/>
                      </w:rPr>
                      <w:t xml:space="preserve">— </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  \* MERGEFORMAT </w:instrText>
                    </w:r>
                    <w:r>
                      <w:rPr>
                        <w:rFonts w:hint="eastAsia" w:ascii="宋体" w:hAnsi="宋体" w:eastAsia="宋体" w:cs="宋体"/>
                        <w:sz w:val="22"/>
                        <w:szCs w:val="22"/>
                      </w:rPr>
                      <w:fldChar w:fldCharType="separate"/>
                    </w:r>
                    <w:r>
                      <w:rPr>
                        <w:rFonts w:hint="eastAsia" w:ascii="宋体" w:hAnsi="宋体" w:eastAsia="宋体" w:cs="宋体"/>
                        <w:sz w:val="22"/>
                        <w:szCs w:val="22"/>
                      </w:rPr>
                      <w:t>1</w:t>
                    </w:r>
                    <w:r>
                      <w:rPr>
                        <w:rFonts w:hint="eastAsia" w:ascii="宋体" w:hAnsi="宋体" w:eastAsia="宋体" w:cs="宋体"/>
                        <w:sz w:val="22"/>
                        <w:szCs w:val="22"/>
                      </w:rPr>
                      <w:fldChar w:fldCharType="end"/>
                    </w:r>
                    <w:r>
                      <w:rPr>
                        <w:rFonts w:hint="eastAsia" w:ascii="宋体" w:hAnsi="宋体" w:eastAsia="宋体" w:cs="宋体"/>
                        <w:sz w:val="22"/>
                        <w:szCs w:val="22"/>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6D951">
    <w:pPr>
      <w:pStyle w:val="17"/>
      <w:rPr>
        <w:rFonts w:hint="eastAsia" w:ascii="仿宋_GB2312" w:hAnsi="仿宋_GB2312" w:eastAsia="仿宋_GB2312" w:cs="仿宋_GB2312"/>
        <w:sz w:val="22"/>
        <w:szCs w:val="40"/>
        <w:lang w:eastAsia="zh-CN"/>
      </w:rPr>
    </w:pPr>
    <w:r>
      <w:rPr>
        <w:rFonts w:hint="eastAsia" w:ascii="仿宋_GB2312" w:hAnsi="仿宋_GB2312" w:eastAsia="仿宋_GB2312" w:cs="仿宋_GB2312"/>
        <w:sz w:val="22"/>
        <w:szCs w:val="40"/>
        <w:lang w:eastAsia="zh-CN"/>
      </w:rPr>
      <w:t>2025年度政府采购及相关系统运维服务项目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D6662"/>
    <w:multiLevelType w:val="singleLevel"/>
    <w:tmpl w:val="937D66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attachedTemplate r:id="rId1"/>
  <w:documentProtection w:enforcement="0"/>
  <w:defaultTabStop w:val="420"/>
  <w:drawingGridHorizontalSpacing w:val="283"/>
  <w:drawingGridVerticalSpacing w:val="194"/>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2MzFiYWViYmM5MzlhYzAzOTQ1Yzg5NTMyYmRjM2UifQ=="/>
    <w:docVar w:name="KSO_WPS_MARK_KEY" w:val="7a2a0690-3707-464e-a6b7-8abc59c87f5c"/>
  </w:docVars>
  <w:rsids>
    <w:rsidRoot w:val="0041784D"/>
    <w:rsid w:val="0000132A"/>
    <w:rsid w:val="00006CB1"/>
    <w:rsid w:val="00006D93"/>
    <w:rsid w:val="00006EA0"/>
    <w:rsid w:val="00006F79"/>
    <w:rsid w:val="000077A5"/>
    <w:rsid w:val="00010272"/>
    <w:rsid w:val="00010B45"/>
    <w:rsid w:val="0001192B"/>
    <w:rsid w:val="000134AA"/>
    <w:rsid w:val="00013D05"/>
    <w:rsid w:val="000153C4"/>
    <w:rsid w:val="00016CA4"/>
    <w:rsid w:val="0001710C"/>
    <w:rsid w:val="00017AA2"/>
    <w:rsid w:val="00017C69"/>
    <w:rsid w:val="0002046D"/>
    <w:rsid w:val="00021A1F"/>
    <w:rsid w:val="00021AAC"/>
    <w:rsid w:val="00023622"/>
    <w:rsid w:val="00025A17"/>
    <w:rsid w:val="00026265"/>
    <w:rsid w:val="00026FE0"/>
    <w:rsid w:val="00027F98"/>
    <w:rsid w:val="00030F95"/>
    <w:rsid w:val="000327A3"/>
    <w:rsid w:val="00040F12"/>
    <w:rsid w:val="00041418"/>
    <w:rsid w:val="000445DF"/>
    <w:rsid w:val="00045426"/>
    <w:rsid w:val="00045CF6"/>
    <w:rsid w:val="00050D4B"/>
    <w:rsid w:val="000540B1"/>
    <w:rsid w:val="00057D89"/>
    <w:rsid w:val="000612A6"/>
    <w:rsid w:val="00062574"/>
    <w:rsid w:val="000631FB"/>
    <w:rsid w:val="00063761"/>
    <w:rsid w:val="000658F0"/>
    <w:rsid w:val="00065F6A"/>
    <w:rsid w:val="000668A4"/>
    <w:rsid w:val="0006721D"/>
    <w:rsid w:val="00067A9B"/>
    <w:rsid w:val="0007114C"/>
    <w:rsid w:val="000720B4"/>
    <w:rsid w:val="00072955"/>
    <w:rsid w:val="00072FFC"/>
    <w:rsid w:val="00073169"/>
    <w:rsid w:val="00073A1B"/>
    <w:rsid w:val="00080F19"/>
    <w:rsid w:val="000821A1"/>
    <w:rsid w:val="00084B2A"/>
    <w:rsid w:val="00087A67"/>
    <w:rsid w:val="00092451"/>
    <w:rsid w:val="00093129"/>
    <w:rsid w:val="000934DB"/>
    <w:rsid w:val="000953A2"/>
    <w:rsid w:val="000964D9"/>
    <w:rsid w:val="000A1AD0"/>
    <w:rsid w:val="000A5337"/>
    <w:rsid w:val="000B6558"/>
    <w:rsid w:val="000C07CF"/>
    <w:rsid w:val="000C0BF5"/>
    <w:rsid w:val="000C10D2"/>
    <w:rsid w:val="000C28F4"/>
    <w:rsid w:val="000C3342"/>
    <w:rsid w:val="000C7932"/>
    <w:rsid w:val="000D19FB"/>
    <w:rsid w:val="000D490F"/>
    <w:rsid w:val="000D566B"/>
    <w:rsid w:val="000E0BB3"/>
    <w:rsid w:val="000E3C3E"/>
    <w:rsid w:val="000E474C"/>
    <w:rsid w:val="000E5AEA"/>
    <w:rsid w:val="000E7452"/>
    <w:rsid w:val="000F04D9"/>
    <w:rsid w:val="000F2028"/>
    <w:rsid w:val="000F2C4F"/>
    <w:rsid w:val="000F37C0"/>
    <w:rsid w:val="000F4630"/>
    <w:rsid w:val="000F6013"/>
    <w:rsid w:val="000F6716"/>
    <w:rsid w:val="000F6AE3"/>
    <w:rsid w:val="001019C2"/>
    <w:rsid w:val="00103434"/>
    <w:rsid w:val="00104800"/>
    <w:rsid w:val="00104DA6"/>
    <w:rsid w:val="00105EA7"/>
    <w:rsid w:val="001061DD"/>
    <w:rsid w:val="001062C7"/>
    <w:rsid w:val="0010651A"/>
    <w:rsid w:val="00106D28"/>
    <w:rsid w:val="00107F68"/>
    <w:rsid w:val="001127DB"/>
    <w:rsid w:val="00113090"/>
    <w:rsid w:val="00113290"/>
    <w:rsid w:val="00113939"/>
    <w:rsid w:val="001141F6"/>
    <w:rsid w:val="00114ECB"/>
    <w:rsid w:val="00115E63"/>
    <w:rsid w:val="0012102A"/>
    <w:rsid w:val="00122811"/>
    <w:rsid w:val="0012349B"/>
    <w:rsid w:val="0012385C"/>
    <w:rsid w:val="00123BC2"/>
    <w:rsid w:val="00123C26"/>
    <w:rsid w:val="00123F8F"/>
    <w:rsid w:val="00124D56"/>
    <w:rsid w:val="001275F9"/>
    <w:rsid w:val="00130186"/>
    <w:rsid w:val="001302E4"/>
    <w:rsid w:val="00133200"/>
    <w:rsid w:val="00134524"/>
    <w:rsid w:val="0014313C"/>
    <w:rsid w:val="00143F5B"/>
    <w:rsid w:val="001442C3"/>
    <w:rsid w:val="001455C6"/>
    <w:rsid w:val="001475C3"/>
    <w:rsid w:val="00152490"/>
    <w:rsid w:val="00152EBF"/>
    <w:rsid w:val="00153F57"/>
    <w:rsid w:val="001577F0"/>
    <w:rsid w:val="00157A00"/>
    <w:rsid w:val="00157BBE"/>
    <w:rsid w:val="00161EB3"/>
    <w:rsid w:val="00163C8A"/>
    <w:rsid w:val="00166B2F"/>
    <w:rsid w:val="00167D95"/>
    <w:rsid w:val="00171A5D"/>
    <w:rsid w:val="0017209E"/>
    <w:rsid w:val="00176AFD"/>
    <w:rsid w:val="00182B70"/>
    <w:rsid w:val="00182D83"/>
    <w:rsid w:val="0018359D"/>
    <w:rsid w:val="00183E89"/>
    <w:rsid w:val="00184D76"/>
    <w:rsid w:val="00187807"/>
    <w:rsid w:val="0019404E"/>
    <w:rsid w:val="001940D9"/>
    <w:rsid w:val="00194B83"/>
    <w:rsid w:val="00195011"/>
    <w:rsid w:val="001A1299"/>
    <w:rsid w:val="001A286C"/>
    <w:rsid w:val="001A2D5E"/>
    <w:rsid w:val="001A3331"/>
    <w:rsid w:val="001A3A80"/>
    <w:rsid w:val="001A3AA1"/>
    <w:rsid w:val="001A71EF"/>
    <w:rsid w:val="001B0488"/>
    <w:rsid w:val="001B2552"/>
    <w:rsid w:val="001B49D1"/>
    <w:rsid w:val="001B5246"/>
    <w:rsid w:val="001C0085"/>
    <w:rsid w:val="001C1241"/>
    <w:rsid w:val="001C23E9"/>
    <w:rsid w:val="001C47FF"/>
    <w:rsid w:val="001C6AD6"/>
    <w:rsid w:val="001D13EB"/>
    <w:rsid w:val="001D52AF"/>
    <w:rsid w:val="001D5748"/>
    <w:rsid w:val="001D5AD7"/>
    <w:rsid w:val="001D779F"/>
    <w:rsid w:val="001D7F8F"/>
    <w:rsid w:val="001E086B"/>
    <w:rsid w:val="001E1ECD"/>
    <w:rsid w:val="001E1FB3"/>
    <w:rsid w:val="001E4C56"/>
    <w:rsid w:val="001E4D10"/>
    <w:rsid w:val="001E6274"/>
    <w:rsid w:val="001F0F45"/>
    <w:rsid w:val="001F104D"/>
    <w:rsid w:val="001F1290"/>
    <w:rsid w:val="001F555E"/>
    <w:rsid w:val="0020361E"/>
    <w:rsid w:val="002062C6"/>
    <w:rsid w:val="00206384"/>
    <w:rsid w:val="00211854"/>
    <w:rsid w:val="00215052"/>
    <w:rsid w:val="0021650A"/>
    <w:rsid w:val="002169A9"/>
    <w:rsid w:val="00216A4E"/>
    <w:rsid w:val="0022130C"/>
    <w:rsid w:val="00222772"/>
    <w:rsid w:val="00224818"/>
    <w:rsid w:val="0022495B"/>
    <w:rsid w:val="00224E74"/>
    <w:rsid w:val="00226DA4"/>
    <w:rsid w:val="002301E5"/>
    <w:rsid w:val="00230A38"/>
    <w:rsid w:val="00232219"/>
    <w:rsid w:val="002351F5"/>
    <w:rsid w:val="00237339"/>
    <w:rsid w:val="002403EB"/>
    <w:rsid w:val="00251487"/>
    <w:rsid w:val="002515D9"/>
    <w:rsid w:val="00252CCF"/>
    <w:rsid w:val="00253069"/>
    <w:rsid w:val="00253807"/>
    <w:rsid w:val="002543E8"/>
    <w:rsid w:val="0025722A"/>
    <w:rsid w:val="00260979"/>
    <w:rsid w:val="002609F3"/>
    <w:rsid w:val="00266E57"/>
    <w:rsid w:val="002701C1"/>
    <w:rsid w:val="00270C45"/>
    <w:rsid w:val="002718A6"/>
    <w:rsid w:val="0027190A"/>
    <w:rsid w:val="00271D32"/>
    <w:rsid w:val="00273C17"/>
    <w:rsid w:val="00275633"/>
    <w:rsid w:val="002758E9"/>
    <w:rsid w:val="00277CF6"/>
    <w:rsid w:val="002827A4"/>
    <w:rsid w:val="002860B3"/>
    <w:rsid w:val="00286AA5"/>
    <w:rsid w:val="0028708F"/>
    <w:rsid w:val="002901D6"/>
    <w:rsid w:val="0029022F"/>
    <w:rsid w:val="00290F80"/>
    <w:rsid w:val="00297D3C"/>
    <w:rsid w:val="002A22F0"/>
    <w:rsid w:val="002A3FDD"/>
    <w:rsid w:val="002A4E5D"/>
    <w:rsid w:val="002A5E1C"/>
    <w:rsid w:val="002A6979"/>
    <w:rsid w:val="002A6CD6"/>
    <w:rsid w:val="002A76AB"/>
    <w:rsid w:val="002B0150"/>
    <w:rsid w:val="002B4A8B"/>
    <w:rsid w:val="002B4DD0"/>
    <w:rsid w:val="002B4DDF"/>
    <w:rsid w:val="002B5EA1"/>
    <w:rsid w:val="002C3518"/>
    <w:rsid w:val="002C375F"/>
    <w:rsid w:val="002C4E90"/>
    <w:rsid w:val="002D5BA3"/>
    <w:rsid w:val="002E0DC3"/>
    <w:rsid w:val="002E1BFB"/>
    <w:rsid w:val="002E3460"/>
    <w:rsid w:val="002E35F5"/>
    <w:rsid w:val="002E3EA4"/>
    <w:rsid w:val="002E61F9"/>
    <w:rsid w:val="002F1089"/>
    <w:rsid w:val="002F1C38"/>
    <w:rsid w:val="002F3593"/>
    <w:rsid w:val="002F4169"/>
    <w:rsid w:val="002F4A48"/>
    <w:rsid w:val="002F5556"/>
    <w:rsid w:val="002F57A8"/>
    <w:rsid w:val="002F66CF"/>
    <w:rsid w:val="002F72AF"/>
    <w:rsid w:val="00300FB5"/>
    <w:rsid w:val="00305E41"/>
    <w:rsid w:val="003077C4"/>
    <w:rsid w:val="003118B9"/>
    <w:rsid w:val="00311E53"/>
    <w:rsid w:val="0031392F"/>
    <w:rsid w:val="00314478"/>
    <w:rsid w:val="003171A5"/>
    <w:rsid w:val="003215A4"/>
    <w:rsid w:val="00326A35"/>
    <w:rsid w:val="00326D8C"/>
    <w:rsid w:val="0033123B"/>
    <w:rsid w:val="00331ED3"/>
    <w:rsid w:val="003403ED"/>
    <w:rsid w:val="003415B8"/>
    <w:rsid w:val="0034451E"/>
    <w:rsid w:val="003479A9"/>
    <w:rsid w:val="00347C45"/>
    <w:rsid w:val="00350678"/>
    <w:rsid w:val="003513BE"/>
    <w:rsid w:val="00351A22"/>
    <w:rsid w:val="00352D79"/>
    <w:rsid w:val="00355785"/>
    <w:rsid w:val="003557CA"/>
    <w:rsid w:val="00355927"/>
    <w:rsid w:val="00356611"/>
    <w:rsid w:val="00357F57"/>
    <w:rsid w:val="0036333E"/>
    <w:rsid w:val="00364B39"/>
    <w:rsid w:val="00370521"/>
    <w:rsid w:val="00372364"/>
    <w:rsid w:val="00373F68"/>
    <w:rsid w:val="00374B82"/>
    <w:rsid w:val="00377114"/>
    <w:rsid w:val="00387B22"/>
    <w:rsid w:val="00390270"/>
    <w:rsid w:val="00390F06"/>
    <w:rsid w:val="00391C6E"/>
    <w:rsid w:val="00391E75"/>
    <w:rsid w:val="003962E7"/>
    <w:rsid w:val="00397538"/>
    <w:rsid w:val="003A1787"/>
    <w:rsid w:val="003A295E"/>
    <w:rsid w:val="003A3C3F"/>
    <w:rsid w:val="003A70F2"/>
    <w:rsid w:val="003B11ED"/>
    <w:rsid w:val="003B78F7"/>
    <w:rsid w:val="003C1297"/>
    <w:rsid w:val="003C13A6"/>
    <w:rsid w:val="003C303F"/>
    <w:rsid w:val="003C3A13"/>
    <w:rsid w:val="003C6454"/>
    <w:rsid w:val="003D07DB"/>
    <w:rsid w:val="003D2B66"/>
    <w:rsid w:val="003D375A"/>
    <w:rsid w:val="003E063C"/>
    <w:rsid w:val="003E0F8A"/>
    <w:rsid w:val="003E1E40"/>
    <w:rsid w:val="003E3256"/>
    <w:rsid w:val="003E3707"/>
    <w:rsid w:val="003E3FAD"/>
    <w:rsid w:val="003F093D"/>
    <w:rsid w:val="003F20D6"/>
    <w:rsid w:val="003F3A2B"/>
    <w:rsid w:val="003F4085"/>
    <w:rsid w:val="003F5E75"/>
    <w:rsid w:val="003F7491"/>
    <w:rsid w:val="003F7E69"/>
    <w:rsid w:val="00401437"/>
    <w:rsid w:val="00401849"/>
    <w:rsid w:val="00403C6C"/>
    <w:rsid w:val="0040431F"/>
    <w:rsid w:val="0040454B"/>
    <w:rsid w:val="00406380"/>
    <w:rsid w:val="00410875"/>
    <w:rsid w:val="004122B3"/>
    <w:rsid w:val="0041784D"/>
    <w:rsid w:val="0042214B"/>
    <w:rsid w:val="004242E2"/>
    <w:rsid w:val="00424947"/>
    <w:rsid w:val="0042607E"/>
    <w:rsid w:val="00427FBB"/>
    <w:rsid w:val="00432CCA"/>
    <w:rsid w:val="004350F7"/>
    <w:rsid w:val="00441924"/>
    <w:rsid w:val="00442991"/>
    <w:rsid w:val="00445EB1"/>
    <w:rsid w:val="004466EB"/>
    <w:rsid w:val="00447286"/>
    <w:rsid w:val="00447749"/>
    <w:rsid w:val="00447FE5"/>
    <w:rsid w:val="004508DC"/>
    <w:rsid w:val="00450B91"/>
    <w:rsid w:val="00450EFC"/>
    <w:rsid w:val="004516D2"/>
    <w:rsid w:val="004530F9"/>
    <w:rsid w:val="00454FD1"/>
    <w:rsid w:val="00455FC1"/>
    <w:rsid w:val="004563A0"/>
    <w:rsid w:val="00460F47"/>
    <w:rsid w:val="004610F9"/>
    <w:rsid w:val="00463240"/>
    <w:rsid w:val="00465451"/>
    <w:rsid w:val="0046598B"/>
    <w:rsid w:val="00466E14"/>
    <w:rsid w:val="004678EA"/>
    <w:rsid w:val="004713FD"/>
    <w:rsid w:val="00471E1F"/>
    <w:rsid w:val="004726CE"/>
    <w:rsid w:val="00473466"/>
    <w:rsid w:val="00474786"/>
    <w:rsid w:val="00475BF8"/>
    <w:rsid w:val="00476873"/>
    <w:rsid w:val="0048218F"/>
    <w:rsid w:val="00482C98"/>
    <w:rsid w:val="00483F32"/>
    <w:rsid w:val="0048563D"/>
    <w:rsid w:val="0048565B"/>
    <w:rsid w:val="004901FE"/>
    <w:rsid w:val="00490AF1"/>
    <w:rsid w:val="0049101A"/>
    <w:rsid w:val="004919AE"/>
    <w:rsid w:val="00491FCC"/>
    <w:rsid w:val="0049200C"/>
    <w:rsid w:val="0049465F"/>
    <w:rsid w:val="004956A0"/>
    <w:rsid w:val="004A01EB"/>
    <w:rsid w:val="004A2417"/>
    <w:rsid w:val="004A34BC"/>
    <w:rsid w:val="004A3FA2"/>
    <w:rsid w:val="004A418D"/>
    <w:rsid w:val="004A4432"/>
    <w:rsid w:val="004A6C03"/>
    <w:rsid w:val="004B01C0"/>
    <w:rsid w:val="004B0283"/>
    <w:rsid w:val="004B1964"/>
    <w:rsid w:val="004B2197"/>
    <w:rsid w:val="004B35D8"/>
    <w:rsid w:val="004B4D1B"/>
    <w:rsid w:val="004B5371"/>
    <w:rsid w:val="004B55AA"/>
    <w:rsid w:val="004B57CB"/>
    <w:rsid w:val="004B740D"/>
    <w:rsid w:val="004B7923"/>
    <w:rsid w:val="004C12AB"/>
    <w:rsid w:val="004C4D27"/>
    <w:rsid w:val="004C51C2"/>
    <w:rsid w:val="004C69C2"/>
    <w:rsid w:val="004D1616"/>
    <w:rsid w:val="004D2689"/>
    <w:rsid w:val="004D3ABF"/>
    <w:rsid w:val="004D70BB"/>
    <w:rsid w:val="004D7826"/>
    <w:rsid w:val="004E03C6"/>
    <w:rsid w:val="004E5EFB"/>
    <w:rsid w:val="004E7D4E"/>
    <w:rsid w:val="004F0D4C"/>
    <w:rsid w:val="004F71E1"/>
    <w:rsid w:val="004F792A"/>
    <w:rsid w:val="00501590"/>
    <w:rsid w:val="00503D14"/>
    <w:rsid w:val="00504388"/>
    <w:rsid w:val="0050679B"/>
    <w:rsid w:val="0050770A"/>
    <w:rsid w:val="00510BFA"/>
    <w:rsid w:val="005112AC"/>
    <w:rsid w:val="00511C56"/>
    <w:rsid w:val="00512FDD"/>
    <w:rsid w:val="005135BB"/>
    <w:rsid w:val="00513BD5"/>
    <w:rsid w:val="00514FEE"/>
    <w:rsid w:val="005163B0"/>
    <w:rsid w:val="00520927"/>
    <w:rsid w:val="00520E8A"/>
    <w:rsid w:val="005231C1"/>
    <w:rsid w:val="005241CB"/>
    <w:rsid w:val="005267B6"/>
    <w:rsid w:val="00527532"/>
    <w:rsid w:val="00530943"/>
    <w:rsid w:val="0053127A"/>
    <w:rsid w:val="00531682"/>
    <w:rsid w:val="00535614"/>
    <w:rsid w:val="0053611A"/>
    <w:rsid w:val="005406EF"/>
    <w:rsid w:val="005409B6"/>
    <w:rsid w:val="00541498"/>
    <w:rsid w:val="00542F4A"/>
    <w:rsid w:val="00543D57"/>
    <w:rsid w:val="0054404F"/>
    <w:rsid w:val="00544ABB"/>
    <w:rsid w:val="005451CF"/>
    <w:rsid w:val="00550243"/>
    <w:rsid w:val="00550A04"/>
    <w:rsid w:val="005528B2"/>
    <w:rsid w:val="005540C6"/>
    <w:rsid w:val="005541CA"/>
    <w:rsid w:val="005557F4"/>
    <w:rsid w:val="00555D64"/>
    <w:rsid w:val="00560138"/>
    <w:rsid w:val="00562ADB"/>
    <w:rsid w:val="00563E58"/>
    <w:rsid w:val="005660B6"/>
    <w:rsid w:val="00570266"/>
    <w:rsid w:val="005702D0"/>
    <w:rsid w:val="00571208"/>
    <w:rsid w:val="005745AA"/>
    <w:rsid w:val="00577A5C"/>
    <w:rsid w:val="00581002"/>
    <w:rsid w:val="00581B53"/>
    <w:rsid w:val="00582BD0"/>
    <w:rsid w:val="00584D1A"/>
    <w:rsid w:val="00586FBA"/>
    <w:rsid w:val="005916B7"/>
    <w:rsid w:val="00592ED2"/>
    <w:rsid w:val="005945E0"/>
    <w:rsid w:val="0059711B"/>
    <w:rsid w:val="005A1419"/>
    <w:rsid w:val="005A7B24"/>
    <w:rsid w:val="005B365A"/>
    <w:rsid w:val="005B56F6"/>
    <w:rsid w:val="005B687F"/>
    <w:rsid w:val="005C05C1"/>
    <w:rsid w:val="005C4268"/>
    <w:rsid w:val="005C4309"/>
    <w:rsid w:val="005C6058"/>
    <w:rsid w:val="005C7B56"/>
    <w:rsid w:val="005D023C"/>
    <w:rsid w:val="005D4548"/>
    <w:rsid w:val="005D5205"/>
    <w:rsid w:val="005D5586"/>
    <w:rsid w:val="005D64EE"/>
    <w:rsid w:val="005D6E97"/>
    <w:rsid w:val="005E45BF"/>
    <w:rsid w:val="005E4C3A"/>
    <w:rsid w:val="005F04FD"/>
    <w:rsid w:val="005F2746"/>
    <w:rsid w:val="005F548E"/>
    <w:rsid w:val="005F5E79"/>
    <w:rsid w:val="005F725C"/>
    <w:rsid w:val="00600A11"/>
    <w:rsid w:val="00600D89"/>
    <w:rsid w:val="0060285A"/>
    <w:rsid w:val="00610AD8"/>
    <w:rsid w:val="0061134D"/>
    <w:rsid w:val="00612E00"/>
    <w:rsid w:val="00614095"/>
    <w:rsid w:val="00616613"/>
    <w:rsid w:val="00616640"/>
    <w:rsid w:val="00617594"/>
    <w:rsid w:val="006228D0"/>
    <w:rsid w:val="00622BBD"/>
    <w:rsid w:val="00624310"/>
    <w:rsid w:val="00630A94"/>
    <w:rsid w:val="00631712"/>
    <w:rsid w:val="0063296F"/>
    <w:rsid w:val="00634B5A"/>
    <w:rsid w:val="0063701B"/>
    <w:rsid w:val="006370CC"/>
    <w:rsid w:val="006411E7"/>
    <w:rsid w:val="006412AF"/>
    <w:rsid w:val="00641D8C"/>
    <w:rsid w:val="00643122"/>
    <w:rsid w:val="00644CBF"/>
    <w:rsid w:val="00644FB2"/>
    <w:rsid w:val="0064598C"/>
    <w:rsid w:val="00645A9C"/>
    <w:rsid w:val="00645F63"/>
    <w:rsid w:val="006537CA"/>
    <w:rsid w:val="00654E16"/>
    <w:rsid w:val="00655146"/>
    <w:rsid w:val="0066002E"/>
    <w:rsid w:val="00663B59"/>
    <w:rsid w:val="00666B60"/>
    <w:rsid w:val="00667AC6"/>
    <w:rsid w:val="00671E2C"/>
    <w:rsid w:val="00672F41"/>
    <w:rsid w:val="00674377"/>
    <w:rsid w:val="00674E4C"/>
    <w:rsid w:val="0067540F"/>
    <w:rsid w:val="0067586D"/>
    <w:rsid w:val="00676080"/>
    <w:rsid w:val="0067653F"/>
    <w:rsid w:val="00676C3D"/>
    <w:rsid w:val="0067748A"/>
    <w:rsid w:val="006777CB"/>
    <w:rsid w:val="00680594"/>
    <w:rsid w:val="00680D75"/>
    <w:rsid w:val="00683B76"/>
    <w:rsid w:val="00683F8E"/>
    <w:rsid w:val="0068426C"/>
    <w:rsid w:val="0068477A"/>
    <w:rsid w:val="0068647A"/>
    <w:rsid w:val="0068751B"/>
    <w:rsid w:val="006927EF"/>
    <w:rsid w:val="006945EF"/>
    <w:rsid w:val="00694A99"/>
    <w:rsid w:val="00694EF9"/>
    <w:rsid w:val="00696B4B"/>
    <w:rsid w:val="00696C89"/>
    <w:rsid w:val="00697F16"/>
    <w:rsid w:val="006A3951"/>
    <w:rsid w:val="006A4B66"/>
    <w:rsid w:val="006A6570"/>
    <w:rsid w:val="006A7ECD"/>
    <w:rsid w:val="006B14E5"/>
    <w:rsid w:val="006B1B5C"/>
    <w:rsid w:val="006B3336"/>
    <w:rsid w:val="006B3A1F"/>
    <w:rsid w:val="006B47F6"/>
    <w:rsid w:val="006B57AE"/>
    <w:rsid w:val="006C2C5C"/>
    <w:rsid w:val="006C343E"/>
    <w:rsid w:val="006C4411"/>
    <w:rsid w:val="006C4768"/>
    <w:rsid w:val="006C5EC4"/>
    <w:rsid w:val="006C7F7C"/>
    <w:rsid w:val="006D06A5"/>
    <w:rsid w:val="006D16C3"/>
    <w:rsid w:val="006D1D07"/>
    <w:rsid w:val="006D2086"/>
    <w:rsid w:val="006D35DF"/>
    <w:rsid w:val="006D3824"/>
    <w:rsid w:val="006D427E"/>
    <w:rsid w:val="006D773A"/>
    <w:rsid w:val="006E10EB"/>
    <w:rsid w:val="006E260A"/>
    <w:rsid w:val="006E285F"/>
    <w:rsid w:val="006E333D"/>
    <w:rsid w:val="006E6629"/>
    <w:rsid w:val="006E7F07"/>
    <w:rsid w:val="006F0265"/>
    <w:rsid w:val="006F056A"/>
    <w:rsid w:val="006F1299"/>
    <w:rsid w:val="006F37F6"/>
    <w:rsid w:val="006F5FD1"/>
    <w:rsid w:val="006F6E63"/>
    <w:rsid w:val="006F7AA9"/>
    <w:rsid w:val="00700376"/>
    <w:rsid w:val="00700A86"/>
    <w:rsid w:val="00700FCF"/>
    <w:rsid w:val="007011FE"/>
    <w:rsid w:val="00701DDB"/>
    <w:rsid w:val="007034BB"/>
    <w:rsid w:val="0070614D"/>
    <w:rsid w:val="00710183"/>
    <w:rsid w:val="00710676"/>
    <w:rsid w:val="007115CA"/>
    <w:rsid w:val="0071187E"/>
    <w:rsid w:val="00712113"/>
    <w:rsid w:val="007207B3"/>
    <w:rsid w:val="00720A50"/>
    <w:rsid w:val="007210C4"/>
    <w:rsid w:val="007236AC"/>
    <w:rsid w:val="00723F19"/>
    <w:rsid w:val="007271CA"/>
    <w:rsid w:val="00727240"/>
    <w:rsid w:val="00727297"/>
    <w:rsid w:val="0073175D"/>
    <w:rsid w:val="007319C5"/>
    <w:rsid w:val="00732849"/>
    <w:rsid w:val="00733BDF"/>
    <w:rsid w:val="00733E30"/>
    <w:rsid w:val="00736364"/>
    <w:rsid w:val="0074444D"/>
    <w:rsid w:val="00744B38"/>
    <w:rsid w:val="0074552A"/>
    <w:rsid w:val="00746914"/>
    <w:rsid w:val="007505BE"/>
    <w:rsid w:val="0075075C"/>
    <w:rsid w:val="0075307C"/>
    <w:rsid w:val="00753870"/>
    <w:rsid w:val="0075467B"/>
    <w:rsid w:val="00755A5A"/>
    <w:rsid w:val="00757BAD"/>
    <w:rsid w:val="00760BFE"/>
    <w:rsid w:val="00764207"/>
    <w:rsid w:val="007652C1"/>
    <w:rsid w:val="007675FD"/>
    <w:rsid w:val="00770B10"/>
    <w:rsid w:val="00771E66"/>
    <w:rsid w:val="00771FF2"/>
    <w:rsid w:val="007723EF"/>
    <w:rsid w:val="00773CEE"/>
    <w:rsid w:val="007764DA"/>
    <w:rsid w:val="007769B2"/>
    <w:rsid w:val="00777142"/>
    <w:rsid w:val="00777644"/>
    <w:rsid w:val="00777F79"/>
    <w:rsid w:val="007838CE"/>
    <w:rsid w:val="007839A3"/>
    <w:rsid w:val="0078513F"/>
    <w:rsid w:val="00785378"/>
    <w:rsid w:val="007855C4"/>
    <w:rsid w:val="00787A7E"/>
    <w:rsid w:val="00787ED0"/>
    <w:rsid w:val="00791D74"/>
    <w:rsid w:val="00791E82"/>
    <w:rsid w:val="00792222"/>
    <w:rsid w:val="0079267A"/>
    <w:rsid w:val="00794274"/>
    <w:rsid w:val="00797DB9"/>
    <w:rsid w:val="007A168F"/>
    <w:rsid w:val="007A43CD"/>
    <w:rsid w:val="007A5AF4"/>
    <w:rsid w:val="007A5C8C"/>
    <w:rsid w:val="007A66AC"/>
    <w:rsid w:val="007A7E8A"/>
    <w:rsid w:val="007B1F02"/>
    <w:rsid w:val="007B31E0"/>
    <w:rsid w:val="007B4351"/>
    <w:rsid w:val="007B59B9"/>
    <w:rsid w:val="007B65E8"/>
    <w:rsid w:val="007B67CF"/>
    <w:rsid w:val="007B7BD3"/>
    <w:rsid w:val="007C00D3"/>
    <w:rsid w:val="007C0BD2"/>
    <w:rsid w:val="007C2978"/>
    <w:rsid w:val="007C382E"/>
    <w:rsid w:val="007D2517"/>
    <w:rsid w:val="007D60FD"/>
    <w:rsid w:val="007D7A75"/>
    <w:rsid w:val="007D7D6D"/>
    <w:rsid w:val="007E0172"/>
    <w:rsid w:val="007E0B38"/>
    <w:rsid w:val="007E4436"/>
    <w:rsid w:val="007E68F7"/>
    <w:rsid w:val="007F0CE6"/>
    <w:rsid w:val="007F11AC"/>
    <w:rsid w:val="007F2873"/>
    <w:rsid w:val="007F52A3"/>
    <w:rsid w:val="007F681B"/>
    <w:rsid w:val="007F74AA"/>
    <w:rsid w:val="00801CDF"/>
    <w:rsid w:val="0080298A"/>
    <w:rsid w:val="00803707"/>
    <w:rsid w:val="0080637F"/>
    <w:rsid w:val="008102C5"/>
    <w:rsid w:val="0081053E"/>
    <w:rsid w:val="00810A48"/>
    <w:rsid w:val="00814414"/>
    <w:rsid w:val="00816A5F"/>
    <w:rsid w:val="00817A5C"/>
    <w:rsid w:val="00817E8E"/>
    <w:rsid w:val="00822C9C"/>
    <w:rsid w:val="0082381C"/>
    <w:rsid w:val="008311CC"/>
    <w:rsid w:val="0083184D"/>
    <w:rsid w:val="0083306C"/>
    <w:rsid w:val="008375CF"/>
    <w:rsid w:val="00844DBE"/>
    <w:rsid w:val="008506CD"/>
    <w:rsid w:val="00850BE9"/>
    <w:rsid w:val="00851242"/>
    <w:rsid w:val="00853367"/>
    <w:rsid w:val="00856CF3"/>
    <w:rsid w:val="00863DEF"/>
    <w:rsid w:val="00865191"/>
    <w:rsid w:val="00865E8F"/>
    <w:rsid w:val="00872EAC"/>
    <w:rsid w:val="00876A20"/>
    <w:rsid w:val="00876C16"/>
    <w:rsid w:val="008778A5"/>
    <w:rsid w:val="0088051B"/>
    <w:rsid w:val="00880B72"/>
    <w:rsid w:val="00881B1B"/>
    <w:rsid w:val="00885204"/>
    <w:rsid w:val="00885CF8"/>
    <w:rsid w:val="00886AE0"/>
    <w:rsid w:val="00892978"/>
    <w:rsid w:val="00895765"/>
    <w:rsid w:val="0089734C"/>
    <w:rsid w:val="00897F59"/>
    <w:rsid w:val="008A170B"/>
    <w:rsid w:val="008A223E"/>
    <w:rsid w:val="008A4121"/>
    <w:rsid w:val="008B3932"/>
    <w:rsid w:val="008B421D"/>
    <w:rsid w:val="008B475E"/>
    <w:rsid w:val="008B4EAF"/>
    <w:rsid w:val="008B52CC"/>
    <w:rsid w:val="008B54CA"/>
    <w:rsid w:val="008B6973"/>
    <w:rsid w:val="008C4096"/>
    <w:rsid w:val="008C4322"/>
    <w:rsid w:val="008C47D8"/>
    <w:rsid w:val="008C69FF"/>
    <w:rsid w:val="008D09D8"/>
    <w:rsid w:val="008D4CF4"/>
    <w:rsid w:val="008D5A30"/>
    <w:rsid w:val="008D7E1C"/>
    <w:rsid w:val="008E1073"/>
    <w:rsid w:val="008E2D9F"/>
    <w:rsid w:val="008E3152"/>
    <w:rsid w:val="008E61CA"/>
    <w:rsid w:val="008E7C7E"/>
    <w:rsid w:val="008F0FD7"/>
    <w:rsid w:val="008F16E4"/>
    <w:rsid w:val="008F2CDA"/>
    <w:rsid w:val="008F3EB0"/>
    <w:rsid w:val="008F4AA6"/>
    <w:rsid w:val="008F6604"/>
    <w:rsid w:val="00901379"/>
    <w:rsid w:val="00901A7A"/>
    <w:rsid w:val="00905A72"/>
    <w:rsid w:val="0091272C"/>
    <w:rsid w:val="00912E11"/>
    <w:rsid w:val="0091336C"/>
    <w:rsid w:val="00917309"/>
    <w:rsid w:val="009228F1"/>
    <w:rsid w:val="00923C7C"/>
    <w:rsid w:val="009260C3"/>
    <w:rsid w:val="009320E7"/>
    <w:rsid w:val="00933A45"/>
    <w:rsid w:val="009359A0"/>
    <w:rsid w:val="00935BA5"/>
    <w:rsid w:val="00937260"/>
    <w:rsid w:val="009373F7"/>
    <w:rsid w:val="009402D7"/>
    <w:rsid w:val="00943498"/>
    <w:rsid w:val="00944610"/>
    <w:rsid w:val="0094504E"/>
    <w:rsid w:val="0094527E"/>
    <w:rsid w:val="009471F9"/>
    <w:rsid w:val="00947657"/>
    <w:rsid w:val="009500AC"/>
    <w:rsid w:val="0095438E"/>
    <w:rsid w:val="00955B6F"/>
    <w:rsid w:val="0096177F"/>
    <w:rsid w:val="009638CD"/>
    <w:rsid w:val="00963D1F"/>
    <w:rsid w:val="009641A6"/>
    <w:rsid w:val="00964BB1"/>
    <w:rsid w:val="00966784"/>
    <w:rsid w:val="00966E52"/>
    <w:rsid w:val="009704BB"/>
    <w:rsid w:val="009714FB"/>
    <w:rsid w:val="009717C8"/>
    <w:rsid w:val="00972845"/>
    <w:rsid w:val="0097393E"/>
    <w:rsid w:val="009758BA"/>
    <w:rsid w:val="0097592C"/>
    <w:rsid w:val="00977C2A"/>
    <w:rsid w:val="00980618"/>
    <w:rsid w:val="009807D9"/>
    <w:rsid w:val="00980CE4"/>
    <w:rsid w:val="00982AAC"/>
    <w:rsid w:val="00986F44"/>
    <w:rsid w:val="0098743E"/>
    <w:rsid w:val="0098789D"/>
    <w:rsid w:val="00992EF1"/>
    <w:rsid w:val="009945C0"/>
    <w:rsid w:val="00996A50"/>
    <w:rsid w:val="00997461"/>
    <w:rsid w:val="009A0D01"/>
    <w:rsid w:val="009A25D6"/>
    <w:rsid w:val="009A4379"/>
    <w:rsid w:val="009B014C"/>
    <w:rsid w:val="009B1F15"/>
    <w:rsid w:val="009B4127"/>
    <w:rsid w:val="009B5723"/>
    <w:rsid w:val="009B6037"/>
    <w:rsid w:val="009B75C4"/>
    <w:rsid w:val="009C03D9"/>
    <w:rsid w:val="009C2120"/>
    <w:rsid w:val="009C3052"/>
    <w:rsid w:val="009C407E"/>
    <w:rsid w:val="009C4340"/>
    <w:rsid w:val="009C4BF0"/>
    <w:rsid w:val="009C5E01"/>
    <w:rsid w:val="009C66F9"/>
    <w:rsid w:val="009C6DEA"/>
    <w:rsid w:val="009D60F5"/>
    <w:rsid w:val="009D6425"/>
    <w:rsid w:val="009D7B9F"/>
    <w:rsid w:val="009E008A"/>
    <w:rsid w:val="009E2B1A"/>
    <w:rsid w:val="009E2C13"/>
    <w:rsid w:val="009E3F40"/>
    <w:rsid w:val="009E41B9"/>
    <w:rsid w:val="009E5518"/>
    <w:rsid w:val="009E6D3F"/>
    <w:rsid w:val="009F190C"/>
    <w:rsid w:val="009F1C40"/>
    <w:rsid w:val="009F541A"/>
    <w:rsid w:val="009F6B72"/>
    <w:rsid w:val="009F6FE3"/>
    <w:rsid w:val="00A02B1C"/>
    <w:rsid w:val="00A03661"/>
    <w:rsid w:val="00A043D7"/>
    <w:rsid w:val="00A04D52"/>
    <w:rsid w:val="00A07FC8"/>
    <w:rsid w:val="00A100F7"/>
    <w:rsid w:val="00A1293E"/>
    <w:rsid w:val="00A12CD9"/>
    <w:rsid w:val="00A13AB8"/>
    <w:rsid w:val="00A13F36"/>
    <w:rsid w:val="00A16E43"/>
    <w:rsid w:val="00A20EB0"/>
    <w:rsid w:val="00A20FB2"/>
    <w:rsid w:val="00A21D19"/>
    <w:rsid w:val="00A230C4"/>
    <w:rsid w:val="00A2319B"/>
    <w:rsid w:val="00A23795"/>
    <w:rsid w:val="00A2472E"/>
    <w:rsid w:val="00A24D10"/>
    <w:rsid w:val="00A25371"/>
    <w:rsid w:val="00A25F9B"/>
    <w:rsid w:val="00A27B61"/>
    <w:rsid w:val="00A27D92"/>
    <w:rsid w:val="00A322FF"/>
    <w:rsid w:val="00A33008"/>
    <w:rsid w:val="00A34145"/>
    <w:rsid w:val="00A4054B"/>
    <w:rsid w:val="00A40573"/>
    <w:rsid w:val="00A4078A"/>
    <w:rsid w:val="00A421D9"/>
    <w:rsid w:val="00A4472D"/>
    <w:rsid w:val="00A464F0"/>
    <w:rsid w:val="00A5754C"/>
    <w:rsid w:val="00A61CE9"/>
    <w:rsid w:val="00A62647"/>
    <w:rsid w:val="00A63E3E"/>
    <w:rsid w:val="00A64C66"/>
    <w:rsid w:val="00A67246"/>
    <w:rsid w:val="00A701CB"/>
    <w:rsid w:val="00A70FF5"/>
    <w:rsid w:val="00A71FA4"/>
    <w:rsid w:val="00A73102"/>
    <w:rsid w:val="00A74570"/>
    <w:rsid w:val="00A745AD"/>
    <w:rsid w:val="00A757AA"/>
    <w:rsid w:val="00A75A24"/>
    <w:rsid w:val="00A77A40"/>
    <w:rsid w:val="00A8126B"/>
    <w:rsid w:val="00A8335E"/>
    <w:rsid w:val="00A84532"/>
    <w:rsid w:val="00A854E0"/>
    <w:rsid w:val="00A92F78"/>
    <w:rsid w:val="00A93FC9"/>
    <w:rsid w:val="00A957F4"/>
    <w:rsid w:val="00AA233A"/>
    <w:rsid w:val="00AA3964"/>
    <w:rsid w:val="00AA4C4C"/>
    <w:rsid w:val="00AA7225"/>
    <w:rsid w:val="00AA7392"/>
    <w:rsid w:val="00AA7F0C"/>
    <w:rsid w:val="00AB0A7A"/>
    <w:rsid w:val="00AB21C2"/>
    <w:rsid w:val="00AB30E6"/>
    <w:rsid w:val="00AB4A84"/>
    <w:rsid w:val="00AC066D"/>
    <w:rsid w:val="00AC49DB"/>
    <w:rsid w:val="00AD1226"/>
    <w:rsid w:val="00AD5730"/>
    <w:rsid w:val="00AD5E54"/>
    <w:rsid w:val="00AE23B9"/>
    <w:rsid w:val="00AE50A1"/>
    <w:rsid w:val="00AE623F"/>
    <w:rsid w:val="00AE660D"/>
    <w:rsid w:val="00AE6A2B"/>
    <w:rsid w:val="00AE703E"/>
    <w:rsid w:val="00AE71A6"/>
    <w:rsid w:val="00AF03FB"/>
    <w:rsid w:val="00AF2534"/>
    <w:rsid w:val="00AF4E70"/>
    <w:rsid w:val="00AF4ECC"/>
    <w:rsid w:val="00AF5CB7"/>
    <w:rsid w:val="00B0116D"/>
    <w:rsid w:val="00B0337A"/>
    <w:rsid w:val="00B103B1"/>
    <w:rsid w:val="00B10FB4"/>
    <w:rsid w:val="00B1196A"/>
    <w:rsid w:val="00B12D7F"/>
    <w:rsid w:val="00B147F2"/>
    <w:rsid w:val="00B14B60"/>
    <w:rsid w:val="00B20C61"/>
    <w:rsid w:val="00B20D21"/>
    <w:rsid w:val="00B2349D"/>
    <w:rsid w:val="00B24B21"/>
    <w:rsid w:val="00B27599"/>
    <w:rsid w:val="00B27BC7"/>
    <w:rsid w:val="00B27F2E"/>
    <w:rsid w:val="00B30782"/>
    <w:rsid w:val="00B35124"/>
    <w:rsid w:val="00B36FEB"/>
    <w:rsid w:val="00B379AB"/>
    <w:rsid w:val="00B41534"/>
    <w:rsid w:val="00B417F1"/>
    <w:rsid w:val="00B4213F"/>
    <w:rsid w:val="00B4341C"/>
    <w:rsid w:val="00B439DD"/>
    <w:rsid w:val="00B44C00"/>
    <w:rsid w:val="00B47973"/>
    <w:rsid w:val="00B512E9"/>
    <w:rsid w:val="00B51E20"/>
    <w:rsid w:val="00B525C5"/>
    <w:rsid w:val="00B52A08"/>
    <w:rsid w:val="00B55535"/>
    <w:rsid w:val="00B56331"/>
    <w:rsid w:val="00B570E1"/>
    <w:rsid w:val="00B608DB"/>
    <w:rsid w:val="00B60E19"/>
    <w:rsid w:val="00B617D9"/>
    <w:rsid w:val="00B61AAC"/>
    <w:rsid w:val="00B61FC8"/>
    <w:rsid w:val="00B627C4"/>
    <w:rsid w:val="00B6316A"/>
    <w:rsid w:val="00B63AD2"/>
    <w:rsid w:val="00B644FD"/>
    <w:rsid w:val="00B64D15"/>
    <w:rsid w:val="00B66BBF"/>
    <w:rsid w:val="00B670B5"/>
    <w:rsid w:val="00B70590"/>
    <w:rsid w:val="00B724F8"/>
    <w:rsid w:val="00B737D6"/>
    <w:rsid w:val="00B74283"/>
    <w:rsid w:val="00B75B61"/>
    <w:rsid w:val="00B77594"/>
    <w:rsid w:val="00B77A9E"/>
    <w:rsid w:val="00B77E4B"/>
    <w:rsid w:val="00B80078"/>
    <w:rsid w:val="00B81E64"/>
    <w:rsid w:val="00B8235F"/>
    <w:rsid w:val="00B83112"/>
    <w:rsid w:val="00B8350F"/>
    <w:rsid w:val="00BA056F"/>
    <w:rsid w:val="00BB0332"/>
    <w:rsid w:val="00BB1168"/>
    <w:rsid w:val="00BB3C51"/>
    <w:rsid w:val="00BB4D66"/>
    <w:rsid w:val="00BB588A"/>
    <w:rsid w:val="00BB5970"/>
    <w:rsid w:val="00BB74CC"/>
    <w:rsid w:val="00BB7EE9"/>
    <w:rsid w:val="00BC0489"/>
    <w:rsid w:val="00BC1E8C"/>
    <w:rsid w:val="00BC282A"/>
    <w:rsid w:val="00BC6999"/>
    <w:rsid w:val="00BD25E5"/>
    <w:rsid w:val="00BD5666"/>
    <w:rsid w:val="00BD6A04"/>
    <w:rsid w:val="00BD7DFA"/>
    <w:rsid w:val="00BE2852"/>
    <w:rsid w:val="00BF201E"/>
    <w:rsid w:val="00BF4792"/>
    <w:rsid w:val="00BF4AF7"/>
    <w:rsid w:val="00BF5F09"/>
    <w:rsid w:val="00BF7C62"/>
    <w:rsid w:val="00BF7C8B"/>
    <w:rsid w:val="00C041DB"/>
    <w:rsid w:val="00C0759C"/>
    <w:rsid w:val="00C11333"/>
    <w:rsid w:val="00C13885"/>
    <w:rsid w:val="00C144D4"/>
    <w:rsid w:val="00C14706"/>
    <w:rsid w:val="00C14D76"/>
    <w:rsid w:val="00C15BEE"/>
    <w:rsid w:val="00C162B5"/>
    <w:rsid w:val="00C16303"/>
    <w:rsid w:val="00C16559"/>
    <w:rsid w:val="00C16AC8"/>
    <w:rsid w:val="00C16CB6"/>
    <w:rsid w:val="00C174F7"/>
    <w:rsid w:val="00C2043C"/>
    <w:rsid w:val="00C233E0"/>
    <w:rsid w:val="00C26389"/>
    <w:rsid w:val="00C2696D"/>
    <w:rsid w:val="00C302B8"/>
    <w:rsid w:val="00C31B8B"/>
    <w:rsid w:val="00C3277B"/>
    <w:rsid w:val="00C340F1"/>
    <w:rsid w:val="00C3683F"/>
    <w:rsid w:val="00C3690B"/>
    <w:rsid w:val="00C369CF"/>
    <w:rsid w:val="00C42F09"/>
    <w:rsid w:val="00C4456A"/>
    <w:rsid w:val="00C50CD5"/>
    <w:rsid w:val="00C516DA"/>
    <w:rsid w:val="00C554DF"/>
    <w:rsid w:val="00C60A10"/>
    <w:rsid w:val="00C619DB"/>
    <w:rsid w:val="00C6290E"/>
    <w:rsid w:val="00C63FB9"/>
    <w:rsid w:val="00C640AA"/>
    <w:rsid w:val="00C65096"/>
    <w:rsid w:val="00C6723A"/>
    <w:rsid w:val="00C71465"/>
    <w:rsid w:val="00C714E3"/>
    <w:rsid w:val="00C72213"/>
    <w:rsid w:val="00C72DFF"/>
    <w:rsid w:val="00C73D79"/>
    <w:rsid w:val="00C754F0"/>
    <w:rsid w:val="00C762CE"/>
    <w:rsid w:val="00C82ED4"/>
    <w:rsid w:val="00C84694"/>
    <w:rsid w:val="00C90046"/>
    <w:rsid w:val="00C91BD6"/>
    <w:rsid w:val="00C94554"/>
    <w:rsid w:val="00C946EF"/>
    <w:rsid w:val="00C9603A"/>
    <w:rsid w:val="00C96CDF"/>
    <w:rsid w:val="00C96FC3"/>
    <w:rsid w:val="00C971D9"/>
    <w:rsid w:val="00CA41D0"/>
    <w:rsid w:val="00CA4B18"/>
    <w:rsid w:val="00CA5218"/>
    <w:rsid w:val="00CB01EC"/>
    <w:rsid w:val="00CB3DE1"/>
    <w:rsid w:val="00CB7201"/>
    <w:rsid w:val="00CC119D"/>
    <w:rsid w:val="00CC152E"/>
    <w:rsid w:val="00CC1DAB"/>
    <w:rsid w:val="00CC273C"/>
    <w:rsid w:val="00CC31F0"/>
    <w:rsid w:val="00CC3601"/>
    <w:rsid w:val="00CC3DE4"/>
    <w:rsid w:val="00CC4CA5"/>
    <w:rsid w:val="00CC67C7"/>
    <w:rsid w:val="00CD013A"/>
    <w:rsid w:val="00CD541A"/>
    <w:rsid w:val="00CD7984"/>
    <w:rsid w:val="00CD7DFB"/>
    <w:rsid w:val="00CE03DA"/>
    <w:rsid w:val="00CE2E4F"/>
    <w:rsid w:val="00CE394C"/>
    <w:rsid w:val="00CE5833"/>
    <w:rsid w:val="00CE5D15"/>
    <w:rsid w:val="00CE7E40"/>
    <w:rsid w:val="00CF08A6"/>
    <w:rsid w:val="00CF31D5"/>
    <w:rsid w:val="00CF3320"/>
    <w:rsid w:val="00CF45EC"/>
    <w:rsid w:val="00CF536D"/>
    <w:rsid w:val="00CF7C2C"/>
    <w:rsid w:val="00D015E0"/>
    <w:rsid w:val="00D01AD1"/>
    <w:rsid w:val="00D01E19"/>
    <w:rsid w:val="00D045EE"/>
    <w:rsid w:val="00D04EA4"/>
    <w:rsid w:val="00D06868"/>
    <w:rsid w:val="00D0792B"/>
    <w:rsid w:val="00D103A6"/>
    <w:rsid w:val="00D107B3"/>
    <w:rsid w:val="00D12809"/>
    <w:rsid w:val="00D12FC9"/>
    <w:rsid w:val="00D145BD"/>
    <w:rsid w:val="00D15996"/>
    <w:rsid w:val="00D174E6"/>
    <w:rsid w:val="00D202F1"/>
    <w:rsid w:val="00D21FFA"/>
    <w:rsid w:val="00D2265D"/>
    <w:rsid w:val="00D22B35"/>
    <w:rsid w:val="00D23E07"/>
    <w:rsid w:val="00D23EF1"/>
    <w:rsid w:val="00D24A0D"/>
    <w:rsid w:val="00D26AE9"/>
    <w:rsid w:val="00D305BE"/>
    <w:rsid w:val="00D31382"/>
    <w:rsid w:val="00D31BC4"/>
    <w:rsid w:val="00D32024"/>
    <w:rsid w:val="00D33E23"/>
    <w:rsid w:val="00D34C9F"/>
    <w:rsid w:val="00D36695"/>
    <w:rsid w:val="00D37230"/>
    <w:rsid w:val="00D40FA0"/>
    <w:rsid w:val="00D41F4D"/>
    <w:rsid w:val="00D44333"/>
    <w:rsid w:val="00D44D93"/>
    <w:rsid w:val="00D46A6D"/>
    <w:rsid w:val="00D46EC6"/>
    <w:rsid w:val="00D470E8"/>
    <w:rsid w:val="00D47D0D"/>
    <w:rsid w:val="00D52268"/>
    <w:rsid w:val="00D534BA"/>
    <w:rsid w:val="00D54168"/>
    <w:rsid w:val="00D5471B"/>
    <w:rsid w:val="00D5587A"/>
    <w:rsid w:val="00D55EE9"/>
    <w:rsid w:val="00D56365"/>
    <w:rsid w:val="00D56A20"/>
    <w:rsid w:val="00D56D9C"/>
    <w:rsid w:val="00D6174D"/>
    <w:rsid w:val="00D62E05"/>
    <w:rsid w:val="00D63FB6"/>
    <w:rsid w:val="00D65E0E"/>
    <w:rsid w:val="00D7026C"/>
    <w:rsid w:val="00D7110C"/>
    <w:rsid w:val="00D7216C"/>
    <w:rsid w:val="00D72A29"/>
    <w:rsid w:val="00D733D1"/>
    <w:rsid w:val="00D73D48"/>
    <w:rsid w:val="00D740FD"/>
    <w:rsid w:val="00D74265"/>
    <w:rsid w:val="00D74AAB"/>
    <w:rsid w:val="00D75A01"/>
    <w:rsid w:val="00D839FF"/>
    <w:rsid w:val="00D85602"/>
    <w:rsid w:val="00D86535"/>
    <w:rsid w:val="00D87B97"/>
    <w:rsid w:val="00D91C5F"/>
    <w:rsid w:val="00D92785"/>
    <w:rsid w:val="00D9479C"/>
    <w:rsid w:val="00D94AE5"/>
    <w:rsid w:val="00D94C1C"/>
    <w:rsid w:val="00D95F0C"/>
    <w:rsid w:val="00D9723B"/>
    <w:rsid w:val="00DA050E"/>
    <w:rsid w:val="00DA09E9"/>
    <w:rsid w:val="00DA18FC"/>
    <w:rsid w:val="00DA1930"/>
    <w:rsid w:val="00DA3319"/>
    <w:rsid w:val="00DA3F43"/>
    <w:rsid w:val="00DA6573"/>
    <w:rsid w:val="00DB0AE8"/>
    <w:rsid w:val="00DB39CC"/>
    <w:rsid w:val="00DB414B"/>
    <w:rsid w:val="00DB5538"/>
    <w:rsid w:val="00DB6376"/>
    <w:rsid w:val="00DC0DAB"/>
    <w:rsid w:val="00DC2FD0"/>
    <w:rsid w:val="00DC4375"/>
    <w:rsid w:val="00DC4460"/>
    <w:rsid w:val="00DC4A69"/>
    <w:rsid w:val="00DD0CA9"/>
    <w:rsid w:val="00DD0E66"/>
    <w:rsid w:val="00DD265E"/>
    <w:rsid w:val="00DD2C9D"/>
    <w:rsid w:val="00DD3466"/>
    <w:rsid w:val="00DD40C8"/>
    <w:rsid w:val="00DD4E10"/>
    <w:rsid w:val="00DD6565"/>
    <w:rsid w:val="00DD6CED"/>
    <w:rsid w:val="00DD6EA8"/>
    <w:rsid w:val="00DE0980"/>
    <w:rsid w:val="00DE3F1C"/>
    <w:rsid w:val="00DE51FD"/>
    <w:rsid w:val="00DF02DD"/>
    <w:rsid w:val="00DF07B4"/>
    <w:rsid w:val="00DF2F99"/>
    <w:rsid w:val="00DF37C6"/>
    <w:rsid w:val="00DF78DA"/>
    <w:rsid w:val="00E027A2"/>
    <w:rsid w:val="00E028B6"/>
    <w:rsid w:val="00E02961"/>
    <w:rsid w:val="00E02A2C"/>
    <w:rsid w:val="00E060A3"/>
    <w:rsid w:val="00E065C0"/>
    <w:rsid w:val="00E07255"/>
    <w:rsid w:val="00E113D1"/>
    <w:rsid w:val="00E135FC"/>
    <w:rsid w:val="00E14134"/>
    <w:rsid w:val="00E14737"/>
    <w:rsid w:val="00E169AB"/>
    <w:rsid w:val="00E16A67"/>
    <w:rsid w:val="00E16ECE"/>
    <w:rsid w:val="00E17661"/>
    <w:rsid w:val="00E23047"/>
    <w:rsid w:val="00E23DF7"/>
    <w:rsid w:val="00E24E5E"/>
    <w:rsid w:val="00E2790A"/>
    <w:rsid w:val="00E33B26"/>
    <w:rsid w:val="00E33F2D"/>
    <w:rsid w:val="00E35024"/>
    <w:rsid w:val="00E35B65"/>
    <w:rsid w:val="00E36937"/>
    <w:rsid w:val="00E37A98"/>
    <w:rsid w:val="00E41B46"/>
    <w:rsid w:val="00E4310B"/>
    <w:rsid w:val="00E52E26"/>
    <w:rsid w:val="00E53776"/>
    <w:rsid w:val="00E54F77"/>
    <w:rsid w:val="00E556F6"/>
    <w:rsid w:val="00E5699D"/>
    <w:rsid w:val="00E611FD"/>
    <w:rsid w:val="00E61ED9"/>
    <w:rsid w:val="00E653E4"/>
    <w:rsid w:val="00E65ED9"/>
    <w:rsid w:val="00E723C7"/>
    <w:rsid w:val="00E72442"/>
    <w:rsid w:val="00E73DE5"/>
    <w:rsid w:val="00E73E34"/>
    <w:rsid w:val="00E7447D"/>
    <w:rsid w:val="00E752CA"/>
    <w:rsid w:val="00E75F8B"/>
    <w:rsid w:val="00E75FE3"/>
    <w:rsid w:val="00E77A19"/>
    <w:rsid w:val="00E82AEE"/>
    <w:rsid w:val="00E82F74"/>
    <w:rsid w:val="00E84F3B"/>
    <w:rsid w:val="00E850CD"/>
    <w:rsid w:val="00E858EB"/>
    <w:rsid w:val="00E86D17"/>
    <w:rsid w:val="00E8711D"/>
    <w:rsid w:val="00E87776"/>
    <w:rsid w:val="00E91D69"/>
    <w:rsid w:val="00E928DC"/>
    <w:rsid w:val="00E93746"/>
    <w:rsid w:val="00E93AEB"/>
    <w:rsid w:val="00E94ADD"/>
    <w:rsid w:val="00E9686C"/>
    <w:rsid w:val="00EA16F9"/>
    <w:rsid w:val="00EA1991"/>
    <w:rsid w:val="00EA1B00"/>
    <w:rsid w:val="00EA266C"/>
    <w:rsid w:val="00EA32C5"/>
    <w:rsid w:val="00EB1202"/>
    <w:rsid w:val="00EB34ED"/>
    <w:rsid w:val="00EB4525"/>
    <w:rsid w:val="00EB45C6"/>
    <w:rsid w:val="00EB5528"/>
    <w:rsid w:val="00EC0C28"/>
    <w:rsid w:val="00EC0FB6"/>
    <w:rsid w:val="00EC1E68"/>
    <w:rsid w:val="00EC229C"/>
    <w:rsid w:val="00EC3FE8"/>
    <w:rsid w:val="00EC5568"/>
    <w:rsid w:val="00EC7740"/>
    <w:rsid w:val="00ED2FDF"/>
    <w:rsid w:val="00ED504B"/>
    <w:rsid w:val="00ED611D"/>
    <w:rsid w:val="00EE1410"/>
    <w:rsid w:val="00EE1C83"/>
    <w:rsid w:val="00EE5983"/>
    <w:rsid w:val="00EE5A35"/>
    <w:rsid w:val="00EE7BF0"/>
    <w:rsid w:val="00EF1F49"/>
    <w:rsid w:val="00EF2323"/>
    <w:rsid w:val="00EF233B"/>
    <w:rsid w:val="00EF28C4"/>
    <w:rsid w:val="00EF549C"/>
    <w:rsid w:val="00EF5CC6"/>
    <w:rsid w:val="00F0262E"/>
    <w:rsid w:val="00F02935"/>
    <w:rsid w:val="00F03125"/>
    <w:rsid w:val="00F045B8"/>
    <w:rsid w:val="00F04CD4"/>
    <w:rsid w:val="00F06ED4"/>
    <w:rsid w:val="00F11BE0"/>
    <w:rsid w:val="00F12518"/>
    <w:rsid w:val="00F13E76"/>
    <w:rsid w:val="00F15B4D"/>
    <w:rsid w:val="00F15EF9"/>
    <w:rsid w:val="00F16A8F"/>
    <w:rsid w:val="00F206B7"/>
    <w:rsid w:val="00F2104B"/>
    <w:rsid w:val="00F23577"/>
    <w:rsid w:val="00F25884"/>
    <w:rsid w:val="00F25F16"/>
    <w:rsid w:val="00F27D97"/>
    <w:rsid w:val="00F30A2B"/>
    <w:rsid w:val="00F33DFC"/>
    <w:rsid w:val="00F4342D"/>
    <w:rsid w:val="00F44C74"/>
    <w:rsid w:val="00F4597E"/>
    <w:rsid w:val="00F46C79"/>
    <w:rsid w:val="00F471AD"/>
    <w:rsid w:val="00F5149F"/>
    <w:rsid w:val="00F52478"/>
    <w:rsid w:val="00F530A9"/>
    <w:rsid w:val="00F54995"/>
    <w:rsid w:val="00F62EF6"/>
    <w:rsid w:val="00F6498F"/>
    <w:rsid w:val="00F65B4E"/>
    <w:rsid w:val="00F729B1"/>
    <w:rsid w:val="00F74824"/>
    <w:rsid w:val="00F759E4"/>
    <w:rsid w:val="00F75E0D"/>
    <w:rsid w:val="00F80D4B"/>
    <w:rsid w:val="00F81176"/>
    <w:rsid w:val="00F81886"/>
    <w:rsid w:val="00F834E0"/>
    <w:rsid w:val="00F8721E"/>
    <w:rsid w:val="00F87505"/>
    <w:rsid w:val="00F918DB"/>
    <w:rsid w:val="00F971DC"/>
    <w:rsid w:val="00FA003E"/>
    <w:rsid w:val="00FA0D87"/>
    <w:rsid w:val="00FA17BC"/>
    <w:rsid w:val="00FA213E"/>
    <w:rsid w:val="00FA2271"/>
    <w:rsid w:val="00FA3D0D"/>
    <w:rsid w:val="00FA3D50"/>
    <w:rsid w:val="00FA40A2"/>
    <w:rsid w:val="00FA5956"/>
    <w:rsid w:val="00FA6F08"/>
    <w:rsid w:val="00FA704D"/>
    <w:rsid w:val="00FA73CA"/>
    <w:rsid w:val="00FB2DC5"/>
    <w:rsid w:val="00FB4588"/>
    <w:rsid w:val="00FB5A39"/>
    <w:rsid w:val="00FB6CF4"/>
    <w:rsid w:val="00FC03FE"/>
    <w:rsid w:val="00FC23A3"/>
    <w:rsid w:val="00FC3AE6"/>
    <w:rsid w:val="00FC3B32"/>
    <w:rsid w:val="00FC565F"/>
    <w:rsid w:val="00FD00F9"/>
    <w:rsid w:val="00FD0365"/>
    <w:rsid w:val="00FD0FCD"/>
    <w:rsid w:val="00FD425D"/>
    <w:rsid w:val="00FD49BC"/>
    <w:rsid w:val="00FD4D36"/>
    <w:rsid w:val="00FD5C56"/>
    <w:rsid w:val="00FE050D"/>
    <w:rsid w:val="00FE1299"/>
    <w:rsid w:val="00FE1776"/>
    <w:rsid w:val="00FE3DBC"/>
    <w:rsid w:val="00FE529E"/>
    <w:rsid w:val="00FE53AE"/>
    <w:rsid w:val="00FE7D33"/>
    <w:rsid w:val="00FF08DC"/>
    <w:rsid w:val="00FF2A55"/>
    <w:rsid w:val="00FF3751"/>
    <w:rsid w:val="00FF4B6E"/>
    <w:rsid w:val="00FF6009"/>
    <w:rsid w:val="00FF775B"/>
    <w:rsid w:val="01026155"/>
    <w:rsid w:val="01414A34"/>
    <w:rsid w:val="01BC47DF"/>
    <w:rsid w:val="01BE592F"/>
    <w:rsid w:val="01EF73E5"/>
    <w:rsid w:val="01F36D14"/>
    <w:rsid w:val="021307B3"/>
    <w:rsid w:val="021B2818"/>
    <w:rsid w:val="02DB58BB"/>
    <w:rsid w:val="02EC6B49"/>
    <w:rsid w:val="03071FA8"/>
    <w:rsid w:val="030A563B"/>
    <w:rsid w:val="0331718A"/>
    <w:rsid w:val="033F4FF4"/>
    <w:rsid w:val="035B12CD"/>
    <w:rsid w:val="037E269F"/>
    <w:rsid w:val="039327D7"/>
    <w:rsid w:val="03A660E5"/>
    <w:rsid w:val="03D42E2E"/>
    <w:rsid w:val="03FB5B99"/>
    <w:rsid w:val="040A3BFE"/>
    <w:rsid w:val="041332A1"/>
    <w:rsid w:val="0423576E"/>
    <w:rsid w:val="045B159D"/>
    <w:rsid w:val="046105A5"/>
    <w:rsid w:val="0488344B"/>
    <w:rsid w:val="048A5583"/>
    <w:rsid w:val="04B12F1C"/>
    <w:rsid w:val="04B353B3"/>
    <w:rsid w:val="04C01DE5"/>
    <w:rsid w:val="05380B5D"/>
    <w:rsid w:val="0539104D"/>
    <w:rsid w:val="055403AE"/>
    <w:rsid w:val="055C5B4F"/>
    <w:rsid w:val="05927939"/>
    <w:rsid w:val="05A31C8C"/>
    <w:rsid w:val="06444866"/>
    <w:rsid w:val="0659503D"/>
    <w:rsid w:val="06684BBA"/>
    <w:rsid w:val="06725D9B"/>
    <w:rsid w:val="06841D37"/>
    <w:rsid w:val="069A6270"/>
    <w:rsid w:val="06C60DD8"/>
    <w:rsid w:val="06E36692"/>
    <w:rsid w:val="06F27474"/>
    <w:rsid w:val="0731409A"/>
    <w:rsid w:val="074A1E92"/>
    <w:rsid w:val="07534304"/>
    <w:rsid w:val="075449B1"/>
    <w:rsid w:val="07930F1B"/>
    <w:rsid w:val="07B56510"/>
    <w:rsid w:val="08611050"/>
    <w:rsid w:val="088E5AA1"/>
    <w:rsid w:val="08B00A43"/>
    <w:rsid w:val="0913728C"/>
    <w:rsid w:val="09610229"/>
    <w:rsid w:val="098C7AFA"/>
    <w:rsid w:val="099E3FEF"/>
    <w:rsid w:val="09AC4421"/>
    <w:rsid w:val="09AC72B8"/>
    <w:rsid w:val="09C23F07"/>
    <w:rsid w:val="09FA1581"/>
    <w:rsid w:val="0A0E4BF7"/>
    <w:rsid w:val="0A152F8C"/>
    <w:rsid w:val="0A2D1468"/>
    <w:rsid w:val="0A456833"/>
    <w:rsid w:val="0A747016"/>
    <w:rsid w:val="0A842286"/>
    <w:rsid w:val="0AA55DCB"/>
    <w:rsid w:val="0AB11786"/>
    <w:rsid w:val="0ADC6477"/>
    <w:rsid w:val="0AF3418E"/>
    <w:rsid w:val="0AF55357"/>
    <w:rsid w:val="0B156206"/>
    <w:rsid w:val="0B1D155E"/>
    <w:rsid w:val="0B7A60D7"/>
    <w:rsid w:val="0B7F3242"/>
    <w:rsid w:val="0B952699"/>
    <w:rsid w:val="0B9A495D"/>
    <w:rsid w:val="0BA23FD5"/>
    <w:rsid w:val="0BFB210D"/>
    <w:rsid w:val="0C02667B"/>
    <w:rsid w:val="0C191D25"/>
    <w:rsid w:val="0CC5251B"/>
    <w:rsid w:val="0D1D66D1"/>
    <w:rsid w:val="0D246BD4"/>
    <w:rsid w:val="0D2941EA"/>
    <w:rsid w:val="0D457756"/>
    <w:rsid w:val="0D9A0BAD"/>
    <w:rsid w:val="0DBD5DBE"/>
    <w:rsid w:val="0DEB5944"/>
    <w:rsid w:val="0DEC63AE"/>
    <w:rsid w:val="0DFD0446"/>
    <w:rsid w:val="0E8036BD"/>
    <w:rsid w:val="0E9D6817"/>
    <w:rsid w:val="0EA24254"/>
    <w:rsid w:val="0ED55993"/>
    <w:rsid w:val="0F587009"/>
    <w:rsid w:val="0F75573A"/>
    <w:rsid w:val="0F7B37E5"/>
    <w:rsid w:val="0F9F20B4"/>
    <w:rsid w:val="0FA26D2E"/>
    <w:rsid w:val="0FAA4A5B"/>
    <w:rsid w:val="0FD506C4"/>
    <w:rsid w:val="0FE20CA5"/>
    <w:rsid w:val="0FE64614"/>
    <w:rsid w:val="10392996"/>
    <w:rsid w:val="10581D75"/>
    <w:rsid w:val="10613805"/>
    <w:rsid w:val="108250D4"/>
    <w:rsid w:val="10E24DDC"/>
    <w:rsid w:val="10F25464"/>
    <w:rsid w:val="10F87DC0"/>
    <w:rsid w:val="111D4066"/>
    <w:rsid w:val="112913FE"/>
    <w:rsid w:val="1147307C"/>
    <w:rsid w:val="11734152"/>
    <w:rsid w:val="11B30468"/>
    <w:rsid w:val="121C12A3"/>
    <w:rsid w:val="12307DC9"/>
    <w:rsid w:val="12387AD6"/>
    <w:rsid w:val="12557B54"/>
    <w:rsid w:val="126D6FE0"/>
    <w:rsid w:val="12873C58"/>
    <w:rsid w:val="12940A62"/>
    <w:rsid w:val="12A12A75"/>
    <w:rsid w:val="13051A7F"/>
    <w:rsid w:val="1328023E"/>
    <w:rsid w:val="13394F00"/>
    <w:rsid w:val="135D6510"/>
    <w:rsid w:val="13636338"/>
    <w:rsid w:val="136C05C1"/>
    <w:rsid w:val="137657C9"/>
    <w:rsid w:val="13AC7809"/>
    <w:rsid w:val="13B74DB8"/>
    <w:rsid w:val="13CB1B4A"/>
    <w:rsid w:val="13DF7859"/>
    <w:rsid w:val="13EB2CED"/>
    <w:rsid w:val="14134EB3"/>
    <w:rsid w:val="146F0040"/>
    <w:rsid w:val="14BD6F12"/>
    <w:rsid w:val="14E347B7"/>
    <w:rsid w:val="14FD4D07"/>
    <w:rsid w:val="14FF5A99"/>
    <w:rsid w:val="15100288"/>
    <w:rsid w:val="15194D45"/>
    <w:rsid w:val="15344B89"/>
    <w:rsid w:val="15396570"/>
    <w:rsid w:val="15547E46"/>
    <w:rsid w:val="1557566D"/>
    <w:rsid w:val="157051FD"/>
    <w:rsid w:val="158107D4"/>
    <w:rsid w:val="158A5977"/>
    <w:rsid w:val="15A20FDE"/>
    <w:rsid w:val="15C921D9"/>
    <w:rsid w:val="16116649"/>
    <w:rsid w:val="161812A0"/>
    <w:rsid w:val="164263BA"/>
    <w:rsid w:val="164E5E37"/>
    <w:rsid w:val="166E169E"/>
    <w:rsid w:val="16BC510E"/>
    <w:rsid w:val="16C13CF0"/>
    <w:rsid w:val="16C63975"/>
    <w:rsid w:val="16C83A45"/>
    <w:rsid w:val="16FC2600"/>
    <w:rsid w:val="171442DA"/>
    <w:rsid w:val="1715253C"/>
    <w:rsid w:val="17302492"/>
    <w:rsid w:val="178957D4"/>
    <w:rsid w:val="17B23461"/>
    <w:rsid w:val="17D47F62"/>
    <w:rsid w:val="17F36A9C"/>
    <w:rsid w:val="180B5E39"/>
    <w:rsid w:val="180E7EE7"/>
    <w:rsid w:val="184A05D3"/>
    <w:rsid w:val="187134BE"/>
    <w:rsid w:val="1875300B"/>
    <w:rsid w:val="188B3FAB"/>
    <w:rsid w:val="18906763"/>
    <w:rsid w:val="18A40FA6"/>
    <w:rsid w:val="18D94D16"/>
    <w:rsid w:val="191F6C3A"/>
    <w:rsid w:val="192D2B30"/>
    <w:rsid w:val="19762399"/>
    <w:rsid w:val="19855485"/>
    <w:rsid w:val="198B221B"/>
    <w:rsid w:val="198E1180"/>
    <w:rsid w:val="19CD4580"/>
    <w:rsid w:val="19F7346D"/>
    <w:rsid w:val="1A4563DB"/>
    <w:rsid w:val="1A521290"/>
    <w:rsid w:val="1A5671B0"/>
    <w:rsid w:val="1A6C60EB"/>
    <w:rsid w:val="1A8F5861"/>
    <w:rsid w:val="1AAE7046"/>
    <w:rsid w:val="1AD17786"/>
    <w:rsid w:val="1B1A73EC"/>
    <w:rsid w:val="1B3E4972"/>
    <w:rsid w:val="1B534A21"/>
    <w:rsid w:val="1B706658"/>
    <w:rsid w:val="1B7B557B"/>
    <w:rsid w:val="1BBD7CBF"/>
    <w:rsid w:val="1BC01E47"/>
    <w:rsid w:val="1C20746D"/>
    <w:rsid w:val="1C533B3B"/>
    <w:rsid w:val="1C5E52FA"/>
    <w:rsid w:val="1C773C4F"/>
    <w:rsid w:val="1CAD0ECD"/>
    <w:rsid w:val="1D294E8A"/>
    <w:rsid w:val="1D6E53D4"/>
    <w:rsid w:val="1D981A88"/>
    <w:rsid w:val="1DA0612F"/>
    <w:rsid w:val="1DA17DCD"/>
    <w:rsid w:val="1DC73B97"/>
    <w:rsid w:val="1DF80BA0"/>
    <w:rsid w:val="1E0A1957"/>
    <w:rsid w:val="1E0C2950"/>
    <w:rsid w:val="1E257212"/>
    <w:rsid w:val="1E2C0718"/>
    <w:rsid w:val="1E302D5C"/>
    <w:rsid w:val="1E8F5A87"/>
    <w:rsid w:val="1EA00772"/>
    <w:rsid w:val="1EAD566E"/>
    <w:rsid w:val="1ED80731"/>
    <w:rsid w:val="1F55394A"/>
    <w:rsid w:val="1F861028"/>
    <w:rsid w:val="1FCD07BE"/>
    <w:rsid w:val="201E74B3"/>
    <w:rsid w:val="204E6648"/>
    <w:rsid w:val="20DB6A33"/>
    <w:rsid w:val="20EE18B5"/>
    <w:rsid w:val="20FD5819"/>
    <w:rsid w:val="212C689A"/>
    <w:rsid w:val="213E30AA"/>
    <w:rsid w:val="21823B19"/>
    <w:rsid w:val="21A954A2"/>
    <w:rsid w:val="222F4291"/>
    <w:rsid w:val="223A3A3D"/>
    <w:rsid w:val="223B7F48"/>
    <w:rsid w:val="2240009C"/>
    <w:rsid w:val="22562DD1"/>
    <w:rsid w:val="225C57E4"/>
    <w:rsid w:val="22C07B9C"/>
    <w:rsid w:val="22DB4FC3"/>
    <w:rsid w:val="23343F18"/>
    <w:rsid w:val="23467C87"/>
    <w:rsid w:val="23857D61"/>
    <w:rsid w:val="239A1546"/>
    <w:rsid w:val="239E358C"/>
    <w:rsid w:val="23A9050A"/>
    <w:rsid w:val="23E5231B"/>
    <w:rsid w:val="23FA56C6"/>
    <w:rsid w:val="243C5474"/>
    <w:rsid w:val="24833E31"/>
    <w:rsid w:val="24E13040"/>
    <w:rsid w:val="24E70EA1"/>
    <w:rsid w:val="252F7AD2"/>
    <w:rsid w:val="25385289"/>
    <w:rsid w:val="255B4310"/>
    <w:rsid w:val="2569586F"/>
    <w:rsid w:val="25916979"/>
    <w:rsid w:val="259E7291"/>
    <w:rsid w:val="25DE56BB"/>
    <w:rsid w:val="26153008"/>
    <w:rsid w:val="268109E6"/>
    <w:rsid w:val="26814BAB"/>
    <w:rsid w:val="26856B94"/>
    <w:rsid w:val="269009DE"/>
    <w:rsid w:val="26B0066D"/>
    <w:rsid w:val="26E62EAE"/>
    <w:rsid w:val="270C0EF8"/>
    <w:rsid w:val="27261D45"/>
    <w:rsid w:val="272631ED"/>
    <w:rsid w:val="274442D8"/>
    <w:rsid w:val="2764613E"/>
    <w:rsid w:val="2775752D"/>
    <w:rsid w:val="278413EE"/>
    <w:rsid w:val="27D019DA"/>
    <w:rsid w:val="27DD546B"/>
    <w:rsid w:val="27F46816"/>
    <w:rsid w:val="283F588A"/>
    <w:rsid w:val="28AD4498"/>
    <w:rsid w:val="28B0248C"/>
    <w:rsid w:val="28C31DE1"/>
    <w:rsid w:val="28E3573D"/>
    <w:rsid w:val="295916A5"/>
    <w:rsid w:val="29645C12"/>
    <w:rsid w:val="296F5CAF"/>
    <w:rsid w:val="298B6437"/>
    <w:rsid w:val="29962213"/>
    <w:rsid w:val="29F57BD7"/>
    <w:rsid w:val="2A2A53BD"/>
    <w:rsid w:val="2A3F4F40"/>
    <w:rsid w:val="2A481CFC"/>
    <w:rsid w:val="2A783AED"/>
    <w:rsid w:val="2A843E4B"/>
    <w:rsid w:val="2A9E7F78"/>
    <w:rsid w:val="2AB97C36"/>
    <w:rsid w:val="2B25203D"/>
    <w:rsid w:val="2B2D0EF2"/>
    <w:rsid w:val="2B366830"/>
    <w:rsid w:val="2B395E52"/>
    <w:rsid w:val="2B68741B"/>
    <w:rsid w:val="2B6E274F"/>
    <w:rsid w:val="2B721146"/>
    <w:rsid w:val="2BB475DE"/>
    <w:rsid w:val="2BB71B37"/>
    <w:rsid w:val="2BC26024"/>
    <w:rsid w:val="2C1F735F"/>
    <w:rsid w:val="2C285DDE"/>
    <w:rsid w:val="2C394C89"/>
    <w:rsid w:val="2C520DB9"/>
    <w:rsid w:val="2C534988"/>
    <w:rsid w:val="2C5833F1"/>
    <w:rsid w:val="2CC52C95"/>
    <w:rsid w:val="2D233317"/>
    <w:rsid w:val="2D303665"/>
    <w:rsid w:val="2D376058"/>
    <w:rsid w:val="2D3C366E"/>
    <w:rsid w:val="2D3C53C6"/>
    <w:rsid w:val="2D403897"/>
    <w:rsid w:val="2D6430D3"/>
    <w:rsid w:val="2D7F1BAC"/>
    <w:rsid w:val="2E4F206F"/>
    <w:rsid w:val="2E560B72"/>
    <w:rsid w:val="2E5E49E9"/>
    <w:rsid w:val="2F481CF7"/>
    <w:rsid w:val="2F6649D2"/>
    <w:rsid w:val="2F6A2714"/>
    <w:rsid w:val="2F7F2E24"/>
    <w:rsid w:val="2FA14F96"/>
    <w:rsid w:val="2FB13B8E"/>
    <w:rsid w:val="2FD261BA"/>
    <w:rsid w:val="2FE447DE"/>
    <w:rsid w:val="2FE926C3"/>
    <w:rsid w:val="2FF412E7"/>
    <w:rsid w:val="2FFA2F2D"/>
    <w:rsid w:val="30116340"/>
    <w:rsid w:val="3014497E"/>
    <w:rsid w:val="30190B17"/>
    <w:rsid w:val="302C0287"/>
    <w:rsid w:val="30357723"/>
    <w:rsid w:val="30490B35"/>
    <w:rsid w:val="305807BF"/>
    <w:rsid w:val="30824B3A"/>
    <w:rsid w:val="308B2898"/>
    <w:rsid w:val="308D4252"/>
    <w:rsid w:val="30C85A7E"/>
    <w:rsid w:val="31006137"/>
    <w:rsid w:val="31223F66"/>
    <w:rsid w:val="313718FE"/>
    <w:rsid w:val="316F3963"/>
    <w:rsid w:val="319121DA"/>
    <w:rsid w:val="31E9597C"/>
    <w:rsid w:val="32294DB9"/>
    <w:rsid w:val="324F174E"/>
    <w:rsid w:val="32514F97"/>
    <w:rsid w:val="326D662E"/>
    <w:rsid w:val="32776A4F"/>
    <w:rsid w:val="328D3929"/>
    <w:rsid w:val="32902492"/>
    <w:rsid w:val="32A95092"/>
    <w:rsid w:val="32AB7EE6"/>
    <w:rsid w:val="32FE3624"/>
    <w:rsid w:val="33160FFD"/>
    <w:rsid w:val="332F1909"/>
    <w:rsid w:val="333C00D7"/>
    <w:rsid w:val="33785A27"/>
    <w:rsid w:val="338773FB"/>
    <w:rsid w:val="33B71546"/>
    <w:rsid w:val="33CC2E63"/>
    <w:rsid w:val="340C1162"/>
    <w:rsid w:val="34A264AC"/>
    <w:rsid w:val="34A66C45"/>
    <w:rsid w:val="34AD57EA"/>
    <w:rsid w:val="34AF2977"/>
    <w:rsid w:val="34E10CD4"/>
    <w:rsid w:val="35431A3E"/>
    <w:rsid w:val="354969F7"/>
    <w:rsid w:val="35906B7F"/>
    <w:rsid w:val="35936B8D"/>
    <w:rsid w:val="35D05DF4"/>
    <w:rsid w:val="35DD61C4"/>
    <w:rsid w:val="35E21AB3"/>
    <w:rsid w:val="35FE2075"/>
    <w:rsid w:val="3619610C"/>
    <w:rsid w:val="36344D15"/>
    <w:rsid w:val="3672405E"/>
    <w:rsid w:val="371061C9"/>
    <w:rsid w:val="3760316E"/>
    <w:rsid w:val="37732E15"/>
    <w:rsid w:val="377A7B26"/>
    <w:rsid w:val="37BB6C92"/>
    <w:rsid w:val="37DA4162"/>
    <w:rsid w:val="37FA2AD9"/>
    <w:rsid w:val="384E6289"/>
    <w:rsid w:val="3852284D"/>
    <w:rsid w:val="385448D0"/>
    <w:rsid w:val="38712C15"/>
    <w:rsid w:val="3872263A"/>
    <w:rsid w:val="38AF21FA"/>
    <w:rsid w:val="38C87200"/>
    <w:rsid w:val="38DE608A"/>
    <w:rsid w:val="38E94C29"/>
    <w:rsid w:val="39346C55"/>
    <w:rsid w:val="39BE67A1"/>
    <w:rsid w:val="3A2D13E3"/>
    <w:rsid w:val="3A4E636D"/>
    <w:rsid w:val="3A565CF9"/>
    <w:rsid w:val="3A61332B"/>
    <w:rsid w:val="3AA57AEB"/>
    <w:rsid w:val="3AB26D1E"/>
    <w:rsid w:val="3ABD122B"/>
    <w:rsid w:val="3B0C560B"/>
    <w:rsid w:val="3B1A6896"/>
    <w:rsid w:val="3B2A4F9E"/>
    <w:rsid w:val="3BA237C3"/>
    <w:rsid w:val="3BB24720"/>
    <w:rsid w:val="3C033CD5"/>
    <w:rsid w:val="3C0465E0"/>
    <w:rsid w:val="3C124837"/>
    <w:rsid w:val="3C501953"/>
    <w:rsid w:val="3C6D66C1"/>
    <w:rsid w:val="3CBB45AF"/>
    <w:rsid w:val="3CF90C34"/>
    <w:rsid w:val="3D031AB2"/>
    <w:rsid w:val="3D0E0B97"/>
    <w:rsid w:val="3D7563E3"/>
    <w:rsid w:val="3D9B6387"/>
    <w:rsid w:val="3DA75963"/>
    <w:rsid w:val="3DC93366"/>
    <w:rsid w:val="3DEC090F"/>
    <w:rsid w:val="3E257275"/>
    <w:rsid w:val="3E31789C"/>
    <w:rsid w:val="3E3916A1"/>
    <w:rsid w:val="3E422664"/>
    <w:rsid w:val="3E5050DE"/>
    <w:rsid w:val="3E7E7899"/>
    <w:rsid w:val="3E9E3E52"/>
    <w:rsid w:val="3EA01BA4"/>
    <w:rsid w:val="3EFA6787"/>
    <w:rsid w:val="3EFC1CC5"/>
    <w:rsid w:val="3F3221DE"/>
    <w:rsid w:val="3F4A3664"/>
    <w:rsid w:val="3F4B1179"/>
    <w:rsid w:val="3F4D34B9"/>
    <w:rsid w:val="3F5D16D4"/>
    <w:rsid w:val="3F712A45"/>
    <w:rsid w:val="3F77332A"/>
    <w:rsid w:val="3F911B89"/>
    <w:rsid w:val="3FC45139"/>
    <w:rsid w:val="3FC667B3"/>
    <w:rsid w:val="3FC9630E"/>
    <w:rsid w:val="400A0D75"/>
    <w:rsid w:val="401F2F68"/>
    <w:rsid w:val="4036290E"/>
    <w:rsid w:val="404273FD"/>
    <w:rsid w:val="40447007"/>
    <w:rsid w:val="404A5FA7"/>
    <w:rsid w:val="40E32E07"/>
    <w:rsid w:val="40FF192D"/>
    <w:rsid w:val="412F2AF8"/>
    <w:rsid w:val="4139164A"/>
    <w:rsid w:val="419877B2"/>
    <w:rsid w:val="41A804DB"/>
    <w:rsid w:val="41B01190"/>
    <w:rsid w:val="41C17286"/>
    <w:rsid w:val="41F00C27"/>
    <w:rsid w:val="41FF6CEC"/>
    <w:rsid w:val="421A23FD"/>
    <w:rsid w:val="422634B4"/>
    <w:rsid w:val="42277181"/>
    <w:rsid w:val="42291FBB"/>
    <w:rsid w:val="42462B6D"/>
    <w:rsid w:val="42585357"/>
    <w:rsid w:val="425D6B44"/>
    <w:rsid w:val="427D49D3"/>
    <w:rsid w:val="427E21E6"/>
    <w:rsid w:val="42DF649D"/>
    <w:rsid w:val="42EF4FB3"/>
    <w:rsid w:val="42F779C3"/>
    <w:rsid w:val="430161BE"/>
    <w:rsid w:val="432E4DA4"/>
    <w:rsid w:val="43473D05"/>
    <w:rsid w:val="435A633D"/>
    <w:rsid w:val="436314BC"/>
    <w:rsid w:val="43AF64F0"/>
    <w:rsid w:val="43C54682"/>
    <w:rsid w:val="43E17F56"/>
    <w:rsid w:val="440B643F"/>
    <w:rsid w:val="440D7107"/>
    <w:rsid w:val="442904D6"/>
    <w:rsid w:val="446F4AE0"/>
    <w:rsid w:val="4475233E"/>
    <w:rsid w:val="447A721F"/>
    <w:rsid w:val="447D6DD0"/>
    <w:rsid w:val="44831672"/>
    <w:rsid w:val="449B07B7"/>
    <w:rsid w:val="44B76BFB"/>
    <w:rsid w:val="450B6428"/>
    <w:rsid w:val="451C5681"/>
    <w:rsid w:val="452F5B3A"/>
    <w:rsid w:val="454A51DE"/>
    <w:rsid w:val="459060E5"/>
    <w:rsid w:val="45AF4585"/>
    <w:rsid w:val="45AF50FA"/>
    <w:rsid w:val="45B86723"/>
    <w:rsid w:val="45C81AEB"/>
    <w:rsid w:val="45EF2A0F"/>
    <w:rsid w:val="46550F29"/>
    <w:rsid w:val="469F4655"/>
    <w:rsid w:val="46C6525E"/>
    <w:rsid w:val="46C9300C"/>
    <w:rsid w:val="46E456BB"/>
    <w:rsid w:val="46FC5E48"/>
    <w:rsid w:val="47016784"/>
    <w:rsid w:val="4732388D"/>
    <w:rsid w:val="47564AAF"/>
    <w:rsid w:val="475F022D"/>
    <w:rsid w:val="476475F1"/>
    <w:rsid w:val="478F48B9"/>
    <w:rsid w:val="47945F72"/>
    <w:rsid w:val="47975C19"/>
    <w:rsid w:val="47CB3625"/>
    <w:rsid w:val="47D3483A"/>
    <w:rsid w:val="47E80223"/>
    <w:rsid w:val="48266FE8"/>
    <w:rsid w:val="482B3C30"/>
    <w:rsid w:val="484A2423"/>
    <w:rsid w:val="48721EEC"/>
    <w:rsid w:val="4875007F"/>
    <w:rsid w:val="4890478D"/>
    <w:rsid w:val="48A406E6"/>
    <w:rsid w:val="48D42F22"/>
    <w:rsid w:val="48D76177"/>
    <w:rsid w:val="48E30ECA"/>
    <w:rsid w:val="490B30E0"/>
    <w:rsid w:val="491002E2"/>
    <w:rsid w:val="49547C0B"/>
    <w:rsid w:val="4A135840"/>
    <w:rsid w:val="4A3D5A9C"/>
    <w:rsid w:val="4A863D78"/>
    <w:rsid w:val="4AA02DC8"/>
    <w:rsid w:val="4B1A6A3B"/>
    <w:rsid w:val="4B572DCD"/>
    <w:rsid w:val="4B6148D3"/>
    <w:rsid w:val="4B6D5F85"/>
    <w:rsid w:val="4B7D6954"/>
    <w:rsid w:val="4B803312"/>
    <w:rsid w:val="4B8C008B"/>
    <w:rsid w:val="4C0B0378"/>
    <w:rsid w:val="4C21650E"/>
    <w:rsid w:val="4C253B68"/>
    <w:rsid w:val="4C715FE1"/>
    <w:rsid w:val="4C867F15"/>
    <w:rsid w:val="4CCC7F61"/>
    <w:rsid w:val="4CD314A1"/>
    <w:rsid w:val="4CE706D7"/>
    <w:rsid w:val="4CF91CCC"/>
    <w:rsid w:val="4D3042A5"/>
    <w:rsid w:val="4D535E37"/>
    <w:rsid w:val="4D6A4019"/>
    <w:rsid w:val="4D84297A"/>
    <w:rsid w:val="4D8B316A"/>
    <w:rsid w:val="4DB26E0D"/>
    <w:rsid w:val="4DC71D1E"/>
    <w:rsid w:val="4DC756AF"/>
    <w:rsid w:val="4E062163"/>
    <w:rsid w:val="4E5E7182"/>
    <w:rsid w:val="4E63623F"/>
    <w:rsid w:val="4E7E368F"/>
    <w:rsid w:val="4E9467D7"/>
    <w:rsid w:val="4EB33338"/>
    <w:rsid w:val="4EB440A2"/>
    <w:rsid w:val="4EB946C7"/>
    <w:rsid w:val="4ED94580"/>
    <w:rsid w:val="4F000151"/>
    <w:rsid w:val="4F174982"/>
    <w:rsid w:val="4F300E20"/>
    <w:rsid w:val="4F3D6B29"/>
    <w:rsid w:val="4F3E37F0"/>
    <w:rsid w:val="4F594BCD"/>
    <w:rsid w:val="4F725AF4"/>
    <w:rsid w:val="4FB658C3"/>
    <w:rsid w:val="4FD55DD9"/>
    <w:rsid w:val="4FED2502"/>
    <w:rsid w:val="50257D79"/>
    <w:rsid w:val="502C37A8"/>
    <w:rsid w:val="502D0EC8"/>
    <w:rsid w:val="50944830"/>
    <w:rsid w:val="50B10296"/>
    <w:rsid w:val="50B7494C"/>
    <w:rsid w:val="50B85D73"/>
    <w:rsid w:val="50C61AD3"/>
    <w:rsid w:val="51286797"/>
    <w:rsid w:val="51287EC8"/>
    <w:rsid w:val="51625253"/>
    <w:rsid w:val="516C605F"/>
    <w:rsid w:val="51A97C06"/>
    <w:rsid w:val="51C74A0B"/>
    <w:rsid w:val="51CB1985"/>
    <w:rsid w:val="521D2337"/>
    <w:rsid w:val="52500175"/>
    <w:rsid w:val="52697E4B"/>
    <w:rsid w:val="52BC435E"/>
    <w:rsid w:val="52DB202C"/>
    <w:rsid w:val="52E8557B"/>
    <w:rsid w:val="531176D5"/>
    <w:rsid w:val="531B76FE"/>
    <w:rsid w:val="531D07E6"/>
    <w:rsid w:val="532C190B"/>
    <w:rsid w:val="532E0DD2"/>
    <w:rsid w:val="535449BE"/>
    <w:rsid w:val="535D47E7"/>
    <w:rsid w:val="536E3595"/>
    <w:rsid w:val="537B0515"/>
    <w:rsid w:val="53B93E5D"/>
    <w:rsid w:val="53CB033D"/>
    <w:rsid w:val="54032CAE"/>
    <w:rsid w:val="542B7642"/>
    <w:rsid w:val="54937F6D"/>
    <w:rsid w:val="54A454D1"/>
    <w:rsid w:val="54D9161F"/>
    <w:rsid w:val="54DA1A52"/>
    <w:rsid w:val="54E65B5B"/>
    <w:rsid w:val="54EC395C"/>
    <w:rsid w:val="54FB4318"/>
    <w:rsid w:val="55605E7A"/>
    <w:rsid w:val="5570542C"/>
    <w:rsid w:val="5587107B"/>
    <w:rsid w:val="55BC3351"/>
    <w:rsid w:val="55BF0815"/>
    <w:rsid w:val="55CE7630"/>
    <w:rsid w:val="55D112A3"/>
    <w:rsid w:val="55E14F52"/>
    <w:rsid w:val="55EB785C"/>
    <w:rsid w:val="55F42D8F"/>
    <w:rsid w:val="56014320"/>
    <w:rsid w:val="56127738"/>
    <w:rsid w:val="56294A8F"/>
    <w:rsid w:val="56347039"/>
    <w:rsid w:val="5659140E"/>
    <w:rsid w:val="565C6063"/>
    <w:rsid w:val="56896E44"/>
    <w:rsid w:val="56ED7603"/>
    <w:rsid w:val="570F7634"/>
    <w:rsid w:val="5732516C"/>
    <w:rsid w:val="573D094E"/>
    <w:rsid w:val="574E6959"/>
    <w:rsid w:val="576953C1"/>
    <w:rsid w:val="57B2148B"/>
    <w:rsid w:val="57FC150E"/>
    <w:rsid w:val="58135F10"/>
    <w:rsid w:val="58311654"/>
    <w:rsid w:val="583F5C3D"/>
    <w:rsid w:val="586D221A"/>
    <w:rsid w:val="5876720A"/>
    <w:rsid w:val="589D2963"/>
    <w:rsid w:val="58DB4D7E"/>
    <w:rsid w:val="58FB48AF"/>
    <w:rsid w:val="590914C5"/>
    <w:rsid w:val="590D5382"/>
    <w:rsid w:val="594D1E2C"/>
    <w:rsid w:val="59605D82"/>
    <w:rsid w:val="5963617B"/>
    <w:rsid w:val="59742E10"/>
    <w:rsid w:val="59806429"/>
    <w:rsid w:val="59C903BB"/>
    <w:rsid w:val="59F041C8"/>
    <w:rsid w:val="59FA2F33"/>
    <w:rsid w:val="5A1D18B3"/>
    <w:rsid w:val="5A3A29BB"/>
    <w:rsid w:val="5A6C7840"/>
    <w:rsid w:val="5AC468CD"/>
    <w:rsid w:val="5AD27EE8"/>
    <w:rsid w:val="5AD3291B"/>
    <w:rsid w:val="5B1435C0"/>
    <w:rsid w:val="5B446176"/>
    <w:rsid w:val="5B7B38DD"/>
    <w:rsid w:val="5BB82DBB"/>
    <w:rsid w:val="5BE2372F"/>
    <w:rsid w:val="5BFE7600"/>
    <w:rsid w:val="5C3A1A1A"/>
    <w:rsid w:val="5C453E53"/>
    <w:rsid w:val="5C6B2721"/>
    <w:rsid w:val="5C875E04"/>
    <w:rsid w:val="5CD64EEC"/>
    <w:rsid w:val="5D0F5000"/>
    <w:rsid w:val="5D251A0D"/>
    <w:rsid w:val="5D2F6B7A"/>
    <w:rsid w:val="5D4C597D"/>
    <w:rsid w:val="5D812CCF"/>
    <w:rsid w:val="5DD13705"/>
    <w:rsid w:val="5DE228D8"/>
    <w:rsid w:val="5E3A6688"/>
    <w:rsid w:val="5E4168B4"/>
    <w:rsid w:val="5E4329FB"/>
    <w:rsid w:val="5EB17168"/>
    <w:rsid w:val="5EE25574"/>
    <w:rsid w:val="5EE80E74"/>
    <w:rsid w:val="5F010FEC"/>
    <w:rsid w:val="600C1F76"/>
    <w:rsid w:val="60250C61"/>
    <w:rsid w:val="60472566"/>
    <w:rsid w:val="605F2F56"/>
    <w:rsid w:val="60A52CFD"/>
    <w:rsid w:val="60C87CD9"/>
    <w:rsid w:val="60E47906"/>
    <w:rsid w:val="60E60DCE"/>
    <w:rsid w:val="60FB647C"/>
    <w:rsid w:val="60FD323D"/>
    <w:rsid w:val="61163E89"/>
    <w:rsid w:val="61255530"/>
    <w:rsid w:val="61486BF3"/>
    <w:rsid w:val="616B5A50"/>
    <w:rsid w:val="616D669B"/>
    <w:rsid w:val="61802467"/>
    <w:rsid w:val="61A60D30"/>
    <w:rsid w:val="61B03470"/>
    <w:rsid w:val="61BC5B07"/>
    <w:rsid w:val="61BD1F0D"/>
    <w:rsid w:val="62076DCF"/>
    <w:rsid w:val="620E1E6C"/>
    <w:rsid w:val="623E236D"/>
    <w:rsid w:val="626D65D0"/>
    <w:rsid w:val="62764951"/>
    <w:rsid w:val="62F651D6"/>
    <w:rsid w:val="63695775"/>
    <w:rsid w:val="639C3F43"/>
    <w:rsid w:val="644A1D32"/>
    <w:rsid w:val="64521E9E"/>
    <w:rsid w:val="64882DA8"/>
    <w:rsid w:val="64B513DA"/>
    <w:rsid w:val="64C30C37"/>
    <w:rsid w:val="64C319A4"/>
    <w:rsid w:val="64C3789D"/>
    <w:rsid w:val="64CE1678"/>
    <w:rsid w:val="64D25804"/>
    <w:rsid w:val="64F41B5D"/>
    <w:rsid w:val="64F42193"/>
    <w:rsid w:val="64FA342D"/>
    <w:rsid w:val="64FD6C64"/>
    <w:rsid w:val="653305E7"/>
    <w:rsid w:val="65AD18CD"/>
    <w:rsid w:val="65D5055A"/>
    <w:rsid w:val="65E53083"/>
    <w:rsid w:val="663919BC"/>
    <w:rsid w:val="665B6B11"/>
    <w:rsid w:val="667A1427"/>
    <w:rsid w:val="66937568"/>
    <w:rsid w:val="66AE5D23"/>
    <w:rsid w:val="66C41CCF"/>
    <w:rsid w:val="66C513F4"/>
    <w:rsid w:val="66E22B39"/>
    <w:rsid w:val="672D55CF"/>
    <w:rsid w:val="67662C42"/>
    <w:rsid w:val="67FD6F4D"/>
    <w:rsid w:val="68275CF6"/>
    <w:rsid w:val="68352BB8"/>
    <w:rsid w:val="68422EF1"/>
    <w:rsid w:val="68640EDE"/>
    <w:rsid w:val="68867717"/>
    <w:rsid w:val="69083C24"/>
    <w:rsid w:val="690E1350"/>
    <w:rsid w:val="69287B34"/>
    <w:rsid w:val="693140D7"/>
    <w:rsid w:val="69644122"/>
    <w:rsid w:val="69AB102B"/>
    <w:rsid w:val="69E2394A"/>
    <w:rsid w:val="69E51706"/>
    <w:rsid w:val="6A002836"/>
    <w:rsid w:val="6A2904FB"/>
    <w:rsid w:val="6A3B012F"/>
    <w:rsid w:val="6A992416"/>
    <w:rsid w:val="6AA01173"/>
    <w:rsid w:val="6AAB13CB"/>
    <w:rsid w:val="6AE461D0"/>
    <w:rsid w:val="6AF067B7"/>
    <w:rsid w:val="6AF30236"/>
    <w:rsid w:val="6AFC176B"/>
    <w:rsid w:val="6B2C3BD9"/>
    <w:rsid w:val="6B396285"/>
    <w:rsid w:val="6B97037C"/>
    <w:rsid w:val="6BA42E7D"/>
    <w:rsid w:val="6BAC4D39"/>
    <w:rsid w:val="6BB17694"/>
    <w:rsid w:val="6BC14DF8"/>
    <w:rsid w:val="6BC61BDC"/>
    <w:rsid w:val="6BE40B7D"/>
    <w:rsid w:val="6C195D31"/>
    <w:rsid w:val="6C342EEB"/>
    <w:rsid w:val="6C5A47DA"/>
    <w:rsid w:val="6C981A12"/>
    <w:rsid w:val="6CA2614A"/>
    <w:rsid w:val="6CC71A9F"/>
    <w:rsid w:val="6CCB5899"/>
    <w:rsid w:val="6CE028C4"/>
    <w:rsid w:val="6CF50B68"/>
    <w:rsid w:val="6D1F7562"/>
    <w:rsid w:val="6D335581"/>
    <w:rsid w:val="6DB9605E"/>
    <w:rsid w:val="6DF65610"/>
    <w:rsid w:val="6E1C10FC"/>
    <w:rsid w:val="6E253DA3"/>
    <w:rsid w:val="6E3A378C"/>
    <w:rsid w:val="6E5C286A"/>
    <w:rsid w:val="6E6570B5"/>
    <w:rsid w:val="6ECB033D"/>
    <w:rsid w:val="6EF57539"/>
    <w:rsid w:val="6F107CDF"/>
    <w:rsid w:val="6F1B1CBB"/>
    <w:rsid w:val="6F216CEC"/>
    <w:rsid w:val="6F217109"/>
    <w:rsid w:val="6F5767EF"/>
    <w:rsid w:val="6F5A56FD"/>
    <w:rsid w:val="6F5D456E"/>
    <w:rsid w:val="6F836B40"/>
    <w:rsid w:val="6FB85662"/>
    <w:rsid w:val="6FBB32C2"/>
    <w:rsid w:val="6FEC7775"/>
    <w:rsid w:val="6FF002F6"/>
    <w:rsid w:val="700E702E"/>
    <w:rsid w:val="704B6F4B"/>
    <w:rsid w:val="705F0FC6"/>
    <w:rsid w:val="70742386"/>
    <w:rsid w:val="70824ECB"/>
    <w:rsid w:val="709958A8"/>
    <w:rsid w:val="709D487B"/>
    <w:rsid w:val="70C97661"/>
    <w:rsid w:val="70F82A8F"/>
    <w:rsid w:val="70FF56AB"/>
    <w:rsid w:val="70FF68A0"/>
    <w:rsid w:val="711B6C7D"/>
    <w:rsid w:val="711E6761"/>
    <w:rsid w:val="712B7CC9"/>
    <w:rsid w:val="71353C29"/>
    <w:rsid w:val="713F6277"/>
    <w:rsid w:val="714F6A99"/>
    <w:rsid w:val="71784310"/>
    <w:rsid w:val="71A069B1"/>
    <w:rsid w:val="71A1306D"/>
    <w:rsid w:val="71A573FA"/>
    <w:rsid w:val="71BB412E"/>
    <w:rsid w:val="722B6570"/>
    <w:rsid w:val="7249173A"/>
    <w:rsid w:val="724F164E"/>
    <w:rsid w:val="725105EF"/>
    <w:rsid w:val="727B38BE"/>
    <w:rsid w:val="72983E75"/>
    <w:rsid w:val="72A850EC"/>
    <w:rsid w:val="72C45BD6"/>
    <w:rsid w:val="72CE10BA"/>
    <w:rsid w:val="72D27981"/>
    <w:rsid w:val="731C1323"/>
    <w:rsid w:val="7354619C"/>
    <w:rsid w:val="738F5B18"/>
    <w:rsid w:val="73AE4625"/>
    <w:rsid w:val="73C26CBB"/>
    <w:rsid w:val="740B2A1F"/>
    <w:rsid w:val="740E57CB"/>
    <w:rsid w:val="740F2A15"/>
    <w:rsid w:val="741F6D38"/>
    <w:rsid w:val="743924D8"/>
    <w:rsid w:val="74443ACB"/>
    <w:rsid w:val="745D4241"/>
    <w:rsid w:val="748F2FB2"/>
    <w:rsid w:val="750A263F"/>
    <w:rsid w:val="75254AD8"/>
    <w:rsid w:val="75557450"/>
    <w:rsid w:val="75595A2F"/>
    <w:rsid w:val="757B7C55"/>
    <w:rsid w:val="759A405B"/>
    <w:rsid w:val="75A722E1"/>
    <w:rsid w:val="75E01220"/>
    <w:rsid w:val="760000CF"/>
    <w:rsid w:val="761F054C"/>
    <w:rsid w:val="763D1909"/>
    <w:rsid w:val="764213FF"/>
    <w:rsid w:val="767A6304"/>
    <w:rsid w:val="76872205"/>
    <w:rsid w:val="76903C11"/>
    <w:rsid w:val="76956F44"/>
    <w:rsid w:val="76BC3B2E"/>
    <w:rsid w:val="76EA2B17"/>
    <w:rsid w:val="77142556"/>
    <w:rsid w:val="772C4E44"/>
    <w:rsid w:val="77742BCC"/>
    <w:rsid w:val="77BC2305"/>
    <w:rsid w:val="77EC0C58"/>
    <w:rsid w:val="780B26F0"/>
    <w:rsid w:val="7826571E"/>
    <w:rsid w:val="78600961"/>
    <w:rsid w:val="78A551F0"/>
    <w:rsid w:val="793A6C14"/>
    <w:rsid w:val="793F5645"/>
    <w:rsid w:val="795310F0"/>
    <w:rsid w:val="79541732"/>
    <w:rsid w:val="795804B5"/>
    <w:rsid w:val="79AE04A8"/>
    <w:rsid w:val="79BC6C6B"/>
    <w:rsid w:val="79DF6EEB"/>
    <w:rsid w:val="7A5C1D86"/>
    <w:rsid w:val="7A8D4B20"/>
    <w:rsid w:val="7A924DE3"/>
    <w:rsid w:val="7A963DDD"/>
    <w:rsid w:val="7AA55D5A"/>
    <w:rsid w:val="7AB56037"/>
    <w:rsid w:val="7ABA1672"/>
    <w:rsid w:val="7ACE4ED2"/>
    <w:rsid w:val="7AE466EA"/>
    <w:rsid w:val="7AF55949"/>
    <w:rsid w:val="7B0466C1"/>
    <w:rsid w:val="7B277BE1"/>
    <w:rsid w:val="7B5B0730"/>
    <w:rsid w:val="7B787749"/>
    <w:rsid w:val="7B9B56CB"/>
    <w:rsid w:val="7BD74202"/>
    <w:rsid w:val="7BDE40A6"/>
    <w:rsid w:val="7C1D79D7"/>
    <w:rsid w:val="7C2644EB"/>
    <w:rsid w:val="7C2718F4"/>
    <w:rsid w:val="7C4B7F5A"/>
    <w:rsid w:val="7C576BC7"/>
    <w:rsid w:val="7C6E06F9"/>
    <w:rsid w:val="7C9360B2"/>
    <w:rsid w:val="7CB04CE6"/>
    <w:rsid w:val="7CCB388B"/>
    <w:rsid w:val="7D162008"/>
    <w:rsid w:val="7D3547CC"/>
    <w:rsid w:val="7D5A35B8"/>
    <w:rsid w:val="7D646F2E"/>
    <w:rsid w:val="7D6561E0"/>
    <w:rsid w:val="7DD65EE7"/>
    <w:rsid w:val="7E4F1EBF"/>
    <w:rsid w:val="7E6647ED"/>
    <w:rsid w:val="7E7A465F"/>
    <w:rsid w:val="7E9B1805"/>
    <w:rsid w:val="7E9E4DE1"/>
    <w:rsid w:val="7EA56E0E"/>
    <w:rsid w:val="7EB8301C"/>
    <w:rsid w:val="7EBC52F3"/>
    <w:rsid w:val="7EC33B5B"/>
    <w:rsid w:val="7F0A0A87"/>
    <w:rsid w:val="7F18106E"/>
    <w:rsid w:val="7F3C572C"/>
    <w:rsid w:val="7F4323A8"/>
    <w:rsid w:val="7F4339B5"/>
    <w:rsid w:val="7F703CDF"/>
    <w:rsid w:val="7F724B08"/>
    <w:rsid w:val="7FA81F9E"/>
    <w:rsid w:val="7FE74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iPriority="99"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theme="minorBidi"/>
      <w:kern w:val="2"/>
      <w:sz w:val="28"/>
      <w:szCs w:val="28"/>
      <w:lang w:val="en-US" w:eastAsia="zh-CN" w:bidi="ar-SA"/>
    </w:rPr>
  </w:style>
  <w:style w:type="paragraph" w:styleId="3">
    <w:name w:val="heading 1"/>
    <w:basedOn w:val="1"/>
    <w:next w:val="1"/>
    <w:link w:val="44"/>
    <w:qFormat/>
    <w:uiPriority w:val="9"/>
    <w:pPr>
      <w:keepNext/>
      <w:keepLines/>
      <w:spacing w:line="240" w:lineRule="auto"/>
      <w:jc w:val="center"/>
      <w:outlineLvl w:val="0"/>
    </w:pPr>
    <w:rPr>
      <w:b/>
      <w:bCs/>
      <w:kern w:val="44"/>
      <w:sz w:val="36"/>
      <w:szCs w:val="44"/>
    </w:rPr>
  </w:style>
  <w:style w:type="paragraph" w:styleId="4">
    <w:name w:val="heading 2"/>
    <w:basedOn w:val="1"/>
    <w:next w:val="5"/>
    <w:link w:val="45"/>
    <w:unhideWhenUsed/>
    <w:qFormat/>
    <w:uiPriority w:val="9"/>
    <w:pPr>
      <w:keepNext/>
      <w:keepLines/>
      <w:spacing w:line="500" w:lineRule="exact"/>
      <w:ind w:firstLine="285" w:firstLineChars="100"/>
      <w:contextualSpacing/>
      <w:outlineLvl w:val="1"/>
    </w:pPr>
    <w:rPr>
      <w:rFonts w:ascii="仿宋" w:hAnsi="仿宋" w:eastAsia="仿宋" w:cstheme="majorBidi"/>
      <w:b/>
      <w:bCs/>
    </w:rPr>
  </w:style>
  <w:style w:type="paragraph" w:styleId="7">
    <w:name w:val="heading 3"/>
    <w:basedOn w:val="1"/>
    <w:next w:val="1"/>
    <w:link w:val="48"/>
    <w:unhideWhenUsed/>
    <w:qFormat/>
    <w:uiPriority w:val="9"/>
    <w:pPr>
      <w:ind w:firstLine="569" w:firstLineChars="200"/>
      <w:outlineLvl w:val="2"/>
    </w:pPr>
    <w:rPr>
      <w:rFonts w:ascii="仿宋" w:hAnsi="仿宋" w:eastAsia="仿宋"/>
      <w:b/>
      <w:bCs/>
    </w:rPr>
  </w:style>
  <w:style w:type="paragraph" w:styleId="8">
    <w:name w:val="heading 4"/>
    <w:basedOn w:val="1"/>
    <w:next w:val="1"/>
    <w:link w:val="65"/>
    <w:unhideWhenUsed/>
    <w:qFormat/>
    <w:uiPriority w:val="9"/>
    <w:pPr>
      <w:keepNext/>
      <w:keepLines/>
      <w:spacing w:before="280" w:after="290" w:line="376" w:lineRule="atLeast"/>
      <w:outlineLvl w:val="3"/>
    </w:pPr>
    <w:rPr>
      <w:rFonts w:asciiTheme="majorHAnsi" w:hAnsiTheme="majorHAnsi" w:eastAsiaTheme="majorEastAsia" w:cstheme="majorBidi"/>
      <w:b/>
      <w:bCs/>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61"/>
    <w:unhideWhenUsed/>
    <w:qFormat/>
    <w:uiPriority w:val="99"/>
    <w:pPr>
      <w:spacing w:after="120"/>
    </w:pPr>
  </w:style>
  <w:style w:type="paragraph" w:styleId="5">
    <w:name w:val="Normal Indent"/>
    <w:basedOn w:val="1"/>
    <w:next w:val="6"/>
    <w:unhideWhenUsed/>
    <w:qFormat/>
    <w:uiPriority w:val="99"/>
    <w:pPr>
      <w:ind w:firstLine="420"/>
    </w:pPr>
  </w:style>
  <w:style w:type="paragraph" w:styleId="6">
    <w:name w:val="toc 4"/>
    <w:next w:val="1"/>
    <w:unhideWhenUsed/>
    <w:qFormat/>
    <w:uiPriority w:val="39"/>
    <w:pPr>
      <w:ind w:left="1260" w:leftChars="600" w:firstLine="566" w:firstLineChars="200"/>
      <w:jc w:val="both"/>
    </w:pPr>
    <w:rPr>
      <w:rFonts w:ascii="Calibri Light" w:hAnsi="Calibri Light" w:eastAsia="华文仿宋" w:cs="Calibri Light"/>
      <w:kern w:val="2"/>
      <w:sz w:val="28"/>
      <w:szCs w:val="28"/>
      <w:lang w:val="en-US" w:eastAsia="zh-CN" w:bidi="ar-SA"/>
    </w:rPr>
  </w:style>
  <w:style w:type="paragraph" w:styleId="9">
    <w:name w:val="Document Map"/>
    <w:basedOn w:val="1"/>
    <w:link w:val="56"/>
    <w:unhideWhenUsed/>
    <w:qFormat/>
    <w:uiPriority w:val="99"/>
    <w:rPr>
      <w:rFonts w:ascii="宋体" w:eastAsia="宋体"/>
      <w:sz w:val="18"/>
      <w:szCs w:val="18"/>
    </w:rPr>
  </w:style>
  <w:style w:type="paragraph" w:styleId="10">
    <w:name w:val="annotation text"/>
    <w:basedOn w:val="1"/>
    <w:link w:val="57"/>
    <w:unhideWhenUsed/>
    <w:qFormat/>
    <w:uiPriority w:val="99"/>
    <w:pPr>
      <w:jc w:val="left"/>
    </w:pPr>
  </w:style>
  <w:style w:type="paragraph" w:styleId="11">
    <w:name w:val="Body Text Indent"/>
    <w:basedOn w:val="1"/>
    <w:qFormat/>
    <w:uiPriority w:val="0"/>
    <w:pPr>
      <w:ind w:firstLine="830" w:firstLineChars="352"/>
    </w:pPr>
    <w:rPr>
      <w:rFonts w:ascii="仿宋_GB2312" w:eastAsia="仿宋_GB2312"/>
      <w:sz w:val="32"/>
    </w:rPr>
  </w:style>
  <w:style w:type="paragraph" w:styleId="12">
    <w:name w:val="index 4"/>
    <w:basedOn w:val="1"/>
    <w:next w:val="1"/>
    <w:unhideWhenUsed/>
    <w:qFormat/>
    <w:uiPriority w:val="99"/>
    <w:pPr>
      <w:ind w:left="428" w:firstLine="140"/>
    </w:pPr>
  </w:style>
  <w:style w:type="paragraph" w:styleId="13">
    <w:name w:val="toc 3"/>
    <w:basedOn w:val="1"/>
    <w:next w:val="1"/>
    <w:unhideWhenUsed/>
    <w:qFormat/>
    <w:uiPriority w:val="39"/>
    <w:pPr>
      <w:ind w:left="840" w:leftChars="400"/>
    </w:pPr>
  </w:style>
  <w:style w:type="paragraph" w:styleId="14">
    <w:name w:val="Date"/>
    <w:basedOn w:val="1"/>
    <w:next w:val="1"/>
    <w:link w:val="42"/>
    <w:unhideWhenUsed/>
    <w:qFormat/>
    <w:uiPriority w:val="99"/>
    <w:pPr>
      <w:ind w:left="100" w:leftChars="2500"/>
    </w:pPr>
  </w:style>
  <w:style w:type="paragraph" w:styleId="15">
    <w:name w:val="Balloon Text"/>
    <w:basedOn w:val="1"/>
    <w:link w:val="43"/>
    <w:unhideWhenUsed/>
    <w:qFormat/>
    <w:uiPriority w:val="99"/>
    <w:pPr>
      <w:spacing w:line="240" w:lineRule="auto"/>
    </w:pPr>
    <w:rPr>
      <w:sz w:val="18"/>
      <w:szCs w:val="18"/>
    </w:rPr>
  </w:style>
  <w:style w:type="paragraph" w:styleId="16">
    <w:name w:val="footer"/>
    <w:basedOn w:val="1"/>
    <w:link w:val="52"/>
    <w:qFormat/>
    <w:uiPriority w:val="99"/>
    <w:pPr>
      <w:widowControl w:val="0"/>
      <w:tabs>
        <w:tab w:val="center" w:pos="4153"/>
        <w:tab w:val="right" w:pos="8306"/>
      </w:tabs>
      <w:snapToGrid w:val="0"/>
      <w:spacing w:line="240" w:lineRule="auto"/>
      <w:jc w:val="left"/>
    </w:pPr>
    <w:rPr>
      <w:sz w:val="18"/>
    </w:rPr>
  </w:style>
  <w:style w:type="paragraph" w:styleId="17">
    <w:name w:val="header"/>
    <w:basedOn w:val="1"/>
    <w:link w:val="49"/>
    <w:qFormat/>
    <w:uiPriority w:val="99"/>
    <w:pPr>
      <w:widowControl w:val="0"/>
      <w:pBdr>
        <w:bottom w:val="single" w:color="auto" w:sz="6" w:space="1"/>
      </w:pBdr>
      <w:tabs>
        <w:tab w:val="center" w:pos="4153"/>
        <w:tab w:val="right" w:pos="8306"/>
      </w:tabs>
      <w:snapToGrid w:val="0"/>
      <w:spacing w:line="240" w:lineRule="auto"/>
      <w:jc w:val="center"/>
    </w:pPr>
    <w:rPr>
      <w:sz w:val="18"/>
    </w:rPr>
  </w:style>
  <w:style w:type="paragraph" w:styleId="18">
    <w:name w:val="toc 1"/>
    <w:basedOn w:val="1"/>
    <w:next w:val="1"/>
    <w:unhideWhenUsed/>
    <w:qFormat/>
    <w:uiPriority w:val="39"/>
  </w:style>
  <w:style w:type="paragraph" w:styleId="19">
    <w:name w:val="toc 2"/>
    <w:basedOn w:val="1"/>
    <w:next w:val="1"/>
    <w:unhideWhenUsed/>
    <w:qFormat/>
    <w:uiPriority w:val="39"/>
    <w:pPr>
      <w:ind w:left="420" w:leftChars="200"/>
    </w:pPr>
  </w:style>
  <w:style w:type="paragraph" w:styleId="20">
    <w:name w:val="Normal (Web)"/>
    <w:basedOn w:val="1"/>
    <w:unhideWhenUsed/>
    <w:qFormat/>
    <w:uiPriority w:val="99"/>
    <w:pPr>
      <w:spacing w:beforeAutospacing="1" w:afterAutospacing="1"/>
      <w:jc w:val="left"/>
    </w:pPr>
    <w:rPr>
      <w:rFonts w:cs="Times New Roman"/>
      <w:kern w:val="0"/>
      <w:sz w:val="24"/>
    </w:rPr>
  </w:style>
  <w:style w:type="paragraph" w:styleId="21">
    <w:name w:val="annotation subject"/>
    <w:basedOn w:val="10"/>
    <w:next w:val="10"/>
    <w:link w:val="58"/>
    <w:unhideWhenUsed/>
    <w:qFormat/>
    <w:uiPriority w:val="99"/>
    <w:rPr>
      <w:b/>
      <w:bCs/>
    </w:rPr>
  </w:style>
  <w:style w:type="paragraph" w:styleId="22">
    <w:name w:val="Body Text First Indent"/>
    <w:basedOn w:val="2"/>
    <w:link w:val="64"/>
    <w:unhideWhenUsed/>
    <w:qFormat/>
    <w:uiPriority w:val="99"/>
    <w:pPr>
      <w:ind w:firstLine="420" w:firstLineChars="100"/>
    </w:p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color w:val="FFFFFF"/>
      <w:shd w:val="clear" w:color="auto" w:fill="76C0E3"/>
    </w:rPr>
  </w:style>
  <w:style w:type="character" w:styleId="27">
    <w:name w:val="page number"/>
    <w:qFormat/>
    <w:uiPriority w:val="0"/>
    <w:rPr>
      <w:rFonts w:ascii="Times New Roman" w:hAnsi="Times New Roman" w:eastAsia="宋体" w:cs="Times New Roman"/>
    </w:rPr>
  </w:style>
  <w:style w:type="character" w:styleId="28">
    <w:name w:val="FollowedHyperlink"/>
    <w:basedOn w:val="25"/>
    <w:unhideWhenUsed/>
    <w:qFormat/>
    <w:uiPriority w:val="99"/>
    <w:rPr>
      <w:color w:val="800080"/>
      <w:u w:val="none"/>
    </w:rPr>
  </w:style>
  <w:style w:type="character" w:styleId="29">
    <w:name w:val="Emphasis"/>
    <w:basedOn w:val="25"/>
    <w:qFormat/>
    <w:uiPriority w:val="20"/>
    <w:rPr>
      <w:b/>
    </w:rPr>
  </w:style>
  <w:style w:type="character" w:styleId="30">
    <w:name w:val="HTML Definition"/>
    <w:basedOn w:val="25"/>
    <w:unhideWhenUsed/>
    <w:qFormat/>
    <w:uiPriority w:val="99"/>
  </w:style>
  <w:style w:type="character" w:styleId="31">
    <w:name w:val="HTML Typewriter"/>
    <w:basedOn w:val="25"/>
    <w:unhideWhenUsed/>
    <w:qFormat/>
    <w:uiPriority w:val="99"/>
    <w:rPr>
      <w:rFonts w:ascii="monospace" w:hAnsi="monospace" w:eastAsia="monospace" w:cs="monospace"/>
      <w:sz w:val="20"/>
    </w:rPr>
  </w:style>
  <w:style w:type="character" w:styleId="32">
    <w:name w:val="HTML Acronym"/>
    <w:basedOn w:val="25"/>
    <w:unhideWhenUsed/>
    <w:qFormat/>
    <w:uiPriority w:val="99"/>
    <w:rPr>
      <w:color w:val="FFFFFF"/>
      <w:sz w:val="19"/>
      <w:szCs w:val="19"/>
      <w:shd w:val="clear" w:color="auto" w:fill="F6F6F6"/>
    </w:rPr>
  </w:style>
  <w:style w:type="character" w:styleId="33">
    <w:name w:val="HTML Variable"/>
    <w:basedOn w:val="25"/>
    <w:unhideWhenUsed/>
    <w:qFormat/>
    <w:uiPriority w:val="99"/>
  </w:style>
  <w:style w:type="character" w:styleId="34">
    <w:name w:val="Hyperlink"/>
    <w:qFormat/>
    <w:uiPriority w:val="99"/>
    <w:rPr>
      <w:color w:val="000000"/>
      <w:sz w:val="18"/>
      <w:szCs w:val="18"/>
      <w:u w:val="none"/>
    </w:rPr>
  </w:style>
  <w:style w:type="character" w:styleId="35">
    <w:name w:val="HTML Code"/>
    <w:basedOn w:val="25"/>
    <w:unhideWhenUsed/>
    <w:qFormat/>
    <w:uiPriority w:val="99"/>
    <w:rPr>
      <w:rFonts w:hint="default" w:ascii="monospace" w:hAnsi="monospace" w:eastAsia="monospace" w:cs="monospace"/>
      <w:sz w:val="20"/>
    </w:rPr>
  </w:style>
  <w:style w:type="character" w:styleId="36">
    <w:name w:val="annotation reference"/>
    <w:basedOn w:val="25"/>
    <w:unhideWhenUsed/>
    <w:qFormat/>
    <w:uiPriority w:val="99"/>
    <w:rPr>
      <w:sz w:val="21"/>
      <w:szCs w:val="21"/>
    </w:rPr>
  </w:style>
  <w:style w:type="character" w:styleId="37">
    <w:name w:val="HTML Cite"/>
    <w:basedOn w:val="25"/>
    <w:unhideWhenUsed/>
    <w:qFormat/>
    <w:uiPriority w:val="99"/>
  </w:style>
  <w:style w:type="character" w:styleId="38">
    <w:name w:val="HTML Keyboard"/>
    <w:basedOn w:val="25"/>
    <w:unhideWhenUsed/>
    <w:qFormat/>
    <w:uiPriority w:val="99"/>
    <w:rPr>
      <w:rFonts w:hint="default" w:ascii="monospace" w:hAnsi="monospace" w:eastAsia="monospace" w:cs="monospace"/>
      <w:sz w:val="20"/>
    </w:rPr>
  </w:style>
  <w:style w:type="character" w:styleId="39">
    <w:name w:val="HTML Sample"/>
    <w:basedOn w:val="25"/>
    <w:unhideWhenUsed/>
    <w:qFormat/>
    <w:uiPriority w:val="99"/>
    <w:rPr>
      <w:rFonts w:hint="default" w:ascii="monospace" w:hAnsi="monospace" w:eastAsia="monospace" w:cs="monospace"/>
    </w:rPr>
  </w:style>
  <w:style w:type="paragraph" w:customStyle="1" w:styleId="40">
    <w:name w:val="正文（缩进）"/>
    <w:basedOn w:val="1"/>
    <w:qFormat/>
    <w:uiPriority w:val="0"/>
    <w:pPr>
      <w:widowControl/>
      <w:spacing w:before="156" w:after="156" w:line="360" w:lineRule="auto"/>
      <w:ind w:firstLine="480" w:firstLineChars="200"/>
      <w:jc w:val="left"/>
    </w:pPr>
    <w:rPr>
      <w:rFonts w:ascii="仿宋_GB2312" w:eastAsia="仿宋_GB2312"/>
      <w:kern w:val="0"/>
      <w:sz w:val="24"/>
    </w:rPr>
  </w:style>
  <w:style w:type="paragraph" w:customStyle="1" w:styleId="41">
    <w:name w:val="HTML Preformatted1"/>
    <w:qFormat/>
    <w:uiPriority w:val="0"/>
    <w:pPr>
      <w:widowControl w:val="0"/>
      <w:jc w:val="both"/>
    </w:pPr>
    <w:rPr>
      <w:rFonts w:ascii="Courier New" w:hAnsi="Courier New" w:eastAsia="宋体" w:cs="Times New Roman"/>
      <w:kern w:val="2"/>
      <w:szCs w:val="24"/>
      <w:lang w:val="en-US" w:eastAsia="zh-CN" w:bidi="ar-SA"/>
    </w:rPr>
  </w:style>
  <w:style w:type="character" w:customStyle="1" w:styleId="42">
    <w:name w:val="日期 字符"/>
    <w:basedOn w:val="25"/>
    <w:link w:val="14"/>
    <w:semiHidden/>
    <w:qFormat/>
    <w:uiPriority w:val="99"/>
    <w:rPr>
      <w:rFonts w:ascii="Calibri Light" w:hAnsi="Calibri Light" w:eastAsia="华文仿宋"/>
      <w:sz w:val="28"/>
    </w:rPr>
  </w:style>
  <w:style w:type="character" w:customStyle="1" w:styleId="43">
    <w:name w:val="批注框文本 字符"/>
    <w:basedOn w:val="25"/>
    <w:link w:val="15"/>
    <w:semiHidden/>
    <w:qFormat/>
    <w:uiPriority w:val="99"/>
    <w:rPr>
      <w:sz w:val="18"/>
      <w:szCs w:val="18"/>
    </w:rPr>
  </w:style>
  <w:style w:type="character" w:customStyle="1" w:styleId="44">
    <w:name w:val="标题 1 字符"/>
    <w:basedOn w:val="25"/>
    <w:link w:val="3"/>
    <w:qFormat/>
    <w:uiPriority w:val="9"/>
    <w:rPr>
      <w:b/>
      <w:bCs/>
      <w:kern w:val="44"/>
      <w:sz w:val="36"/>
      <w:szCs w:val="44"/>
    </w:rPr>
  </w:style>
  <w:style w:type="character" w:customStyle="1" w:styleId="45">
    <w:name w:val="标题 2 字符"/>
    <w:basedOn w:val="25"/>
    <w:link w:val="4"/>
    <w:qFormat/>
    <w:uiPriority w:val="9"/>
    <w:rPr>
      <w:rFonts w:ascii="仿宋" w:hAnsi="仿宋" w:eastAsia="仿宋" w:cstheme="majorBidi"/>
      <w:b/>
      <w:bCs/>
      <w:kern w:val="2"/>
      <w:sz w:val="28"/>
      <w:szCs w:val="28"/>
    </w:rPr>
  </w:style>
  <w:style w:type="paragraph" w:customStyle="1" w:styleId="46">
    <w:name w:val="正文（缩进 2 字符）"/>
    <w:basedOn w:val="1"/>
    <w:qFormat/>
    <w:uiPriority w:val="0"/>
    <w:pPr>
      <w:ind w:firstLine="200" w:firstLineChars="200"/>
    </w:pPr>
  </w:style>
  <w:style w:type="paragraph" w:customStyle="1" w:styleId="47">
    <w:name w:val="正文（缩进 4 字符）"/>
    <w:basedOn w:val="1"/>
    <w:qFormat/>
    <w:uiPriority w:val="0"/>
    <w:pPr>
      <w:ind w:firstLine="1134" w:firstLineChars="400"/>
    </w:pPr>
  </w:style>
  <w:style w:type="character" w:customStyle="1" w:styleId="48">
    <w:name w:val="标题 3 字符"/>
    <w:basedOn w:val="25"/>
    <w:link w:val="7"/>
    <w:qFormat/>
    <w:uiPriority w:val="9"/>
    <w:rPr>
      <w:rFonts w:ascii="仿宋" w:hAnsi="仿宋" w:eastAsia="仿宋" w:cstheme="minorBidi"/>
      <w:b/>
      <w:bCs/>
      <w:kern w:val="2"/>
      <w:sz w:val="28"/>
      <w:szCs w:val="28"/>
    </w:rPr>
  </w:style>
  <w:style w:type="character" w:customStyle="1" w:styleId="49">
    <w:name w:val="页眉 字符"/>
    <w:link w:val="17"/>
    <w:qFormat/>
    <w:uiPriority w:val="99"/>
    <w:rPr>
      <w:sz w:val="18"/>
    </w:rPr>
  </w:style>
  <w:style w:type="paragraph" w:customStyle="1" w:styleId="50">
    <w:name w:val="标题 2（投标文件）"/>
    <w:basedOn w:val="4"/>
    <w:qFormat/>
    <w:uiPriority w:val="0"/>
    <w:pPr>
      <w:jc w:val="center"/>
    </w:pPr>
  </w:style>
  <w:style w:type="character" w:customStyle="1" w:styleId="51">
    <w:name w:val="页眉 Char1"/>
    <w:basedOn w:val="25"/>
    <w:semiHidden/>
    <w:qFormat/>
    <w:uiPriority w:val="99"/>
    <w:rPr>
      <w:sz w:val="18"/>
      <w:szCs w:val="18"/>
    </w:rPr>
  </w:style>
  <w:style w:type="character" w:customStyle="1" w:styleId="52">
    <w:name w:val="页脚 字符"/>
    <w:link w:val="16"/>
    <w:qFormat/>
    <w:uiPriority w:val="99"/>
    <w:rPr>
      <w:sz w:val="18"/>
    </w:rPr>
  </w:style>
  <w:style w:type="character" w:customStyle="1" w:styleId="53">
    <w:name w:val="页脚 Char1"/>
    <w:basedOn w:val="25"/>
    <w:semiHidden/>
    <w:qFormat/>
    <w:uiPriority w:val="99"/>
    <w:rPr>
      <w:sz w:val="18"/>
      <w:szCs w:val="18"/>
    </w:rPr>
  </w:style>
  <w:style w:type="paragraph" w:customStyle="1" w:styleId="54">
    <w:name w:val="标题 3（投标文件）"/>
    <w:basedOn w:val="7"/>
    <w:qFormat/>
    <w:uiPriority w:val="0"/>
    <w:pPr>
      <w:jc w:val="left"/>
    </w:pPr>
  </w:style>
  <w:style w:type="paragraph" w:customStyle="1" w:styleId="55">
    <w:name w:val="列出段落1"/>
    <w:basedOn w:val="1"/>
    <w:qFormat/>
    <w:uiPriority w:val="0"/>
    <w:pPr>
      <w:spacing w:line="240" w:lineRule="auto"/>
      <w:ind w:firstLine="420" w:firstLineChars="200"/>
      <w:jc w:val="left"/>
    </w:pPr>
    <w:rPr>
      <w:rFonts w:ascii="Times New Roman" w:hAnsi="Times New Roman" w:eastAsia="宋体" w:cs="Times New Roman"/>
      <w:kern w:val="0"/>
      <w:sz w:val="24"/>
      <w:szCs w:val="24"/>
      <w:lang w:val="en-AU" w:eastAsia="en-US"/>
    </w:rPr>
  </w:style>
  <w:style w:type="character" w:customStyle="1" w:styleId="56">
    <w:name w:val="文档结构图 字符"/>
    <w:basedOn w:val="25"/>
    <w:link w:val="9"/>
    <w:semiHidden/>
    <w:qFormat/>
    <w:uiPriority w:val="99"/>
    <w:rPr>
      <w:rFonts w:ascii="宋体" w:eastAsia="宋体"/>
      <w:sz w:val="18"/>
      <w:szCs w:val="18"/>
    </w:rPr>
  </w:style>
  <w:style w:type="character" w:customStyle="1" w:styleId="57">
    <w:name w:val="批注文字 字符"/>
    <w:basedOn w:val="25"/>
    <w:link w:val="10"/>
    <w:semiHidden/>
    <w:qFormat/>
    <w:uiPriority w:val="99"/>
  </w:style>
  <w:style w:type="character" w:customStyle="1" w:styleId="58">
    <w:name w:val="批注主题 字符"/>
    <w:basedOn w:val="57"/>
    <w:link w:val="21"/>
    <w:semiHidden/>
    <w:qFormat/>
    <w:uiPriority w:val="99"/>
    <w:rPr>
      <w:b/>
      <w:bCs/>
    </w:rPr>
  </w:style>
  <w:style w:type="character" w:customStyle="1" w:styleId="59">
    <w:name w:val="mini-outputtext1"/>
    <w:basedOn w:val="25"/>
    <w:qFormat/>
    <w:uiPriority w:val="0"/>
  </w:style>
  <w:style w:type="paragraph" w:customStyle="1" w:styleId="60">
    <w:name w:val="正文首行缩进1"/>
    <w:basedOn w:val="2"/>
    <w:qFormat/>
    <w:uiPriority w:val="0"/>
    <w:pPr>
      <w:ind w:firstLine="420"/>
      <w:jc w:val="left"/>
    </w:pPr>
    <w:rPr>
      <w:rFonts w:eastAsia="宋体" w:cs="Calibri Light"/>
      <w:sz w:val="24"/>
      <w:szCs w:val="24"/>
    </w:rPr>
  </w:style>
  <w:style w:type="character" w:customStyle="1" w:styleId="61">
    <w:name w:val="正文文本 字符"/>
    <w:basedOn w:val="25"/>
    <w:link w:val="2"/>
    <w:semiHidden/>
    <w:qFormat/>
    <w:uiPriority w:val="99"/>
    <w:rPr>
      <w:rFonts w:ascii="Calibri Light" w:hAnsi="Calibri Light" w:eastAsia="华文仿宋" w:cstheme="minorBidi"/>
      <w:kern w:val="2"/>
      <w:sz w:val="28"/>
      <w:szCs w:val="28"/>
    </w:rPr>
  </w:style>
  <w:style w:type="paragraph" w:customStyle="1" w:styleId="62">
    <w:name w:val="※正文（缩进4）"/>
    <w:basedOn w:val="1"/>
    <w:qFormat/>
    <w:uiPriority w:val="0"/>
    <w:pPr>
      <w:wordWrap w:val="0"/>
      <w:ind w:firstLine="400" w:firstLineChars="400"/>
    </w:pPr>
    <w:rPr>
      <w:rFonts w:cs="Times New Roman"/>
    </w:rPr>
  </w:style>
  <w:style w:type="paragraph" w:customStyle="1" w:styleId="63">
    <w:name w:val="列表段落1"/>
    <w:basedOn w:val="1"/>
    <w:qFormat/>
    <w:uiPriority w:val="34"/>
    <w:pPr>
      <w:ind w:firstLine="420" w:firstLineChars="200"/>
    </w:pPr>
  </w:style>
  <w:style w:type="character" w:customStyle="1" w:styleId="64">
    <w:name w:val="正文文本首行缩进 字符"/>
    <w:basedOn w:val="61"/>
    <w:link w:val="22"/>
    <w:semiHidden/>
    <w:qFormat/>
    <w:uiPriority w:val="99"/>
    <w:rPr>
      <w:rFonts w:ascii="Calibri Light" w:hAnsi="Calibri Light" w:eastAsia="华文仿宋" w:cstheme="minorBidi"/>
      <w:kern w:val="2"/>
      <w:sz w:val="28"/>
      <w:szCs w:val="28"/>
    </w:rPr>
  </w:style>
  <w:style w:type="character" w:customStyle="1" w:styleId="65">
    <w:name w:val="标题 4 字符"/>
    <w:basedOn w:val="25"/>
    <w:link w:val="8"/>
    <w:semiHidden/>
    <w:qFormat/>
    <w:uiPriority w:val="9"/>
    <w:rPr>
      <w:rFonts w:asciiTheme="majorHAnsi" w:hAnsiTheme="majorHAnsi" w:eastAsiaTheme="majorEastAsia" w:cstheme="majorBidi"/>
      <w:b/>
      <w:bCs/>
      <w:kern w:val="2"/>
      <w:sz w:val="28"/>
      <w:szCs w:val="28"/>
    </w:rPr>
  </w:style>
  <w:style w:type="paragraph" w:customStyle="1" w:styleId="66">
    <w:name w:val="TOC 标题1"/>
    <w:basedOn w:val="3"/>
    <w:next w:val="1"/>
    <w:unhideWhenUsed/>
    <w:qFormat/>
    <w:uiPriority w:val="39"/>
    <w:pPr>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67">
    <w:name w:val="Other|1"/>
    <w:basedOn w:val="1"/>
    <w:qFormat/>
    <w:uiPriority w:val="0"/>
    <w:pPr>
      <w:widowControl w:val="0"/>
      <w:spacing w:line="456" w:lineRule="auto"/>
      <w:ind w:firstLine="400"/>
    </w:pPr>
    <w:rPr>
      <w:rFonts w:ascii="宋体" w:hAnsi="宋体" w:eastAsia="宋体" w:cs="宋体"/>
      <w:sz w:val="22"/>
      <w:szCs w:val="22"/>
      <w:lang w:val="zh-TW" w:eastAsia="zh-TW" w:bidi="zh-TW"/>
    </w:rPr>
  </w:style>
  <w:style w:type="paragraph" w:customStyle="1" w:styleId="68">
    <w:name w:val="列表段落11"/>
    <w:basedOn w:val="1"/>
    <w:qFormat/>
    <w:uiPriority w:val="34"/>
    <w:pPr>
      <w:ind w:firstLine="420" w:firstLineChars="200"/>
    </w:pPr>
  </w:style>
  <w:style w:type="paragraph" w:customStyle="1" w:styleId="69">
    <w:name w:val="正文 New New New New"/>
    <w:qFormat/>
    <w:uiPriority w:val="0"/>
    <w:pPr>
      <w:widowControl w:val="0"/>
      <w:jc w:val="both"/>
    </w:pPr>
    <w:rPr>
      <w:rFonts w:ascii="Times New Roman" w:hAnsi="Times New Roman" w:eastAsia="Arial Unicode MS" w:cs="Arial Unicode MS"/>
      <w:color w:val="000000"/>
      <w:u w:color="000000"/>
      <w:lang w:val="en-US" w:eastAsia="zh-CN" w:bidi="ar-SA"/>
    </w:rPr>
  </w:style>
  <w:style w:type="paragraph" w:customStyle="1" w:styleId="70">
    <w:name w:val="纯文本1"/>
    <w:basedOn w:val="1"/>
    <w:qFormat/>
    <w:uiPriority w:val="0"/>
    <w:pPr>
      <w:widowControl w:val="0"/>
      <w:spacing w:line="240" w:lineRule="auto"/>
    </w:pPr>
    <w:rPr>
      <w:rFonts w:ascii="宋体" w:hAnsi="Courier New" w:eastAsia="宋体" w:cs="Times New Roman"/>
      <w:sz w:val="21"/>
      <w:szCs w:val="20"/>
    </w:rPr>
  </w:style>
  <w:style w:type="paragraph" w:customStyle="1" w:styleId="71">
    <w:name w:val="WPSOffice手动目录 1"/>
    <w:qFormat/>
    <w:uiPriority w:val="0"/>
    <w:rPr>
      <w:rFonts w:ascii="Calibri" w:hAnsi="Calibri" w:eastAsia="宋体" w:cs="Times New Roman"/>
      <w:lang w:val="en-US" w:eastAsia="zh-CN" w:bidi="ar-SA"/>
    </w:rPr>
  </w:style>
  <w:style w:type="paragraph" w:customStyle="1" w:styleId="72">
    <w:name w:val="WPSOffice手动目录 2"/>
    <w:qFormat/>
    <w:uiPriority w:val="0"/>
    <w:pPr>
      <w:ind w:left="200" w:leftChars="200"/>
    </w:pPr>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cuments\&#33258;&#23450;&#20041;%20Office%20&#27169;&#26495;\&#65339;&#26631;&#20934;&#27169;&#26495;&#65341;\&#26032;&#29256;&#21333;&#19968;&#26469;&#28304;&#37319;&#36141;&#25991;&#20214;&#65288;2017.7.17&#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Shark">
      <a:majorFont>
        <a:latin typeface="Calibri"/>
        <a:ea typeface="华文仿宋"/>
        <a:cs typeface=""/>
      </a:majorFont>
      <a:minorFont>
        <a:latin typeface="Calibri Light"/>
        <a:ea typeface="华文仿宋"/>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DE9B4A-44AC-4F20-8E1A-270D53D82427}">
  <ds:schemaRefs/>
</ds:datastoreItem>
</file>

<file path=docProps/app.xml><?xml version="1.0" encoding="utf-8"?>
<Properties xmlns="http://schemas.openxmlformats.org/officeDocument/2006/extended-properties" xmlns:vt="http://schemas.openxmlformats.org/officeDocument/2006/docPropsVTypes">
  <Template>新版单一来源采购文件（2017.7.17）.dotx</Template>
  <Company>xczx</Company>
  <Pages>56</Pages>
  <Words>22603</Words>
  <Characters>23395</Characters>
  <Lines>200</Lines>
  <Paragraphs>56</Paragraphs>
  <TotalTime>0</TotalTime>
  <ScaleCrop>false</ScaleCrop>
  <LinksUpToDate>false</LinksUpToDate>
  <CharactersWithSpaces>24041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2017-07-31T08:13:00Z</dcterms:created>
  <dc:creator>lenovo</dc:creator>
  <cp:lastModifiedBy>思</cp:lastModifiedBy>
  <cp:lastPrinted>2022-04-25T06:49:00Z</cp:lastPrinted>
  <dcterms:modified xsi:type="dcterms:W3CDTF">2025-10-28T02:20:06Z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F3C4B727D3DA4DACB98B45CA7F6CDFF8_13</vt:lpwstr>
  </property>
  <property fmtid="{D5CDD505-2E9C-101B-9397-08002B2CF9AE}" pid="4" name="KSOTemplateDocerSaveRecord">
    <vt:lpwstr>eyJoZGlkIjoiMTE4NDQzNjM5Y2M5YzhiZGE3ZjZjMWE4OTc3ZTA5YmEiLCJ1c2VySWQiOiI3MDE2MzgzNzEifQ==</vt:lpwstr>
  </property>
</Properties>
</file>