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93"/>
        <w:gridCol w:w="7186"/>
      </w:tblGrid>
      <w:tr w14:paraId="6B58B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 w14:paraId="7256D3FD">
            <w:pPr>
              <w:pStyle w:val="1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93" w:type="dxa"/>
          </w:tcPr>
          <w:p w14:paraId="10C670E7">
            <w:pPr>
              <w:pStyle w:val="1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186" w:type="dxa"/>
          </w:tcPr>
          <w:p w14:paraId="1829ECA9">
            <w:pPr>
              <w:pStyle w:val="1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1925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 w14:paraId="074EDB93">
            <w:pPr>
              <w:pStyle w:val="1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93" w:type="dxa"/>
          </w:tcPr>
          <w:p w14:paraId="7F3CC411"/>
        </w:tc>
        <w:tc>
          <w:tcPr>
            <w:tcW w:w="7186" w:type="dxa"/>
          </w:tcPr>
          <w:p w14:paraId="4CC7964E">
            <w:pPr>
              <w:pStyle w:val="1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一、采购清单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0"/>
              <w:gridCol w:w="2901"/>
              <w:gridCol w:w="1622"/>
              <w:gridCol w:w="1622"/>
            </w:tblGrid>
            <w:tr w14:paraId="62449BFC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4" w:type="dxa"/>
                </w:tcPr>
                <w:p w14:paraId="61612FB3">
                  <w:pPr>
                    <w:pStyle w:val="14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2925" w:type="dxa"/>
                </w:tcPr>
                <w:p w14:paraId="224D7387">
                  <w:pPr>
                    <w:pStyle w:val="14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产品名称</w:t>
                  </w:r>
                </w:p>
              </w:tc>
              <w:tc>
                <w:tcPr>
                  <w:tcW w:w="1634" w:type="dxa"/>
                </w:tcPr>
                <w:p w14:paraId="0407E0F4">
                  <w:pPr>
                    <w:pStyle w:val="14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数量</w:t>
                  </w:r>
                </w:p>
              </w:tc>
              <w:tc>
                <w:tcPr>
                  <w:tcW w:w="1634" w:type="dxa"/>
                </w:tcPr>
                <w:p w14:paraId="45FEB6C1">
                  <w:pPr>
                    <w:pStyle w:val="14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单位</w:t>
                  </w:r>
                </w:p>
              </w:tc>
            </w:tr>
            <w:tr w14:paraId="4FF9AFF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4" w:type="dxa"/>
                </w:tcPr>
                <w:p w14:paraId="4F85B0C3">
                  <w:pPr>
                    <w:pStyle w:val="14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2925" w:type="dxa"/>
                </w:tcPr>
                <w:p w14:paraId="5EE628F3">
                  <w:pPr>
                    <w:pStyle w:val="14"/>
                    <w:jc w:val="center"/>
                    <w:rPr>
                      <w:rFonts w:hint="default" w:eastAsia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lang w:eastAsia="zh-CN"/>
                    </w:rPr>
                    <w:t>多功能显微光电测试系统</w:t>
                  </w:r>
                </w:p>
              </w:tc>
              <w:tc>
                <w:tcPr>
                  <w:tcW w:w="1634" w:type="dxa"/>
                </w:tcPr>
                <w:p w14:paraId="13775BD9">
                  <w:pPr>
                    <w:pStyle w:val="14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1634" w:type="dxa"/>
                </w:tcPr>
                <w:p w14:paraId="37FF309D">
                  <w:pPr>
                    <w:pStyle w:val="14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套</w:t>
                  </w:r>
                </w:p>
              </w:tc>
            </w:tr>
          </w:tbl>
          <w:p w14:paraId="48BB8449">
            <w:pPr>
              <w:pStyle w:val="1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二、技术参数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1"/>
              <w:gridCol w:w="6304"/>
            </w:tblGrid>
            <w:tr w14:paraId="15E464F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1" w:type="dxa"/>
                </w:tcPr>
                <w:p w14:paraId="5A452CF9">
                  <w:pPr>
                    <w:pStyle w:val="14"/>
                    <w:rPr>
                      <w:rFonts w:hint="default"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产品名称</w:t>
                  </w:r>
                </w:p>
              </w:tc>
              <w:tc>
                <w:tcPr>
                  <w:tcW w:w="6304" w:type="dxa"/>
                </w:tcPr>
                <w:p w14:paraId="754BAA01">
                  <w:pPr>
                    <w:pStyle w:val="14"/>
                    <w:rPr>
                      <w:rFonts w:hint="default"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技术参数</w:t>
                  </w:r>
                </w:p>
              </w:tc>
            </w:tr>
            <w:tr w14:paraId="7870CB0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1" w:type="dxa"/>
                </w:tcPr>
                <w:p w14:paraId="5AC094E7">
                  <w:pPr>
                    <w:pStyle w:val="14"/>
                    <w:rPr>
                      <w:rFonts w:hint="default"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多功能显微光电测试系统</w:t>
                  </w:r>
                </w:p>
              </w:tc>
              <w:tc>
                <w:tcPr>
                  <w:tcW w:w="6304" w:type="dxa"/>
                </w:tcPr>
                <w:p w14:paraId="4914151F">
                  <w:pPr>
                    <w:pStyle w:val="15"/>
                    <w:tabs>
                      <w:tab w:val="left" w:pos="425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1.主要功能：</w:t>
                  </w:r>
                </w:p>
                <w:p w14:paraId="28B60D76">
                  <w:pPr>
                    <w:pStyle w:val="15"/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1.1 采集显微拉曼光谱：激发光源主要包括325 nm；532 nm；785 nm（3条激发光路可自动切换，配套相应的拉曼滤光片）。</w:t>
                  </w:r>
                </w:p>
                <w:p w14:paraId="1C335E80">
                  <w:pPr>
                    <w:pStyle w:val="15"/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1.2 ▲在显微系统中实现反射式光谱及透射式光谱采集：激光光源主要包括325 nm；455 nm；532 nm；635 nm；808 nm；980 nm；1064 nm；1550 nm激发（注：激光光谱可自由切换，最低实现635 nm以下光源与808nm以上光源自由组合双波长激发，及808 nm；980 nm；1064 nm；1550 nm波长之间双激发测试，配置可完成上述测试相应荧光滤光片）。</w:t>
                  </w:r>
                </w:p>
                <w:p w14:paraId="75881701">
                  <w:pPr>
                    <w:pStyle w:val="15"/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1.3 光镊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测试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：配置1064 nm激发光源，可与拉曼光谱及光致发光光谱同时工作。</w:t>
                  </w:r>
                </w:p>
                <w:p w14:paraId="6A7C4AC9">
                  <w:pPr>
                    <w:pStyle w:val="15"/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1.4 荧光寿命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测试功能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：测量范围可实现ns到s级寿命测量。配合455 nm，532 nm；808 nm，980 nm的脉冲光源。</w:t>
                  </w:r>
                </w:p>
                <w:p w14:paraId="0D7BEB23">
                  <w:pPr>
                    <w:pStyle w:val="15"/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1.5 电致发光测量及光电流测量功能（支持IV、IT及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光电流光谱测试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）</w:t>
                  </w:r>
                </w:p>
                <w:p w14:paraId="11B95B83">
                  <w:pPr>
                    <w:pStyle w:val="15"/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1.6 光致发光荧光量子产率测量功能。（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支持与实验室现有光纤光谱仪(海洋光学光谱仪，型号：QE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  <w:lang w:val="en-US" w:eastAsia="zh-CN"/>
                    </w:rPr>
                    <w:t>900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 xml:space="preserve"> Pro)直接耦合，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软件可实现两曲线或四曲线法量子产率测试。）</w:t>
                  </w:r>
                </w:p>
                <w:p w14:paraId="22970B67">
                  <w:pPr>
                    <w:pStyle w:val="15"/>
                    <w:tabs>
                      <w:tab w:val="left" w:pos="426"/>
                    </w:tabs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1.7 变温（拉曼、光致发光）光谱及光谱Mapping测量功能。仪器可直接与本次购置的高/低温变温样品台直接耦合，温度控制范围由高/低温变温样品台控制。软件可实现高/低温变温拉曼及光致发光光谱和Mapping测试。</w:t>
                  </w:r>
                </w:p>
                <w:p w14:paraId="48EEE89B">
                  <w:pPr>
                    <w:pStyle w:val="15"/>
                    <w:tabs>
                      <w:tab w:val="left" w:pos="426"/>
                    </w:tabs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1.8 支持暗场散射测试，配置暗场照明光源与物镜，实现反射式暗场光谱测试。</w:t>
                  </w:r>
                </w:p>
                <w:p w14:paraId="40FBFB5A">
                  <w:pPr>
                    <w:pStyle w:val="15"/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1.9 ▲光致发光激发光源可实现软件控制激光器激发功率连续可调，实现激发与光谱采集实时同步进行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得出P-I特性曲线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与光谱Mapping。</w:t>
                  </w:r>
                </w:p>
                <w:p w14:paraId="725844F0">
                  <w:pPr>
                    <w:pStyle w:val="15"/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1.10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软件包：所携带的控制机上必须包括中英文界面相应的软件包，需能随意切换。软件包必须覆盖所有操纵软件，且各个软件在测试过程务必保证系统兼容及稳定性。</w:t>
                  </w:r>
                </w:p>
                <w:p w14:paraId="5766B312">
                  <w:pPr>
                    <w:pStyle w:val="15"/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1.11 具备扩展性：支持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功能拓展及可与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原子力显微镜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或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扫描电镜（SEM）联用。</w:t>
                  </w:r>
                </w:p>
                <w:p w14:paraId="50CDF557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2.拉曼测试模块</w:t>
                  </w:r>
                </w:p>
                <w:p w14:paraId="68DE4B6C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2.1 激光器：</w:t>
                  </w:r>
                </w:p>
                <w:p w14:paraId="20FB6F06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2.1.1单模激光器: 325 nm；输出功率：≥25 mW；低波数≤150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,</w:t>
                  </w:r>
                </w:p>
                <w:p w14:paraId="2BCE2D92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2.1.2单模激光器: 532 nm；输出功率：≥100 mW；低波数≤50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,</w:t>
                  </w:r>
                </w:p>
                <w:p w14:paraId="7110C2D4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2.1.3单模激光器: 785 nm；输出功率：≥80 mW；低波数≤50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。</w:t>
                  </w:r>
                </w:p>
                <w:p w14:paraId="2A95C580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2.2 ▲光谱分辨率：≤0.7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（测试条件：采用光栅刻线数≤1800 光栅，针孔或狭缝宽度≥30 um，测试585 nm氖灯线半高宽≤0.7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）。</w:t>
                  </w:r>
                </w:p>
                <w:p w14:paraId="25E5E943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2.3 ▲灵敏度：硅三阶峰的信噪比≥30:1，（测试条件：采用532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nm激光器，光栅刻线数≤1800 光栅，针孔或狭缝宽度≥30 um，测试硅的三阶峰与噪音的比值≥30:1）。</w:t>
                  </w:r>
                </w:p>
                <w:p w14:paraId="440FC19D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2.4 ▲光谱稳定性：≤±0.02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。（测试条件：测量Si 520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拉曼峰，采用≥1800刻线光栅，532 nm激发，30次以上连续测量，峰位变化≤±0.02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）。</w:t>
                  </w:r>
                </w:p>
                <w:p w14:paraId="47AF3590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2.5 ▲光谱重复性：≤±0.2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。（测试条件：测量Si 520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拉曼峰，采用≥1800刻线光栅，532 nm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激发，30次以上连续测量，扫描范围：100-4000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，峰位变化≤±0.2 cm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）。</w:t>
                  </w:r>
                </w:p>
                <w:p w14:paraId="59151870">
                  <w:pPr>
                    <w:pStyle w:val="15"/>
                    <w:tabs>
                      <w:tab w:val="left" w:pos="425"/>
                      <w:tab w:val="left" w:pos="709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 xml:space="preserve">2.6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拉曼偏振附件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：支持532 nm偏振拉曼测试，所需偏振角度：0-180°可调。</w:t>
                  </w:r>
                </w:p>
                <w:p w14:paraId="486F4296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3.稳态/瞬态荧光测试模块</w:t>
                  </w:r>
                </w:p>
                <w:p w14:paraId="24EC6E4A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3.1 激光器：</w:t>
                  </w:r>
                </w:p>
                <w:p w14:paraId="275B0C72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3.1.1多模激光器：455 nm、532 nm及635 nm 输出功率：≥1000 mW。</w:t>
                  </w:r>
                </w:p>
                <w:p w14:paraId="554E27D3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3.1.2多模激光器：808 nm , 980 nm 输出功率：≥2000 mW。</w:t>
                  </w:r>
                </w:p>
                <w:p w14:paraId="36AD84B8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3.1.3多模激光器：1550 nm 输出功率：≥800 mW。</w:t>
                  </w:r>
                </w:p>
                <w:p w14:paraId="3C22E0D6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3.1.4单模激光器：980 nm 及1064 nm 输出功率：≥1000 mW。</w:t>
                  </w:r>
                </w:p>
                <w:p w14:paraId="56628FEE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3.1.5 455 nm，532 nm，808 nm及980 nm 激光器可用于稳态和瞬态光致发光。</w:t>
                  </w:r>
                </w:p>
                <w:p w14:paraId="40380939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3.1.6 超连续谱光源：波长410-2400 nm，总功率≥3.5 W，重复频率 40 MHz，可见光功率≥1 W，脉冲宽度：≥6 ps，用于稳态和瞬态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</w:rPr>
                    <w:t>荧光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测试。</w:t>
                  </w:r>
                </w:p>
                <w:p w14:paraId="2D76DCF0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3.2 TCSPC单光子寿命控制器：死时间≤10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ns，支持≥100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MHz脉冲光源频率，支持四通道同时数据采集，最大通道数≥16000。</w:t>
                  </w:r>
                </w:p>
                <w:p w14:paraId="4AB929A3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3.3 单光子计数探测器：检测波长范围：≥230-850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nm，制冷方式：TE制冷，集成光子计数工作模式,典型TTS≤180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ps。</w:t>
                  </w:r>
                </w:p>
                <w:p w14:paraId="6B2DF258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3.4 上转换偏振附件：支持980 nm偏振测试，所需偏振角度：0-180°可调，采用980 nm单模激光器，光路耦合，激光器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可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全自动切换。</w:t>
                  </w:r>
                </w:p>
                <w:p w14:paraId="799A753C">
                  <w:pPr>
                    <w:spacing w:line="288" w:lineRule="auto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4.显微模块：</w:t>
                  </w:r>
                </w:p>
                <w:p w14:paraId="011183C8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4.1 采用开放式设计，内部可放置高/低温变温样品台和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光电流光谱测试台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，用于原位高/低温光谱实验。</w:t>
                  </w:r>
                </w:p>
                <w:p w14:paraId="0E22ED3F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 xml:space="preserve">4.2 配置彩色摄像机：≥2560×1920像素。 </w:t>
                  </w:r>
                </w:p>
                <w:p w14:paraId="618CF788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4.3 白光照明，软件控制自动切换白光照明和拉曼测量。</w:t>
                  </w:r>
                </w:p>
                <w:p w14:paraId="4D965342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4.4 暗场反射照明：配50×（NA ≥ 0.50，WD≥8 mm）长焦明暗场物镜。</w:t>
                  </w:r>
                </w:p>
                <w:p w14:paraId="6C77358F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4.5 可见物镜：5×（NA≥ 0.10, WD ≥ 19 mm），10×（NA ≥ 0.25, WD ≥ 10 mm），100×（NA ≥ 0.90, WD ≥ 0.21 mm）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eastAsia="zh-CN"/>
                    </w:rPr>
                    <w:t>。</w:t>
                  </w:r>
                </w:p>
                <w:p w14:paraId="3EC568D0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4.6 水镜：60×（ NA ≥ 1.0 ;  WD ≥2 mm ）。</w:t>
                  </w:r>
                </w:p>
                <w:p w14:paraId="1C6556BC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4.7 紫外可见物镜：15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×（NA ≥ 0.32, WD≥ 8.5 mm）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 xml:space="preserve">，光谱范围 ≥325-750 nm。 </w:t>
                  </w:r>
                </w:p>
                <w:p w14:paraId="75775635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4.8 全反射式物镜：倍数≥70×（NA≥0.65, WD≥1 mm），光谱范围≥220-2200 nm。</w:t>
                  </w:r>
                </w:p>
                <w:p w14:paraId="7A74B438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4.9 近红外长焦物镜：50×（NA ≥ 0.65, WD ≥ 9.4 mm）光谱范围≥450-1600 nm。</w:t>
                  </w:r>
                </w:p>
                <w:p w14:paraId="193D715C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4.10透射光路：配置物镜接口，摄像头及激光光路接口。</w:t>
                  </w:r>
                </w:p>
                <w:p w14:paraId="407D429C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5.光路设计：</w:t>
                  </w:r>
                </w:p>
                <w:p w14:paraId="31100B57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5.1 发射光路采用自由光路耦合的消色差透射/全反式共聚焦光路设计，光谱范围≥220-2200 nm。</w:t>
                  </w:r>
                </w:p>
                <w:p w14:paraId="4BE5E5D0">
                  <w:pPr>
                    <w:tabs>
                      <w:tab w:val="left" w:pos="425"/>
                    </w:tabs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5.2 光路中需存在共聚焦针孔：针孔调节范围≥10-1000 um可调，软件控制步进，步进最小≤ 1um。</w:t>
                  </w:r>
                </w:p>
                <w:p w14:paraId="27EC3047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5.3共聚焦成像空间分辨率：横向XY≤300 nm；纵向Z≤1000 nm。</w:t>
                  </w:r>
                </w:p>
                <w:p w14:paraId="6F1A1134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6.单色仪：</w:t>
                  </w:r>
                </w:p>
                <w:p w14:paraId="7CE3F152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6.1 采用全反式消色差校像散单级光谱仪。</w:t>
                  </w:r>
                </w:p>
                <w:p w14:paraId="51814C05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6.2 采用低杂散光光谱仪，光谱仪焦长≥750 mm；</w:t>
                  </w:r>
                </w:p>
                <w:p w14:paraId="38E2222E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6.3 光栅：至少配置150, 300, 600, 1800, 2400刻线光栅各1块,光栅尺寸≥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68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 xml:space="preserve"> mm×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68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 xml:space="preserve"> mm。</w:t>
                  </w:r>
                </w:p>
                <w:p w14:paraId="13CEA7CC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6.4 光谱仪可同时接两个探测器，软件控制探测器自动切换。</w:t>
                  </w:r>
                </w:p>
                <w:p w14:paraId="21BCF559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6.5 CCD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探测器：TE制冷到≤-75 ℃，光谱范围：≥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200-1050 nm，有效像素≥1024×256，像素尺寸≥26×26 um。</w:t>
                  </w:r>
                </w:p>
                <w:p w14:paraId="70F06947">
                  <w:pPr>
                    <w:tabs>
                      <w:tab w:val="left" w:pos="425"/>
                    </w:tabs>
                    <w:autoSpaceDE w:val="0"/>
                    <w:autoSpaceDN w:val="0"/>
                    <w:adjustRightInd w:val="0"/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6.6 InGaAs探测器：液氮制冷到≤-100 ℃，光谱范围：≥800-1550 nm，有效像素≥512×1，像素尺寸≥50×500 um。</w:t>
                  </w:r>
                </w:p>
                <w:p w14:paraId="5E705500">
                  <w:pPr>
                    <w:tabs>
                      <w:tab w:val="left" w:pos="425"/>
                    </w:tabs>
                    <w:spacing w:line="288" w:lineRule="auto"/>
                    <w:ind w:left="35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7. 配套附件：</w:t>
                  </w:r>
                </w:p>
                <w:p w14:paraId="608EA6D9">
                  <w:pPr>
                    <w:pStyle w:val="15"/>
                    <w:tabs>
                      <w:tab w:val="left" w:pos="425"/>
                      <w:tab w:val="left" w:pos="709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7.1 XYZ高精密自动平台</w:t>
                  </w:r>
                </w:p>
                <w:p w14:paraId="5E7A9991">
                  <w:pPr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7.1.1 XYZ扫描范围X≥75 mm，Y≥50 mm，Z≥20 mm。</w:t>
                  </w:r>
                </w:p>
                <w:p w14:paraId="7540A179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7.1.2 最小步进≤10 nm，采用闭环控制，精度≤50 nm。</w:t>
                  </w:r>
                </w:p>
                <w:p w14:paraId="6C3B4505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7.1.3 实时聚焦：支持激光信号自动聚焦。</w:t>
                  </w:r>
                </w:p>
                <w:p w14:paraId="0329A669">
                  <w:pPr>
                    <w:pStyle w:val="15"/>
                    <w:tabs>
                      <w:tab w:val="left" w:pos="425"/>
                      <w:tab w:val="left" w:pos="709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 xml:space="preserve">7.2 高温热台 </w:t>
                  </w:r>
                </w:p>
                <w:p w14:paraId="1EA69985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7.2.1 温控范围≥20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℃（室温）-1200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℃。</w:t>
                  </w:r>
                </w:p>
                <w:p w14:paraId="314E2217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7.2.2温度稳定性≤±0.1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℃。</w:t>
                  </w:r>
                </w:p>
                <w:p w14:paraId="72D58922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 xml:space="preserve">7.2.3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石英窗口，顶窗工作距离≤</w:t>
                  </w:r>
                  <w:r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 xml:space="preserve"> mm。</w:t>
                  </w:r>
                </w:p>
                <w:p w14:paraId="18579BA0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7.2.4 包括热台，温度控制器，冷水机，循环水系统。</w:t>
                  </w:r>
                </w:p>
                <w:p w14:paraId="7847A04D">
                  <w:pPr>
                    <w:pStyle w:val="15"/>
                    <w:tabs>
                      <w:tab w:val="left" w:pos="425"/>
                      <w:tab w:val="left" w:pos="709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7.3 低温冷台</w:t>
                  </w:r>
                </w:p>
                <w:p w14:paraId="385F519D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adjustRightInd w:val="0"/>
                    <w:spacing w:line="360" w:lineRule="atLeast"/>
                    <w:ind w:left="35" w:firstLine="0" w:firstLineChars="0"/>
                    <w:jc w:val="left"/>
                    <w:textAlignment w:val="baseline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7.3.1 显微冷热台, 工作温度范围≥-195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℃至600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℃。</w:t>
                  </w:r>
                </w:p>
                <w:p w14:paraId="77885F2F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7.3.2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样品最大直径≥22 mm。</w:t>
                  </w:r>
                </w:p>
                <w:p w14:paraId="46FE6390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 xml:space="preserve">7.3.3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透光孔≥2 mm,样品在XY方向可手动移动≥16 mm。</w:t>
                  </w:r>
                </w:p>
                <w:p w14:paraId="4DD3308B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adjustRightInd w:val="0"/>
                    <w:spacing w:line="360" w:lineRule="atLeast"/>
                    <w:ind w:left="35" w:firstLine="0" w:firstLineChars="0"/>
                    <w:jc w:val="left"/>
                    <w:textAlignment w:val="baseline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7.3.4 样品台尺寸≥ 135 mm x 90 mm x 20 mm。</w:t>
                  </w:r>
                </w:p>
                <w:p w14:paraId="6A49D0E0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7.3.5 高温测量时水冷回路。</w:t>
                  </w:r>
                </w:p>
                <w:p w14:paraId="05B262C5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7.3.6 低温测量时液氮冷却回路。</w:t>
                  </w:r>
                </w:p>
                <w:p w14:paraId="335A7A98">
                  <w:pPr>
                    <w:pStyle w:val="15"/>
                    <w:tabs>
                      <w:tab w:val="left" w:pos="425"/>
                      <w:tab w:val="left" w:pos="709"/>
                      <w:tab w:val="left" w:pos="1418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7.3.7 要求物镜工作距离≥4 mm，使用透射照明时观察样品的聚光透镜工作距离≥12 mm。</w:t>
                  </w:r>
                </w:p>
                <w:p w14:paraId="67F9972A">
                  <w:pPr>
                    <w:pStyle w:val="15"/>
                    <w:tabs>
                      <w:tab w:val="left" w:pos="425"/>
                      <w:tab w:val="left" w:pos="709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7.4 积分球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：内径≥80 mm, 支持与实验室现有光纤光谱仪(海洋光学光谱仪，型号：QE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900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 xml:space="preserve"> Pro)直接耦合，软件可实现两曲线或四曲线法量子产率测试。</w:t>
                  </w:r>
                </w:p>
                <w:p w14:paraId="3A977BFC">
                  <w:pPr>
                    <w:pStyle w:val="15"/>
                    <w:tabs>
                      <w:tab w:val="left" w:pos="284"/>
                      <w:tab w:val="left" w:pos="425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7.5 红外测温附件：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镜头材质：锗；测温范围： -40-1200 ℃。热灵敏度≤25 mK @ 30 ℃，响应波段</w:t>
                  </w:r>
                  <w:r>
                    <w:rPr>
                      <w:rFonts w:ascii="仿宋" w:hAnsi="仿宋" w:eastAsia="仿宋" w:cs="仿宋"/>
                      <w:sz w:val="20"/>
                      <w:szCs w:val="20"/>
                    </w:rPr>
                    <w:t>8 - 14 um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，红外分辨率≥640*480像素，数字变焦范围： 1-35倍，超分辨率≥1280*960像素；配置微距镜头和三脚架。</w:t>
                  </w:r>
                </w:p>
                <w:p w14:paraId="5267EB11">
                  <w:pPr>
                    <w:pStyle w:val="15"/>
                    <w:tabs>
                      <w:tab w:val="left" w:pos="284"/>
                      <w:tab w:val="left" w:pos="425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7.6 双通道源表：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通道数：双通道； 电压量程范围： 100 mV-200V。电流量程： 0.1 pA-10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A；基本准确度：电压≤0.012%，电流≤0.03%；宽带噪声≤ 20 mV；读数缓存≥1000000读数；读数≥30000读数/秒。</w:t>
                  </w:r>
                </w:p>
                <w:p w14:paraId="4BB04085">
                  <w:pPr>
                    <w:pStyle w:val="15"/>
                    <w:tabs>
                      <w:tab w:val="left" w:pos="284"/>
                      <w:tab w:val="left" w:pos="425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7.7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便携功率计：</w:t>
                  </w:r>
                </w:p>
                <w:p w14:paraId="6429D921">
                  <w:pPr>
                    <w:pStyle w:val="15"/>
                    <w:tabs>
                      <w:tab w:val="left" w:pos="284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7.7.1工作波长范围： 190-2000 nm，量程范围： 100 uW- 5W。</w:t>
                  </w:r>
                </w:p>
                <w:p w14:paraId="4E8E3E27">
                  <w:pPr>
                    <w:pStyle w:val="15"/>
                    <w:tabs>
                      <w:tab w:val="left" w:pos="284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7.7.2工作波长范围： 200-1100 nm，量程范围： 1 nW- 1W。</w:t>
                  </w:r>
                </w:p>
                <w:p w14:paraId="75236DE8">
                  <w:pPr>
                    <w:pStyle w:val="15"/>
                    <w:tabs>
                      <w:tab w:val="left" w:pos="709"/>
                    </w:tabs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  <w:t>7.8 显微透射光路：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支持物镜更换，物镜XYZ轴可以手动移动，支持空间位移拉曼。</w:t>
                  </w:r>
                </w:p>
                <w:p w14:paraId="3F205D28">
                  <w:pPr>
                    <w:pStyle w:val="15"/>
                    <w:tabs>
                      <w:tab w:val="left" w:pos="709"/>
                    </w:tabs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  <w:t>7.9</w:t>
                  </w:r>
                  <w:r>
                    <w:rPr>
                      <w:rFonts w:hint="eastAsia" w:ascii="仿宋" w:hAnsi="仿宋" w:eastAsia="仿宋" w:cs="仿宋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光镊系统配置的CCD相机分表率≥ 500万像素。</w:t>
                  </w:r>
                </w:p>
                <w:p w14:paraId="1198F6DA">
                  <w:pPr>
                    <w:widowControl/>
                    <w:jc w:val="left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  <w:t xml:space="preserve">7.10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  <w:t>阻尼光学平台，尺寸：≥1.5*1.8米。</w:t>
                  </w:r>
                </w:p>
                <w:p w14:paraId="558F114F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 xml:space="preserve">7.11 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稳压电源一台，内置电池容量：9AH/12V 以上。</w:t>
                  </w:r>
                </w:p>
                <w:p w14:paraId="366E4F7B">
                  <w:pPr>
                    <w:widowControl/>
                    <w:jc w:val="left"/>
                    <w:rPr>
                      <w:rFonts w:hint="default" w:ascii="仿宋" w:hAnsi="仿宋" w:eastAsia="仿宋" w:cs="仿宋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7.12 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0"/>
                      <w:szCs w:val="20"/>
                      <w:lang w:val="en-US" w:eastAsia="zh-CN"/>
                    </w:rPr>
                    <w:t>拉曼测试光源整套滤波片，上/下转换光谱测试整套滤波片、偏振片及可见波段格兰偏振片及可见波段二分一玻片。</w:t>
                  </w:r>
                </w:p>
              </w:tc>
            </w:tr>
            <w:tr w14:paraId="358EB62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1" w:type="dxa"/>
                </w:tcPr>
                <w:p w14:paraId="59C3B130">
                  <w:pPr>
                    <w:pStyle w:val="14"/>
                    <w:rPr>
                      <w:rFonts w:hint="default"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</w:rPr>
                    <w:t>商务要求</w:t>
                  </w:r>
                </w:p>
              </w:tc>
              <w:tc>
                <w:tcPr>
                  <w:tcW w:w="6304" w:type="dxa"/>
                </w:tcPr>
                <w:p w14:paraId="6A762E15">
                  <w:pPr>
                    <w:pStyle w:val="15"/>
                    <w:tabs>
                      <w:tab w:val="left" w:pos="284"/>
                    </w:tabs>
                    <w:spacing w:line="288" w:lineRule="auto"/>
                    <w:ind w:left="35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0"/>
                      <w:szCs w:val="20"/>
                    </w:rPr>
                    <w:t>商务要求（需要提交证明材料）：</w:t>
                  </w:r>
                </w:p>
                <w:p w14:paraId="1504FD96">
                  <w:pPr>
                    <w:spacing w:line="360" w:lineRule="auto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1、售后服务点：投标人设有售后服务中心和应用支持中心，设有备件库。</w:t>
                  </w:r>
                </w:p>
                <w:p w14:paraId="78EF8011">
                  <w:pPr>
                    <w:spacing w:line="360" w:lineRule="auto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2、保修期：仪器保修期应自安装验收通过之日起3年（包括激光器）。在保修期内，任何由制造商选材和制造不当引起的质量问题，厂家负责免费维修。仪器出现故障时，必须在收到用户正式通知后的24小时内响应；如需现场服务，需在3日内派出维修人员到达用户现场进行维修服务。保修期满后，需提供终身维修服务，并保证零配件的供应。</w:t>
                  </w:r>
                </w:p>
                <w:p w14:paraId="757BF21B">
                  <w:pPr>
                    <w:spacing w:line="360" w:lineRule="auto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3、培训</w:t>
                  </w:r>
                </w:p>
                <w:p w14:paraId="458336BE">
                  <w:pPr>
                    <w:tabs>
                      <w:tab w:val="left" w:pos="992"/>
                    </w:tabs>
                    <w:spacing w:line="360" w:lineRule="auto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3.1投标人有义务为用户提供仪器使用培训和应用培训，培训费用由投标人承担。</w:t>
                  </w:r>
                </w:p>
                <w:p w14:paraId="14DA96F2">
                  <w:pPr>
                    <w:tabs>
                      <w:tab w:val="left" w:pos="992"/>
                    </w:tabs>
                    <w:spacing w:line="360" w:lineRule="auto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3.2仪器使用培训的内容包括：仪器的使用操作、日常的维护保养及简单的故障维修，使用户能够独立使用和获取正确的数据。培训完成后，投标人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需提供仪器的使用手册和常规故障排除说明。</w:t>
                  </w:r>
                </w:p>
                <w:p w14:paraId="5E7A00F8">
                  <w:pPr>
                    <w:tabs>
                      <w:tab w:val="left" w:pos="992"/>
                    </w:tabs>
                    <w:spacing w:line="360" w:lineRule="auto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3.3应用培训的内容需根据用户具体样品情况安排有针对性的应用培训。</w:t>
                  </w:r>
                </w:p>
                <w:p w14:paraId="57B14E9D">
                  <w:pPr>
                    <w:tabs>
                      <w:tab w:val="left" w:pos="992"/>
                    </w:tabs>
                    <w:spacing w:line="360" w:lineRule="auto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4、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</w:rPr>
                    <w:t>其他要求：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</w:rPr>
                    <w:t>供应商为用户提供至少一次免费设备移机服务</w:t>
                  </w:r>
                </w:p>
                <w:p w14:paraId="207E0621">
                  <w:pPr>
                    <w:pStyle w:val="15"/>
                    <w:tabs>
                      <w:tab w:val="left" w:pos="709"/>
                    </w:tabs>
                    <w:spacing w:line="288" w:lineRule="auto"/>
                    <w:ind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5、采购方或使用方在招标验收过程中，如发现投标产品虚假应标，实际不符合招标文件要求，按照《消费者权益保护法》规定，投标人属于欺诈行为，投标人须在采购方发函5个工作日内退还货款并按照投标金额三倍赔偿给采购方。</w:t>
                  </w:r>
                  <w:r>
                    <w:rPr>
                      <w:rFonts w:ascii="仿宋" w:hAnsi="仿宋" w:eastAsia="仿宋" w:cs="仿宋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14:paraId="4C1D911C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65" w:type="dxa"/>
                  <w:gridSpan w:val="2"/>
                </w:tcPr>
                <w:p w14:paraId="5312398B">
                  <w:pPr>
                    <w:tabs>
                      <w:tab w:val="left" w:pos="992"/>
                    </w:tabs>
                    <w:spacing w:line="360" w:lineRule="auto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▲</w:t>
                  </w: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指标必须提供佐证材料证明（包括但不限于产品彩页或官网截图等）。</w:t>
                  </w:r>
                </w:p>
              </w:tc>
            </w:tr>
          </w:tbl>
          <w:p w14:paraId="6E4B381A"/>
        </w:tc>
      </w:tr>
    </w:tbl>
    <w:p w14:paraId="71D25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8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9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F723F"/>
    <w:rsid w:val="47A00955"/>
    <w:rsid w:val="4FFA62C3"/>
    <w:rsid w:val="5B394BC5"/>
    <w:rsid w:val="60CF045C"/>
    <w:rsid w:val="67C14DF2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1016</Words>
  <Characters>1226</Characters>
  <Lines>0</Lines>
  <Paragraphs>0</Paragraphs>
  <TotalTime>0</TotalTime>
  <ScaleCrop>false</ScaleCrop>
  <LinksUpToDate>false</LinksUpToDate>
  <CharactersWithSpaces>1230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2025-10-30T09:40:16Z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