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ABC61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545"/>
      <w:bookmarkStart w:id="1" w:name="_Toc48834304"/>
      <w:bookmarkStart w:id="2" w:name="_Toc48834177"/>
      <w:bookmarkStart w:id="3" w:name="_Toc48834466"/>
      <w:bookmarkStart w:id="4" w:name="_Toc48834107"/>
      <w:bookmarkStart w:id="5" w:name="_Toc20365"/>
      <w:bookmarkStart w:id="6" w:name="_Toc14082138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339366C1">
      <w:pPr>
        <w:pStyle w:val="6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lang w:eastAsia="zh-CN"/>
        </w:rPr>
        <w:t>2025年国产化改造项目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666FC871">
      <w:pPr>
        <w:pStyle w:val="6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采购需求：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78"/>
        <w:gridCol w:w="647"/>
        <w:gridCol w:w="875"/>
        <w:gridCol w:w="5113"/>
      </w:tblGrid>
      <w:tr w14:paraId="4576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设备名称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技术规格</w:t>
            </w:r>
          </w:p>
        </w:tc>
      </w:tr>
      <w:tr w14:paraId="4BD9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台式计算机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A3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处理器：国产ARM架构处理器，CPU核数≥8核，主频≥2.0GHz，TDP 功耗≤15W；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2.内存规格：≥16GB DDR5或LPDDR5；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3.存储设备规格：≥512GB 固态存储容量；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4.内存速率：内存最高速率≥5200MT/s；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5.显卡：集成显卡；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6.接口：≥1个HDMI，≥1个VGA，≥4个音频口，≥8个USB其中至少包含1个USB-C和6个USB3.0；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7.网卡：≥1个10/100/1000M自适应网口；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8.键盘、抗菌鼠标</w:t>
            </w:r>
          </w:p>
          <w:p w14:paraId="4CA5C7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9.电源：≥180W，主机符合能效一级认证；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10.机箱：≤9L，不占用过多空间；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11.显示器：≥27英寸，刷新率≥100Hz，分辨率≥2560*1440；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12.获得认证：3C认证、节能认证、环境认证、MTBF认证≥100万小时；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13.其它要求：CPU应当符合安全可靠测评等级Ⅱ级要求；</w:t>
            </w:r>
          </w:p>
        </w:tc>
      </w:tr>
      <w:tr w14:paraId="33C3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操作系统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04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内核版本：支持4.19和5.10双内核。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2.CPU支持：支持AMD64、ARM64、LoongArch、SW64、MIPS64等全CPU架构和龙芯、鲲鹏、海思麒麟、兆芯、海光、飞腾、申威等主流国产品牌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3.中文支持：符合GB18030-2022《信息技术中文编码字符集》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4.桌面环境：系统集成自研图形化桌面环境，支持丰富的个性化配置、AI智能助手、截图录屏等功能。</w:t>
            </w:r>
          </w:p>
          <w:p w14:paraId="72786E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系统功能：提供跨端协同、数据迁移、无线投屏等智能易用功能。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浏览器：系统预装自研浏览器，且浏览器支持账号云同步功能，支持同步浏览器书签和密码，浏览器云账号和系统云账号保持一致。7.备份还原：支持图形化备份恢复功能，提供备份系统、数据，或者将系统一键还原到历史备份状态；提供系统修复live功能可快速将系统还原至可用状态，并且将默认保留数据，防止数据意外丢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8.远程协助：系统默认集成自研远程协助工具，可满足在内网以及外网环境下远程管理和控制的需求。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.安全性系：统默认集成安全中心，具备系统体检、病毒查杀、防火墙，垃圾清理；支持登录安全、进程防杀死、内核模块防卸载、外设管理、文件审计、文件保护应用防护、联网控制等重要模块的安全管控；支持在安全中心可以自定义应用安装权限；支持不打开开发者模式的前提下安装未签名应用。</w:t>
            </w:r>
          </w:p>
          <w:p w14:paraId="1BE962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10.安全签名认证：支持UEFI安全启动认证，保证BIOS设置安全启动的前提下能够安装、启动系统，更全面的提升用户安全。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11.国密算法：全面支持由国家密码局认定的SM2、SM3、SM4国产商用密码算法、国密SSL、VPN技术规范、国密X509证书。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12.标准符合：通过《GB/T20272-2019信息安全技术 操作系统安全技术要求》，获得等保2.0四级认证；通过安全可靠测评（2023年第1号）；通过商用密码产品二级认证。</w:t>
            </w:r>
          </w:p>
        </w:tc>
      </w:tr>
      <w:tr w14:paraId="17AC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WPS系统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4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用于处理文字、表格及幻灯片的流式办公软件。产品包含文字、表格、演示三个应用。主要功能包括: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1.文字功能:支持文档修订与批注；提供WPS中文特色的文字表功能；提供文档快速定位、大纲视图、插入题注和交叉引用、支持冲突解决、痕迹修订等功能。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2.表格功能:支持各种制表功能；提供数据透视表和函数及图表功能，实现特有的报表数据展示方式；增强表格公式功能、多列合并拆分、支持大型表格打印功能。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3.演示功能:支持演示稿在投影仪或计算机上演示，提供多种演示模板或通过自定义动画、配色方案、版式及插入多媒体对象等方式创作演示稿；支持演示稿打印功能</w:t>
            </w:r>
          </w:p>
        </w:tc>
      </w:tr>
      <w:tr w14:paraId="4892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A4激光彩色打印机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C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1.功能：彩色单打印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2.配色：白色+深灰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3.打印速度（A4）：18页/分钟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4.首页打印时间：小于11秒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5.最大月打印量：30000页;建议月打印量：300页到1500页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6.分辨率（dpi）：最大1200*600dpi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7.打印语言：PCL6/PS3；处理器：1GHz；内存：1GB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8.双面打印：自动双面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9.显示屏：2行LCD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10.纸张输入容量：自动纸盒250页，手动进纸器1页；纸张输出容量：100页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11.接口类型：高速USB 2.0，有线网络IEEE802.3 10 /100Base-Tx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12.耗材类型：鼓粉一体</w:t>
            </w:r>
          </w:p>
        </w:tc>
      </w:tr>
      <w:tr w14:paraId="1B9E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8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31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A3复印机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8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0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E7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1.输出速度：≥21页/分钟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2.打印分辨率：≥600dpi*600dpi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3.复印分辨率：≥600dpi*600dpi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4.内存：≥256MB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5.扫描支持格式：TIFF, PDF, Compact PDF, JPEG, XPS, Compact XPS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6.扫描速度：≥55页（彩色/黑白）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7.扫描尺寸：最大A3或者Ledger(11'' x 17'')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8.扫描目的地：USB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9.纸张容量：≥250页+100页手送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10.标配功能：支持A3幅面双面复印/双面网络打印/彩色扫描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11.可实现B5双面打印功能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12.适配通过安全可靠测评的操作系统（说明：应至少适配统信、麒麟和中科方德等操作系统）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13.是否带无线功能：有</w:t>
            </w:r>
          </w:p>
        </w:tc>
      </w:tr>
      <w:tr w14:paraId="5238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F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14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主机管理及数据迁移服务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8D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95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7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1.主机管理：管理终端支持多种网络自动切换功能，有线网口，wifi网口4g网口，按照优先级和网络连通性自动切换。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管理软件需支持用户，机构，角色，权限等灵活化控制，可将权限细化到按钮；支持通过web平台进行报修，支持维修记录管理；支持设备数量、分类、在线数量、在线时长等统计和分析，支持展板展示等。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数据迁移服务：涵盖前期数据评估与规划，通过专用工具完成数据备份、清洗、加密传输，支持不同系统（如物理机与虚拟机、云平台间）的格式转换，迁移中进行完整性校验，迁移后提供系统适配调试、数据验证及故障回滚方案，确保数据安全且业务不中断。</w:t>
            </w:r>
          </w:p>
        </w:tc>
      </w:tr>
      <w:tr w14:paraId="6433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B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其他要求：1.本次采购的核心产品为台式计算机，供应商需提供但不限于第三方出具的检测报告、官网截图、工艺流程及产品彩图等。</w:t>
            </w:r>
          </w:p>
          <w:p w14:paraId="1C31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2.采购清单中所涉及所有货物的品牌规格型号名称，须在分项报价清单描述中注明，未注明货物品牌规格型号的视为响应无效。</w:t>
            </w:r>
          </w:p>
        </w:tc>
      </w:tr>
    </w:tbl>
    <w:p w14:paraId="419053F5">
      <w:pPr>
        <w:pStyle w:val="6"/>
        <w:spacing w:line="500" w:lineRule="exact"/>
        <w:ind w:firstLine="567"/>
        <w:rPr>
          <w:rFonts w:hint="default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售后服务要求：</w:t>
      </w:r>
    </w:p>
    <w:p w14:paraId="20FAE8A1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（1）本项目软硬件设备须提供不低于3年质保，质保期内免费提供正常使用的易损件和备件，软件系统提供免费升级服务。</w:t>
      </w:r>
    </w:p>
    <w:p w14:paraId="30825424">
      <w:pPr>
        <w:pStyle w:val="6"/>
        <w:spacing w:line="500" w:lineRule="exact"/>
        <w:ind w:firstLine="567"/>
        <w:rPr>
          <w:rFonts w:hint="default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</w:t>
      </w:r>
      <w:r>
        <w:rPr>
          <w:rFonts w:hint="default" w:ascii="仿宋" w:hAnsi="仿宋" w:eastAsia="仿宋" w:cs="Times New Roman"/>
          <w:lang w:val="en-US" w:eastAsia="zh-CN"/>
        </w:rPr>
        <w:t>2</w:t>
      </w:r>
      <w:r>
        <w:rPr>
          <w:rFonts w:hint="eastAsia" w:ascii="仿宋" w:hAnsi="仿宋" w:eastAsia="仿宋" w:cs="Times New Roman"/>
          <w:lang w:val="en-US" w:eastAsia="zh-CN"/>
        </w:rPr>
        <w:t>）本项目维护期限为三年，要求提供的设备、技术参数优于或等于招标文件参数要求，同时对设备、软件提供三年质保期，项目验收后三年内中标单位应保证系统正常运行，期间产生的所有维修、更换、维护、备件等费用由中标单位负责。</w:t>
      </w:r>
    </w:p>
    <w:p w14:paraId="18B6D743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915E0"/>
    <w:rsid w:val="2A7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2025-10-31T02:15:00Z</dcterms:created>
  <dc:creator>磐</dc:creator>
  <cp:lastModifiedBy>磐</cp:lastModifiedBy>
  <dcterms:modified xsi:type="dcterms:W3CDTF">2025-10-31T02:15:27Z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F73D6DF08D284AC0B1898241B8908DE6_11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