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3CBB">
      <w:pPr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default" w:ascii="宋体" w:hAnsi="宋体" w:cs="宋体"/>
          <w:b/>
          <w:sz w:val="24"/>
          <w:szCs w:val="24"/>
          <w:lang w:val="zh-CN"/>
        </w:rPr>
      </w:pPr>
      <w:r>
        <w:rPr>
          <w:rFonts w:ascii="宋体" w:hAnsi="宋体" w:cs="宋体"/>
          <w:b/>
          <w:sz w:val="24"/>
          <w:szCs w:val="24"/>
          <w:lang w:val="zh-CN"/>
        </w:rPr>
        <w:t>1、项目招标内容</w:t>
      </w:r>
    </w:p>
    <w:p w14:paraId="38C5ED1A">
      <w:pPr>
        <w:spacing w:after="156" w:afterLines="50" w:line="360" w:lineRule="auto"/>
        <w:ind w:firstLine="480" w:firstLineChars="200"/>
        <w:rPr>
          <w:rFonts w:hint="default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基于北斗的120急救指挥系统托管运维服务项目，提供的运行维护服务包括：相关硬件设备保修与更换，软件的运行维护，业务系统托管，云计算资源的提供，车载终端的安装及SIM卡的更换和续费，驻场工程师现场运维服务。保证用户的信息系统的正常运行，降低整体管理成本，提高网络信息系统的整体服务水平。同时根据日常维护的数据和记录，提供用户信息系统的整体优化建设规划和建议，更好的为用户的信息化发展提供有力的保障。</w:t>
      </w:r>
    </w:p>
    <w:p w14:paraId="01559EE5">
      <w:pPr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default" w:ascii="宋体" w:hAnsi="宋体" w:cs="宋体"/>
          <w:b/>
          <w:sz w:val="24"/>
          <w:szCs w:val="24"/>
          <w:lang w:val="zh-CN"/>
        </w:rPr>
      </w:pPr>
      <w:r>
        <w:rPr>
          <w:rFonts w:ascii="宋体" w:hAnsi="宋体" w:cs="宋体"/>
          <w:b/>
          <w:sz w:val="24"/>
          <w:szCs w:val="24"/>
          <w:lang w:val="zh-CN"/>
        </w:rPr>
        <w:t>2、服务方式</w:t>
      </w:r>
    </w:p>
    <w:p w14:paraId="4868781B">
      <w:pPr>
        <w:spacing w:after="156" w:afterLines="50" w:line="360" w:lineRule="auto"/>
        <w:ind w:firstLine="480" w:firstLineChars="200"/>
        <w:rPr>
          <w:rFonts w:hint="default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1）北斗云数据中心7×24小时现场服务。</w:t>
      </w:r>
    </w:p>
    <w:p w14:paraId="04BCD470">
      <w:pPr>
        <w:spacing w:after="156" w:afterLines="50" w:line="360" w:lineRule="auto"/>
        <w:ind w:firstLine="480" w:firstLineChars="200"/>
        <w:rPr>
          <w:rFonts w:hint="default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2）5×8小时延安现场运维服务。</w:t>
      </w:r>
    </w:p>
    <w:p w14:paraId="2DC35680">
      <w:pPr>
        <w:spacing w:after="156" w:afterLines="50" w:line="360" w:lineRule="auto"/>
        <w:ind w:firstLine="480" w:firstLineChars="200"/>
        <w:rPr>
          <w:rFonts w:hint="default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3）7×24小时电话支持服务。</w:t>
      </w:r>
    </w:p>
    <w:p w14:paraId="4C199B1F">
      <w:pPr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default" w:ascii="宋体" w:hAnsi="宋体" w:cs="宋体"/>
          <w:b/>
          <w:sz w:val="24"/>
          <w:szCs w:val="24"/>
          <w:lang w:val="zh-CN"/>
        </w:rPr>
      </w:pPr>
      <w:r>
        <w:rPr>
          <w:rFonts w:ascii="宋体" w:hAnsi="宋体" w:cs="宋体"/>
          <w:b/>
          <w:sz w:val="24"/>
          <w:szCs w:val="24"/>
          <w:lang w:val="zh-CN"/>
        </w:rPr>
        <w:t>3．服务期限</w:t>
      </w:r>
    </w:p>
    <w:p w14:paraId="3F3F6965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  <w:lang w:val="zh-CN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zh-CN" w:eastAsia="zh-CN"/>
        </w:rPr>
        <w:t>合同签订之日起一年。</w:t>
      </w:r>
    </w:p>
    <w:p w14:paraId="3187EA77">
      <w:pPr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default" w:ascii="宋体" w:hAnsi="宋体" w:cs="宋体"/>
          <w:b/>
          <w:sz w:val="24"/>
          <w:szCs w:val="24"/>
          <w:lang w:val="zh-CN"/>
        </w:rPr>
      </w:pPr>
      <w:r>
        <w:rPr>
          <w:rFonts w:ascii="宋体" w:hAnsi="宋体" w:cs="宋体"/>
          <w:b/>
          <w:sz w:val="24"/>
          <w:szCs w:val="24"/>
          <w:lang w:val="zh-CN"/>
        </w:rPr>
        <w:t>4、服务地点</w:t>
      </w:r>
    </w:p>
    <w:p w14:paraId="4DA37F4A">
      <w:pPr>
        <w:spacing w:after="156" w:afterLines="50" w:line="360" w:lineRule="auto"/>
        <w:ind w:firstLine="480" w:firstLineChars="200"/>
        <w:rPr>
          <w:rFonts w:hint="default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延安市急救指挥中心，北斗云数据中心（西安），延安市区内急救调度指挥系统机构，延安各县城内急救调度指挥系统机构。</w:t>
      </w:r>
    </w:p>
    <w:p w14:paraId="03F6597B">
      <w:pPr>
        <w:spacing w:after="312" w:afterLines="100" w:line="360" w:lineRule="auto"/>
        <w:ind w:firstLine="480" w:firstLineChars="200"/>
        <w:rPr>
          <w:rFonts w:hint="default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其中,延安市区使用基于北斗的120急救调度指挥系统的机构有: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88"/>
        <w:gridCol w:w="5295"/>
      </w:tblGrid>
      <w:tr w14:paraId="472C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13" w:type="dxa"/>
            <w:noWrap w:val="0"/>
            <w:vAlign w:val="center"/>
          </w:tcPr>
          <w:p w14:paraId="5E016039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序号</w:t>
            </w:r>
          </w:p>
        </w:tc>
        <w:tc>
          <w:tcPr>
            <w:tcW w:w="2188" w:type="dxa"/>
            <w:noWrap w:val="0"/>
            <w:vAlign w:val="center"/>
          </w:tcPr>
          <w:p w14:paraId="6BA51000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单位</w:t>
            </w:r>
          </w:p>
        </w:tc>
        <w:tc>
          <w:tcPr>
            <w:tcW w:w="5295" w:type="dxa"/>
            <w:noWrap w:val="0"/>
            <w:vAlign w:val="center"/>
          </w:tcPr>
          <w:p w14:paraId="31693118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地址</w:t>
            </w:r>
          </w:p>
        </w:tc>
      </w:tr>
      <w:tr w14:paraId="10FF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13" w:type="dxa"/>
            <w:noWrap w:val="0"/>
            <w:vAlign w:val="center"/>
          </w:tcPr>
          <w:p w14:paraId="3BEA8582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1</w:t>
            </w:r>
          </w:p>
        </w:tc>
        <w:tc>
          <w:tcPr>
            <w:tcW w:w="2188" w:type="dxa"/>
            <w:noWrap w:val="0"/>
            <w:vAlign w:val="center"/>
          </w:tcPr>
          <w:p w14:paraId="7A80A8D5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延安大学附属医院</w:t>
            </w:r>
          </w:p>
        </w:tc>
        <w:tc>
          <w:tcPr>
            <w:tcW w:w="5295" w:type="dxa"/>
            <w:noWrap w:val="0"/>
            <w:vAlign w:val="center"/>
          </w:tcPr>
          <w:p w14:paraId="56D03818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sz w:val="22"/>
                <w:szCs w:val="21"/>
              </w:rPr>
              <w:t>延安市宝塔区北大街43号</w:t>
            </w:r>
          </w:p>
        </w:tc>
      </w:tr>
      <w:tr w14:paraId="5153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13" w:type="dxa"/>
            <w:noWrap w:val="0"/>
            <w:vAlign w:val="center"/>
          </w:tcPr>
          <w:p w14:paraId="568DA7C5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2</w:t>
            </w:r>
          </w:p>
        </w:tc>
        <w:tc>
          <w:tcPr>
            <w:tcW w:w="2188" w:type="dxa"/>
            <w:noWrap w:val="0"/>
            <w:vAlign w:val="center"/>
          </w:tcPr>
          <w:p w14:paraId="777BC801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延安市人民医院</w:t>
            </w:r>
          </w:p>
        </w:tc>
        <w:tc>
          <w:tcPr>
            <w:tcW w:w="5295" w:type="dxa"/>
            <w:noWrap w:val="0"/>
            <w:vAlign w:val="center"/>
          </w:tcPr>
          <w:p w14:paraId="4878E830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bCs/>
                <w:sz w:val="22"/>
                <w:szCs w:val="21"/>
                <w:lang w:bidi="ar"/>
              </w:rPr>
              <w:t>延安市七里铺大街57号</w:t>
            </w:r>
          </w:p>
        </w:tc>
      </w:tr>
      <w:tr w14:paraId="4427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13" w:type="dxa"/>
            <w:noWrap w:val="0"/>
            <w:vAlign w:val="center"/>
          </w:tcPr>
          <w:p w14:paraId="7400BA1F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3</w:t>
            </w:r>
          </w:p>
        </w:tc>
        <w:tc>
          <w:tcPr>
            <w:tcW w:w="2188" w:type="dxa"/>
            <w:noWrap w:val="0"/>
            <w:vAlign w:val="center"/>
          </w:tcPr>
          <w:p w14:paraId="3E0E607A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延安市博爱医院</w:t>
            </w:r>
          </w:p>
        </w:tc>
        <w:tc>
          <w:tcPr>
            <w:tcW w:w="5295" w:type="dxa"/>
            <w:noWrap w:val="0"/>
            <w:vAlign w:val="center"/>
          </w:tcPr>
          <w:p w14:paraId="01FFDD1C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延安市百米大道中段博爱医院</w:t>
            </w:r>
          </w:p>
        </w:tc>
      </w:tr>
      <w:tr w14:paraId="3233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13" w:type="dxa"/>
            <w:noWrap w:val="0"/>
            <w:vAlign w:val="center"/>
          </w:tcPr>
          <w:p w14:paraId="4509BC27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4</w:t>
            </w:r>
          </w:p>
        </w:tc>
        <w:tc>
          <w:tcPr>
            <w:tcW w:w="2188" w:type="dxa"/>
            <w:noWrap w:val="0"/>
            <w:vAlign w:val="center"/>
          </w:tcPr>
          <w:p w14:paraId="3BF91DCA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延安市中医医院</w:t>
            </w:r>
          </w:p>
        </w:tc>
        <w:tc>
          <w:tcPr>
            <w:tcW w:w="5295" w:type="dxa"/>
            <w:noWrap w:val="0"/>
            <w:vAlign w:val="center"/>
          </w:tcPr>
          <w:p w14:paraId="0A70A6E8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延安市宝塔区南大街72号</w:t>
            </w:r>
          </w:p>
        </w:tc>
      </w:tr>
      <w:tr w14:paraId="4C95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13" w:type="dxa"/>
            <w:noWrap w:val="0"/>
            <w:vAlign w:val="center"/>
          </w:tcPr>
          <w:p w14:paraId="311FCC66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5</w:t>
            </w:r>
          </w:p>
        </w:tc>
        <w:tc>
          <w:tcPr>
            <w:tcW w:w="2188" w:type="dxa"/>
            <w:noWrap w:val="0"/>
            <w:vAlign w:val="center"/>
          </w:tcPr>
          <w:p w14:paraId="6B90FD47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宝塔区人民医院</w:t>
            </w:r>
          </w:p>
        </w:tc>
        <w:tc>
          <w:tcPr>
            <w:tcW w:w="5295" w:type="dxa"/>
            <w:noWrap w:val="0"/>
            <w:vAlign w:val="center"/>
          </w:tcPr>
          <w:p w14:paraId="72B9C35B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延安市宝塔区嘉岭路23号</w:t>
            </w:r>
          </w:p>
        </w:tc>
      </w:tr>
      <w:tr w14:paraId="4B67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13" w:type="dxa"/>
            <w:noWrap w:val="0"/>
            <w:vAlign w:val="center"/>
          </w:tcPr>
          <w:p w14:paraId="715E1A2E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hint="default" w:ascii="宋体" w:hAnsi="宋体" w:cs="宋体"/>
                <w:sz w:val="22"/>
                <w:szCs w:val="21"/>
              </w:rPr>
              <w:t>6</w:t>
            </w:r>
          </w:p>
        </w:tc>
        <w:tc>
          <w:tcPr>
            <w:tcW w:w="2188" w:type="dxa"/>
            <w:noWrap w:val="0"/>
            <w:vAlign w:val="center"/>
          </w:tcPr>
          <w:p w14:paraId="17364C18">
            <w:pPr>
              <w:spacing w:line="360" w:lineRule="auto"/>
              <w:jc w:val="left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延安大学附属医院东关分院</w:t>
            </w:r>
          </w:p>
        </w:tc>
        <w:tc>
          <w:tcPr>
            <w:tcW w:w="5295" w:type="dxa"/>
            <w:noWrap w:val="0"/>
            <w:vAlign w:val="center"/>
          </w:tcPr>
          <w:p w14:paraId="5E73BDDE">
            <w:pPr>
              <w:pStyle w:val="6"/>
              <w:spacing w:line="360" w:lineRule="auto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延安市宝塔区桥儿沟路</w:t>
            </w:r>
          </w:p>
        </w:tc>
      </w:tr>
    </w:tbl>
    <w:p w14:paraId="4BA73C2B">
      <w:pPr>
        <w:spacing w:before="312" w:beforeLines="100" w:after="312" w:afterLines="100" w:line="360" w:lineRule="auto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延安各区县使用基于北斗的120急救调度指挥系统的机构有：</w:t>
      </w:r>
    </w:p>
    <w:tbl>
      <w:tblPr>
        <w:tblStyle w:val="4"/>
        <w:tblW w:w="82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207"/>
        <w:gridCol w:w="5295"/>
      </w:tblGrid>
      <w:tr w14:paraId="0193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1DA1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序号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DABC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单位</w:t>
            </w:r>
          </w:p>
        </w:tc>
        <w:tc>
          <w:tcPr>
            <w:tcW w:w="5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0EB8">
            <w:pPr>
              <w:spacing w:line="360" w:lineRule="auto"/>
              <w:jc w:val="center"/>
              <w:rPr>
                <w:rFonts w:hint="default"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1"/>
              </w:rPr>
              <w:t>地址</w:t>
            </w:r>
          </w:p>
        </w:tc>
      </w:tr>
      <w:tr w14:paraId="4585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1D8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0CE5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吴起县人民医院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EE38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延安市吴起县吴华路东50米</w:t>
            </w:r>
          </w:p>
        </w:tc>
      </w:tr>
      <w:tr w14:paraId="7B3E4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B6E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620F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志丹县人民医院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DFB5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</w:t>
            </w:r>
            <w:r>
              <w:rPr>
                <w:rFonts w:ascii="宋体" w:hAnsi="宋体" w:cs="宋体"/>
                <w:color w:val="333333"/>
                <w:kern w:val="0"/>
                <w:sz w:val="22"/>
                <w:szCs w:val="21"/>
              </w:rPr>
              <w:t>保安镇红都街018号</w:t>
            </w:r>
          </w:p>
        </w:tc>
      </w:tr>
      <w:tr w14:paraId="2AA7A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291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F83E7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安塞区人民医院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A03C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延安市安塞县真郊政村</w:t>
            </w:r>
          </w:p>
        </w:tc>
      </w:tr>
      <w:tr w14:paraId="44407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6AB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35AA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子长市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1FBF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延安市子子长市冯家屯乡秀延街29号</w:t>
            </w:r>
          </w:p>
        </w:tc>
      </w:tr>
      <w:tr w14:paraId="362A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9EA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A466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延川县人民医院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6940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延安市延川县南大街三雄大酒店附近</w:t>
            </w:r>
          </w:p>
        </w:tc>
      </w:tr>
      <w:tr w14:paraId="0DBF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8E8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90C5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延长县人民医院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11F4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延安市延长西大街</w:t>
            </w:r>
          </w:p>
        </w:tc>
      </w:tr>
      <w:tr w14:paraId="7EBFE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AB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6DFF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甘泉县人民医院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49A2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延安市甘泉县康乐路与美水巷交叉口北50米</w:t>
            </w:r>
          </w:p>
        </w:tc>
      </w:tr>
      <w:tr w14:paraId="66F88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F59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8CEA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洛川县人民医院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F42A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延安市洛川县凤栖镇府前街8号</w:t>
            </w:r>
          </w:p>
        </w:tc>
      </w:tr>
      <w:tr w14:paraId="1B0B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6B7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2C49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黄陵县人民医院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97FD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延安市黄陵县土德路96号</w:t>
            </w:r>
          </w:p>
        </w:tc>
      </w:tr>
      <w:tr w14:paraId="56D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B36C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B500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宜川县人民医院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33D8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延安市宜川县南大街</w:t>
            </w:r>
          </w:p>
        </w:tc>
      </w:tr>
      <w:tr w14:paraId="7318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764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B4C5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黄龙县人民医院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F51D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延安市黄龙县中心街39号</w:t>
            </w:r>
          </w:p>
        </w:tc>
      </w:tr>
      <w:tr w14:paraId="2FCB9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86E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E8A2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富县人民医院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F1F3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1"/>
              </w:rPr>
              <w:t>延安市富县人民医院富城镇正街84号</w:t>
            </w:r>
          </w:p>
        </w:tc>
      </w:tr>
    </w:tbl>
    <w:p w14:paraId="6873CE24">
      <w:pPr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default" w:ascii="宋体" w:hAnsi="宋体" w:cs="宋体"/>
          <w:b/>
          <w:sz w:val="24"/>
          <w:szCs w:val="24"/>
        </w:rPr>
      </w:pPr>
    </w:p>
    <w:p w14:paraId="56902CB1">
      <w:pPr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default" w:ascii="宋体" w:hAnsi="宋体" w:cs="宋体"/>
          <w:b/>
          <w:sz w:val="24"/>
          <w:szCs w:val="24"/>
          <w:lang w:val="zh-CN"/>
        </w:rPr>
      </w:pPr>
      <w:r>
        <w:rPr>
          <w:rFonts w:ascii="宋体" w:hAnsi="宋体" w:cs="宋体"/>
          <w:b/>
          <w:sz w:val="24"/>
          <w:szCs w:val="24"/>
          <w:lang w:val="zh-CN"/>
        </w:rPr>
        <w:t>5、服务职责</w:t>
      </w:r>
    </w:p>
    <w:p w14:paraId="307E7A76">
      <w:pPr>
        <w:pStyle w:val="3"/>
        <w:snapToGrid w:val="0"/>
        <w:spacing w:after="156" w:afterLines="50" w:line="360" w:lineRule="auto"/>
        <w:ind w:firstLine="480" w:firstLineChars="200"/>
        <w:rPr>
          <w:rFonts w:hint="default" w:hAnsi="宋体" w:cs="宋体"/>
          <w:kern w:val="0"/>
          <w:sz w:val="24"/>
          <w:szCs w:val="24"/>
        </w:rPr>
      </w:pPr>
      <w:r>
        <w:rPr>
          <w:rFonts w:hAnsi="宋体" w:cs="宋体"/>
          <w:kern w:val="0"/>
          <w:sz w:val="24"/>
          <w:szCs w:val="24"/>
        </w:rPr>
        <w:t>中标方确保所有服务范围内各系统的安全稳定运行，并对此负相应责任。</w:t>
      </w:r>
    </w:p>
    <w:p w14:paraId="58EF26E8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default" w:hAnsi="宋体" w:cs="宋体"/>
          <w:kern w:val="0"/>
          <w:sz w:val="24"/>
          <w:szCs w:val="24"/>
        </w:rPr>
      </w:pPr>
      <w:r>
        <w:rPr>
          <w:rFonts w:hint="default" w:ascii="宋体" w:hAnsi="宋体" w:cs="宋体"/>
          <w:kern w:val="0"/>
          <w:sz w:val="24"/>
          <w:szCs w:val="24"/>
          <w:lang w:val="en-US" w:eastAsia="zh-CN" w:bidi="ar-SA"/>
        </w:rPr>
        <w:t>1、</w:t>
      </w:r>
      <w:r>
        <w:rPr>
          <w:rFonts w:hAnsi="宋体" w:cs="宋体"/>
          <w:kern w:val="0"/>
          <w:sz w:val="24"/>
          <w:szCs w:val="24"/>
        </w:rPr>
        <w:t>中标方应根据招标方的实际情况和要求，对服务范围内硬件提供保修服务。如出现硬件故障，中标方应提供备品备件予以更换，中标方所提供的备件应为全新、未使用的正品备件。硬件清单见</w:t>
      </w:r>
      <w:r>
        <w:rPr>
          <w:rFonts w:hAnsi="宋体" w:cs="宋体"/>
          <w:b/>
          <w:kern w:val="0"/>
          <w:sz w:val="24"/>
          <w:szCs w:val="24"/>
        </w:rPr>
        <w:t>附件一</w:t>
      </w:r>
      <w:r>
        <w:rPr>
          <w:rFonts w:hAnsi="宋体" w:cs="宋体"/>
          <w:kern w:val="0"/>
          <w:sz w:val="24"/>
          <w:szCs w:val="24"/>
        </w:rPr>
        <w:t>。</w:t>
      </w:r>
    </w:p>
    <w:p w14:paraId="48990333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default" w:hAnsi="宋体" w:cs="宋体"/>
          <w:kern w:val="0"/>
          <w:sz w:val="24"/>
          <w:szCs w:val="24"/>
        </w:rPr>
      </w:pPr>
      <w:r>
        <w:rPr>
          <w:rFonts w:hint="default" w:ascii="宋体" w:hAnsi="宋体" w:cs="宋体"/>
          <w:kern w:val="0"/>
          <w:sz w:val="24"/>
          <w:szCs w:val="24"/>
          <w:lang w:val="en-US" w:eastAsia="zh-CN" w:bidi="ar-SA"/>
        </w:rPr>
        <w:t>2、</w:t>
      </w:r>
      <w:r>
        <w:rPr>
          <w:rFonts w:hAnsi="宋体" w:cs="宋体"/>
          <w:kern w:val="0"/>
          <w:sz w:val="24"/>
          <w:szCs w:val="24"/>
        </w:rPr>
        <w:t>对于硬件产品有定期保养需求的，应依照产品使用手册规定的保养期限进行定期保养并做好记录，并提供相关耗材。对于经统计为易损备件的，应拟定替换计划，经招标方批准后，及时更换易损关键备件，防止单点故障造成业务系统停顿。</w:t>
      </w:r>
    </w:p>
    <w:p w14:paraId="751B656B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default" w:hAnsi="宋体" w:cs="宋体"/>
          <w:kern w:val="0"/>
          <w:sz w:val="24"/>
          <w:szCs w:val="24"/>
        </w:rPr>
      </w:pPr>
      <w:r>
        <w:rPr>
          <w:rFonts w:hint="default" w:ascii="宋体" w:hAnsi="宋体" w:cs="宋体"/>
          <w:kern w:val="0"/>
          <w:sz w:val="24"/>
          <w:szCs w:val="24"/>
          <w:lang w:val="en-US" w:eastAsia="zh-CN" w:bidi="ar-SA"/>
        </w:rPr>
        <w:t>3、</w:t>
      </w:r>
      <w:r>
        <w:rPr>
          <w:rFonts w:hAnsi="宋体" w:cs="宋体"/>
          <w:kern w:val="0"/>
          <w:sz w:val="24"/>
          <w:szCs w:val="24"/>
        </w:rPr>
        <w:t>中标方应根据招标方的实际情况和要求，对服务范围内软件提供维护服务，北斗云中心及</w:t>
      </w:r>
      <w:r>
        <w:rPr>
          <w:rFonts w:hAnsi="宋体" w:cs="宋体"/>
          <w:color w:val="000000"/>
          <w:sz w:val="24"/>
          <w:szCs w:val="24"/>
        </w:rPr>
        <w:t>延安市急救指挥中心</w:t>
      </w:r>
      <w:r>
        <w:rPr>
          <w:rFonts w:hAnsi="宋体" w:cs="宋体"/>
          <w:kern w:val="0"/>
          <w:sz w:val="24"/>
          <w:szCs w:val="24"/>
        </w:rPr>
        <w:t>各系统每日进行一次巡检，按月提交巡检报告。具体的运维监控指标、监控内容、优化措施等均由投标方自行拟定，中标后经招标方审批后执行。中标方应确保监控指标全面、详细、无遗漏，能确保招标方系统连续、稳定、流畅运行。软件清单见</w:t>
      </w:r>
      <w:r>
        <w:rPr>
          <w:rFonts w:hAnsi="宋体" w:cs="宋体"/>
          <w:b/>
          <w:kern w:val="0"/>
          <w:sz w:val="24"/>
          <w:szCs w:val="24"/>
        </w:rPr>
        <w:t>附件二</w:t>
      </w:r>
      <w:r>
        <w:rPr>
          <w:rFonts w:hAnsi="宋体" w:cs="宋体"/>
          <w:kern w:val="0"/>
          <w:sz w:val="24"/>
          <w:szCs w:val="24"/>
        </w:rPr>
        <w:t>。</w:t>
      </w:r>
    </w:p>
    <w:p w14:paraId="5A78A71E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default" w:hAnsi="宋体" w:cs="宋体"/>
          <w:kern w:val="0"/>
          <w:sz w:val="24"/>
          <w:szCs w:val="24"/>
        </w:rPr>
      </w:pPr>
      <w:r>
        <w:rPr>
          <w:rFonts w:hint="default" w:ascii="宋体" w:hAnsi="宋体" w:cs="宋体"/>
          <w:kern w:val="0"/>
          <w:sz w:val="24"/>
          <w:szCs w:val="24"/>
          <w:lang w:val="en-US" w:eastAsia="zh-CN" w:bidi="ar-SA"/>
        </w:rPr>
        <w:t>4、</w:t>
      </w:r>
      <w:r>
        <w:rPr>
          <w:rFonts w:hAnsi="宋体" w:cs="宋体"/>
          <w:kern w:val="0"/>
          <w:sz w:val="24"/>
          <w:szCs w:val="24"/>
        </w:rPr>
        <w:t>中标方应对系统提供优化服务，包括性能优化与功能优化。</w:t>
      </w:r>
    </w:p>
    <w:p w14:paraId="77443293">
      <w:pPr>
        <w:spacing w:after="312" w:afterLines="100" w:line="360" w:lineRule="auto"/>
        <w:ind w:firstLine="480" w:firstLineChars="200"/>
        <w:rPr>
          <w:rFonts w:hint="default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按照延安市急救指挥中心要求进行其他功能和性能的优化，确保整体系统运行流畅。</w:t>
      </w:r>
    </w:p>
    <w:p w14:paraId="396CC0A9">
      <w:pPr>
        <w:spacing w:after="312" w:afterLines="100" w:line="360" w:lineRule="auto"/>
        <w:ind w:firstLine="480" w:firstLineChars="200"/>
        <w:rPr>
          <w:rFonts w:hint="default"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系统优化不得对现有业务系统的正常处理产生不良影响，中标方应自行搭建测试环境，不得使用招标方已有生产环境作为测试环境。</w:t>
      </w:r>
    </w:p>
    <w:p w14:paraId="121ED3DE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default" w:hAnsi="宋体" w:cs="宋体"/>
          <w:kern w:val="0"/>
          <w:sz w:val="24"/>
          <w:szCs w:val="24"/>
        </w:rPr>
      </w:pPr>
      <w:r>
        <w:rPr>
          <w:rFonts w:hint="default" w:ascii="宋体" w:hAnsi="宋体" w:cs="宋体"/>
          <w:kern w:val="0"/>
          <w:sz w:val="24"/>
          <w:szCs w:val="24"/>
          <w:lang w:val="en-US" w:eastAsia="zh-CN" w:bidi="ar-SA"/>
        </w:rPr>
        <w:t>5、</w:t>
      </w:r>
      <w:r>
        <w:rPr>
          <w:rFonts w:hAnsi="宋体" w:cs="宋体"/>
          <w:kern w:val="0"/>
          <w:sz w:val="24"/>
          <w:szCs w:val="24"/>
        </w:rPr>
        <w:t>对系统故障在限定时间内处理并提交故障处理报告。</w:t>
      </w:r>
    </w:p>
    <w:p w14:paraId="75AB8462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Ansi="宋体" w:cs="宋体"/>
          <w:kern w:val="0"/>
          <w:sz w:val="24"/>
          <w:szCs w:val="24"/>
        </w:rPr>
      </w:pPr>
      <w:r>
        <w:rPr>
          <w:rFonts w:hint="default" w:ascii="宋体" w:hAnsi="宋体" w:cs="宋体"/>
          <w:kern w:val="0"/>
          <w:sz w:val="24"/>
          <w:szCs w:val="24"/>
          <w:lang w:val="en-US" w:eastAsia="zh-CN" w:bidi="ar-SA"/>
        </w:rPr>
        <w:t>6、</w:t>
      </w:r>
      <w:r>
        <w:rPr>
          <w:rFonts w:hAnsi="宋体" w:cs="宋体"/>
          <w:kern w:val="0"/>
          <w:sz w:val="24"/>
          <w:szCs w:val="24"/>
        </w:rPr>
        <w:t>提供系统运行所需的云环境，包括：网络、计算、存储、安全设备等。中标方应无条件保障系统稳定、流畅运行所需的资源，如出现因资源不足导致系统反应缓慢、程序错误等问题，应立即增加系统资源，直到满足系统稳定要求。所需费用由中标方承担，云系统资源清单如</w:t>
      </w:r>
      <w:r>
        <w:rPr>
          <w:rFonts w:hAnsi="宋体" w:cs="宋体"/>
          <w:b/>
          <w:kern w:val="0"/>
          <w:sz w:val="24"/>
          <w:szCs w:val="24"/>
        </w:rPr>
        <w:t>附件三</w:t>
      </w:r>
      <w:r>
        <w:rPr>
          <w:rFonts w:hAnsi="宋体" w:cs="宋体"/>
          <w:kern w:val="0"/>
          <w:sz w:val="24"/>
          <w:szCs w:val="24"/>
        </w:rPr>
        <w:t>。</w:t>
      </w:r>
    </w:p>
    <w:p w14:paraId="481956A6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default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7</w:t>
      </w:r>
      <w: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hAnsi="宋体" w:cs="宋体"/>
          <w:color w:val="000000"/>
          <w:sz w:val="24"/>
          <w:szCs w:val="24"/>
        </w:rPr>
        <w:t>对车载终端进行软硬件升级，更换无法使用的车载终端设备，并优化调度流程和音视频传输和存储，以及SIM卡更换和续费，保证车载终端的使用。</w:t>
      </w:r>
    </w:p>
    <w:p w14:paraId="37158814">
      <w:pPr>
        <w:autoSpaceDE w:val="0"/>
        <w:autoSpaceDN w:val="0"/>
        <w:adjustRightInd w:val="0"/>
        <w:snapToGrid w:val="0"/>
        <w:spacing w:line="360" w:lineRule="auto"/>
        <w:rPr>
          <w:rFonts w:hint="default" w:ascii="宋体" w:hAnsi="宋体" w:cs="宋体"/>
          <w:b/>
          <w:sz w:val="24"/>
          <w:szCs w:val="24"/>
          <w:lang w:val="zh-CN"/>
        </w:rPr>
      </w:pPr>
      <w:r>
        <w:rPr>
          <w:rFonts w:ascii="宋体" w:hAnsi="宋体" w:cs="宋体"/>
          <w:b/>
          <w:sz w:val="24"/>
          <w:szCs w:val="24"/>
          <w:lang w:val="zh-CN"/>
        </w:rPr>
        <w:t>6、服务考核</w:t>
      </w:r>
    </w:p>
    <w:p w14:paraId="2E5773FB">
      <w:pPr>
        <w:spacing w:line="360" w:lineRule="auto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按照以下要求进行服务考核：</w:t>
      </w:r>
    </w:p>
    <w:tbl>
      <w:tblPr>
        <w:tblStyle w:val="4"/>
        <w:tblW w:w="82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411"/>
        <w:gridCol w:w="1779"/>
      </w:tblGrid>
      <w:tr w14:paraId="54AA6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74A6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故障级别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C8EB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响应时间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F94B4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故障解决时间</w:t>
            </w:r>
          </w:p>
        </w:tc>
      </w:tr>
      <w:tr w14:paraId="38E35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4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BACF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I级：属于紧急问题；其具体现象为：系统崩溃导致业务停止、数据丢失。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3DE1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立即响应，2小时内提交故障处理方案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6F26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24小时以内</w:t>
            </w:r>
          </w:p>
        </w:tc>
      </w:tr>
      <w:tr w14:paraId="08BF3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4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CE2FA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II级：属于严重问题；其具体现象为：出现部分部件失效、系统性能下降但能正常运行，不影响正常业务运作。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F4868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立即响应，2小时内提交故障处理方案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2397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48小时以内</w:t>
            </w:r>
          </w:p>
        </w:tc>
      </w:tr>
      <w:tr w14:paraId="2D74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456C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III级：属于较严重问题；其具体现象为：出现系统报错或警告，但业务系统能继续运行且性能不受影响。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9D73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立即响应，4小时内提交故障处理方案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C015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48小时以内</w:t>
            </w:r>
          </w:p>
        </w:tc>
      </w:tr>
      <w:tr w14:paraId="68825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1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7668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IV级：属于普通问题；其具体现象为：系统技术功能、安装或配置咨询，或其他显然不影响业务的预约服务。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5754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30分钟内响应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0B38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72小时以内</w:t>
            </w:r>
          </w:p>
        </w:tc>
      </w:tr>
    </w:tbl>
    <w:p w14:paraId="01503310">
      <w:pPr>
        <w:spacing w:before="312" w:beforeLines="100"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中标方考核满分为100分，当出现I级、II级故障时，未按照上述时限要求的响应或解决故障的每出现一次扣2分；当出现III级、IV级故障时，未按照上述时限要求的响应或解决故障的每出现一次扣1分。</w:t>
      </w:r>
    </w:p>
    <w:p w14:paraId="06D0E64D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服务期满进行服务考核，高于90分可考虑续签；70至90分之间不考虑续签；低于70分，予以经济处罚。</w:t>
      </w:r>
    </w:p>
    <w:p w14:paraId="44D586DE">
      <w:pPr>
        <w:autoSpaceDE w:val="0"/>
        <w:autoSpaceDN w:val="0"/>
        <w:adjustRightInd w:val="0"/>
        <w:snapToGrid w:val="0"/>
        <w:spacing w:line="360" w:lineRule="auto"/>
        <w:rPr>
          <w:rFonts w:hint="default" w:ascii="宋体" w:hAnsi="宋体" w:cs="宋体"/>
          <w:b/>
          <w:sz w:val="24"/>
          <w:szCs w:val="24"/>
          <w:lang w:val="zh-CN"/>
        </w:rPr>
      </w:pPr>
      <w:r>
        <w:rPr>
          <w:rFonts w:ascii="宋体" w:hAnsi="宋体" w:cs="宋体"/>
          <w:b/>
          <w:sz w:val="24"/>
          <w:szCs w:val="24"/>
          <w:lang w:val="zh-CN"/>
        </w:rPr>
        <w:t>7、</w:t>
      </w:r>
      <w:r>
        <w:rPr>
          <w:rFonts w:hint="eastAsia" w:ascii="宋体" w:hAnsi="宋体" w:cs="宋体"/>
          <w:b/>
          <w:sz w:val="24"/>
          <w:szCs w:val="24"/>
          <w:lang w:val="zh-CN"/>
        </w:rPr>
        <w:t>采购项目商务主要条款及具体要求</w:t>
      </w:r>
    </w:p>
    <w:p w14:paraId="3AEEE601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本项目应遵照ITSS、ISO27001、I</w:t>
      </w:r>
      <w:r>
        <w:rPr>
          <w:rFonts w:hint="default" w:ascii="宋体" w:hAnsi="宋体" w:cs="宋体"/>
          <w:sz w:val="24"/>
          <w:szCs w:val="24"/>
        </w:rPr>
        <w:t>SO20000</w:t>
      </w:r>
      <w:r>
        <w:rPr>
          <w:rFonts w:ascii="宋体" w:hAnsi="宋体" w:cs="宋体"/>
          <w:sz w:val="24"/>
          <w:szCs w:val="24"/>
        </w:rPr>
        <w:t>等标准，按照运维方案要求，开展运维服务工作。</w:t>
      </w:r>
    </w:p>
    <w:p w14:paraId="616A2CFB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bookmarkStart w:id="0" w:name="_Toc239492900"/>
      <w:bookmarkEnd w:id="0"/>
      <w:bookmarkStart w:id="1" w:name="_Toc232781455"/>
      <w:bookmarkEnd w:id="1"/>
      <w:bookmarkStart w:id="2" w:name="_Toc235530026"/>
      <w:bookmarkEnd w:id="2"/>
      <w:r>
        <w:rPr>
          <w:rFonts w:ascii="宋体" w:hAnsi="宋体" w:cs="宋体"/>
          <w:sz w:val="24"/>
          <w:szCs w:val="24"/>
        </w:rPr>
        <w:t>1、项目组织</w:t>
      </w:r>
    </w:p>
    <w:p w14:paraId="4D1943ED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双方委派指定人员分别组成项目组。其中，中标方委派人员应当与本项目的实施要求相适应，并符合本项目招标文件有关人员的能力要求，以及中标方在投标文件中对各岗位的人员安排。</w:t>
      </w:r>
    </w:p>
    <w:p w14:paraId="033638FF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bookmarkStart w:id="3" w:name="_Toc232781456"/>
      <w:bookmarkEnd w:id="3"/>
      <w:bookmarkStart w:id="4" w:name="_Toc239492901"/>
      <w:bookmarkEnd w:id="4"/>
      <w:bookmarkStart w:id="5" w:name="_Toc235530027"/>
      <w:bookmarkEnd w:id="5"/>
      <w:r>
        <w:rPr>
          <w:rFonts w:ascii="宋体" w:hAnsi="宋体" w:cs="宋体"/>
          <w:sz w:val="24"/>
          <w:szCs w:val="24"/>
        </w:rPr>
        <w:t>2、信息与资料提供</w:t>
      </w:r>
    </w:p>
    <w:p w14:paraId="77AD30B1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（1）中标方指导协助招标方建立相应的基础数据档案，帮助建立相关文档资料。</w:t>
      </w:r>
    </w:p>
    <w:p w14:paraId="44B3D0D7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（2）中标方积极配合招标方组织的项目验收活动，提供符合规范的项目文档。</w:t>
      </w:r>
    </w:p>
    <w:p w14:paraId="31453D41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bookmarkStart w:id="6" w:name="_Toc239492903"/>
      <w:bookmarkEnd w:id="6"/>
      <w:bookmarkStart w:id="7" w:name="_Toc232781458"/>
      <w:bookmarkEnd w:id="7"/>
      <w:bookmarkStart w:id="8" w:name="_Toc235530028"/>
      <w:bookmarkEnd w:id="8"/>
      <w:bookmarkStart w:id="9" w:name="_Toc232781457"/>
      <w:bookmarkEnd w:id="9"/>
      <w:bookmarkStart w:id="10" w:name="_Toc235530029"/>
      <w:bookmarkEnd w:id="10"/>
      <w:bookmarkStart w:id="11" w:name="_Toc239492902"/>
      <w:bookmarkEnd w:id="11"/>
      <w:r>
        <w:rPr>
          <w:rFonts w:ascii="宋体" w:hAnsi="宋体" w:cs="宋体"/>
          <w:sz w:val="24"/>
          <w:szCs w:val="24"/>
        </w:rPr>
        <w:t>3、运维服务报告</w:t>
      </w:r>
    </w:p>
    <w:p w14:paraId="7B4864A6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中标方应当按照以下方式向招标方提交书面服务报告：</w:t>
      </w:r>
    </w:p>
    <w:p w14:paraId="3E64F2A5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于每月结束后5个工作日内提交服务报告，运维服务报告的内容包括：设备巡检记录、故障处理报告、设备维修更换报告等。</w:t>
      </w:r>
    </w:p>
    <w:p w14:paraId="2F2FBE9F">
      <w:pPr>
        <w:spacing w:after="156" w:afterLines="50" w:line="360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软件系统每季度进行一次全面检查并出具报告，硬件设备每半年进行一次全面检查并出具报告。</w:t>
      </w:r>
    </w:p>
    <w:p w14:paraId="4BD33BE3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default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4</w:t>
      </w:r>
      <w: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hAnsi="宋体" w:cs="宋体"/>
          <w:color w:val="000000"/>
          <w:sz w:val="24"/>
          <w:szCs w:val="24"/>
        </w:rPr>
        <w:t>提供不少于</w:t>
      </w:r>
      <w:r>
        <w:rPr>
          <w:rFonts w:hint="default" w:hAnsi="宋体" w:cs="宋体"/>
          <w:color w:val="000000"/>
          <w:sz w:val="24"/>
          <w:szCs w:val="24"/>
        </w:rPr>
        <w:t>3</w:t>
      </w:r>
      <w:r>
        <w:rPr>
          <w:rFonts w:hAnsi="宋体" w:cs="宋体"/>
          <w:color w:val="000000"/>
          <w:sz w:val="24"/>
          <w:szCs w:val="24"/>
        </w:rPr>
        <w:t>人运维工程师现场运维服务，其中2人在延安市急救指挥中心驻场服务，另外1人在北斗云中心驻场服务。运维人员知识技能需满足系统稳定运行要求。</w:t>
      </w:r>
    </w:p>
    <w:p w14:paraId="4B7A36CD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default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hAnsi="宋体" w:cs="宋体"/>
          <w:color w:val="000000"/>
          <w:sz w:val="24"/>
          <w:szCs w:val="24"/>
        </w:rPr>
        <w:t>出现安全事件时，中标方应第一时间处理，必要时配合公安机关取证。</w:t>
      </w:r>
    </w:p>
    <w:p w14:paraId="49C6A346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eastAsia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2"/>
          <w:sz w:val="22"/>
          <w:szCs w:val="22"/>
          <w:lang w:val="en-US" w:eastAsia="zh-CN" w:bidi="ar-SA"/>
        </w:rPr>
        <w:t>6</w:t>
      </w:r>
      <w:r>
        <w:rPr>
          <w:rFonts w:hint="default" w:ascii="宋体" w:hAnsi="宋体" w:cs="宋体"/>
          <w:kern w:val="2"/>
          <w:sz w:val="22"/>
          <w:szCs w:val="22"/>
          <w:lang w:val="en-US" w:eastAsia="zh-CN" w:bidi="ar-SA"/>
        </w:rPr>
        <w:t>、</w:t>
      </w:r>
      <w:r>
        <w:rPr>
          <w:rFonts w:hAnsi="宋体" w:cs="宋体"/>
          <w:sz w:val="24"/>
          <w:szCs w:val="24"/>
        </w:rPr>
        <w:t>中标方应采取措施，对招标方的所有相关数据保密，不得外泄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472CB9C6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Ansi="宋体" w:cs="宋体"/>
          <w:sz w:val="24"/>
          <w:szCs w:val="24"/>
        </w:rPr>
      </w:pPr>
    </w:p>
    <w:p w14:paraId="722A5367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Ansi="宋体" w:cs="宋体"/>
          <w:sz w:val="24"/>
          <w:szCs w:val="24"/>
        </w:rPr>
      </w:pPr>
    </w:p>
    <w:p w14:paraId="2313DF7D">
      <w:pPr>
        <w:pStyle w:val="3"/>
        <w:numPr>
          <w:ilvl w:val="0"/>
          <w:numId w:val="0"/>
        </w:numPr>
        <w:snapToGrid w:val="0"/>
        <w:spacing w:after="156" w:afterLines="50" w:line="360" w:lineRule="auto"/>
        <w:ind w:left="0" w:leftChars="0" w:firstLine="200" w:firstLineChars="0"/>
        <w:rPr>
          <w:rFonts w:hint="defaul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附件一</w:t>
      </w:r>
      <w:bookmarkStart w:id="12" w:name="_Toc458086215"/>
      <w:bookmarkStart w:id="13" w:name="_Toc458085811"/>
      <w:r>
        <w:rPr>
          <w:b/>
          <w:bCs/>
          <w:sz w:val="28"/>
          <w:szCs w:val="28"/>
        </w:rPr>
        <w:t xml:space="preserve"> 硬件系统清单</w:t>
      </w:r>
    </w:p>
    <w:bookmarkEnd w:id="12"/>
    <w:bookmarkEnd w:id="13"/>
    <w:tbl>
      <w:tblPr>
        <w:tblStyle w:val="4"/>
        <w:tblW w:w="92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275"/>
        <w:gridCol w:w="3402"/>
        <w:gridCol w:w="851"/>
        <w:gridCol w:w="879"/>
      </w:tblGrid>
      <w:tr w14:paraId="50AE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72EF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47C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1DD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CDA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850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309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7373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95F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78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电话录音系统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0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63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SOC19008进8出500G硬盘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B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DE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14:paraId="673CB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3D2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61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电话会议系统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E7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好会通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E1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HHT-HC-B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7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C8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EAD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54F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B5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高清数字投影机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A0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NEC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AF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PA651X+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01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A7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7699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7F8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11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投影升降幕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1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红叶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42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150寸4:3白塑电动幕布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0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2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D48D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14F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0B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UPS电源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11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艾特网能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D7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昆仑UE-0300KVA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62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C6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E0A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533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F9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机房精密空调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DD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艾特网能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C1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CS020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0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8C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A2A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703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5C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配电柜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95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艾特网能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1C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壁挂式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D5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54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57A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887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C4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七氟丙烷灭火装置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D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赛福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B7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120L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A7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A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ABF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192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92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点型光电感烟火灾探测器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80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海湾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B5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JTY-GD-G3T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D3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FB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795F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ACE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C2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点型感温火灾探测器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1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海湾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73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JTW-ZCD-G3N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D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9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23995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A09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2A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气体灭火控制系统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56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海湾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E8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GST-QKP04含联网卡、报警器、按钮等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4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0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CCB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67E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16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机房门禁系统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2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PROIS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07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单门门禁系统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6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8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0C1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CCB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E6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机房视频监控系统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A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ED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8路硬盘录像机和3台半球摄像机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2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CE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672B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11B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E1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急救站大屏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5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2F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65英寸LED平板电视带挂装支架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4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4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14:paraId="78C7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EAD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BE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急救站的工作站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FB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1A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ThinkStationP300SFF小机箱工作站(i7-4790/8G/1T/刻录光驱)，21.5寸液晶显示器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59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A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14:paraId="7E13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BD35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816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北斗车载终端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42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3FFB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54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3B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14:paraId="1DAD5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6D9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B9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视频传输终端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85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DE54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F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F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14:paraId="7FE8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12D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89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火灾报警控制系统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9A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海湾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37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指挥大厅消防报警系统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95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6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ADAF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E61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1D0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调度客户端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88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4B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ThinkStationP300SFF小机箱工作站(i7-4790/8G/1T/刻录光驱)，21.5寸液晶显示器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B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C2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14:paraId="4F4AA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1EE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88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接入交换机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0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中兴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69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5250-28TC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29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9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33886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D18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19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北斗指挥机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8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北京星桥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80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SN2Z13FC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29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8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BC7E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20A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34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柜式空调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2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8E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海尔（Haier）5匹柜机适用46-70㎡含人工费6年包修380V商用中央空调二级能效KFRd-120L/BAC12乳白色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57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2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452AB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47D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460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服务器交换机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6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中兴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27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5928E，双电源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92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2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18D1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063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43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存储服务器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7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曙光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7C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DS600-G20，3U16盘位设计，2个存储控制器，32GBCache，8个1GbISCSI主机接口+8个8GbFC主机接口，25块4TB3.5吋6GbSATA企业级热插拔SAS硬盘，128个用户授权许可，冗余电源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89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D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95D3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C40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03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互联网接入第二代防火墙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5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迪普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A8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FW1000-GE-N，标准2U机架设备,标配8个千兆电口，2个千兆光口，并含2个高速USB2.0接口，1个RJ45串口；整机吞吐量14Gbps，并发连接数1800000；标配冗余电源；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D1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7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C91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DBF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11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视频服务器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59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曙光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A3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I620-G20，2U机架式服务器；2颗XeonE5-2609v3主频：1.9G处理器：6核，共计12个物理计算核心；2*16GBECCDDR42133内存；2块300GB10K2.5寸SAS热插拔硬盘；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49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2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B7A2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A9D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57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接入交换机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2F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中兴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C7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5250-28TC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A9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8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CEBB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34E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A6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UAP3300排队机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A6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9F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UAP3300通用接入平台交流一体化机框组件(含电源，双主控板，媒体资源子系统，4E1数字中继);15坐席用户端口许可;UAP3300通用接入平台交流一体化机框组件(含电源)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B8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07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7B21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384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0E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eSpaceIAD综合接入设备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60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DC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综合接入设备主机(16口,含电源模块、16路用户电缆2根);综合接入设备主机(16口,含电源模块）硬件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A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A3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7D0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7B0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3B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呼叫中心专用耳麦话机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88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国产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71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A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CD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14:paraId="5B670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C02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68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路由平台服务器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81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曙光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AA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型号：I620-G20，2U机架式服务器；2颗XeonE5-2609v3；2*8GBECCDDR42133内存；2块300GB10K2.5寸SAS热插拔硬盘；配置6口千兆网卡；冗余热插拔高效能服务器专用电源；超薄DVD-RW光驱；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52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D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B029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1C1A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2D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数据库服务器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6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曙光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D3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型号：I620-G20，2U机架式服务器；2颗XeonE5-2609v3处理器；2*8GBECCDDR42133内存；8块300GB10K2.5寸SAS热插拔硬盘；配置6口千兆网卡；冗余热插拔高效能服务器专用电源；超薄DVD-RW光驱；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64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19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1F12A462">
      <w:pPr>
        <w:pStyle w:val="2"/>
        <w:spacing w:line="240" w:lineRule="auto"/>
        <w:rPr>
          <w:rFonts w:hint="default" w:ascii="宋体" w:hAnsi="宋体" w:cs="宋体"/>
          <w:sz w:val="28"/>
          <w:szCs w:val="24"/>
        </w:rPr>
      </w:pPr>
      <w:r>
        <w:rPr>
          <w:rFonts w:ascii="宋体" w:hAnsi="宋体" w:cs="宋体"/>
          <w:sz w:val="28"/>
          <w:szCs w:val="24"/>
        </w:rPr>
        <w:t>附件二 软件系统清单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880"/>
        <w:gridCol w:w="1263"/>
        <w:gridCol w:w="888"/>
        <w:gridCol w:w="886"/>
      </w:tblGrid>
      <w:tr w14:paraId="3A6E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 w:val="0"/>
            <w:vAlign w:val="top"/>
          </w:tcPr>
          <w:p w14:paraId="1A8D457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63" w:type="pct"/>
            <w:noWrap w:val="0"/>
            <w:vAlign w:val="center"/>
          </w:tcPr>
          <w:p w14:paraId="5A52D00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41" w:type="pct"/>
            <w:noWrap w:val="0"/>
            <w:vAlign w:val="top"/>
          </w:tcPr>
          <w:p w14:paraId="0A2076C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521" w:type="pct"/>
            <w:noWrap w:val="0"/>
            <w:vAlign w:val="center"/>
          </w:tcPr>
          <w:p w14:paraId="7FF04B2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20" w:type="pct"/>
            <w:noWrap w:val="0"/>
            <w:vAlign w:val="center"/>
          </w:tcPr>
          <w:p w14:paraId="04231A0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4B50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 w:val="0"/>
            <w:vAlign w:val="top"/>
          </w:tcPr>
          <w:p w14:paraId="14C39A07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63" w:type="pct"/>
            <w:noWrap w:val="0"/>
            <w:vAlign w:val="top"/>
          </w:tcPr>
          <w:p w14:paraId="7B4C954D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基于北斗的120市级指挥系统</w:t>
            </w:r>
          </w:p>
        </w:tc>
        <w:tc>
          <w:tcPr>
            <w:tcW w:w="741" w:type="pct"/>
            <w:noWrap w:val="0"/>
            <w:vAlign w:val="top"/>
          </w:tcPr>
          <w:p w14:paraId="4BA0D18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北斗金控</w:t>
            </w:r>
          </w:p>
        </w:tc>
        <w:tc>
          <w:tcPr>
            <w:tcW w:w="521" w:type="pct"/>
            <w:noWrap w:val="0"/>
            <w:vAlign w:val="top"/>
          </w:tcPr>
          <w:p w14:paraId="0D71A1F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20" w:type="pct"/>
            <w:noWrap w:val="0"/>
            <w:vAlign w:val="top"/>
          </w:tcPr>
          <w:p w14:paraId="3ED8536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218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355" w:type="pct"/>
            <w:noWrap w:val="0"/>
            <w:vAlign w:val="top"/>
          </w:tcPr>
          <w:p w14:paraId="183A5BAF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3" w:type="pct"/>
            <w:noWrap w:val="0"/>
            <w:vAlign w:val="top"/>
          </w:tcPr>
          <w:p w14:paraId="29A18707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基于北斗的120急救站管理系统</w:t>
            </w:r>
          </w:p>
        </w:tc>
        <w:tc>
          <w:tcPr>
            <w:tcW w:w="741" w:type="pct"/>
            <w:noWrap w:val="0"/>
            <w:vAlign w:val="top"/>
          </w:tcPr>
          <w:p w14:paraId="42709B8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北斗金控</w:t>
            </w:r>
          </w:p>
        </w:tc>
        <w:tc>
          <w:tcPr>
            <w:tcW w:w="521" w:type="pct"/>
            <w:noWrap w:val="0"/>
            <w:vAlign w:val="top"/>
          </w:tcPr>
          <w:p w14:paraId="53C9520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20" w:type="pct"/>
            <w:noWrap w:val="0"/>
            <w:vAlign w:val="top"/>
          </w:tcPr>
          <w:p w14:paraId="23854DA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09A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 w:val="0"/>
            <w:vAlign w:val="top"/>
          </w:tcPr>
          <w:p w14:paraId="69F752FA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63" w:type="pct"/>
            <w:noWrap w:val="0"/>
            <w:vAlign w:val="top"/>
          </w:tcPr>
          <w:p w14:paraId="1A785D2F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基于北斗的120急救指挥车载终端软件</w:t>
            </w:r>
          </w:p>
        </w:tc>
        <w:tc>
          <w:tcPr>
            <w:tcW w:w="741" w:type="pct"/>
            <w:noWrap w:val="0"/>
            <w:vAlign w:val="top"/>
          </w:tcPr>
          <w:p w14:paraId="61C3949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北斗金控</w:t>
            </w:r>
          </w:p>
        </w:tc>
        <w:tc>
          <w:tcPr>
            <w:tcW w:w="521" w:type="pct"/>
            <w:noWrap w:val="0"/>
            <w:vAlign w:val="top"/>
          </w:tcPr>
          <w:p w14:paraId="756234A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20" w:type="pct"/>
            <w:noWrap w:val="0"/>
            <w:vAlign w:val="top"/>
          </w:tcPr>
          <w:p w14:paraId="3AD831D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23E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" w:type="pct"/>
            <w:noWrap w:val="0"/>
            <w:vAlign w:val="top"/>
          </w:tcPr>
          <w:p w14:paraId="5CF18086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63" w:type="pct"/>
            <w:noWrap w:val="0"/>
            <w:vAlign w:val="center"/>
          </w:tcPr>
          <w:p w14:paraId="294958EA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呼叫中心软件</w:t>
            </w:r>
          </w:p>
        </w:tc>
        <w:tc>
          <w:tcPr>
            <w:tcW w:w="741" w:type="pct"/>
            <w:noWrap w:val="0"/>
            <w:vAlign w:val="top"/>
          </w:tcPr>
          <w:p w14:paraId="7C72AD53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华为</w:t>
            </w:r>
          </w:p>
        </w:tc>
        <w:tc>
          <w:tcPr>
            <w:tcW w:w="521" w:type="pct"/>
            <w:noWrap w:val="0"/>
            <w:vAlign w:val="center"/>
          </w:tcPr>
          <w:p w14:paraId="1DD5A8AB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520" w:type="pct"/>
            <w:noWrap w:val="0"/>
            <w:vAlign w:val="center"/>
          </w:tcPr>
          <w:p w14:paraId="7C7B6263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16506251">
      <w:pPr>
        <w:pStyle w:val="2"/>
        <w:spacing w:line="240" w:lineRule="auto"/>
        <w:rPr>
          <w:rFonts w:hint="default" w:ascii="宋体" w:hAnsi="宋体" w:cs="宋体"/>
          <w:sz w:val="28"/>
          <w:szCs w:val="24"/>
        </w:rPr>
      </w:pPr>
      <w:r>
        <w:rPr>
          <w:rFonts w:ascii="宋体" w:hAnsi="宋体" w:cs="宋体"/>
          <w:sz w:val="28"/>
          <w:szCs w:val="24"/>
        </w:rPr>
        <w:t>附件三 云环境资源清单</w:t>
      </w:r>
    </w:p>
    <w:tbl>
      <w:tblPr>
        <w:tblStyle w:val="4"/>
        <w:tblW w:w="88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11"/>
        <w:gridCol w:w="3870"/>
        <w:gridCol w:w="1597"/>
        <w:gridCol w:w="720"/>
      </w:tblGrid>
      <w:tr w14:paraId="143AA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81DE0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89F0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资源名称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AC0F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B900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3930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2EA8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16885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72EA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应用服务器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D020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8核CPU，16GB内存，200GB硬盘。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C25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1CA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5B29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37109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4EE7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数据库服务器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E36F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16核CPU，64GB内存，1TB硬盘。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603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7CF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09CB2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81F4A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F59E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车辆管理服务器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E462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4核CPU，8GB内存，500GB硬盘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7FE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93C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4C605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8CEB9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45CE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车辆管理MongoDB数据库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76D1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4核CPU，8GB内存，500GB硬盘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A00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E17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14:paraId="5CD0B1B7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D5218"/>
    <w:rsid w:val="1B214753"/>
    <w:rsid w:val="1E5D3CF4"/>
    <w:rsid w:val="210A1322"/>
    <w:rsid w:val="24D46CDA"/>
    <w:rsid w:val="2ED04A42"/>
    <w:rsid w:val="345D63A4"/>
    <w:rsid w:val="60C03693"/>
    <w:rsid w:val="65420B1A"/>
    <w:rsid w:val="67A94E81"/>
    <w:rsid w:val="7055204A"/>
    <w:rsid w:val="715C7408"/>
    <w:rsid w:val="757D6CA6"/>
    <w:rsid w:val="7BD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left"/>
      <w:outlineLvl w:val="1"/>
    </w:pPr>
    <w:rPr>
      <w:rFonts w:hint="eastAsia" w:ascii="Cambria" w:hAnsi="Cambria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beforeLines="0" w:afterLines="0"/>
    </w:pPr>
    <w:rPr>
      <w:rFonts w:hint="eastAsia" w:ascii="宋体" w:hAnsi="Courier New"/>
      <w:sz w:val="21"/>
    </w:rPr>
  </w:style>
  <w:style w:type="paragraph" w:customStyle="1" w:styleId="6">
    <w:name w:val="op_mapdots_left"/>
    <w:basedOn w:val="1"/>
    <w:qFormat/>
    <w:uiPriority w:val="0"/>
    <w:pPr>
      <w:widowControl/>
      <w:jc w:val="left"/>
    </w:pPr>
    <w:rPr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2488</Words>
  <Characters>2565</Characters>
  <Lines>0</Lines>
  <Paragraphs>0</Paragraphs>
  <TotalTime>0</TotalTime>
  <ScaleCrop>false</ScaleCrop>
  <LinksUpToDate>false</LinksUpToDate>
  <CharactersWithSpaces>2566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2025-10-24T06:16:00Z</dcterms:created>
  <dc:creator>admin</dc:creator>
  <cp:lastModifiedBy>admin</cp:lastModifiedBy>
  <dcterms:modified xsi:type="dcterms:W3CDTF">2025-10-31T08:02:59Z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eyJoZGlkIjoiNDFiZmZmNDQyYzUxMzhiOWVkN2IzMDRmYThlNTRhNTAiLCJ1c2VySWQiOiI3ODAwNzU1NjEifQ==</vt:lpwstr>
  </property>
  <property fmtid="{D5CDD505-2E9C-101B-9397-08002B2CF9AE}" pid="4" name="ICV">
    <vt:lpwstr>6A91143D94484680B7ECABCD36D819C5_12</vt:lpwstr>
  </property>
</Properties>
</file>