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6AA4D">
      <w:pPr>
        <w:spacing w:line="420" w:lineRule="auto"/>
        <w:jc w:val="left"/>
        <w:outlineLvl w:val="9"/>
        <w:rPr>
          <w:rFonts w:hint="default" w:ascii="宋体" w:hAnsi="宋体" w:cs="宋体"/>
          <w:b/>
          <w:color w:val="auto"/>
          <w:sz w:val="28"/>
          <w:szCs w:val="28"/>
          <w:lang w:val="en-US" w:eastAsia="zh-CN"/>
        </w:rPr>
      </w:pPr>
      <w:bookmarkStart w:id="0" w:name="_Toc29787"/>
      <w:bookmarkStart w:id="1" w:name="_Toc15601"/>
      <w:r>
        <w:rPr>
          <w:rFonts w:hint="eastAsia" w:ascii="宋体" w:hAnsi="宋体" w:cs="宋体"/>
          <w:b/>
          <w:color w:val="auto"/>
          <w:sz w:val="28"/>
          <w:szCs w:val="28"/>
        </w:rPr>
        <w:t>采购项目编号：</w:t>
      </w:r>
      <w:bookmarkEnd w:id="0"/>
      <w:bookmarkEnd w:id="1"/>
      <w:r>
        <w:rPr>
          <w:rFonts w:hint="eastAsia" w:ascii="宋体" w:hAnsi="宋体" w:cs="宋体"/>
          <w:b/>
          <w:color w:val="auto"/>
          <w:sz w:val="28"/>
          <w:szCs w:val="28"/>
          <w:lang w:eastAsia="zh-CN"/>
        </w:rPr>
        <w:t>ZXJD2025036</w:t>
      </w:r>
    </w:p>
    <w:p w14:paraId="4A90D21E">
      <w:pPr>
        <w:pStyle w:val="11"/>
        <w:outlineLvl w:val="9"/>
        <w:rPr>
          <w:color w:val="auto"/>
          <w:sz w:val="8"/>
          <w:szCs w:val="11"/>
        </w:rPr>
      </w:pPr>
    </w:p>
    <w:p w14:paraId="2040AAA2">
      <w:pPr>
        <w:outlineLvl w:val="9"/>
        <w:rPr>
          <w:color w:val="auto"/>
        </w:rPr>
      </w:pPr>
    </w:p>
    <w:p w14:paraId="44C51E1D">
      <w:pPr>
        <w:spacing w:line="360" w:lineRule="auto"/>
        <w:jc w:val="center"/>
        <w:outlineLvl w:val="9"/>
        <w:rPr>
          <w:rFonts w:hint="eastAsia" w:ascii="宋体"/>
          <w:b/>
          <w:bCs/>
          <w:color w:val="auto"/>
          <w:sz w:val="44"/>
          <w:szCs w:val="44"/>
          <w:lang w:eastAsia="zh-CN"/>
        </w:rPr>
      </w:pPr>
    </w:p>
    <w:p w14:paraId="29CB6B4A">
      <w:pPr>
        <w:spacing w:line="360" w:lineRule="auto"/>
        <w:jc w:val="center"/>
        <w:outlineLvl w:val="9"/>
        <w:rPr>
          <w:rFonts w:ascii="宋体" w:hAnsi="宋体" w:cs="宋体"/>
          <w:b/>
          <w:color w:val="auto"/>
          <w:spacing w:val="26"/>
          <w:sz w:val="44"/>
          <w:szCs w:val="44"/>
        </w:rPr>
      </w:pPr>
      <w:r>
        <w:rPr>
          <w:rFonts w:hint="eastAsia" w:ascii="宋体"/>
          <w:b/>
          <w:bCs/>
          <w:color w:val="auto"/>
          <w:sz w:val="44"/>
          <w:szCs w:val="44"/>
          <w:lang w:eastAsia="zh-CN"/>
        </w:rPr>
        <w:t>子洲县第二中学维修改造项目</w:t>
      </w:r>
    </w:p>
    <w:p w14:paraId="50D80473">
      <w:pPr>
        <w:pStyle w:val="11"/>
        <w:outlineLvl w:val="9"/>
        <w:rPr>
          <w:rFonts w:ascii="宋体" w:hAnsi="宋体" w:cs="宋体"/>
          <w:b/>
          <w:color w:val="auto"/>
          <w:spacing w:val="26"/>
          <w:sz w:val="40"/>
          <w:szCs w:val="40"/>
        </w:rPr>
      </w:pPr>
    </w:p>
    <w:p w14:paraId="145F8C13">
      <w:pPr>
        <w:outlineLvl w:val="9"/>
        <w:rPr>
          <w:rFonts w:ascii="宋体" w:hAnsi="宋体" w:cs="宋体"/>
          <w:b/>
          <w:color w:val="auto"/>
          <w:spacing w:val="26"/>
          <w:sz w:val="44"/>
          <w:szCs w:val="44"/>
        </w:rPr>
      </w:pPr>
    </w:p>
    <w:p w14:paraId="76654300">
      <w:pPr>
        <w:pStyle w:val="11"/>
        <w:outlineLvl w:val="9"/>
        <w:rPr>
          <w:color w:val="auto"/>
        </w:rPr>
      </w:pPr>
    </w:p>
    <w:p w14:paraId="78045121">
      <w:pPr>
        <w:pStyle w:val="11"/>
        <w:outlineLvl w:val="9"/>
        <w:rPr>
          <w:color w:val="auto"/>
        </w:rPr>
      </w:pPr>
    </w:p>
    <w:p w14:paraId="7EC1DC16">
      <w:pPr>
        <w:outlineLvl w:val="9"/>
        <w:rPr>
          <w:color w:val="auto"/>
        </w:rPr>
      </w:pPr>
    </w:p>
    <w:p w14:paraId="199709B1">
      <w:pPr>
        <w:spacing w:line="360" w:lineRule="auto"/>
        <w:jc w:val="center"/>
        <w:outlineLvl w:val="9"/>
        <w:rPr>
          <w:rFonts w:ascii="宋体" w:hAnsi="宋体" w:cs="宋体"/>
          <w:b/>
          <w:color w:val="auto"/>
          <w:spacing w:val="26"/>
          <w:sz w:val="84"/>
          <w:szCs w:val="84"/>
        </w:rPr>
      </w:pPr>
      <w:r>
        <w:rPr>
          <w:rFonts w:hint="eastAsia" w:ascii="宋体" w:hAnsi="宋体" w:cs="宋体"/>
          <w:b/>
          <w:color w:val="auto"/>
          <w:spacing w:val="26"/>
          <w:sz w:val="84"/>
          <w:szCs w:val="84"/>
        </w:rPr>
        <w:t>竞争性磋商文件</w:t>
      </w:r>
    </w:p>
    <w:p w14:paraId="129EAD46">
      <w:pPr>
        <w:spacing w:line="360" w:lineRule="auto"/>
        <w:outlineLvl w:val="9"/>
        <w:rPr>
          <w:rFonts w:ascii="宋体" w:hAnsi="宋体" w:cs="宋体"/>
          <w:b/>
          <w:bCs/>
          <w:color w:val="auto"/>
          <w:spacing w:val="26"/>
          <w:sz w:val="36"/>
          <w:szCs w:val="36"/>
        </w:rPr>
      </w:pPr>
    </w:p>
    <w:p w14:paraId="5DC1AE02">
      <w:pPr>
        <w:pStyle w:val="11"/>
        <w:outlineLvl w:val="9"/>
        <w:rPr>
          <w:color w:val="auto"/>
        </w:rPr>
      </w:pPr>
    </w:p>
    <w:p w14:paraId="246C9376">
      <w:pPr>
        <w:pStyle w:val="11"/>
        <w:outlineLvl w:val="9"/>
        <w:rPr>
          <w:color w:val="auto"/>
        </w:rPr>
      </w:pPr>
    </w:p>
    <w:p w14:paraId="76E0E8E1">
      <w:pPr>
        <w:pStyle w:val="11"/>
        <w:outlineLvl w:val="9"/>
        <w:rPr>
          <w:color w:val="auto"/>
        </w:rPr>
      </w:pPr>
    </w:p>
    <w:p w14:paraId="30D9A5DA">
      <w:pPr>
        <w:outlineLvl w:val="9"/>
        <w:rPr>
          <w:color w:val="auto"/>
        </w:rPr>
      </w:pPr>
    </w:p>
    <w:p w14:paraId="643D7734">
      <w:pPr>
        <w:pStyle w:val="11"/>
        <w:outlineLvl w:val="9"/>
        <w:rPr>
          <w:color w:val="auto"/>
        </w:rPr>
      </w:pPr>
    </w:p>
    <w:p w14:paraId="1A5570C9">
      <w:pPr>
        <w:pStyle w:val="11"/>
        <w:outlineLvl w:val="9"/>
        <w:rPr>
          <w:color w:val="auto"/>
        </w:rPr>
      </w:pPr>
    </w:p>
    <w:p w14:paraId="2873BCC1">
      <w:pPr>
        <w:pStyle w:val="11"/>
        <w:outlineLvl w:val="9"/>
        <w:rPr>
          <w:color w:val="auto"/>
          <w:sz w:val="4"/>
          <w:szCs w:val="8"/>
        </w:rPr>
      </w:pPr>
    </w:p>
    <w:p w14:paraId="4D6D860A">
      <w:pPr>
        <w:snapToGrid w:val="0"/>
        <w:spacing w:line="600" w:lineRule="auto"/>
        <w:jc w:val="both"/>
        <w:outlineLvl w:val="9"/>
        <w:rPr>
          <w:rFonts w:hint="eastAsia" w:ascii="宋体" w:hAnsi="宋体" w:cs="宋体"/>
          <w:b/>
          <w:color w:val="auto"/>
          <w:sz w:val="32"/>
          <w:szCs w:val="32"/>
          <w:lang w:eastAsia="zh-CN"/>
        </w:rPr>
      </w:pPr>
      <w:bookmarkStart w:id="2" w:name="_Toc20748"/>
      <w:bookmarkStart w:id="3" w:name="_Toc23994"/>
      <w:r>
        <w:rPr>
          <w:rFonts w:hint="eastAsia" w:ascii="宋体" w:hAnsi="宋体" w:cs="宋体"/>
          <w:b/>
          <w:color w:val="auto"/>
          <w:spacing w:val="26"/>
          <w:sz w:val="32"/>
          <w:szCs w:val="32"/>
          <w:lang w:val="en-US" w:eastAsia="zh-CN"/>
        </w:rPr>
        <w:t>采购人</w:t>
      </w:r>
      <w:r>
        <w:rPr>
          <w:rFonts w:hint="eastAsia" w:ascii="宋体" w:hAnsi="宋体" w:cs="宋体"/>
          <w:b/>
          <w:color w:val="auto"/>
          <w:spacing w:val="26"/>
          <w:sz w:val="32"/>
          <w:szCs w:val="32"/>
        </w:rPr>
        <w:t>：</w:t>
      </w:r>
      <w:bookmarkEnd w:id="2"/>
      <w:bookmarkEnd w:id="3"/>
      <w:bookmarkStart w:id="4" w:name="_Toc6114"/>
      <w:bookmarkStart w:id="5" w:name="_Toc19248"/>
      <w:r>
        <w:rPr>
          <w:rFonts w:hint="eastAsia" w:ascii="宋体" w:hAnsi="宋体" w:cs="宋体"/>
          <w:b/>
          <w:color w:val="auto"/>
          <w:sz w:val="32"/>
          <w:szCs w:val="32"/>
          <w:lang w:eastAsia="zh-CN"/>
        </w:rPr>
        <w:t>子洲县第二中学</w:t>
      </w:r>
    </w:p>
    <w:p w14:paraId="272E30AE">
      <w:pPr>
        <w:snapToGrid w:val="0"/>
        <w:spacing w:line="600" w:lineRule="auto"/>
        <w:jc w:val="both"/>
        <w:outlineLvl w:val="9"/>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采购代理机构</w:t>
      </w:r>
      <w:r>
        <w:rPr>
          <w:rFonts w:hint="eastAsia" w:ascii="宋体" w:hAnsi="宋体" w:cs="宋体"/>
          <w:b/>
          <w:color w:val="auto"/>
          <w:sz w:val="32"/>
          <w:szCs w:val="32"/>
        </w:rPr>
        <w:t>：</w:t>
      </w:r>
      <w:bookmarkEnd w:id="4"/>
      <w:bookmarkEnd w:id="5"/>
      <w:r>
        <w:rPr>
          <w:rFonts w:hint="eastAsia" w:ascii="宋体" w:hAnsi="宋体" w:cs="宋体"/>
          <w:b/>
          <w:color w:val="auto"/>
          <w:sz w:val="32"/>
          <w:szCs w:val="32"/>
          <w:lang w:eastAsia="zh-CN"/>
        </w:rPr>
        <w:t>陕西众信玖鼎项目管理有限责任公司</w:t>
      </w:r>
    </w:p>
    <w:p w14:paraId="3D6DC43E">
      <w:pPr>
        <w:spacing w:line="720" w:lineRule="auto"/>
        <w:jc w:val="center"/>
        <w:outlineLvl w:val="9"/>
        <w:rPr>
          <w:rFonts w:ascii="宋体" w:hAnsi="宋体" w:cs="宋体"/>
          <w:bCs/>
          <w:color w:val="auto"/>
          <w:spacing w:val="26"/>
          <w:sz w:val="28"/>
          <w:szCs w:val="28"/>
        </w:rPr>
      </w:pPr>
      <w:r>
        <w:rPr>
          <w:rFonts w:hint="eastAsia" w:ascii="宋体" w:hAnsi="宋体" w:cs="宋体"/>
          <w:b/>
          <w:color w:val="auto"/>
          <w:spacing w:val="26"/>
          <w:sz w:val="32"/>
          <w:szCs w:val="32"/>
        </w:rPr>
        <w:t>二零二</w:t>
      </w:r>
      <w:r>
        <w:rPr>
          <w:rFonts w:hint="eastAsia" w:ascii="宋体" w:hAnsi="宋体" w:cs="宋体"/>
          <w:b/>
          <w:color w:val="auto"/>
          <w:spacing w:val="26"/>
          <w:sz w:val="32"/>
          <w:szCs w:val="32"/>
          <w:lang w:val="en-US" w:eastAsia="zh-CN"/>
        </w:rPr>
        <w:t>五</w:t>
      </w:r>
      <w:r>
        <w:rPr>
          <w:rFonts w:hint="eastAsia" w:ascii="宋体" w:hAnsi="宋体" w:cs="宋体"/>
          <w:b/>
          <w:color w:val="auto"/>
          <w:spacing w:val="26"/>
          <w:sz w:val="32"/>
          <w:szCs w:val="32"/>
        </w:rPr>
        <w:t>年</w:t>
      </w:r>
      <w:r>
        <w:rPr>
          <w:rFonts w:hint="eastAsia" w:ascii="宋体" w:hAnsi="宋体" w:cs="宋体"/>
          <w:b/>
          <w:color w:val="auto"/>
          <w:spacing w:val="26"/>
          <w:sz w:val="32"/>
          <w:szCs w:val="32"/>
          <w:u w:val="single"/>
          <w:lang w:val="en-US" w:eastAsia="zh-CN"/>
        </w:rPr>
        <w:t xml:space="preserve"> 十 </w:t>
      </w:r>
      <w:r>
        <w:rPr>
          <w:rFonts w:hint="eastAsia" w:ascii="宋体" w:hAnsi="宋体" w:cs="宋体"/>
          <w:b/>
          <w:color w:val="auto"/>
          <w:spacing w:val="26"/>
          <w:sz w:val="32"/>
          <w:szCs w:val="32"/>
        </w:rPr>
        <w:t>月</w:t>
      </w:r>
    </w:p>
    <w:p w14:paraId="77080B24">
      <w:pPr>
        <w:spacing w:line="720" w:lineRule="auto"/>
        <w:jc w:val="center"/>
        <w:outlineLvl w:val="9"/>
        <w:rPr>
          <w:rFonts w:ascii="宋体" w:hAnsi="宋体" w:cs="宋体"/>
          <w:b/>
          <w:bCs/>
          <w:color w:val="auto"/>
          <w:spacing w:val="26"/>
          <w:sz w:val="28"/>
          <w:szCs w:val="28"/>
        </w:rPr>
        <w:sectPr>
          <w:headerReference r:id="rId4" w:type="first"/>
          <w:headerReference r:id="rId3" w:type="default"/>
          <w:footerReference r:id="rId5" w:type="default"/>
          <w:pgSz w:w="11907" w:h="16840"/>
          <w:pgMar w:top="1660" w:right="1588" w:bottom="1520" w:left="1588" w:header="851" w:footer="992" w:gutter="0"/>
          <w:pgNumType w:fmt="numberInDash" w:start="1"/>
          <w:cols w:space="720" w:num="1"/>
          <w:docGrid w:type="linesAndChars" w:linePitch="312" w:charSpace="0"/>
        </w:sectPr>
      </w:pPr>
    </w:p>
    <w:p w14:paraId="55EFFE12">
      <w:pPr>
        <w:jc w:val="center"/>
        <w:outlineLvl w:val="9"/>
        <w:rPr>
          <w:rFonts w:ascii="宋体" w:hAnsi="宋体"/>
          <w:b/>
          <w:color w:val="auto"/>
          <w:sz w:val="48"/>
          <w:szCs w:val="48"/>
        </w:rPr>
      </w:pPr>
      <w:r>
        <w:rPr>
          <w:rFonts w:hint="eastAsia" w:ascii="宋体" w:hAnsi="宋体"/>
          <w:b/>
          <w:color w:val="auto"/>
          <w:sz w:val="48"/>
          <w:szCs w:val="48"/>
        </w:rPr>
        <w:t>目</w:t>
      </w:r>
      <w:r>
        <w:rPr>
          <w:rFonts w:ascii="宋体" w:hAnsi="宋体"/>
          <w:b/>
          <w:color w:val="auto"/>
          <w:sz w:val="48"/>
          <w:szCs w:val="48"/>
        </w:rPr>
        <w:t xml:space="preserve">   </w:t>
      </w:r>
      <w:r>
        <w:rPr>
          <w:rFonts w:hint="eastAsia" w:ascii="宋体" w:hAnsi="宋体"/>
          <w:b/>
          <w:color w:val="auto"/>
          <w:sz w:val="48"/>
          <w:szCs w:val="48"/>
        </w:rPr>
        <w:t>录</w:t>
      </w:r>
    </w:p>
    <w:p w14:paraId="69489162">
      <w:pPr>
        <w:outlineLvl w:val="9"/>
        <w:rPr>
          <w:color w:val="auto"/>
        </w:rPr>
      </w:pPr>
    </w:p>
    <w:sdt>
      <w:sdtPr>
        <w:rPr>
          <w:rFonts w:ascii="宋体" w:hAnsi="宋体" w:eastAsia="宋体" w:cs="Times New Roman"/>
          <w:color w:val="auto"/>
          <w:kern w:val="2"/>
          <w:sz w:val="21"/>
          <w:lang w:val="en-US" w:eastAsia="zh-CN" w:bidi="ar-SA"/>
        </w:rPr>
        <w:id w:val="147478648"/>
        <w15:color w:val="DBDBDB"/>
        <w:docPartObj>
          <w:docPartGallery w:val="Table of Contents"/>
          <w:docPartUnique/>
        </w:docPartObj>
      </w:sdtPr>
      <w:sdtEndPr>
        <w:rPr>
          <w:rFonts w:ascii="宋体" w:hAnsi="Times New Roman" w:eastAsia="宋体" w:cs="Times New Roman"/>
          <w:b/>
          <w:color w:val="auto"/>
          <w:kern w:val="2"/>
          <w:sz w:val="21"/>
          <w:szCs w:val="32"/>
          <w:lang w:val="en-US" w:eastAsia="zh-CN" w:bidi="ar-SA"/>
        </w:rPr>
      </w:sdtEndPr>
      <w:sdtContent>
        <w:p w14:paraId="286E1851">
          <w:pPr>
            <w:adjustRightInd w:val="0"/>
            <w:snapToGrid w:val="0"/>
            <w:spacing w:line="360" w:lineRule="auto"/>
            <w:outlineLvl w:val="9"/>
            <w:rPr>
              <w:rFonts w:ascii="宋体" w:hAnsi="宋体" w:eastAsia="宋体" w:cs="Times New Roman"/>
              <w:color w:val="auto"/>
              <w:kern w:val="2"/>
              <w:sz w:val="21"/>
              <w:lang w:val="en-US" w:eastAsia="zh-CN" w:bidi="ar-SA"/>
            </w:rPr>
          </w:pPr>
        </w:p>
        <w:p w14:paraId="41EF2149">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b/>
              <w:color w:val="auto"/>
              <w:kern w:val="2"/>
              <w:sz w:val="24"/>
              <w:szCs w:val="24"/>
              <w:lang w:val="en-US" w:eastAsia="zh-CN" w:bidi="ar-SA"/>
            </w:rPr>
            <w:fldChar w:fldCharType="begin"/>
          </w:r>
          <w:r>
            <w:rPr>
              <w:rFonts w:hint="eastAsia" w:ascii="宋体" w:hAnsi="宋体" w:eastAsia="宋体" w:cs="宋体"/>
              <w:b/>
              <w:color w:val="auto"/>
              <w:kern w:val="2"/>
              <w:sz w:val="24"/>
              <w:szCs w:val="24"/>
              <w:lang w:val="en-US" w:eastAsia="zh-CN" w:bidi="ar-SA"/>
            </w:rPr>
            <w:instrText xml:space="preserve">TOC \o "1-2" \h \u </w:instrText>
          </w:r>
          <w:r>
            <w:rPr>
              <w:rFonts w:hint="eastAsia" w:ascii="宋体" w:hAnsi="宋体" w:eastAsia="宋体" w:cs="宋体"/>
              <w:b/>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_Toc3524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第一章</w:t>
          </w:r>
          <w:r>
            <w:rPr>
              <w:rFonts w:hint="eastAsia" w:ascii="宋体" w:hAnsi="宋体" w:eastAsia="宋体" w:cs="宋体"/>
              <w:bCs/>
              <w:sz w:val="24"/>
              <w:szCs w:val="24"/>
            </w:rPr>
            <w:t xml:space="preserve">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_Toc3524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76074B97">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_Toc16236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 xml:space="preserve">第二章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供应商须知前附表及供应商须知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F6681C8">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_Toc26332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第三章  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_Toc26332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91CDFDD">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_Toc9345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第四章  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_Toc9345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6187ED1B">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_Toc21535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第五章</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_Toc21535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5EEC90F">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_Toc27960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eastAsia="zh-CN"/>
            </w:rPr>
            <w:t>第六章 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_Toc27960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A3D089E">
          <w:pPr>
            <w:pStyle w:val="20"/>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_Toc30381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eastAsia="zh-CN"/>
            </w:rPr>
            <w:t>第</w:t>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_Toc30381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D37AC2F">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_Toc11057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一、</w:t>
          </w:r>
          <w:r>
            <w:rPr>
              <w:rFonts w:hint="eastAsia" w:ascii="宋体" w:hAnsi="宋体" w:eastAsia="宋体" w:cs="宋体"/>
              <w:sz w:val="24"/>
              <w:szCs w:val="24"/>
            </w:rPr>
            <w:t>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_Toc11057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0A3FE4E">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_Toc6258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二、第一次</w:t>
          </w:r>
          <w:r>
            <w:rPr>
              <w:rFonts w:hint="eastAsia" w:ascii="宋体" w:hAnsi="宋体" w:eastAsia="宋体" w:cs="宋体"/>
              <w:sz w:val="24"/>
              <w:szCs w:val="24"/>
              <w:lang w:eastAsia="zh-CN"/>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_Toc6258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67899E21">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_Toc30707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2B97A9D">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w:t>
          </w:r>
          <w:r>
            <w:rPr>
              <w:rFonts w:hint="eastAsia" w:ascii="宋体" w:hAnsi="宋体" w:eastAsia="宋体" w:cs="宋体"/>
              <w:bCs/>
              <w:sz w:val="24"/>
              <w:szCs w:val="24"/>
            </w:rPr>
            <w:t>、资格证明文件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_Toc19601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62AE7728">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_Toc31367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w:t>
          </w:r>
          <w:r>
            <w:rPr>
              <w:rFonts w:hint="eastAsia" w:ascii="宋体" w:hAnsi="宋体" w:eastAsia="宋体" w:cs="宋体"/>
              <w:bCs/>
              <w:sz w:val="24"/>
              <w:szCs w:val="24"/>
            </w:rPr>
            <w:t>、供应商参加政府采购活动承诺书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_Toc31367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9EC6447">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_Toc7587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、投标方案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_Toc7587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E20E9CC">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_Toc23563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E483B47">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_Toc23949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八</w:t>
          </w:r>
          <w:r>
            <w:rPr>
              <w:rFonts w:hint="eastAsia" w:ascii="宋体" w:hAnsi="宋体" w:eastAsia="宋体" w:cs="宋体"/>
              <w:bCs/>
              <w:sz w:val="24"/>
              <w:szCs w:val="24"/>
            </w:rPr>
            <w:t>、法定代表人证明书及法定代表人授权书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_Toc23949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EB86572">
          <w:pPr>
            <w:pStyle w:val="21"/>
            <w:keepNext w:val="0"/>
            <w:keepLines w:val="0"/>
            <w:pageBreakBefore w:val="0"/>
            <w:widowControl w:val="0"/>
            <w:tabs>
              <w:tab w:val="right" w:leader="dot" w:pos="8731"/>
            </w:tabs>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_Toc18182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0"/>
              <w:sz w:val="24"/>
              <w:szCs w:val="24"/>
              <w:lang w:val="en-US" w:eastAsia="zh-CN" w:bidi="ar"/>
            </w:rPr>
            <w:t>九</w:t>
          </w:r>
          <w:r>
            <w:rPr>
              <w:rFonts w:hint="eastAsia" w:ascii="宋体" w:hAnsi="宋体" w:eastAsia="宋体" w:cs="宋体"/>
              <w:bCs/>
              <w:kern w:val="0"/>
              <w:sz w:val="24"/>
              <w:szCs w:val="24"/>
              <w:lang w:bidi="ar"/>
            </w:rPr>
            <w:t>、</w:t>
          </w:r>
          <w:r>
            <w:rPr>
              <w:rFonts w:hint="eastAsia" w:ascii="宋体" w:hAnsi="宋体" w:eastAsia="宋体" w:cs="宋体"/>
              <w:sz w:val="24"/>
              <w:szCs w:val="24"/>
              <w:lang w:val="en-US" w:eastAsia="zh-CN"/>
            </w:rPr>
            <w:t>中小</w:t>
          </w:r>
          <w:r>
            <w:rPr>
              <w:rFonts w:hint="eastAsia" w:ascii="宋体" w:hAnsi="宋体" w:eastAsia="宋体" w:cs="宋体"/>
              <w:sz w:val="24"/>
              <w:szCs w:val="24"/>
            </w:rPr>
            <w:t>企业、监狱企业、残疾人福利单位声明函或证明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_Toc18182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83C652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color w:val="auto"/>
              <w:sz w:val="32"/>
              <w:szCs w:val="32"/>
            </w:rPr>
          </w:pPr>
          <w:r>
            <w:rPr>
              <w:rFonts w:hint="eastAsia" w:ascii="宋体" w:hAnsi="宋体" w:eastAsia="宋体" w:cs="宋体"/>
              <w:color w:val="auto"/>
              <w:kern w:val="2"/>
              <w:sz w:val="24"/>
              <w:szCs w:val="24"/>
              <w:lang w:val="en-US" w:eastAsia="zh-CN" w:bidi="ar-SA"/>
            </w:rPr>
            <w:fldChar w:fldCharType="end"/>
          </w:r>
        </w:p>
      </w:sdtContent>
    </w:sdt>
    <w:p w14:paraId="5DAA7EA4">
      <w:pPr>
        <w:jc w:val="center"/>
        <w:outlineLvl w:val="9"/>
        <w:rPr>
          <w:rFonts w:ascii="宋体"/>
          <w:b/>
          <w:color w:val="auto"/>
          <w:sz w:val="44"/>
        </w:rPr>
      </w:pPr>
    </w:p>
    <w:p w14:paraId="48CBD467">
      <w:pPr>
        <w:jc w:val="center"/>
        <w:outlineLvl w:val="9"/>
        <w:rPr>
          <w:rFonts w:ascii="宋体"/>
          <w:b/>
          <w:color w:val="auto"/>
          <w:sz w:val="44"/>
        </w:rPr>
      </w:pPr>
    </w:p>
    <w:p w14:paraId="4A53762A">
      <w:pPr>
        <w:outlineLvl w:val="9"/>
        <w:rPr>
          <w:rFonts w:ascii="宋体"/>
          <w:color w:val="auto"/>
        </w:rPr>
        <w:sectPr>
          <w:headerReference r:id="rId7" w:type="first"/>
          <w:footerReference r:id="rId9" w:type="first"/>
          <w:headerReference r:id="rId6" w:type="default"/>
          <w:footerReference r:id="rId8" w:type="default"/>
          <w:pgSz w:w="11907" w:h="16840"/>
          <w:pgMar w:top="1440" w:right="1588" w:bottom="1440" w:left="1588" w:header="851" w:footer="992" w:gutter="0"/>
          <w:pgNumType w:fmt="decimal" w:start="1"/>
          <w:cols w:space="720" w:num="1"/>
          <w:docGrid w:type="linesAndChars" w:linePitch="312" w:charSpace="0"/>
        </w:sectPr>
      </w:pPr>
    </w:p>
    <w:p w14:paraId="42B5B58B">
      <w:pPr>
        <w:bidi w:val="0"/>
        <w:jc w:val="center"/>
        <w:outlineLvl w:val="0"/>
        <w:rPr>
          <w:rFonts w:ascii="宋体" w:hAnsi="宋体"/>
          <w:b/>
          <w:bCs/>
          <w:color w:val="auto"/>
          <w:szCs w:val="36"/>
        </w:rPr>
      </w:pPr>
      <w:bookmarkStart w:id="6" w:name="_Toc15250"/>
      <w:bookmarkStart w:id="7" w:name="_Toc504605084"/>
      <w:bookmarkStart w:id="8" w:name="_Toc3524"/>
      <w:r>
        <w:rPr>
          <w:rFonts w:hint="eastAsia"/>
          <w:b/>
          <w:bCs/>
          <w:color w:val="auto"/>
          <w:sz w:val="36"/>
          <w:szCs w:val="36"/>
          <w:lang w:val="en-US" w:eastAsia="zh-CN"/>
        </w:rPr>
        <w:t>第一章</w:t>
      </w:r>
      <w:r>
        <w:rPr>
          <w:b/>
          <w:bCs/>
          <w:color w:val="auto"/>
          <w:sz w:val="36"/>
          <w:szCs w:val="36"/>
        </w:rPr>
        <w:t xml:space="preserve"> </w:t>
      </w:r>
      <w:bookmarkStart w:id="9" w:name="_Toc5374"/>
      <w:bookmarkStart w:id="10" w:name="_Toc9301"/>
      <w:r>
        <w:rPr>
          <w:rFonts w:hint="eastAsia"/>
          <w:b/>
          <w:bCs/>
          <w:color w:val="auto"/>
          <w:sz w:val="36"/>
          <w:szCs w:val="36"/>
        </w:rPr>
        <w:t>竞争性磋商公告</w:t>
      </w:r>
      <w:bookmarkEnd w:id="6"/>
      <w:bookmarkEnd w:id="7"/>
      <w:bookmarkEnd w:id="8"/>
      <w:bookmarkEnd w:id="9"/>
      <w:bookmarkEnd w:id="10"/>
    </w:p>
    <w:p w14:paraId="1C54039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rPr>
          <w:rFonts w:hint="eastAsia" w:asciiTheme="majorEastAsia" w:hAnsiTheme="majorEastAsia" w:eastAsiaTheme="majorEastAsia" w:cstheme="majorEastAsia"/>
          <w:b w:val="0"/>
          <w:bCs w:val="0"/>
          <w:color w:val="auto"/>
          <w:sz w:val="24"/>
          <w:szCs w:val="24"/>
        </w:rPr>
      </w:pPr>
      <w:r>
        <w:rPr>
          <w:rStyle w:val="29"/>
          <w:rFonts w:hint="eastAsia" w:asciiTheme="majorEastAsia" w:hAnsiTheme="majorEastAsia" w:eastAsiaTheme="majorEastAsia" w:cstheme="majorEastAsia"/>
          <w:b/>
          <w:bCs/>
          <w:i w:val="0"/>
          <w:iCs w:val="0"/>
          <w:caps w:val="0"/>
          <w:color w:val="auto"/>
          <w:spacing w:val="0"/>
          <w:sz w:val="24"/>
          <w:szCs w:val="24"/>
          <w:shd w:val="clear" w:fill="FFFFFF"/>
        </w:rPr>
        <w:t>项目概况</w:t>
      </w:r>
    </w:p>
    <w:p w14:paraId="05B9DE0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维修改造项目采购项目的潜在供应商应在登录全国公共资源交易中心平台（陕西省）使用CA锁报名后自行下载获取采购文件，并于 2025年10月31日 13时30分 （北京时间）前提交响应文件。</w:t>
      </w:r>
    </w:p>
    <w:p w14:paraId="4503D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auto"/>
          <w:spacing w:val="0"/>
          <w:sz w:val="24"/>
          <w:szCs w:val="24"/>
        </w:rPr>
      </w:pPr>
      <w:r>
        <w:rPr>
          <w:rStyle w:val="29"/>
          <w:rFonts w:hint="eastAsia" w:asciiTheme="majorEastAsia" w:hAnsiTheme="majorEastAsia" w:eastAsiaTheme="majorEastAsia" w:cstheme="majorEastAsia"/>
          <w:b/>
          <w:bCs/>
          <w:i w:val="0"/>
          <w:iCs w:val="0"/>
          <w:caps w:val="0"/>
          <w:color w:val="auto"/>
          <w:spacing w:val="0"/>
          <w:sz w:val="24"/>
          <w:szCs w:val="24"/>
          <w:shd w:val="clear" w:fill="FFFFFF"/>
        </w:rPr>
        <w:t>一、项目基本情况</w:t>
      </w:r>
    </w:p>
    <w:p w14:paraId="53A3C47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项目编号：ZXJD2025036</w:t>
      </w:r>
    </w:p>
    <w:p w14:paraId="3E021F9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项目名称：维修改造项目</w:t>
      </w:r>
    </w:p>
    <w:p w14:paraId="01C7E41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采购方式：竞争性磋商</w:t>
      </w:r>
    </w:p>
    <w:p w14:paraId="5E3F099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预算金额：3,446,320.11元</w:t>
      </w:r>
    </w:p>
    <w:p w14:paraId="1E57E88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采购需求：</w:t>
      </w:r>
    </w:p>
    <w:p w14:paraId="7029957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合同包1(子洲县第二中学维修改造项目):</w:t>
      </w:r>
    </w:p>
    <w:p w14:paraId="793495A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合同包预算金额：3,446,320.11元</w:t>
      </w:r>
    </w:p>
    <w:p w14:paraId="731C81C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合同包最高限价：3,446,320.11元</w:t>
      </w:r>
    </w:p>
    <w:tbl>
      <w:tblPr>
        <w:tblStyle w:val="26"/>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6"/>
        <w:gridCol w:w="1916"/>
        <w:gridCol w:w="2185"/>
        <w:gridCol w:w="1330"/>
        <w:gridCol w:w="1690"/>
        <w:gridCol w:w="1731"/>
      </w:tblGrid>
      <w:tr w14:paraId="7C227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D4DD24">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品目号</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53482">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品目名称</w:t>
            </w:r>
          </w:p>
        </w:tc>
        <w:tc>
          <w:tcPr>
            <w:tcW w:w="2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2DBA5">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采购标的</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A716DE">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数量（单位）</w:t>
            </w:r>
          </w:p>
        </w:tc>
        <w:tc>
          <w:tcPr>
            <w:tcW w:w="16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51D73D">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技术规格、参数及要求</w:t>
            </w:r>
          </w:p>
        </w:tc>
        <w:tc>
          <w:tcPr>
            <w:tcW w:w="1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AB532C">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lang w:val="en-US" w:eastAsia="zh-CN" w:bidi="ar"/>
              </w:rPr>
              <w:t>品目预算(元)</w:t>
            </w:r>
          </w:p>
        </w:tc>
      </w:tr>
      <w:tr w14:paraId="05EF2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C443E1">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1-1</w:t>
            </w:r>
          </w:p>
        </w:tc>
        <w:tc>
          <w:tcPr>
            <w:tcW w:w="19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9ECF74">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教育用房施工</w:t>
            </w:r>
          </w:p>
        </w:tc>
        <w:tc>
          <w:tcPr>
            <w:tcW w:w="2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CFB9F">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子洲县第二中学维修改造项目</w:t>
            </w:r>
          </w:p>
        </w:tc>
        <w:tc>
          <w:tcPr>
            <w:tcW w:w="13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42DE3B">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63561">
            <w:pPr>
              <w:keepNext w:val="0"/>
              <w:keepLines w:val="0"/>
              <w:widowControl/>
              <w:suppressLineNumbers w:val="0"/>
              <w:wordWrap w:val="0"/>
              <w:spacing w:before="0" w:beforeAutospacing="0" w:after="0" w:afterAutospacing="0" w:line="360" w:lineRule="auto"/>
              <w:ind w:left="0" w:right="0"/>
              <w:jc w:val="center"/>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B8A24C">
            <w:pPr>
              <w:keepNext w:val="0"/>
              <w:keepLines w:val="0"/>
              <w:widowControl/>
              <w:suppressLineNumbers w:val="0"/>
              <w:wordWrap/>
              <w:spacing w:before="0" w:beforeAutospacing="0" w:after="0" w:afterAutospacing="0" w:line="360" w:lineRule="auto"/>
              <w:ind w:left="0" w:right="0"/>
              <w:jc w:val="right"/>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3,446,320.11</w:t>
            </w:r>
          </w:p>
        </w:tc>
      </w:tr>
    </w:tbl>
    <w:p w14:paraId="7FF9CF6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本合同包不接受联合体投标</w:t>
      </w:r>
    </w:p>
    <w:p w14:paraId="41420DA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合同履行期限：无</w:t>
      </w:r>
    </w:p>
    <w:p w14:paraId="74C53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333333"/>
          <w:spacing w:val="0"/>
          <w:sz w:val="24"/>
          <w:szCs w:val="24"/>
        </w:rPr>
      </w:pPr>
      <w:r>
        <w:rPr>
          <w:rStyle w:val="29"/>
          <w:rFonts w:hint="eastAsia" w:asciiTheme="majorEastAsia" w:hAnsiTheme="majorEastAsia" w:eastAsiaTheme="majorEastAsia" w:cstheme="majorEastAsia"/>
          <w:b/>
          <w:bCs/>
          <w:i w:val="0"/>
          <w:iCs w:val="0"/>
          <w:caps w:val="0"/>
          <w:color w:val="333333"/>
          <w:spacing w:val="0"/>
          <w:sz w:val="24"/>
          <w:szCs w:val="24"/>
          <w:shd w:val="clear" w:fill="FFFFFF"/>
        </w:rPr>
        <w:t>二、申请人的资格要求：</w:t>
      </w:r>
    </w:p>
    <w:p w14:paraId="4FB324F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1.满足《中华人民共和国政府采购法》第二十二条规定;</w:t>
      </w:r>
    </w:p>
    <w:p w14:paraId="7B89715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2.落实政府采购政策需满足的资格要求：</w:t>
      </w:r>
    </w:p>
    <w:p w14:paraId="3EB8A43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合同包1(子洲县第二中学维修改造项目)落实政府采购政策需满足的资格要求如下:</w:t>
      </w:r>
    </w:p>
    <w:p w14:paraId="6CEE4FB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①《节能产品政府采购实施意见》财库〔2004〕185号;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②《环境标志产品政府采购实施的意见》财库〔2006〕90号；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③《国务院办公厅关于建立政府强制采购节能产品制度的通知》国办发〔2007〕51号；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④《政府采购促进中小企业发展管理办法》财库〔2020〕46号；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⑤《陕西省财政厅关于进一步加大政府采购支持中小企业力度的通知》陕财办采〔2022〕5号；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⑥《榆林市财政局关于进一步加大政府采购支持中小企业力度的通知》榆政财采发〔2022〕10号；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⑧《财政部司法部关于政府采购支持监狱企业发展有关问题的通知》财库〔2014〕68号；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⑨《财政部民政部中国残疾人联合会关于促进残疾人就业政府采购政策的通知》财库〔2017〕141号；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⑩《关于在政府采购活动中查询及使用信用记录有关问题的通知》财库〔2016〕125号；</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⑪其他需要落实的政府采购政策。</w:t>
      </w:r>
    </w:p>
    <w:p w14:paraId="42050C0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3.本项目的特定资格要求：</w:t>
      </w:r>
    </w:p>
    <w:p w14:paraId="4020B86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合同包1(子洲县第二中学维修改造项目)特定资格要求如下:</w:t>
      </w:r>
    </w:p>
    <w:p w14:paraId="21B2D6A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②具备建筑工程施工总承包三级（含三级）以上资质，具备有效的安全生产许可证；</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③拟派往本项目的建造师必须为本企业注册的建造师，具备建筑工程专业二级及以上注册建造师执业资格和有效的安全生产考核合格证书(B证)，且未担任其它在建工程的建造师（提供无在建工程声明）；</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④税收缴纳证明：提供2025年1月至今至少1个月的纳税证明（银行缴费凭证）或完税证明，依法免税的单位应提供相关证明材料；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⑤社会保障资金缴纳证明：提供2025年1月至今至少1个月的社会保障资金（任一险种）缴费单据或社保机构开具的社会保险参保缴费情况证明，依法不需要缴纳社会保障资金的单位应提供相关证明材料；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⑥财务要求：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⑦参加政府采购活动前三年内，在经营活动中没有重大违法记录的书面声明；</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⑧提供具有履行合同所必需的设备和专业技术能力的证明资料或承诺书；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⑨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⑩自主上报信用承诺书：投标人及其授权委托人应在“信用中国（陕西榆林）”网站(www.ylcredit.gov.cn)进行注册、登录、自主上报信用承诺书，包括：《榆林市政府采购工程类项目供应商信用承诺书》、《投标人信用承诺》、《投标人委托代理人员信用承诺书》(如有)、《投标信用承诺书》；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⑪本项目专门面向中小企业（提供中小企业声明函）；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⑫本项目不接受联合体投标，单位负责人为同一人或者存在直接控股、管理关系的不同投标人，不得参加同一合同项下的政府采购活动（提供非联合体投标声明）。</w:t>
      </w:r>
    </w:p>
    <w:p w14:paraId="7D990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333333"/>
          <w:spacing w:val="0"/>
          <w:sz w:val="24"/>
          <w:szCs w:val="24"/>
        </w:rPr>
      </w:pPr>
      <w:r>
        <w:rPr>
          <w:rStyle w:val="29"/>
          <w:rFonts w:hint="eastAsia" w:asciiTheme="majorEastAsia" w:hAnsiTheme="majorEastAsia" w:eastAsiaTheme="majorEastAsia" w:cstheme="majorEastAsia"/>
          <w:b/>
          <w:bCs/>
          <w:i w:val="0"/>
          <w:iCs w:val="0"/>
          <w:caps w:val="0"/>
          <w:color w:val="333333"/>
          <w:spacing w:val="0"/>
          <w:sz w:val="24"/>
          <w:szCs w:val="24"/>
          <w:shd w:val="clear" w:fill="FFFFFF"/>
        </w:rPr>
        <w:t>三、获取采购文件</w:t>
      </w:r>
    </w:p>
    <w:p w14:paraId="43A7505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时间：2025年10月21日至2025年10月27日，每天上午09:00:00至12:00:00，下午12:00:00至17:00:00 （北京时间）</w:t>
      </w:r>
    </w:p>
    <w:p w14:paraId="27BBA23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途径：登录全国公共资源交易中心平台（陕西省）使用CA锁报名后自行下载</w:t>
      </w:r>
    </w:p>
    <w:p w14:paraId="6F64828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方式：在线获取</w:t>
      </w:r>
    </w:p>
    <w:p w14:paraId="6C50138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售价：0元</w:t>
      </w:r>
    </w:p>
    <w:p w14:paraId="12B272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333333"/>
          <w:spacing w:val="0"/>
          <w:sz w:val="24"/>
          <w:szCs w:val="24"/>
        </w:rPr>
      </w:pPr>
      <w:r>
        <w:rPr>
          <w:rStyle w:val="29"/>
          <w:rFonts w:hint="eastAsia" w:asciiTheme="majorEastAsia" w:hAnsiTheme="majorEastAsia" w:eastAsiaTheme="majorEastAsia" w:cstheme="majorEastAsia"/>
          <w:b/>
          <w:bCs/>
          <w:i w:val="0"/>
          <w:iCs w:val="0"/>
          <w:caps w:val="0"/>
          <w:color w:val="333333"/>
          <w:spacing w:val="0"/>
          <w:sz w:val="24"/>
          <w:szCs w:val="24"/>
          <w:shd w:val="clear" w:fill="FFFFFF"/>
        </w:rPr>
        <w:t>四、响应文件提交</w:t>
      </w:r>
    </w:p>
    <w:p w14:paraId="41EB131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333333"/>
          <w:spacing w:val="0"/>
          <w:sz w:val="24"/>
          <w:szCs w:val="24"/>
          <w:shd w:val="clear" w:fill="FFFFFF"/>
        </w:rPr>
        <w:t>截止时</w:t>
      </w:r>
      <w:r>
        <w:rPr>
          <w:rFonts w:hint="eastAsia" w:asciiTheme="majorEastAsia" w:hAnsiTheme="majorEastAsia" w:eastAsiaTheme="majorEastAsia" w:cstheme="majorEastAsia"/>
          <w:i w:val="0"/>
          <w:iCs w:val="0"/>
          <w:caps w:val="0"/>
          <w:color w:val="auto"/>
          <w:spacing w:val="0"/>
          <w:sz w:val="24"/>
          <w:szCs w:val="24"/>
          <w:shd w:val="clear" w:fill="FFFFFF"/>
        </w:rPr>
        <w:t>间： 2025年10月31日 13时30分00秒 （北京时间）</w:t>
      </w:r>
    </w:p>
    <w:p w14:paraId="1724311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地点：登录全国公共资源交易平台（陕西省•榆林市）网站〖首页〉电子交易平台〉陕西政府采购交易系统）企业端〗，在线提交</w:t>
      </w:r>
    </w:p>
    <w:p w14:paraId="2F539E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auto"/>
          <w:spacing w:val="0"/>
          <w:sz w:val="24"/>
          <w:szCs w:val="24"/>
        </w:rPr>
      </w:pPr>
      <w:r>
        <w:rPr>
          <w:rStyle w:val="29"/>
          <w:rFonts w:hint="eastAsia" w:asciiTheme="majorEastAsia" w:hAnsiTheme="majorEastAsia" w:eastAsiaTheme="majorEastAsia" w:cstheme="majorEastAsia"/>
          <w:b/>
          <w:bCs/>
          <w:i w:val="0"/>
          <w:iCs w:val="0"/>
          <w:caps w:val="0"/>
          <w:color w:val="auto"/>
          <w:spacing w:val="0"/>
          <w:sz w:val="24"/>
          <w:szCs w:val="24"/>
          <w:shd w:val="clear" w:fill="FFFFFF"/>
        </w:rPr>
        <w:t>五、开启</w:t>
      </w:r>
    </w:p>
    <w:p w14:paraId="29A4B2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 2025年10月31日 13时30分00秒 （北京时间）</w:t>
      </w:r>
    </w:p>
    <w:p w14:paraId="2C32AAC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地点：登录全国公共资源交易平台（陕西省•榆林市）网站〖首页〉不见面开标〗系统，在线参加开标过程</w:t>
      </w:r>
    </w:p>
    <w:p w14:paraId="214A5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auto"/>
          <w:spacing w:val="0"/>
          <w:sz w:val="24"/>
          <w:szCs w:val="24"/>
        </w:rPr>
      </w:pPr>
      <w:r>
        <w:rPr>
          <w:rStyle w:val="29"/>
          <w:rFonts w:hint="eastAsia" w:asciiTheme="majorEastAsia" w:hAnsiTheme="majorEastAsia" w:eastAsiaTheme="majorEastAsia" w:cstheme="majorEastAsia"/>
          <w:b/>
          <w:bCs/>
          <w:i w:val="0"/>
          <w:iCs w:val="0"/>
          <w:caps w:val="0"/>
          <w:color w:val="auto"/>
          <w:spacing w:val="0"/>
          <w:sz w:val="24"/>
          <w:szCs w:val="24"/>
          <w:shd w:val="clear" w:fill="FFFFFF"/>
        </w:rPr>
        <w:t>六、公告期限</w:t>
      </w:r>
    </w:p>
    <w:p w14:paraId="2E08B1D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自本公告发布之日起3个工作日。</w:t>
      </w:r>
    </w:p>
    <w:p w14:paraId="5770F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333333"/>
          <w:spacing w:val="0"/>
          <w:sz w:val="24"/>
          <w:szCs w:val="24"/>
        </w:rPr>
      </w:pPr>
      <w:r>
        <w:rPr>
          <w:rStyle w:val="29"/>
          <w:rFonts w:hint="eastAsia" w:asciiTheme="majorEastAsia" w:hAnsiTheme="majorEastAsia" w:eastAsiaTheme="majorEastAsia" w:cstheme="majorEastAsia"/>
          <w:b/>
          <w:bCs/>
          <w:i w:val="0"/>
          <w:iCs w:val="0"/>
          <w:caps w:val="0"/>
          <w:color w:val="333333"/>
          <w:spacing w:val="0"/>
          <w:sz w:val="24"/>
          <w:szCs w:val="24"/>
          <w:shd w:val="clear" w:fill="FFFFFF"/>
        </w:rPr>
        <w:t>七、其他补充事宜</w:t>
      </w:r>
    </w:p>
    <w:p w14:paraId="658B302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w:t>
      </w:r>
    </w:p>
    <w:p w14:paraId="5E88FDD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（2）本项目采用电子化招投标的方式，供应商使用数字认证证书（CA 锁）对投标文件进行签章、加密、递交及开标时解密等相关招投标事宜。</w:t>
      </w:r>
    </w:p>
    <w:p w14:paraId="376A744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（3）电子响应文件制作软件技术支持热线：400-998-0000 ，CA锁购买：榆林市市民大厦三楼E18、E19窗口办理，咨询电话0912-3452148、029-88661298或4006-369-888（陕西CA联系电话）。</w:t>
      </w:r>
    </w:p>
    <w:p w14:paraId="366C764E">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（4）请各供应商获取磋商文件后，按照陕西省财政厅《关于政府采购投标供应商注册登记有关事项的通知》要求，通过陕西省政府采购（http://www.ccgp-shaanxi.gov.cn/）注册登记加入陕西省政府采购投标供应商库。</w:t>
      </w:r>
    </w:p>
    <w:p w14:paraId="119AFE9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kern w:val="0"/>
          <w:sz w:val="24"/>
          <w:szCs w:val="24"/>
          <w:shd w:val="clear" w:fill="FFFFFF"/>
          <w:lang w:val="en-US" w:eastAsia="zh-CN" w:bidi="ar"/>
        </w:rPr>
        <w:t>（5）本项目采用“不见面”开标形式，不见面开标系统操作手册下载方式：登录【全国公共资源交易平台（陕西省•榆林市）】 网站首页选择【服务指南】-【下载专区】-点击【榆林市不见面开标系统操作手册】进行下载，请投标供应商仔细阅读操作手册，了解操作流程，熟练掌握不见面开标操作相关事宜，若无法正常投标，供应商自行承担责任。</w:t>
      </w:r>
    </w:p>
    <w:p w14:paraId="18C38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Theme="majorEastAsia" w:hAnsiTheme="majorEastAsia" w:eastAsiaTheme="majorEastAsia" w:cstheme="majorEastAsia"/>
          <w:b w:val="0"/>
          <w:bCs w:val="0"/>
          <w:i w:val="0"/>
          <w:iCs w:val="0"/>
          <w:caps w:val="0"/>
          <w:color w:val="333333"/>
          <w:spacing w:val="0"/>
          <w:sz w:val="24"/>
          <w:szCs w:val="24"/>
        </w:rPr>
      </w:pPr>
      <w:r>
        <w:rPr>
          <w:rStyle w:val="29"/>
          <w:rFonts w:hint="eastAsia" w:asciiTheme="majorEastAsia" w:hAnsiTheme="majorEastAsia" w:eastAsiaTheme="majorEastAsia" w:cstheme="majorEastAsia"/>
          <w:b/>
          <w:bCs/>
          <w:i w:val="0"/>
          <w:iCs w:val="0"/>
          <w:caps w:val="0"/>
          <w:color w:val="333333"/>
          <w:spacing w:val="0"/>
          <w:sz w:val="24"/>
          <w:szCs w:val="24"/>
          <w:shd w:val="clear" w:fill="FFFFFF"/>
        </w:rPr>
        <w:t>八、对本次招标提出询问，请按以下方式联系。</w:t>
      </w:r>
    </w:p>
    <w:p w14:paraId="4CCB1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i w:val="0"/>
          <w:iCs w:val="0"/>
          <w:caps w:val="0"/>
          <w:color w:val="333333"/>
          <w:spacing w:val="0"/>
          <w:sz w:val="24"/>
          <w:szCs w:val="24"/>
          <w:shd w:val="clear" w:fill="FFFFFF"/>
        </w:rPr>
        <w:t>1.采购人信息</w:t>
      </w:r>
    </w:p>
    <w:p w14:paraId="4B9ED40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名称：子洲县第二中学</w:t>
      </w:r>
    </w:p>
    <w:p w14:paraId="0CBD7A4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地址：子洲县城关镇南68号</w:t>
      </w:r>
    </w:p>
    <w:p w14:paraId="1FE0EA3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联系方式：18740528055</w:t>
      </w:r>
    </w:p>
    <w:p w14:paraId="2A874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2.采购代理机构信息</w:t>
      </w:r>
    </w:p>
    <w:p w14:paraId="4FA0874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名称：陕西众信玖鼎项目管理有限责任公司</w:t>
      </w:r>
    </w:p>
    <w:p w14:paraId="793C19F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地址：榆林市通达路高科城A座7楼东户3室</w:t>
      </w:r>
    </w:p>
    <w:p w14:paraId="39B5E63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联系方式：17709120240</w:t>
      </w:r>
    </w:p>
    <w:p w14:paraId="3C97A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3.项目联系方式</w:t>
      </w:r>
    </w:p>
    <w:p w14:paraId="0B6D4E5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项目联系人：张磊</w:t>
      </w:r>
    </w:p>
    <w:p w14:paraId="7D3903DA">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电话：17709120240</w:t>
      </w:r>
    </w:p>
    <w:p w14:paraId="2B1E67E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rPr>
      </w:pPr>
    </w:p>
    <w:p w14:paraId="1AB14111">
      <w:pPr>
        <w:adjustRightInd w:val="0"/>
        <w:snapToGrid w:val="0"/>
        <w:spacing w:line="440" w:lineRule="exact"/>
        <w:ind w:firstLine="1080" w:firstLineChars="300"/>
        <w:jc w:val="center"/>
        <w:outlineLvl w:val="9"/>
        <w:rPr>
          <w:rFonts w:hint="eastAsia" w:ascii="宋体" w:hAnsi="宋体" w:cs="宋体"/>
          <w:color w:val="auto"/>
          <w:sz w:val="36"/>
        </w:rPr>
      </w:pPr>
    </w:p>
    <w:p w14:paraId="30489457">
      <w:pPr>
        <w:adjustRightInd w:val="0"/>
        <w:snapToGrid w:val="0"/>
        <w:spacing w:line="360" w:lineRule="auto"/>
        <w:ind w:firstLine="7200" w:firstLineChars="2000"/>
        <w:jc w:val="left"/>
        <w:outlineLvl w:val="9"/>
        <w:rPr>
          <w:rFonts w:hint="eastAsia" w:ascii="宋体" w:hAnsi="宋体" w:cs="宋体"/>
          <w:color w:val="auto"/>
          <w:sz w:val="36"/>
          <w:szCs w:val="36"/>
        </w:rPr>
        <w:sectPr>
          <w:footerReference r:id="rId10" w:type="default"/>
          <w:pgSz w:w="11906" w:h="16838"/>
          <w:pgMar w:top="1219" w:right="1800" w:bottom="1219" w:left="1800" w:header="851" w:footer="992" w:gutter="0"/>
          <w:pgNumType w:fmt="decimal" w:start="1"/>
          <w:cols w:space="720" w:num="1"/>
          <w:docGrid w:type="lines" w:linePitch="312" w:charSpace="0"/>
        </w:sectPr>
      </w:pPr>
    </w:p>
    <w:p w14:paraId="0836D182">
      <w:pPr>
        <w:bidi w:val="0"/>
        <w:spacing w:line="360" w:lineRule="auto"/>
        <w:jc w:val="center"/>
        <w:outlineLvl w:val="0"/>
        <w:rPr>
          <w:rFonts w:ascii="宋体" w:hAnsi="宋体"/>
          <w:b/>
          <w:bCs/>
          <w:color w:val="auto"/>
          <w:szCs w:val="36"/>
        </w:rPr>
      </w:pPr>
      <w:bookmarkStart w:id="11" w:name="_Toc16236"/>
      <w:bookmarkStart w:id="12" w:name="_Toc24905"/>
      <w:bookmarkStart w:id="13" w:name="_Toc13112"/>
      <w:bookmarkStart w:id="14" w:name="_Toc504605086"/>
      <w:bookmarkStart w:id="15" w:name="_Toc504605168"/>
      <w:bookmarkStart w:id="16" w:name="_Toc1227"/>
      <w:bookmarkStart w:id="17" w:name="_Toc504605085"/>
      <w:r>
        <w:rPr>
          <w:rFonts w:hint="eastAsia"/>
          <w:b/>
          <w:bCs/>
          <w:color w:val="auto"/>
          <w:sz w:val="36"/>
          <w:szCs w:val="36"/>
        </w:rPr>
        <w:t>第二章</w:t>
      </w:r>
      <w:r>
        <w:rPr>
          <w:b/>
          <w:bCs/>
          <w:color w:val="auto"/>
          <w:sz w:val="36"/>
          <w:szCs w:val="36"/>
        </w:rPr>
        <w:t xml:space="preserve"> </w:t>
      </w:r>
      <w:r>
        <w:rPr>
          <w:rFonts w:hint="eastAsia"/>
          <w:b/>
          <w:bCs/>
          <w:color w:val="auto"/>
          <w:sz w:val="36"/>
          <w:szCs w:val="36"/>
          <w:lang w:val="en-US" w:eastAsia="zh-CN"/>
        </w:rPr>
        <w:t xml:space="preserve"> </w:t>
      </w:r>
      <w:r>
        <w:rPr>
          <w:rFonts w:hint="eastAsia"/>
          <w:b/>
          <w:bCs/>
          <w:color w:val="auto"/>
          <w:sz w:val="36"/>
          <w:szCs w:val="36"/>
        </w:rPr>
        <w:t>供应商须知前附表及供应商须知</w:t>
      </w:r>
      <w:bookmarkEnd w:id="11"/>
      <w:bookmarkEnd w:id="12"/>
      <w:bookmarkEnd w:id="13"/>
    </w:p>
    <w:p w14:paraId="6F2DB653">
      <w:pPr>
        <w:spacing w:line="360" w:lineRule="auto"/>
        <w:jc w:val="center"/>
        <w:outlineLvl w:val="9"/>
        <w:rPr>
          <w:color w:val="auto"/>
          <w:sz w:val="32"/>
          <w:szCs w:val="32"/>
        </w:rPr>
      </w:pPr>
      <w:bookmarkStart w:id="18" w:name="_Toc513557025"/>
      <w:bookmarkStart w:id="19" w:name="_Toc6073"/>
      <w:bookmarkStart w:id="20" w:name="_Toc12655"/>
      <w:bookmarkStart w:id="21" w:name="_Toc8617"/>
      <w:bookmarkStart w:id="22" w:name="_Toc17752"/>
      <w:bookmarkStart w:id="23" w:name="_Toc2260"/>
      <w:bookmarkStart w:id="24" w:name="_Toc13149"/>
      <w:bookmarkStart w:id="25" w:name="_Toc1925"/>
      <w:r>
        <w:rPr>
          <w:rFonts w:hint="eastAsia" w:ascii="宋体" w:hAnsi="宋体"/>
          <w:b/>
          <w:bCs/>
          <w:color w:val="auto"/>
          <w:sz w:val="32"/>
          <w:szCs w:val="32"/>
        </w:rPr>
        <w:t>（一）供应商须知前附表</w:t>
      </w:r>
      <w:bookmarkEnd w:id="14"/>
      <w:bookmarkEnd w:id="15"/>
      <w:bookmarkEnd w:id="18"/>
      <w:bookmarkEnd w:id="19"/>
      <w:bookmarkEnd w:id="20"/>
      <w:bookmarkEnd w:id="21"/>
      <w:bookmarkEnd w:id="22"/>
      <w:bookmarkEnd w:id="23"/>
      <w:bookmarkEnd w:id="24"/>
      <w:bookmarkEnd w:id="25"/>
    </w:p>
    <w:bookmarkEnd w:id="16"/>
    <w:bookmarkEnd w:id="17"/>
    <w:tbl>
      <w:tblPr>
        <w:tblStyle w:val="26"/>
        <w:tblW w:w="10003" w:type="dxa"/>
        <w:tblInd w:w="-232" w:type="dxa"/>
        <w:tblLayout w:type="fixed"/>
        <w:tblCellMar>
          <w:top w:w="0" w:type="dxa"/>
          <w:left w:w="108" w:type="dxa"/>
          <w:bottom w:w="0" w:type="dxa"/>
          <w:right w:w="108" w:type="dxa"/>
        </w:tblCellMar>
      </w:tblPr>
      <w:tblGrid>
        <w:gridCol w:w="723"/>
        <w:gridCol w:w="1765"/>
        <w:gridCol w:w="7515"/>
      </w:tblGrid>
      <w:tr w14:paraId="50734EDC">
        <w:tblPrEx>
          <w:tblCellMar>
            <w:top w:w="0" w:type="dxa"/>
            <w:left w:w="108" w:type="dxa"/>
            <w:bottom w:w="0" w:type="dxa"/>
            <w:right w:w="108" w:type="dxa"/>
          </w:tblCellMar>
        </w:tblPrEx>
        <w:trPr>
          <w:trHeight w:val="276" w:hRule="atLeast"/>
        </w:trPr>
        <w:tc>
          <w:tcPr>
            <w:tcW w:w="723" w:type="dxa"/>
            <w:tcBorders>
              <w:top w:val="single" w:color="auto" w:sz="4" w:space="0"/>
              <w:left w:val="single" w:color="auto" w:sz="4" w:space="0"/>
              <w:bottom w:val="single" w:color="auto" w:sz="4" w:space="0"/>
              <w:right w:val="single" w:color="auto" w:sz="4" w:space="0"/>
            </w:tcBorders>
            <w:vAlign w:val="center"/>
          </w:tcPr>
          <w:p w14:paraId="349F7E8A">
            <w:pPr>
              <w:jc w:val="center"/>
              <w:outlineLvl w:val="9"/>
              <w:rPr>
                <w:rFonts w:asciiTheme="minorEastAsia" w:hAnsiTheme="minorEastAsia" w:eastAsiaTheme="minorEastAsia" w:cstheme="minorEastAsia"/>
                <w:b/>
                <w:color w:val="auto"/>
                <w:sz w:val="24"/>
                <w:szCs w:val="24"/>
              </w:rPr>
            </w:pPr>
            <w:bookmarkStart w:id="26" w:name="_Toc504605169"/>
            <w:bookmarkStart w:id="27" w:name="_Toc504605087"/>
            <w:r>
              <w:rPr>
                <w:rFonts w:hint="eastAsia" w:ascii="宋体" w:hAnsi="宋体" w:cs="宋体"/>
                <w:b/>
                <w:color w:val="auto"/>
                <w:sz w:val="24"/>
                <w:lang w:val="zh-CN"/>
              </w:rPr>
              <w:t>序号</w:t>
            </w:r>
          </w:p>
        </w:tc>
        <w:tc>
          <w:tcPr>
            <w:tcW w:w="1765" w:type="dxa"/>
            <w:tcBorders>
              <w:top w:val="single" w:color="auto" w:sz="4" w:space="0"/>
              <w:left w:val="single" w:color="auto" w:sz="4" w:space="0"/>
              <w:bottom w:val="single" w:color="auto" w:sz="4" w:space="0"/>
              <w:right w:val="single" w:color="auto" w:sz="4" w:space="0"/>
            </w:tcBorders>
            <w:vAlign w:val="center"/>
          </w:tcPr>
          <w:p w14:paraId="0275BE78">
            <w:pPr>
              <w:jc w:val="center"/>
              <w:outlineLvl w:val="9"/>
              <w:rPr>
                <w:rFonts w:asciiTheme="minorEastAsia" w:hAnsiTheme="minorEastAsia" w:eastAsiaTheme="minorEastAsia" w:cstheme="minorEastAsia"/>
                <w:b/>
                <w:color w:val="auto"/>
                <w:sz w:val="24"/>
                <w:szCs w:val="24"/>
              </w:rPr>
            </w:pPr>
            <w:r>
              <w:rPr>
                <w:rFonts w:hint="eastAsia" w:ascii="宋体" w:hAnsi="宋体" w:cs="宋体"/>
                <w:b/>
                <w:color w:val="auto"/>
                <w:sz w:val="24"/>
                <w:lang w:val="zh-CN"/>
              </w:rPr>
              <w:t>摘 要</w:t>
            </w:r>
          </w:p>
        </w:tc>
        <w:tc>
          <w:tcPr>
            <w:tcW w:w="7515" w:type="dxa"/>
            <w:tcBorders>
              <w:top w:val="single" w:color="auto" w:sz="4" w:space="0"/>
              <w:left w:val="single" w:color="auto" w:sz="4" w:space="0"/>
              <w:bottom w:val="single" w:color="auto" w:sz="4" w:space="0"/>
              <w:right w:val="single" w:color="auto" w:sz="4" w:space="0"/>
            </w:tcBorders>
            <w:vAlign w:val="center"/>
          </w:tcPr>
          <w:p w14:paraId="6217FC00">
            <w:pPr>
              <w:adjustRightInd w:val="0"/>
              <w:snapToGrid w:val="0"/>
              <w:spacing w:line="360" w:lineRule="auto"/>
              <w:ind w:left="472" w:leftChars="24" w:hanging="422" w:hangingChars="175"/>
              <w:jc w:val="center"/>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  列  内  容</w:t>
            </w:r>
          </w:p>
        </w:tc>
      </w:tr>
      <w:tr w14:paraId="18900983">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vAlign w:val="center"/>
          </w:tcPr>
          <w:p w14:paraId="4A479F5E">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65" w:type="dxa"/>
            <w:tcBorders>
              <w:top w:val="single" w:color="auto" w:sz="4" w:space="0"/>
              <w:left w:val="single" w:color="auto" w:sz="4" w:space="0"/>
              <w:bottom w:val="single" w:color="auto" w:sz="4" w:space="0"/>
              <w:right w:val="single" w:color="auto" w:sz="4" w:space="0"/>
            </w:tcBorders>
            <w:vAlign w:val="center"/>
          </w:tcPr>
          <w:p w14:paraId="17C03741">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采购人</w:t>
            </w:r>
          </w:p>
        </w:tc>
        <w:tc>
          <w:tcPr>
            <w:tcW w:w="7515" w:type="dxa"/>
            <w:tcBorders>
              <w:top w:val="single" w:color="auto" w:sz="4" w:space="0"/>
              <w:left w:val="single" w:color="auto" w:sz="4" w:space="0"/>
              <w:bottom w:val="single" w:color="auto" w:sz="4" w:space="0"/>
              <w:right w:val="single" w:color="auto" w:sz="4" w:space="0"/>
            </w:tcBorders>
            <w:vAlign w:val="center"/>
          </w:tcPr>
          <w:p w14:paraId="02532F56">
            <w:pPr>
              <w:adjustRightInd w:val="0"/>
              <w:snapToGrid w:val="0"/>
              <w:spacing w:line="360" w:lineRule="auto"/>
              <w:jc w:val="left"/>
              <w:outlineLvl w:val="9"/>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rPr>
              <w:t>名</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rPr>
              <w:t>称：</w:t>
            </w:r>
            <w:r>
              <w:rPr>
                <w:rFonts w:hint="eastAsia" w:asciiTheme="minorEastAsia" w:hAnsiTheme="minorEastAsia" w:eastAsiaTheme="minorEastAsia" w:cstheme="minorEastAsia"/>
                <w:color w:val="auto"/>
                <w:sz w:val="24"/>
                <w:szCs w:val="24"/>
                <w:lang w:val="zh-CN" w:eastAsia="zh-CN"/>
              </w:rPr>
              <w:t>子洲县第二中学</w:t>
            </w:r>
          </w:p>
          <w:p w14:paraId="638CA64A">
            <w:pPr>
              <w:spacing w:line="360" w:lineRule="auto"/>
              <w:outlineLvl w:val="9"/>
              <w:rPr>
                <w:rFonts w:hint="eastAsia" w:ascii="宋体" w:hAnsi="宋体" w:eastAsia="宋体" w:cs="宋体"/>
                <w:color w:val="auto"/>
                <w:sz w:val="24"/>
                <w:lang w:val="en-US" w:eastAsia="zh-CN"/>
              </w:rPr>
            </w:pPr>
            <w:r>
              <w:rPr>
                <w:rFonts w:hint="eastAsia" w:ascii="宋体" w:hAnsi="宋体" w:cs="宋体"/>
                <w:color w:val="auto"/>
                <w:sz w:val="24"/>
                <w:lang w:eastAsia="zh-CN"/>
              </w:rPr>
              <w:t>地     址：子洲县城关镇南68号</w:t>
            </w:r>
          </w:p>
          <w:p w14:paraId="4A5A446A">
            <w:pPr>
              <w:spacing w:line="360" w:lineRule="auto"/>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cs="宋体"/>
                <w:color w:val="auto"/>
                <w:sz w:val="24"/>
                <w:lang w:eastAsia="zh-CN"/>
              </w:rPr>
              <w:t xml:space="preserve">电     </w:t>
            </w:r>
            <w:r>
              <w:rPr>
                <w:rFonts w:hint="eastAsia" w:ascii="宋体" w:hAnsi="宋体" w:cs="宋体"/>
                <w:color w:val="auto"/>
                <w:sz w:val="24"/>
                <w:shd w:val="clear" w:color="auto" w:fill="auto"/>
                <w:lang w:eastAsia="zh-CN"/>
              </w:rPr>
              <w:t>话：</w:t>
            </w:r>
            <w:r>
              <w:rPr>
                <w:rFonts w:hint="eastAsia" w:ascii="宋体" w:hAnsi="宋体" w:eastAsia="宋体" w:cs="宋体"/>
                <w:i w:val="0"/>
                <w:iCs w:val="0"/>
                <w:caps w:val="0"/>
                <w:color w:val="auto"/>
                <w:spacing w:val="0"/>
                <w:sz w:val="24"/>
                <w:szCs w:val="24"/>
                <w:shd w:val="clear" w:fill="FFFFFF"/>
              </w:rPr>
              <w:t>18740528055</w:t>
            </w:r>
          </w:p>
        </w:tc>
      </w:tr>
      <w:tr w14:paraId="2BB31572">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vAlign w:val="center"/>
          </w:tcPr>
          <w:p w14:paraId="37DF6DFC">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65" w:type="dxa"/>
            <w:tcBorders>
              <w:top w:val="single" w:color="auto" w:sz="4" w:space="0"/>
              <w:left w:val="single" w:color="auto" w:sz="4" w:space="0"/>
              <w:bottom w:val="single" w:color="auto" w:sz="4" w:space="0"/>
              <w:right w:val="single" w:color="auto" w:sz="4" w:space="0"/>
            </w:tcBorders>
            <w:vAlign w:val="center"/>
          </w:tcPr>
          <w:p w14:paraId="28AC7B2E">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采购代理机构</w:t>
            </w:r>
          </w:p>
        </w:tc>
        <w:tc>
          <w:tcPr>
            <w:tcW w:w="7515" w:type="dxa"/>
            <w:tcBorders>
              <w:top w:val="single" w:color="auto" w:sz="4" w:space="0"/>
              <w:left w:val="single" w:color="auto" w:sz="4" w:space="0"/>
              <w:bottom w:val="single" w:color="auto" w:sz="4" w:space="0"/>
              <w:right w:val="single" w:color="auto" w:sz="4" w:space="0"/>
            </w:tcBorders>
            <w:vAlign w:val="center"/>
          </w:tcPr>
          <w:p w14:paraId="26FE43E3">
            <w:pPr>
              <w:adjustRightInd w:val="0"/>
              <w:snapToGrid w:val="0"/>
              <w:spacing w:line="360" w:lineRule="auto"/>
              <w:jc w:val="left"/>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CN"/>
              </w:rPr>
              <w:t>陕西众信玖鼎项目管理有限责任公司</w:t>
            </w:r>
          </w:p>
          <w:p w14:paraId="11043280">
            <w:pPr>
              <w:adjustRightInd w:val="0"/>
              <w:snapToGrid w:val="0"/>
              <w:spacing w:line="360" w:lineRule="auto"/>
              <w:jc w:val="left"/>
              <w:outlineLvl w:val="9"/>
              <w:rPr>
                <w:rFonts w:hint="eastAsia" w:ascii="宋体" w:hAnsi="宋体" w:eastAsia="宋体" w:cs="宋体"/>
                <w:color w:val="auto"/>
                <w:kern w:val="0"/>
                <w:sz w:val="24"/>
                <w:lang w:val="en-US" w:eastAsia="zh-CN" w:bidi="ar-SA"/>
              </w:rPr>
            </w:pPr>
            <w:r>
              <w:rPr>
                <w:rFonts w:hint="eastAsia" w:asciiTheme="minorEastAsia" w:hAnsiTheme="minorEastAsia" w:eastAsiaTheme="minorEastAsia" w:cstheme="minorEastAsia"/>
                <w:color w:val="auto"/>
                <w:sz w:val="24"/>
                <w:szCs w:val="24"/>
              </w:rPr>
              <w:t>地址：</w:t>
            </w:r>
            <w:r>
              <w:rPr>
                <w:rFonts w:hint="eastAsia" w:ascii="宋体" w:hAnsi="宋体" w:cs="宋体"/>
                <w:color w:val="auto"/>
                <w:kern w:val="0"/>
                <w:sz w:val="24"/>
                <w:lang w:val="en-US" w:eastAsia="zh-CN" w:bidi="ar-SA"/>
              </w:rPr>
              <w:t>榆林市通达路高科城A座7楼东户3室</w:t>
            </w:r>
          </w:p>
          <w:p w14:paraId="425FBAFA">
            <w:pPr>
              <w:adjustRightInd w:val="0"/>
              <w:snapToGrid w:val="0"/>
              <w:spacing w:line="360" w:lineRule="auto"/>
              <w:jc w:val="left"/>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张磊</w:t>
            </w:r>
          </w:p>
          <w:p w14:paraId="728E90C9">
            <w:pPr>
              <w:pStyle w:val="43"/>
              <w:adjustRightInd w:val="0"/>
              <w:snapToGrid w:val="0"/>
              <w:spacing w:line="360" w:lineRule="auto"/>
              <w:ind w:firstLine="0" w:firstLineChars="0"/>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cs="宋体"/>
                <w:color w:val="auto"/>
                <w:sz w:val="24"/>
                <w:szCs w:val="24"/>
              </w:rPr>
              <w:t>联系方式</w:t>
            </w:r>
            <w:r>
              <w:rPr>
                <w:rFonts w:hint="eastAsia" w:asciiTheme="minorEastAsia" w:hAnsiTheme="minorEastAsia" w:eastAsiaTheme="minorEastAsia" w:cstheme="minorEastAsia"/>
                <w:color w:val="auto"/>
                <w:sz w:val="24"/>
                <w:szCs w:val="24"/>
              </w:rPr>
              <w:t>：</w:t>
            </w:r>
            <w:r>
              <w:rPr>
                <w:rFonts w:hint="eastAsia" w:ascii="宋体" w:hAnsi="宋体" w:cs="宋体" w:eastAsiaTheme="minorEastAsia"/>
                <w:color w:val="auto"/>
                <w:sz w:val="24"/>
                <w:lang w:val="en-US" w:eastAsia="zh-CN"/>
              </w:rPr>
              <w:t>17709120240</w:t>
            </w:r>
          </w:p>
        </w:tc>
      </w:tr>
      <w:tr w14:paraId="598771CB">
        <w:tblPrEx>
          <w:tblCellMar>
            <w:top w:w="0" w:type="dxa"/>
            <w:left w:w="108" w:type="dxa"/>
            <w:bottom w:w="0" w:type="dxa"/>
            <w:right w:w="108" w:type="dxa"/>
          </w:tblCellMar>
        </w:tblPrEx>
        <w:trPr>
          <w:trHeight w:val="576" w:hRule="atLeast"/>
        </w:trPr>
        <w:tc>
          <w:tcPr>
            <w:tcW w:w="723" w:type="dxa"/>
            <w:tcBorders>
              <w:top w:val="single" w:color="auto" w:sz="4" w:space="0"/>
              <w:left w:val="single" w:color="auto" w:sz="4" w:space="0"/>
              <w:bottom w:val="single" w:color="auto" w:sz="4" w:space="0"/>
              <w:right w:val="single" w:color="auto" w:sz="4" w:space="0"/>
            </w:tcBorders>
            <w:vAlign w:val="center"/>
          </w:tcPr>
          <w:p w14:paraId="589AE451">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65" w:type="dxa"/>
            <w:tcBorders>
              <w:top w:val="single" w:color="auto" w:sz="4" w:space="0"/>
              <w:left w:val="single" w:color="auto" w:sz="4" w:space="0"/>
              <w:bottom w:val="single" w:color="auto" w:sz="4" w:space="0"/>
              <w:right w:val="single" w:color="auto" w:sz="4" w:space="0"/>
            </w:tcBorders>
            <w:vAlign w:val="center"/>
          </w:tcPr>
          <w:p w14:paraId="52701DEE">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7515" w:type="dxa"/>
            <w:tcBorders>
              <w:top w:val="single" w:color="auto" w:sz="4" w:space="0"/>
              <w:left w:val="single" w:color="auto" w:sz="4" w:space="0"/>
              <w:bottom w:val="single" w:color="auto" w:sz="4" w:space="0"/>
              <w:right w:val="single" w:color="auto" w:sz="4" w:space="0"/>
            </w:tcBorders>
            <w:vAlign w:val="center"/>
          </w:tcPr>
          <w:p w14:paraId="6E63A150">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asciiTheme="minorEastAsia" w:hAnsiTheme="minorEastAsia" w:eastAsiaTheme="minorEastAsia" w:cstheme="minorEastAsia"/>
                <w:color w:val="auto"/>
                <w:sz w:val="24"/>
                <w:szCs w:val="24"/>
              </w:rPr>
            </w:pPr>
            <w:r>
              <w:rPr>
                <w:rFonts w:hint="eastAsia" w:ascii="宋体" w:hAnsi="宋体" w:cs="宋体"/>
                <w:color w:val="auto"/>
                <w:sz w:val="24"/>
                <w:szCs w:val="24"/>
                <w:lang w:eastAsia="zh-CN"/>
              </w:rPr>
              <w:t>子洲县第二中学维修改造项目</w:t>
            </w:r>
          </w:p>
        </w:tc>
      </w:tr>
      <w:tr w14:paraId="480560A9">
        <w:tblPrEx>
          <w:tblCellMar>
            <w:top w:w="0" w:type="dxa"/>
            <w:left w:w="108" w:type="dxa"/>
            <w:bottom w:w="0" w:type="dxa"/>
            <w:right w:w="108" w:type="dxa"/>
          </w:tblCellMar>
        </w:tblPrEx>
        <w:trPr>
          <w:trHeight w:val="621" w:hRule="atLeast"/>
        </w:trPr>
        <w:tc>
          <w:tcPr>
            <w:tcW w:w="723" w:type="dxa"/>
            <w:tcBorders>
              <w:top w:val="single" w:color="auto" w:sz="4" w:space="0"/>
              <w:left w:val="single" w:color="auto" w:sz="4" w:space="0"/>
              <w:bottom w:val="single" w:color="auto" w:sz="4" w:space="0"/>
              <w:right w:val="single" w:color="auto" w:sz="4" w:space="0"/>
            </w:tcBorders>
            <w:vAlign w:val="center"/>
          </w:tcPr>
          <w:p w14:paraId="2F25D47B">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765" w:type="dxa"/>
            <w:tcBorders>
              <w:top w:val="single" w:color="auto" w:sz="4" w:space="0"/>
              <w:left w:val="single" w:color="auto" w:sz="4" w:space="0"/>
              <w:bottom w:val="single" w:color="auto" w:sz="4" w:space="0"/>
              <w:right w:val="single" w:color="auto" w:sz="4" w:space="0"/>
            </w:tcBorders>
            <w:vAlign w:val="center"/>
          </w:tcPr>
          <w:p w14:paraId="3FE0A481">
            <w:pPr>
              <w:jc w:val="center"/>
              <w:outlineLvl w:val="9"/>
              <w:rPr>
                <w:rFonts w:ascii="宋体" w:hAnsi="宋体" w:cs="宋体"/>
                <w:color w:val="auto"/>
                <w:sz w:val="24"/>
                <w:lang w:val="zh-CN"/>
              </w:rPr>
            </w:pPr>
            <w:r>
              <w:rPr>
                <w:rFonts w:hint="eastAsia" w:ascii="宋体" w:hAnsi="宋体" w:cs="宋体"/>
                <w:color w:val="auto"/>
                <w:sz w:val="24"/>
                <w:lang w:val="zh-CN"/>
              </w:rPr>
              <w:t>采购方式</w:t>
            </w:r>
          </w:p>
        </w:tc>
        <w:tc>
          <w:tcPr>
            <w:tcW w:w="7515" w:type="dxa"/>
            <w:tcBorders>
              <w:top w:val="single" w:color="auto" w:sz="4" w:space="0"/>
              <w:left w:val="single" w:color="auto" w:sz="4" w:space="0"/>
              <w:bottom w:val="single" w:color="auto" w:sz="4" w:space="0"/>
              <w:right w:val="single" w:color="auto" w:sz="4" w:space="0"/>
            </w:tcBorders>
            <w:vAlign w:val="center"/>
          </w:tcPr>
          <w:p w14:paraId="621177A7">
            <w:pPr>
              <w:spacing w:line="360" w:lineRule="auto"/>
              <w:outlineLvl w:val="9"/>
              <w:rPr>
                <w:rFonts w:ascii="宋体" w:hAnsi="宋体" w:cs="宋体"/>
                <w:color w:val="auto"/>
                <w:sz w:val="24"/>
                <w:lang w:val="zh-CN"/>
              </w:rPr>
            </w:pPr>
            <w:r>
              <w:rPr>
                <w:rFonts w:hint="eastAsia" w:ascii="宋体" w:hAnsi="宋体" w:cs="宋体"/>
                <w:color w:val="auto"/>
                <w:sz w:val="24"/>
                <w:lang w:val="en-US" w:eastAsia="zh-CN"/>
              </w:rPr>
              <w:t>竞争性磋商</w:t>
            </w:r>
          </w:p>
        </w:tc>
      </w:tr>
      <w:tr w14:paraId="631FEC54">
        <w:tblPrEx>
          <w:tblCellMar>
            <w:top w:w="0" w:type="dxa"/>
            <w:left w:w="108" w:type="dxa"/>
            <w:bottom w:w="0" w:type="dxa"/>
            <w:right w:w="108" w:type="dxa"/>
          </w:tblCellMar>
        </w:tblPrEx>
        <w:trPr>
          <w:trHeight w:val="591" w:hRule="atLeast"/>
        </w:trPr>
        <w:tc>
          <w:tcPr>
            <w:tcW w:w="723" w:type="dxa"/>
            <w:tcBorders>
              <w:top w:val="single" w:color="auto" w:sz="4" w:space="0"/>
              <w:left w:val="single" w:color="auto" w:sz="4" w:space="0"/>
              <w:bottom w:val="single" w:color="auto" w:sz="4" w:space="0"/>
              <w:right w:val="single" w:color="auto" w:sz="4" w:space="0"/>
            </w:tcBorders>
            <w:vAlign w:val="center"/>
          </w:tcPr>
          <w:p w14:paraId="388719CA">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765" w:type="dxa"/>
            <w:tcBorders>
              <w:top w:val="single" w:color="auto" w:sz="4" w:space="0"/>
              <w:left w:val="single" w:color="auto" w:sz="4" w:space="0"/>
              <w:bottom w:val="single" w:color="auto" w:sz="4" w:space="0"/>
              <w:right w:val="single" w:color="auto" w:sz="4" w:space="0"/>
            </w:tcBorders>
            <w:vAlign w:val="center"/>
          </w:tcPr>
          <w:p w14:paraId="053C3147">
            <w:pPr>
              <w:spacing w:line="360" w:lineRule="auto"/>
              <w:jc w:val="center"/>
              <w:outlineLvl w:val="9"/>
              <w:rPr>
                <w:rFonts w:ascii="宋体" w:hAnsi="宋体" w:cs="宋体"/>
                <w:color w:val="auto"/>
                <w:sz w:val="24"/>
                <w:lang w:val="zh-CN"/>
              </w:rPr>
            </w:pPr>
            <w:r>
              <w:rPr>
                <w:rFonts w:hint="eastAsia" w:ascii="宋体" w:hAnsi="宋体" w:eastAsia="宋体" w:cs="宋体"/>
                <w:color w:val="auto"/>
                <w:sz w:val="24"/>
                <w:lang w:val="en-US" w:eastAsia="zh-CN"/>
              </w:rPr>
              <w:t>预算金额</w:t>
            </w:r>
          </w:p>
        </w:tc>
        <w:tc>
          <w:tcPr>
            <w:tcW w:w="7515" w:type="dxa"/>
            <w:tcBorders>
              <w:top w:val="single" w:color="auto" w:sz="4" w:space="0"/>
              <w:left w:val="single" w:color="auto" w:sz="4" w:space="0"/>
              <w:bottom w:val="single" w:color="auto" w:sz="4" w:space="0"/>
              <w:right w:val="single" w:color="auto" w:sz="4" w:space="0"/>
            </w:tcBorders>
            <w:vAlign w:val="center"/>
          </w:tcPr>
          <w:p w14:paraId="0AC8CD74">
            <w:pPr>
              <w:spacing w:line="360" w:lineRule="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3,446,320.11</w:t>
            </w:r>
            <w:r>
              <w:rPr>
                <w:rFonts w:hint="eastAsia" w:ascii="宋体" w:hAnsi="宋体" w:eastAsia="宋体" w:cs="宋体"/>
                <w:color w:val="auto"/>
                <w:sz w:val="24"/>
                <w:lang w:val="en-US" w:eastAsia="zh-CN"/>
              </w:rPr>
              <w:t>元</w:t>
            </w:r>
          </w:p>
          <w:p w14:paraId="7F8C8B97">
            <w:pPr>
              <w:spacing w:line="360" w:lineRule="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备注：磋商报价超过预算金额的，按照无效磋商处理。</w:t>
            </w:r>
          </w:p>
        </w:tc>
      </w:tr>
      <w:tr w14:paraId="63184128">
        <w:tblPrEx>
          <w:tblCellMar>
            <w:top w:w="0" w:type="dxa"/>
            <w:left w:w="108" w:type="dxa"/>
            <w:bottom w:w="0" w:type="dxa"/>
            <w:right w:w="108" w:type="dxa"/>
          </w:tblCellMar>
        </w:tblPrEx>
        <w:trPr>
          <w:trHeight w:val="863" w:hRule="atLeast"/>
        </w:trPr>
        <w:tc>
          <w:tcPr>
            <w:tcW w:w="723" w:type="dxa"/>
            <w:tcBorders>
              <w:top w:val="single" w:color="auto" w:sz="4" w:space="0"/>
              <w:left w:val="single" w:color="auto" w:sz="4" w:space="0"/>
              <w:bottom w:val="single" w:color="auto" w:sz="4" w:space="0"/>
              <w:right w:val="single" w:color="auto" w:sz="4" w:space="0"/>
            </w:tcBorders>
            <w:vAlign w:val="center"/>
          </w:tcPr>
          <w:p w14:paraId="5CEAA106">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c>
          <w:tcPr>
            <w:tcW w:w="1765" w:type="dxa"/>
            <w:tcBorders>
              <w:top w:val="single" w:color="auto" w:sz="4" w:space="0"/>
              <w:left w:val="single" w:color="auto" w:sz="4" w:space="0"/>
              <w:bottom w:val="single" w:color="auto" w:sz="4" w:space="0"/>
              <w:right w:val="single" w:color="auto" w:sz="4" w:space="0"/>
            </w:tcBorders>
            <w:vAlign w:val="center"/>
          </w:tcPr>
          <w:p w14:paraId="1FBDF9B3">
            <w:pPr>
              <w:adjustRightInd w:val="0"/>
              <w:snapToGrid w:val="0"/>
              <w:spacing w:line="360" w:lineRule="auto"/>
              <w:jc w:val="center"/>
              <w:outlineLvl w:val="9"/>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rPr>
              <w:t>资金落实情况</w:t>
            </w:r>
          </w:p>
        </w:tc>
        <w:tc>
          <w:tcPr>
            <w:tcW w:w="7515" w:type="dxa"/>
            <w:tcBorders>
              <w:top w:val="single" w:color="auto" w:sz="4" w:space="0"/>
              <w:left w:val="single" w:color="auto" w:sz="4" w:space="0"/>
              <w:bottom w:val="single" w:color="auto" w:sz="4" w:space="0"/>
              <w:right w:val="single" w:color="auto" w:sz="4" w:space="0"/>
            </w:tcBorders>
            <w:vAlign w:val="center"/>
          </w:tcPr>
          <w:p w14:paraId="1194039F">
            <w:pPr>
              <w:adjustRightInd w:val="0"/>
              <w:snapToGrid w:val="0"/>
              <w:spacing w:line="360" w:lineRule="auto"/>
              <w:jc w:val="left"/>
              <w:outlineLvl w:val="9"/>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rPr>
              <w:t>已落实</w:t>
            </w:r>
          </w:p>
        </w:tc>
      </w:tr>
      <w:tr w14:paraId="42D4997E">
        <w:tblPrEx>
          <w:tblCellMar>
            <w:top w:w="0" w:type="dxa"/>
            <w:left w:w="108" w:type="dxa"/>
            <w:bottom w:w="0" w:type="dxa"/>
            <w:right w:w="108" w:type="dxa"/>
          </w:tblCellMar>
        </w:tblPrEx>
        <w:trPr>
          <w:trHeight w:val="531" w:hRule="atLeast"/>
        </w:trPr>
        <w:tc>
          <w:tcPr>
            <w:tcW w:w="723" w:type="dxa"/>
            <w:tcBorders>
              <w:top w:val="single" w:color="auto" w:sz="4" w:space="0"/>
              <w:left w:val="single" w:color="auto" w:sz="4" w:space="0"/>
              <w:bottom w:val="single" w:color="auto" w:sz="4" w:space="0"/>
              <w:right w:val="single" w:color="auto" w:sz="4" w:space="0"/>
            </w:tcBorders>
            <w:vAlign w:val="center"/>
          </w:tcPr>
          <w:p w14:paraId="67AFE58B">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1765" w:type="dxa"/>
            <w:tcBorders>
              <w:top w:val="single" w:color="auto" w:sz="4" w:space="0"/>
              <w:left w:val="single" w:color="auto" w:sz="4" w:space="0"/>
              <w:bottom w:val="single" w:color="auto" w:sz="4" w:space="0"/>
              <w:right w:val="single" w:color="auto" w:sz="4" w:space="0"/>
            </w:tcBorders>
            <w:vAlign w:val="center"/>
          </w:tcPr>
          <w:p w14:paraId="569AB7EB">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r>
              <w:rPr>
                <w:rFonts w:hint="eastAsia" w:ascii="宋体" w:hAnsi="宋体" w:cs="宋体"/>
                <w:color w:val="auto"/>
                <w:sz w:val="24"/>
                <w:szCs w:val="24"/>
              </w:rPr>
              <w:t>报价</w:t>
            </w:r>
          </w:p>
        </w:tc>
        <w:tc>
          <w:tcPr>
            <w:tcW w:w="7515" w:type="dxa"/>
            <w:tcBorders>
              <w:top w:val="single" w:color="auto" w:sz="4" w:space="0"/>
              <w:left w:val="single" w:color="auto" w:sz="4" w:space="0"/>
              <w:bottom w:val="single" w:color="auto" w:sz="4" w:space="0"/>
              <w:right w:val="single" w:color="auto" w:sz="4" w:space="0"/>
            </w:tcBorders>
            <w:vAlign w:val="center"/>
          </w:tcPr>
          <w:p w14:paraId="3544A99E">
            <w:pPr>
              <w:adjustRightInd w:val="0"/>
              <w:snapToGrid w:val="0"/>
              <w:spacing w:line="360" w:lineRule="auto"/>
              <w:jc w:val="left"/>
              <w:outlineLvl w:val="9"/>
              <w:rPr>
                <w:rFonts w:asciiTheme="minorEastAsia" w:hAnsiTheme="minorEastAsia" w:eastAsiaTheme="minorEastAsia" w:cstheme="minorEastAsia"/>
                <w:color w:val="auto"/>
                <w:sz w:val="24"/>
                <w:szCs w:val="24"/>
              </w:rPr>
            </w:pPr>
            <w:r>
              <w:rPr>
                <w:rFonts w:hint="eastAsia" w:ascii="宋体" w:hAnsi="宋体" w:cs="宋体"/>
                <w:color w:val="auto"/>
                <w:sz w:val="24"/>
                <w:szCs w:val="24"/>
              </w:rPr>
              <w:t>报价包含</w:t>
            </w:r>
            <w:r>
              <w:rPr>
                <w:rFonts w:hint="eastAsia" w:ascii="宋体" w:hAnsi="宋体" w:cs="仿宋_GB2312"/>
                <w:color w:val="auto"/>
                <w:sz w:val="24"/>
                <w:szCs w:val="24"/>
              </w:rPr>
              <w:t>完成本次投标项目所包含的一切相关费用</w:t>
            </w:r>
          </w:p>
        </w:tc>
      </w:tr>
      <w:tr w14:paraId="16AA5C57">
        <w:tblPrEx>
          <w:tblCellMar>
            <w:top w:w="0" w:type="dxa"/>
            <w:left w:w="108" w:type="dxa"/>
            <w:bottom w:w="0" w:type="dxa"/>
            <w:right w:w="108" w:type="dxa"/>
          </w:tblCellMar>
        </w:tblPrEx>
        <w:trPr>
          <w:trHeight w:val="531" w:hRule="atLeast"/>
        </w:trPr>
        <w:tc>
          <w:tcPr>
            <w:tcW w:w="723" w:type="dxa"/>
            <w:tcBorders>
              <w:top w:val="single" w:color="auto" w:sz="4" w:space="0"/>
              <w:left w:val="single" w:color="auto" w:sz="4" w:space="0"/>
              <w:bottom w:val="single" w:color="auto" w:sz="4" w:space="0"/>
              <w:right w:val="single" w:color="auto" w:sz="4" w:space="0"/>
            </w:tcBorders>
            <w:vAlign w:val="center"/>
          </w:tcPr>
          <w:p w14:paraId="759BF204">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1765" w:type="dxa"/>
            <w:tcBorders>
              <w:top w:val="single" w:color="auto" w:sz="4" w:space="0"/>
              <w:left w:val="single" w:color="auto" w:sz="4" w:space="0"/>
              <w:bottom w:val="single" w:color="auto" w:sz="4" w:space="0"/>
              <w:right w:val="single" w:color="auto" w:sz="4" w:space="0"/>
            </w:tcBorders>
            <w:vAlign w:val="center"/>
          </w:tcPr>
          <w:p w14:paraId="55EF3A1A">
            <w:pPr>
              <w:widowControl/>
              <w:adjustRightInd w:val="0"/>
              <w:snapToGrid w:val="0"/>
              <w:spacing w:line="360" w:lineRule="auto"/>
              <w:jc w:val="center"/>
              <w:textAlignment w:val="center"/>
              <w:outlineLvl w:val="9"/>
              <w:rPr>
                <w:rFonts w:asciiTheme="minorEastAsia" w:hAnsiTheme="minorEastAsia" w:eastAsiaTheme="minorEastAsia" w:cstheme="minorEastAsia"/>
                <w:color w:val="auto"/>
                <w:sz w:val="24"/>
                <w:szCs w:val="24"/>
              </w:rPr>
            </w:pPr>
            <w:r>
              <w:rPr>
                <w:rFonts w:hint="eastAsia" w:ascii="宋体" w:hAnsi="宋体" w:cs="宋体"/>
                <w:color w:val="auto"/>
                <w:sz w:val="24"/>
                <w:szCs w:val="24"/>
              </w:rPr>
              <w:t>投标文件</w:t>
            </w:r>
          </w:p>
        </w:tc>
        <w:tc>
          <w:tcPr>
            <w:tcW w:w="7515" w:type="dxa"/>
            <w:tcBorders>
              <w:top w:val="single" w:color="auto" w:sz="4" w:space="0"/>
              <w:left w:val="single" w:color="auto" w:sz="4" w:space="0"/>
              <w:bottom w:val="single" w:color="auto" w:sz="4" w:space="0"/>
              <w:right w:val="single" w:color="auto" w:sz="4" w:space="0"/>
            </w:tcBorders>
            <w:vAlign w:val="center"/>
          </w:tcPr>
          <w:p w14:paraId="1AB9FC1E">
            <w:pPr>
              <w:spacing w:line="360" w:lineRule="auto"/>
              <w:ind w:firstLine="482" w:firstLineChars="200"/>
              <w:outlineLvl w:val="9"/>
              <w:rPr>
                <w:rFonts w:hint="eastAsia"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1、本项目采用电子化投标文件的方式。投标人须使用数字认证证书对电子化投标文件进行签章、加密、递交及开标时解密等相关招投标事宜。</w:t>
            </w:r>
          </w:p>
          <w:p w14:paraId="079C2FBB">
            <w:pPr>
              <w:spacing w:line="360" w:lineRule="auto"/>
              <w:ind w:firstLine="482" w:firstLineChars="200"/>
              <w:outlineLvl w:val="9"/>
              <w:rPr>
                <w:rFonts w:hint="eastAsia"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2、纸质投标文件：为便于采购人归档和向监管部门备案，中标人须提交正本壹份、副本叁份、电子版（word版U盘）壹份，投标文件可采用系统上传的电子投标文件的打印件，投标文件正、副本须各自装订成册，统一编码（要求胶装、不得出现活页）。每份投标文件封皮须清楚地标明“正本”或“副本”。</w:t>
            </w:r>
          </w:p>
          <w:p w14:paraId="0225317F">
            <w:pPr>
              <w:spacing w:line="360" w:lineRule="auto"/>
              <w:ind w:firstLine="482" w:firstLineChars="200"/>
              <w:outlineLvl w:val="9"/>
              <w:rPr>
                <w:rFonts w:hint="eastAsia"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递交方式：纸质版投标文件在开标时无需提交，待开标结束后，中标人须邮寄正本壹份、副本叁份、电子版（word版U盘）壹份；以电报、传真、电子邮件形式递交的投标文件将不予接受。</w:t>
            </w:r>
          </w:p>
          <w:p w14:paraId="71EBC16F">
            <w:pPr>
              <w:spacing w:line="360" w:lineRule="auto"/>
              <w:ind w:firstLine="482" w:firstLineChars="200"/>
              <w:outlineLvl w:val="9"/>
              <w:rPr>
                <w:rFonts w:hint="eastAsia"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收件人：</w:t>
            </w:r>
            <w:r>
              <w:rPr>
                <w:rFonts w:hint="eastAsia" w:ascii="宋体" w:hAnsi="宋体" w:cs="仿宋_GB2312"/>
                <w:b/>
                <w:color w:val="auto"/>
                <w:sz w:val="24"/>
                <w:szCs w:val="22"/>
                <w:lang w:val="en-US" w:eastAsia="zh-CN"/>
              </w:rPr>
              <w:t>张磊</w:t>
            </w:r>
            <w:r>
              <w:rPr>
                <w:rFonts w:hint="eastAsia" w:ascii="宋体" w:hAnsi="宋体" w:eastAsia="宋体" w:cs="仿宋_GB2312"/>
                <w:b/>
                <w:color w:val="auto"/>
                <w:sz w:val="24"/>
                <w:szCs w:val="22"/>
                <w:lang w:val="en-US" w:eastAsia="zh-CN"/>
              </w:rPr>
              <w:t xml:space="preserve">                   </w:t>
            </w:r>
          </w:p>
          <w:p w14:paraId="3BABC2C5">
            <w:pPr>
              <w:spacing w:line="360" w:lineRule="auto"/>
              <w:ind w:firstLine="482" w:firstLineChars="200"/>
              <w:outlineLvl w:val="9"/>
              <w:rPr>
                <w:rFonts w:hint="default"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收件电话：</w:t>
            </w:r>
            <w:r>
              <w:rPr>
                <w:rFonts w:hint="eastAsia" w:ascii="宋体" w:hAnsi="宋体" w:cs="仿宋_GB2312"/>
                <w:b/>
                <w:color w:val="auto"/>
                <w:sz w:val="24"/>
                <w:szCs w:val="22"/>
                <w:lang w:val="en-US" w:eastAsia="zh-CN"/>
              </w:rPr>
              <w:t>17709120240</w:t>
            </w:r>
          </w:p>
          <w:p w14:paraId="6E46CDC3">
            <w:pPr>
              <w:spacing w:line="360" w:lineRule="auto"/>
              <w:ind w:firstLine="482" w:firstLineChars="200"/>
              <w:outlineLvl w:val="9"/>
              <w:rPr>
                <w:rFonts w:hint="eastAsia" w:ascii="宋体" w:hAnsi="宋体" w:eastAsia="宋体" w:cs="仿宋_GB2312"/>
                <w:b/>
                <w:color w:val="auto"/>
                <w:sz w:val="24"/>
                <w:szCs w:val="22"/>
                <w:lang w:val="en-US" w:eastAsia="zh-CN"/>
              </w:rPr>
            </w:pPr>
            <w:r>
              <w:rPr>
                <w:rFonts w:hint="eastAsia" w:ascii="宋体" w:hAnsi="宋体" w:eastAsia="宋体" w:cs="仿宋_GB2312"/>
                <w:b/>
                <w:color w:val="auto"/>
                <w:sz w:val="24"/>
                <w:szCs w:val="22"/>
                <w:lang w:val="en-US" w:eastAsia="zh-CN"/>
              </w:rPr>
              <w:t>收件地址：</w:t>
            </w:r>
            <w:r>
              <w:rPr>
                <w:rFonts w:hint="eastAsia" w:ascii="宋体" w:hAnsi="宋体" w:cs="仿宋_GB2312"/>
                <w:b/>
                <w:color w:val="auto"/>
                <w:sz w:val="24"/>
                <w:szCs w:val="22"/>
                <w:lang w:val="en-US" w:eastAsia="zh-CN"/>
              </w:rPr>
              <w:t>榆林市通达路高科城A座7楼东户3室</w:t>
            </w:r>
          </w:p>
        </w:tc>
      </w:tr>
      <w:tr w14:paraId="47E33530">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vAlign w:val="center"/>
          </w:tcPr>
          <w:p w14:paraId="6632618B">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p>
        </w:tc>
        <w:tc>
          <w:tcPr>
            <w:tcW w:w="1765" w:type="dxa"/>
            <w:tcBorders>
              <w:top w:val="single" w:color="auto" w:sz="4" w:space="0"/>
              <w:left w:val="single" w:color="auto" w:sz="4" w:space="0"/>
              <w:bottom w:val="single" w:color="auto" w:sz="4" w:space="0"/>
              <w:right w:val="single" w:color="auto" w:sz="4" w:space="0"/>
            </w:tcBorders>
            <w:vAlign w:val="center"/>
          </w:tcPr>
          <w:p w14:paraId="04C35200">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w:t>
            </w:r>
          </w:p>
          <w:p w14:paraId="666D80E8">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条件</w:t>
            </w:r>
          </w:p>
        </w:tc>
        <w:tc>
          <w:tcPr>
            <w:tcW w:w="7515" w:type="dxa"/>
            <w:tcBorders>
              <w:top w:val="single" w:color="auto" w:sz="4" w:space="0"/>
              <w:left w:val="single" w:color="auto" w:sz="4" w:space="0"/>
              <w:bottom w:val="single" w:color="auto" w:sz="4" w:space="0"/>
              <w:right w:val="single" w:color="auto" w:sz="4" w:space="0"/>
            </w:tcBorders>
            <w:vAlign w:val="center"/>
          </w:tcPr>
          <w:p w14:paraId="0BACC8FE">
            <w:pPr>
              <w:adjustRightInd w:val="0"/>
              <w:snapToGrid w:val="0"/>
              <w:spacing w:line="360" w:lineRule="auto"/>
              <w:ind w:left="8" w:firstLine="410" w:firstLineChars="171"/>
              <w:outlineLvl w:val="9"/>
              <w:rPr>
                <w:rFonts w:hint="eastAsia" w:ascii="宋体" w:hAnsi="宋体" w:cs="宋体"/>
                <w:color w:val="auto"/>
                <w:sz w:val="24"/>
              </w:rPr>
            </w:pPr>
            <w:r>
              <w:rPr>
                <w:rFonts w:hint="eastAsia" w:ascii="宋体" w:hAnsi="宋体" w:cs="宋体"/>
                <w:color w:val="auto"/>
                <w:sz w:val="24"/>
              </w:rPr>
              <w:t>（一）基本资格条件：符合《中华人民共和国政府采购法》第二十二条的规定。</w:t>
            </w:r>
          </w:p>
          <w:p w14:paraId="21338453">
            <w:pPr>
              <w:pStyle w:val="11"/>
              <w:adjustRightInd w:val="0"/>
              <w:snapToGrid w:val="0"/>
              <w:spacing w:line="240" w:lineRule="auto"/>
              <w:ind w:firstLine="420" w:firstLineChars="175"/>
              <w:outlineLvl w:val="9"/>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（二）特定资格条件：</w:t>
            </w:r>
          </w:p>
          <w:p w14:paraId="3B7940E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②具备建筑工程施工总承包三级（含三级）以上资质，具备有效的安全生产许可证；</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③拟派往本项目的建造师必须为本企业注册的建造师，具备建筑工程专业二级及以上注册建造师执业资格和有效的安全生产考核合格证书(B证)，且未担任其它在建工程的建造师（提供无在建工程声明）；</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④税收缴纳证明：提供2025年1月至今至少1个月的纳税证明（银行缴费凭证）或完税证明，依法免税的单位应提供相关证明材料； </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⑤社会保障资金缴纳证明：</w:t>
            </w:r>
            <w:r>
              <w:rPr>
                <w:rFonts w:hint="eastAsia" w:ascii="宋体" w:hAnsi="宋体" w:eastAsia="宋体" w:cs="宋体"/>
                <w:i w:val="0"/>
                <w:iCs w:val="0"/>
                <w:caps w:val="0"/>
                <w:color w:val="auto"/>
                <w:spacing w:val="0"/>
                <w:sz w:val="24"/>
                <w:szCs w:val="24"/>
                <w:shd w:val="clear" w:fill="FFFFFF"/>
              </w:rPr>
              <w:t>提供2025年1月至今至少1个月的社会保障资金（任一险种）缴费单据或社保机构开具的社会保险参保缴费情况证明，依法不需要缴纳社会保障资金的单位应提供相关证明材料</w:t>
            </w:r>
            <w:r>
              <w:rPr>
                <w:rFonts w:hint="eastAsia" w:ascii="宋体" w:hAnsi="宋体" w:eastAsia="宋体" w:cs="宋体"/>
                <w:color w:val="auto"/>
                <w:sz w:val="24"/>
                <w:szCs w:val="24"/>
              </w:rPr>
              <w:t>； </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⑥财务要求：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⑦参加政府采购活动前三年内，在经营活动中没有重大违法记录的书面声明；</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⑧提供具有履行合同所必需的设备和专业技术能力的证明资料或承诺书； </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⑨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⑩自主上报信用承诺书：投标人及其授权委托人应在“信用中国（陕西榆林）”网站(www.ylcredit.gov.cn)进行注册、登录、自主上报信用承诺书，包括：《榆林市政府采购工程类项目供应商信用承诺书》、《投标人信用承诺》、《投标人委托代理人员信用承诺书》(如有)、《投标信用承诺书》；  </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⑪本项目专门面向中小企业（提供中小企业声明函）； </w:t>
            </w:r>
            <w:r>
              <w:rPr>
                <w:rFonts w:hint="eastAsia" w:ascii="宋体" w:hAnsi="宋体" w:eastAsia="宋体" w:cs="宋体"/>
                <w:color w:val="auto"/>
                <w:sz w:val="24"/>
                <w:szCs w:val="24"/>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rPr>
              <w:t>⑫本项目不接受联合体投标，单位负责人为同一人或者存在直接控股、管理关系的不同投标人，不得参加同一合同项下的政府采购活动（提供非联合体投标声明）。</w:t>
            </w:r>
          </w:p>
          <w:p w14:paraId="6E021001">
            <w:pPr>
              <w:pStyle w:val="43"/>
              <w:adjustRightInd w:val="0"/>
              <w:snapToGrid w:val="0"/>
              <w:spacing w:line="360" w:lineRule="auto"/>
              <w:ind w:left="0" w:leftChars="0" w:firstLine="723" w:firstLineChars="300"/>
              <w:outlineLvl w:val="9"/>
              <w:rPr>
                <w:rFonts w:ascii="宋体" w:hAnsi="宋体" w:cs="宋体"/>
                <w:color w:val="auto"/>
                <w:sz w:val="24"/>
                <w:szCs w:val="24"/>
              </w:rPr>
            </w:pPr>
            <w:r>
              <w:rPr>
                <w:rFonts w:hint="eastAsia" w:ascii="宋体" w:hAnsi="宋体" w:cs="宋体"/>
                <w:b/>
                <w:bCs w:val="0"/>
                <w:color w:val="auto"/>
                <w:sz w:val="24"/>
                <w:szCs w:val="24"/>
              </w:rPr>
              <w:t>注：上述资质为必备资质，欠缺其中任何一项按无效投标处理。</w:t>
            </w:r>
          </w:p>
        </w:tc>
      </w:tr>
      <w:tr w14:paraId="56C205D3">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vAlign w:val="center"/>
          </w:tcPr>
          <w:p w14:paraId="023C36B7">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765" w:type="dxa"/>
            <w:tcBorders>
              <w:top w:val="single" w:color="auto" w:sz="4" w:space="0"/>
              <w:left w:val="single" w:color="auto" w:sz="4" w:space="0"/>
              <w:bottom w:val="single" w:color="auto" w:sz="4" w:space="0"/>
              <w:right w:val="single" w:color="auto" w:sz="4" w:space="0"/>
            </w:tcBorders>
            <w:vAlign w:val="center"/>
          </w:tcPr>
          <w:p w14:paraId="64AB3528">
            <w:pPr>
              <w:widowControl/>
              <w:adjustRightInd w:val="0"/>
              <w:snapToGrid w:val="0"/>
              <w:spacing w:line="360" w:lineRule="auto"/>
              <w:jc w:val="center"/>
              <w:textAlignment w:val="center"/>
              <w:outlineLvl w:val="9"/>
              <w:rPr>
                <w:rFonts w:asciiTheme="minorEastAsia" w:hAnsiTheme="minorEastAsia" w:eastAsiaTheme="minorEastAsia" w:cstheme="minorEastAsia"/>
                <w:color w:val="auto"/>
                <w:sz w:val="24"/>
                <w:szCs w:val="24"/>
              </w:rPr>
            </w:pPr>
            <w:r>
              <w:rPr>
                <w:rFonts w:hint="eastAsia" w:ascii="宋体" w:hAnsi="宋体" w:cs="宋体"/>
                <w:color w:val="auto"/>
                <w:sz w:val="24"/>
                <w:szCs w:val="24"/>
              </w:rPr>
              <w:t>磋商有效期</w:t>
            </w:r>
          </w:p>
        </w:tc>
        <w:tc>
          <w:tcPr>
            <w:tcW w:w="7515" w:type="dxa"/>
            <w:tcBorders>
              <w:top w:val="single" w:color="auto" w:sz="4" w:space="0"/>
              <w:left w:val="single" w:color="auto" w:sz="4" w:space="0"/>
              <w:bottom w:val="single" w:color="auto" w:sz="4" w:space="0"/>
              <w:right w:val="single" w:color="auto" w:sz="4" w:space="0"/>
            </w:tcBorders>
            <w:vAlign w:val="center"/>
          </w:tcPr>
          <w:p w14:paraId="76FC0888">
            <w:pPr>
              <w:widowControl/>
              <w:tabs>
                <w:tab w:val="left" w:pos="1620"/>
              </w:tabs>
              <w:adjustRightInd w:val="0"/>
              <w:snapToGrid w:val="0"/>
              <w:spacing w:line="360" w:lineRule="auto"/>
              <w:jc w:val="left"/>
              <w:outlineLvl w:val="9"/>
              <w:rPr>
                <w:rFonts w:asciiTheme="minorEastAsia" w:hAnsiTheme="minorEastAsia" w:eastAsiaTheme="minorEastAsia" w:cstheme="minorEastAsia"/>
                <w:bCs/>
                <w:color w:val="auto"/>
                <w:kern w:val="2"/>
                <w:sz w:val="24"/>
                <w:szCs w:val="24"/>
              </w:rPr>
            </w:pPr>
            <w:r>
              <w:rPr>
                <w:rFonts w:hint="eastAsia"/>
                <w:color w:val="auto"/>
                <w:sz w:val="24"/>
              </w:rPr>
              <w:t>磋商</w:t>
            </w:r>
            <w:r>
              <w:rPr>
                <w:rFonts w:hint="eastAsia" w:ascii="宋体" w:hAnsi="宋体" w:cs="宋体"/>
                <w:color w:val="auto"/>
                <w:sz w:val="24"/>
                <w:szCs w:val="24"/>
              </w:rPr>
              <w:t>响应文件从磋商截止日起，磋商有效期为90天，磋商有效期短于此规定期限的响应文件，视为无效响应文件。</w:t>
            </w:r>
            <w:r>
              <w:rPr>
                <w:rFonts w:hint="eastAsia" w:ascii="宋体" w:hAnsi="宋体" w:cs="宋体"/>
                <w:color w:val="auto"/>
                <w:sz w:val="24"/>
                <w:szCs w:val="24"/>
                <w:lang w:eastAsia="zh-CN"/>
              </w:rPr>
              <w:t>成交供应商</w:t>
            </w:r>
            <w:r>
              <w:rPr>
                <w:rFonts w:hint="eastAsia" w:ascii="宋体" w:hAnsi="宋体" w:cs="宋体"/>
                <w:color w:val="auto"/>
                <w:sz w:val="24"/>
                <w:szCs w:val="24"/>
              </w:rPr>
              <w:t>的响应文件有效期延长至合同执行完毕。</w:t>
            </w:r>
          </w:p>
        </w:tc>
      </w:tr>
      <w:tr w14:paraId="3A2BABBD">
        <w:tblPrEx>
          <w:tblCellMar>
            <w:top w:w="0" w:type="dxa"/>
            <w:left w:w="108" w:type="dxa"/>
            <w:bottom w:w="0" w:type="dxa"/>
            <w:right w:w="108" w:type="dxa"/>
          </w:tblCellMar>
        </w:tblPrEx>
        <w:trPr>
          <w:trHeight w:val="90" w:hRule="atLeast"/>
        </w:trPr>
        <w:tc>
          <w:tcPr>
            <w:tcW w:w="723" w:type="dxa"/>
            <w:tcBorders>
              <w:top w:val="single" w:color="auto" w:sz="4" w:space="0"/>
              <w:left w:val="single" w:color="auto" w:sz="4" w:space="0"/>
              <w:bottom w:val="single" w:color="auto" w:sz="4" w:space="0"/>
              <w:right w:val="single" w:color="auto" w:sz="4" w:space="0"/>
            </w:tcBorders>
            <w:vAlign w:val="center"/>
          </w:tcPr>
          <w:p w14:paraId="09387179">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765" w:type="dxa"/>
            <w:tcBorders>
              <w:top w:val="single" w:color="auto" w:sz="4" w:space="0"/>
              <w:left w:val="single" w:color="auto" w:sz="4" w:space="0"/>
              <w:bottom w:val="single" w:color="auto" w:sz="4" w:space="0"/>
              <w:right w:val="single" w:color="auto" w:sz="4" w:space="0"/>
            </w:tcBorders>
            <w:vAlign w:val="center"/>
          </w:tcPr>
          <w:p w14:paraId="4D53DFEB">
            <w:pPr>
              <w:spacing w:line="420" w:lineRule="exact"/>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rPr>
              <w:t>竞争性磋商响应文件递交截止时间</w:t>
            </w:r>
            <w:r>
              <w:rPr>
                <w:rFonts w:hint="eastAsia" w:ascii="宋体" w:hAnsi="宋体" w:cs="宋体"/>
                <w:color w:val="auto"/>
                <w:sz w:val="24"/>
                <w:lang w:val="zh-CN"/>
              </w:rPr>
              <w:t>、</w:t>
            </w:r>
            <w:r>
              <w:rPr>
                <w:rFonts w:hint="eastAsia"/>
                <w:color w:val="auto"/>
                <w:sz w:val="24"/>
                <w:szCs w:val="24"/>
              </w:rPr>
              <w:t>磋商</w:t>
            </w:r>
            <w:r>
              <w:rPr>
                <w:rFonts w:hint="eastAsia" w:ascii="宋体" w:hAnsi="宋体" w:cs="宋体"/>
                <w:color w:val="auto"/>
                <w:sz w:val="24"/>
                <w:szCs w:val="24"/>
              </w:rPr>
              <w:t>时间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地点</w:t>
            </w:r>
          </w:p>
        </w:tc>
        <w:tc>
          <w:tcPr>
            <w:tcW w:w="7515" w:type="dxa"/>
            <w:tcBorders>
              <w:top w:val="single" w:color="auto" w:sz="4" w:space="0"/>
              <w:left w:val="single" w:color="auto" w:sz="4" w:space="0"/>
              <w:bottom w:val="single" w:color="auto" w:sz="4" w:space="0"/>
              <w:right w:val="single" w:color="auto" w:sz="4" w:space="0"/>
            </w:tcBorders>
            <w:vAlign w:val="center"/>
          </w:tcPr>
          <w:p w14:paraId="4FFEFF62">
            <w:pPr>
              <w:spacing w:line="360" w:lineRule="auto"/>
              <w:outlineLvl w:val="9"/>
              <w:rPr>
                <w:rFonts w:ascii="宋体" w:hAnsi="宋体" w:cs="宋体"/>
                <w:color w:val="auto"/>
                <w:sz w:val="24"/>
                <w:szCs w:val="24"/>
              </w:rPr>
            </w:pPr>
            <w:r>
              <w:rPr>
                <w:rFonts w:hint="eastAsia" w:ascii="宋体" w:hAnsi="宋体" w:cs="宋体"/>
                <w:color w:val="auto"/>
                <w:sz w:val="24"/>
              </w:rPr>
              <w:t>竞争性磋商响应文件递交截止时间</w:t>
            </w:r>
            <w:r>
              <w:rPr>
                <w:rFonts w:hint="eastAsia" w:ascii="宋体" w:hAnsi="宋体" w:cs="宋体"/>
                <w:color w:val="auto"/>
                <w:sz w:val="24"/>
                <w:szCs w:val="24"/>
              </w:rPr>
              <w:t>及开标时间和地点：</w:t>
            </w:r>
          </w:p>
          <w:p w14:paraId="72B5290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lang w:eastAsia="zh-CN"/>
              </w:rPr>
            </w:pPr>
            <w:r>
              <w:rPr>
                <w:rFonts w:hint="eastAsia" w:ascii="宋体" w:hAnsi="宋体" w:cs="宋体"/>
                <w:color w:val="auto"/>
                <w:sz w:val="24"/>
              </w:rPr>
              <w:t>竞争性磋商响应文件递交截止时间： </w:t>
            </w:r>
            <w:r>
              <w:rPr>
                <w:rFonts w:hint="eastAsia" w:ascii="宋体" w:hAnsi="宋体" w:cs="宋体"/>
                <w:color w:val="auto"/>
                <w:sz w:val="24"/>
                <w:lang w:eastAsia="zh-CN"/>
              </w:rPr>
              <w:t>2025年10月31日 13时30分</w:t>
            </w:r>
          </w:p>
          <w:p w14:paraId="4C13BCF8">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lang w:eastAsia="zh-CN"/>
              </w:rPr>
            </w:pPr>
            <w:r>
              <w:rPr>
                <w:rFonts w:hint="eastAsia" w:ascii="宋体" w:hAnsi="宋体" w:cs="宋体"/>
                <w:color w:val="auto"/>
                <w:sz w:val="24"/>
              </w:rPr>
              <w:t>磋商时间：</w:t>
            </w:r>
            <w:r>
              <w:rPr>
                <w:rFonts w:hint="eastAsia" w:ascii="宋体" w:hAnsi="宋体" w:cs="宋体"/>
                <w:color w:val="auto"/>
                <w:sz w:val="24"/>
                <w:lang w:eastAsia="zh-CN"/>
              </w:rPr>
              <w:t xml:space="preserve"> 2025年10月31日 13时30分</w:t>
            </w:r>
          </w:p>
          <w:p w14:paraId="7B2DCFDC">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ascii="宋体" w:hAnsi="宋体" w:cs="宋体"/>
                <w:color w:val="auto"/>
                <w:sz w:val="24"/>
                <w:szCs w:val="24"/>
                <w:u w:val="single"/>
              </w:rPr>
            </w:pPr>
            <w:r>
              <w:rPr>
                <w:rFonts w:hint="eastAsia" w:ascii="宋体" w:hAnsi="宋体" w:cs="宋体"/>
                <w:color w:val="auto"/>
                <w:sz w:val="24"/>
                <w:lang w:eastAsia="zh-CN"/>
              </w:rPr>
              <w:t>磋商</w:t>
            </w:r>
            <w:r>
              <w:rPr>
                <w:rFonts w:hint="eastAsia" w:ascii="宋体" w:hAnsi="宋体" w:cs="宋体"/>
                <w:color w:val="auto"/>
                <w:sz w:val="24"/>
              </w:rPr>
              <w:t>地点：</w:t>
            </w:r>
            <w:r>
              <w:rPr>
                <w:rFonts w:hint="eastAsia" w:ascii="宋体" w:hAnsi="宋体" w:eastAsia="宋体" w:cs="宋体"/>
                <w:i w:val="0"/>
                <w:iCs w:val="0"/>
                <w:caps w:val="0"/>
                <w:color w:val="auto"/>
                <w:spacing w:val="0"/>
                <w:sz w:val="24"/>
                <w:szCs w:val="24"/>
                <w:shd w:val="clear" w:fill="FFFFFF"/>
              </w:rPr>
              <w:t>登录全国公共资源交易平台（陕西省•榆林市）网站〖首页〉不见面开标〗系统，在线参加开标过程</w:t>
            </w:r>
          </w:p>
        </w:tc>
      </w:tr>
      <w:tr w14:paraId="0A04D498">
        <w:tblPrEx>
          <w:tblCellMar>
            <w:top w:w="0" w:type="dxa"/>
            <w:left w:w="108" w:type="dxa"/>
            <w:bottom w:w="0" w:type="dxa"/>
            <w:right w:w="108" w:type="dxa"/>
          </w:tblCellMar>
        </w:tblPrEx>
        <w:trPr>
          <w:trHeight w:val="90" w:hRule="atLeast"/>
        </w:trPr>
        <w:tc>
          <w:tcPr>
            <w:tcW w:w="723" w:type="dxa"/>
            <w:tcBorders>
              <w:top w:val="single" w:color="auto" w:sz="4" w:space="0"/>
              <w:left w:val="single" w:color="auto" w:sz="4" w:space="0"/>
              <w:bottom w:val="single" w:color="auto" w:sz="4" w:space="0"/>
              <w:right w:val="single" w:color="auto" w:sz="4" w:space="0"/>
            </w:tcBorders>
            <w:vAlign w:val="center"/>
          </w:tcPr>
          <w:p w14:paraId="5C06EBB3">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765" w:type="dxa"/>
            <w:tcBorders>
              <w:top w:val="single" w:color="auto" w:sz="4" w:space="0"/>
              <w:left w:val="single" w:color="auto" w:sz="4" w:space="0"/>
              <w:bottom w:val="single" w:color="auto" w:sz="4" w:space="0"/>
              <w:right w:val="single" w:color="auto" w:sz="4" w:space="0"/>
            </w:tcBorders>
            <w:vAlign w:val="center"/>
          </w:tcPr>
          <w:p w14:paraId="0A194CE5">
            <w:pPr>
              <w:widowControl/>
              <w:adjustRightInd w:val="0"/>
              <w:snapToGrid w:val="0"/>
              <w:spacing w:line="360" w:lineRule="auto"/>
              <w:jc w:val="center"/>
              <w:textAlignment w:val="center"/>
              <w:outlineLvl w:val="9"/>
              <w:rPr>
                <w:rFonts w:ascii="宋体" w:hAnsi="宋体" w:cs="宋体"/>
                <w:color w:val="auto"/>
                <w:sz w:val="24"/>
                <w:lang w:val="zh-CN"/>
              </w:rPr>
            </w:pPr>
            <w:r>
              <w:rPr>
                <w:rFonts w:hint="eastAsia" w:ascii="宋体" w:hAnsi="宋体" w:cs="宋体"/>
                <w:color w:val="auto"/>
                <w:sz w:val="24"/>
                <w:szCs w:val="24"/>
              </w:rPr>
              <w:t>磋商保证金</w:t>
            </w:r>
          </w:p>
        </w:tc>
        <w:tc>
          <w:tcPr>
            <w:tcW w:w="7515" w:type="dxa"/>
            <w:tcBorders>
              <w:top w:val="single" w:color="auto" w:sz="4" w:space="0"/>
              <w:left w:val="single" w:color="auto" w:sz="4" w:space="0"/>
              <w:bottom w:val="single" w:color="auto" w:sz="4" w:space="0"/>
              <w:right w:val="single" w:color="auto" w:sz="4" w:space="0"/>
            </w:tcBorders>
            <w:vAlign w:val="center"/>
          </w:tcPr>
          <w:p w14:paraId="47651475">
            <w:pPr>
              <w:pStyle w:val="49"/>
              <w:spacing w:before="90" w:line="360" w:lineRule="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是否要求投标人递交投标保证金：</w:t>
            </w:r>
          </w:p>
          <w:p w14:paraId="417AD2A3">
            <w:pPr>
              <w:pStyle w:val="49"/>
              <w:spacing w:line="360" w:lineRule="auto"/>
              <w:jc w:val="left"/>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□要求，投标保证金的金额：/</w:t>
            </w:r>
          </w:p>
          <w:p w14:paraId="5EEBE279">
            <w:pPr>
              <w:spacing w:line="360" w:lineRule="auto"/>
              <w:jc w:val="left"/>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☑不要求</w:t>
            </w:r>
          </w:p>
          <w:p w14:paraId="3D69BF81">
            <w:pPr>
              <w:widowControl/>
              <w:tabs>
                <w:tab w:val="left" w:pos="1620"/>
              </w:tabs>
              <w:adjustRightInd w:val="0"/>
              <w:snapToGrid w:val="0"/>
              <w:spacing w:line="360" w:lineRule="auto"/>
              <w:ind w:firstLine="480" w:firstLineChars="200"/>
              <w:jc w:val="left"/>
              <w:outlineLvl w:val="9"/>
              <w:rPr>
                <w:rFonts w:hint="default" w:ascii="宋体" w:hAnsi="宋体" w:cs="宋体"/>
                <w:color w:val="auto"/>
                <w:sz w:val="24"/>
                <w:szCs w:val="24"/>
                <w:lang w:val="en-US"/>
              </w:rPr>
            </w:pPr>
            <w:r>
              <w:rPr>
                <w:rFonts w:hint="eastAsia" w:ascii="宋体" w:hAnsi="宋体" w:eastAsia="宋体" w:cs="宋体"/>
                <w:color w:val="auto"/>
                <w:kern w:val="2"/>
                <w:sz w:val="24"/>
                <w:szCs w:val="24"/>
                <w:highlight w:val="none"/>
                <w:lang w:val="en-US" w:eastAsia="zh-CN" w:bidi="ar-SA"/>
              </w:rPr>
              <w:t>根据榆林市财政局下发的榆政财采发【2023】8号文件规定实行信用承诺代替保证金。投标人可签署“投标信用承诺书”代替保证金。投标人在投标文件中附“投标信用承诺书”并按要求签字盖章及</w:t>
            </w:r>
            <w:r>
              <w:rPr>
                <w:rFonts w:hint="eastAsia" w:cs="宋体"/>
                <w:b/>
                <w:bCs/>
                <w:color w:val="auto"/>
                <w:kern w:val="0"/>
                <w:sz w:val="24"/>
                <w:highlight w:val="none"/>
                <w:lang w:val="en-US" w:eastAsia="zh-CN"/>
              </w:rPr>
              <w:t>附信用承诺网页截图。</w:t>
            </w:r>
          </w:p>
        </w:tc>
      </w:tr>
      <w:tr w14:paraId="75765DDD">
        <w:tblPrEx>
          <w:tblCellMar>
            <w:top w:w="0" w:type="dxa"/>
            <w:left w:w="108" w:type="dxa"/>
            <w:bottom w:w="0" w:type="dxa"/>
            <w:right w:w="108" w:type="dxa"/>
          </w:tblCellMar>
        </w:tblPrEx>
        <w:trPr>
          <w:trHeight w:val="90" w:hRule="atLeast"/>
        </w:trPr>
        <w:tc>
          <w:tcPr>
            <w:tcW w:w="723" w:type="dxa"/>
            <w:tcBorders>
              <w:top w:val="single" w:color="auto" w:sz="4" w:space="0"/>
              <w:left w:val="single" w:color="auto" w:sz="4" w:space="0"/>
              <w:bottom w:val="single" w:color="auto" w:sz="4" w:space="0"/>
              <w:right w:val="single" w:color="auto" w:sz="4" w:space="0"/>
            </w:tcBorders>
            <w:vAlign w:val="center"/>
          </w:tcPr>
          <w:p w14:paraId="271F4B72">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765" w:type="dxa"/>
            <w:tcBorders>
              <w:top w:val="single" w:color="auto" w:sz="4" w:space="0"/>
              <w:left w:val="single" w:color="auto" w:sz="4" w:space="0"/>
              <w:bottom w:val="single" w:color="auto" w:sz="4" w:space="0"/>
              <w:right w:val="single" w:color="auto" w:sz="4" w:space="0"/>
            </w:tcBorders>
            <w:vAlign w:val="center"/>
          </w:tcPr>
          <w:p w14:paraId="1A11558B">
            <w:pPr>
              <w:adjustRightInd w:val="0"/>
              <w:snapToGrid w:val="0"/>
              <w:spacing w:line="240" w:lineRule="auto"/>
              <w:jc w:val="center"/>
              <w:outlineLvl w:val="9"/>
              <w:rPr>
                <w:rFonts w:ascii="宋体" w:hAnsi="宋体" w:cs="宋体"/>
                <w:color w:val="auto"/>
                <w:sz w:val="24"/>
                <w:szCs w:val="24"/>
              </w:rPr>
            </w:pPr>
            <w:r>
              <w:rPr>
                <w:rFonts w:hint="eastAsia" w:asciiTheme="minorEastAsia" w:hAnsiTheme="minorEastAsia" w:eastAsiaTheme="minorEastAsia" w:cstheme="minorEastAsia"/>
                <w:color w:val="auto"/>
                <w:sz w:val="24"/>
                <w:szCs w:val="24"/>
              </w:rPr>
              <w:t>是否接受联合体投标</w:t>
            </w:r>
          </w:p>
        </w:tc>
        <w:tc>
          <w:tcPr>
            <w:tcW w:w="7515" w:type="dxa"/>
            <w:tcBorders>
              <w:top w:val="single" w:color="auto" w:sz="4" w:space="0"/>
              <w:left w:val="single" w:color="auto" w:sz="4" w:space="0"/>
              <w:bottom w:val="single" w:color="auto" w:sz="4" w:space="0"/>
              <w:right w:val="single" w:color="auto" w:sz="4" w:space="0"/>
            </w:tcBorders>
            <w:vAlign w:val="center"/>
          </w:tcPr>
          <w:p w14:paraId="0DDC767E">
            <w:pPr>
              <w:adjustRightInd w:val="0"/>
              <w:snapToGrid w:val="0"/>
              <w:spacing w:line="360" w:lineRule="auto"/>
              <w:jc w:val="left"/>
              <w:outlineLvl w:val="9"/>
              <w:rPr>
                <w:rFonts w:ascii="宋体" w:hAnsi="宋体" w:cs="宋体"/>
                <w:color w:val="auto"/>
                <w:sz w:val="24"/>
                <w:szCs w:val="24"/>
              </w:rPr>
            </w:pPr>
            <w:r>
              <w:rPr>
                <w:rFonts w:hint="eastAsia" w:asciiTheme="minorEastAsia" w:hAnsiTheme="minorEastAsia" w:eastAsiaTheme="minorEastAsia" w:cstheme="minorEastAsia"/>
                <w:color w:val="auto"/>
                <w:sz w:val="24"/>
                <w:szCs w:val="24"/>
              </w:rPr>
              <w:t>不接受</w:t>
            </w:r>
          </w:p>
        </w:tc>
      </w:tr>
      <w:tr w14:paraId="321E2C7D">
        <w:tblPrEx>
          <w:tblCellMar>
            <w:top w:w="0" w:type="dxa"/>
            <w:left w:w="108" w:type="dxa"/>
            <w:bottom w:w="0" w:type="dxa"/>
            <w:right w:w="108" w:type="dxa"/>
          </w:tblCellMar>
        </w:tblPrEx>
        <w:trPr>
          <w:trHeight w:val="497" w:hRule="atLeast"/>
        </w:trPr>
        <w:tc>
          <w:tcPr>
            <w:tcW w:w="723" w:type="dxa"/>
            <w:vMerge w:val="restart"/>
            <w:tcBorders>
              <w:top w:val="single" w:color="auto" w:sz="4" w:space="0"/>
              <w:left w:val="single" w:color="auto" w:sz="4" w:space="0"/>
              <w:right w:val="single" w:color="auto" w:sz="4" w:space="0"/>
            </w:tcBorders>
            <w:vAlign w:val="center"/>
          </w:tcPr>
          <w:p w14:paraId="1849A40D">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765" w:type="dxa"/>
            <w:tcBorders>
              <w:top w:val="single" w:color="auto" w:sz="4" w:space="0"/>
              <w:left w:val="single" w:color="auto" w:sz="4" w:space="0"/>
              <w:right w:val="single" w:color="auto" w:sz="4" w:space="0"/>
            </w:tcBorders>
            <w:vAlign w:val="center"/>
          </w:tcPr>
          <w:p w14:paraId="7BF78F14">
            <w:pPr>
              <w:adjustRightInd w:val="0"/>
              <w:snapToGrid w:val="0"/>
              <w:spacing w:line="360" w:lineRule="auto"/>
              <w:jc w:val="center"/>
              <w:outlineLvl w:val="9"/>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Cs/>
                <w:color w:val="auto"/>
                <w:sz w:val="24"/>
                <w:szCs w:val="24"/>
                <w:lang w:val="en-US" w:eastAsia="zh-CN"/>
              </w:rPr>
              <w:t>工期</w:t>
            </w:r>
          </w:p>
        </w:tc>
        <w:tc>
          <w:tcPr>
            <w:tcW w:w="7515" w:type="dxa"/>
            <w:tcBorders>
              <w:top w:val="single" w:color="auto" w:sz="4" w:space="0"/>
              <w:left w:val="single" w:color="auto" w:sz="4" w:space="0"/>
              <w:bottom w:val="single" w:color="auto" w:sz="4" w:space="0"/>
              <w:right w:val="single" w:color="auto" w:sz="4" w:space="0"/>
            </w:tcBorders>
            <w:vAlign w:val="center"/>
          </w:tcPr>
          <w:p w14:paraId="1998B2D9">
            <w:pPr>
              <w:adjustRightInd w:val="0"/>
              <w:snapToGrid w:val="0"/>
              <w:spacing w:line="360" w:lineRule="auto"/>
              <w:jc w:val="left"/>
              <w:outlineLvl w:val="9"/>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Cs/>
                <w:color w:val="auto"/>
                <w:sz w:val="24"/>
                <w:szCs w:val="24"/>
                <w:lang w:val="en-US" w:eastAsia="zh-CN"/>
              </w:rPr>
              <w:t>360天</w:t>
            </w:r>
          </w:p>
        </w:tc>
      </w:tr>
      <w:tr w14:paraId="18057087">
        <w:tblPrEx>
          <w:tblCellMar>
            <w:top w:w="0" w:type="dxa"/>
            <w:left w:w="108" w:type="dxa"/>
            <w:bottom w:w="0" w:type="dxa"/>
            <w:right w:w="108" w:type="dxa"/>
          </w:tblCellMar>
        </w:tblPrEx>
        <w:trPr>
          <w:trHeight w:val="657" w:hRule="atLeast"/>
        </w:trPr>
        <w:tc>
          <w:tcPr>
            <w:tcW w:w="723" w:type="dxa"/>
            <w:vMerge w:val="continue"/>
            <w:tcBorders>
              <w:left w:val="single" w:color="auto" w:sz="4" w:space="0"/>
              <w:right w:val="single" w:color="auto" w:sz="4" w:space="0"/>
            </w:tcBorders>
            <w:vAlign w:val="center"/>
          </w:tcPr>
          <w:p w14:paraId="198F51A8">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p>
        </w:tc>
        <w:tc>
          <w:tcPr>
            <w:tcW w:w="1765" w:type="dxa"/>
            <w:tcBorders>
              <w:top w:val="single" w:color="auto" w:sz="4" w:space="0"/>
              <w:left w:val="single" w:color="auto" w:sz="4" w:space="0"/>
              <w:right w:val="single" w:color="auto" w:sz="4" w:space="0"/>
            </w:tcBorders>
            <w:shd w:val="clear" w:color="auto" w:fill="auto"/>
            <w:vAlign w:val="center"/>
          </w:tcPr>
          <w:p w14:paraId="523B2BBA">
            <w:pPr>
              <w:adjustRightInd w:val="0"/>
              <w:snapToGrid w:val="0"/>
              <w:spacing w:line="360" w:lineRule="auto"/>
              <w:jc w:val="center"/>
              <w:outlineLvl w:val="9"/>
              <w:rPr>
                <w:rFonts w:hint="eastAsia" w:asciiTheme="minorEastAsia" w:hAnsiTheme="minorEastAsia" w:eastAsiaTheme="minorEastAsia" w:cstheme="minorEastAsia"/>
                <w:bCs/>
                <w:color w:val="auto"/>
                <w:sz w:val="24"/>
                <w:szCs w:val="24"/>
                <w:lang w:val="zh-CN" w:eastAsia="zh-CN"/>
              </w:rPr>
            </w:pPr>
            <w:r>
              <w:rPr>
                <w:rFonts w:hint="eastAsia" w:asciiTheme="minorEastAsia" w:hAnsiTheme="minorEastAsia" w:eastAsiaTheme="minorEastAsia" w:cstheme="minorEastAsia"/>
                <w:bCs/>
                <w:color w:val="auto"/>
                <w:sz w:val="24"/>
                <w:szCs w:val="24"/>
                <w:lang w:val="en-US" w:eastAsia="zh-CN"/>
              </w:rPr>
              <w:t>质保期</w:t>
            </w:r>
          </w:p>
        </w:tc>
        <w:tc>
          <w:tcPr>
            <w:tcW w:w="7515" w:type="dxa"/>
            <w:tcBorders>
              <w:top w:val="single" w:color="auto" w:sz="4" w:space="0"/>
              <w:left w:val="single" w:color="auto" w:sz="4" w:space="0"/>
              <w:bottom w:val="single" w:color="auto" w:sz="4" w:space="0"/>
              <w:right w:val="single" w:color="auto" w:sz="4" w:space="0"/>
            </w:tcBorders>
            <w:shd w:val="clear" w:color="auto" w:fill="auto"/>
            <w:vAlign w:val="center"/>
          </w:tcPr>
          <w:p w14:paraId="6E1984F6">
            <w:pPr>
              <w:adjustRightInd w:val="0"/>
              <w:snapToGrid w:val="0"/>
              <w:spacing w:line="360" w:lineRule="auto"/>
              <w:jc w:val="left"/>
              <w:outlineLvl w:val="9"/>
              <w:rPr>
                <w:rFonts w:hint="default" w:asciiTheme="minorEastAsia" w:hAnsiTheme="minorEastAsia" w:eastAsiaTheme="minorEastAsia" w:cstheme="minorEastAsia"/>
                <w:bCs/>
                <w:color w:val="auto"/>
                <w:sz w:val="24"/>
                <w:szCs w:val="24"/>
                <w:lang w:val="en-US" w:eastAsia="zh-CN"/>
              </w:rPr>
            </w:pPr>
            <w:r>
              <w:rPr>
                <w:rFonts w:hint="default" w:asciiTheme="minorEastAsia" w:hAnsiTheme="minorEastAsia" w:eastAsiaTheme="minorEastAsia" w:cstheme="minorEastAsia"/>
                <w:bCs/>
                <w:color w:val="auto"/>
                <w:sz w:val="24"/>
                <w:szCs w:val="24"/>
                <w:lang w:val="en-US" w:eastAsia="zh-CN"/>
              </w:rPr>
              <w:t>24个月</w:t>
            </w:r>
          </w:p>
        </w:tc>
      </w:tr>
      <w:tr w14:paraId="02D8E7BD">
        <w:tblPrEx>
          <w:tblCellMar>
            <w:top w:w="0" w:type="dxa"/>
            <w:left w:w="108" w:type="dxa"/>
            <w:bottom w:w="0" w:type="dxa"/>
            <w:right w:w="108" w:type="dxa"/>
          </w:tblCellMar>
        </w:tblPrEx>
        <w:trPr>
          <w:trHeight w:val="507" w:hRule="atLeast"/>
        </w:trPr>
        <w:tc>
          <w:tcPr>
            <w:tcW w:w="723" w:type="dxa"/>
            <w:vMerge w:val="continue"/>
            <w:tcBorders>
              <w:left w:val="single" w:color="auto" w:sz="4" w:space="0"/>
              <w:right w:val="single" w:color="auto" w:sz="4" w:space="0"/>
            </w:tcBorders>
            <w:vAlign w:val="center"/>
          </w:tcPr>
          <w:p w14:paraId="6C4BE4AE">
            <w:pPr>
              <w:adjustRightInd w:val="0"/>
              <w:snapToGrid w:val="0"/>
              <w:spacing w:line="360" w:lineRule="auto"/>
              <w:jc w:val="center"/>
              <w:outlineLvl w:val="9"/>
              <w:rPr>
                <w:rFonts w:hint="eastAsia" w:asciiTheme="minorEastAsia" w:hAnsiTheme="minorEastAsia" w:eastAsiaTheme="minorEastAsia" w:cstheme="minorEastAsia"/>
                <w:color w:val="auto"/>
                <w:sz w:val="24"/>
                <w:szCs w:val="24"/>
                <w:lang w:val="en-US" w:eastAsia="zh-CN"/>
              </w:rPr>
            </w:pPr>
          </w:p>
        </w:tc>
        <w:tc>
          <w:tcPr>
            <w:tcW w:w="1765" w:type="dxa"/>
            <w:tcBorders>
              <w:top w:val="single" w:color="auto" w:sz="4" w:space="0"/>
              <w:left w:val="single" w:color="auto" w:sz="4" w:space="0"/>
              <w:right w:val="single" w:color="auto" w:sz="4" w:space="0"/>
            </w:tcBorders>
            <w:vAlign w:val="center"/>
          </w:tcPr>
          <w:p w14:paraId="427FD865">
            <w:pPr>
              <w:adjustRightInd w:val="0"/>
              <w:snapToGrid w:val="0"/>
              <w:spacing w:line="360" w:lineRule="auto"/>
              <w:jc w:val="center"/>
              <w:outlineLvl w:val="9"/>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工程质量</w:t>
            </w:r>
          </w:p>
        </w:tc>
        <w:tc>
          <w:tcPr>
            <w:tcW w:w="7515" w:type="dxa"/>
            <w:tcBorders>
              <w:top w:val="single" w:color="auto" w:sz="4" w:space="0"/>
              <w:left w:val="single" w:color="auto" w:sz="4" w:space="0"/>
              <w:bottom w:val="single" w:color="auto" w:sz="4" w:space="0"/>
              <w:right w:val="single" w:color="auto" w:sz="4" w:space="0"/>
            </w:tcBorders>
            <w:vAlign w:val="center"/>
          </w:tcPr>
          <w:p w14:paraId="761B1A12">
            <w:pPr>
              <w:adjustRightInd w:val="0"/>
              <w:snapToGrid w:val="0"/>
              <w:spacing w:line="360" w:lineRule="auto"/>
              <w:jc w:val="left"/>
              <w:outlineLvl w:val="9"/>
              <w:rPr>
                <w:rFonts w:hint="default" w:asciiTheme="minorEastAsia" w:hAnsiTheme="minorEastAsia" w:eastAsiaTheme="minorEastAsia" w:cstheme="minorEastAsia"/>
                <w:bCs/>
                <w:color w:val="auto"/>
                <w:sz w:val="24"/>
                <w:szCs w:val="24"/>
                <w:lang w:val="en-US" w:eastAsia="zh-CN"/>
              </w:rPr>
            </w:pPr>
            <w:r>
              <w:rPr>
                <w:rFonts w:hint="eastAsia" w:ascii="宋体" w:hAnsi="宋体" w:cs="宋体"/>
                <w:color w:val="auto"/>
                <w:sz w:val="24"/>
                <w:szCs w:val="24"/>
                <w:highlight w:val="none"/>
                <w:lang w:val="en-US" w:eastAsia="zh-CN"/>
              </w:rPr>
              <w:t>达到</w:t>
            </w:r>
            <w:r>
              <w:rPr>
                <w:rFonts w:hint="eastAsia" w:ascii="宋体" w:hAnsi="宋体" w:cs="宋体"/>
                <w:caps w:val="0"/>
                <w:smallCaps w:val="0"/>
                <w:color w:val="auto"/>
                <w:spacing w:val="0"/>
                <w:sz w:val="24"/>
                <w:szCs w:val="24"/>
                <w:highlight w:val="none"/>
                <w:lang w:val="en-US" w:eastAsia="zh-CN"/>
              </w:rPr>
              <w:t>国家和地方现行施工验收规范和质量检验“合格”标准</w:t>
            </w:r>
          </w:p>
        </w:tc>
      </w:tr>
      <w:tr w14:paraId="21795551">
        <w:tblPrEx>
          <w:tblCellMar>
            <w:top w:w="0" w:type="dxa"/>
            <w:left w:w="108" w:type="dxa"/>
            <w:bottom w:w="0" w:type="dxa"/>
            <w:right w:w="108" w:type="dxa"/>
          </w:tblCellMar>
        </w:tblPrEx>
        <w:trPr>
          <w:trHeight w:val="707" w:hRule="atLeast"/>
        </w:trPr>
        <w:tc>
          <w:tcPr>
            <w:tcW w:w="723" w:type="dxa"/>
            <w:tcBorders>
              <w:top w:val="single" w:color="auto" w:sz="4" w:space="0"/>
              <w:left w:val="single" w:color="auto" w:sz="4" w:space="0"/>
              <w:bottom w:val="single" w:color="auto" w:sz="4" w:space="0"/>
              <w:right w:val="single" w:color="auto" w:sz="4" w:space="0"/>
            </w:tcBorders>
            <w:vAlign w:val="center"/>
          </w:tcPr>
          <w:p w14:paraId="11BACD6F">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14:paraId="7225067E">
            <w:pPr>
              <w:adjustRightInd w:val="0"/>
              <w:snapToGrid w:val="0"/>
              <w:spacing w:line="360" w:lineRule="auto"/>
              <w:jc w:val="center"/>
              <w:outlineLvl w:val="9"/>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zh-CN" w:eastAsia="zh-CN"/>
              </w:rPr>
              <w:t>付款方式</w:t>
            </w:r>
          </w:p>
        </w:tc>
        <w:tc>
          <w:tcPr>
            <w:tcW w:w="7515" w:type="dxa"/>
            <w:tcBorders>
              <w:top w:val="single" w:color="auto" w:sz="4" w:space="0"/>
              <w:left w:val="single" w:color="auto" w:sz="4" w:space="0"/>
              <w:bottom w:val="single" w:color="auto" w:sz="4" w:space="0"/>
              <w:right w:val="single" w:color="auto" w:sz="4" w:space="0"/>
            </w:tcBorders>
            <w:shd w:val="clear" w:color="auto" w:fill="auto"/>
            <w:vAlign w:val="center"/>
          </w:tcPr>
          <w:p w14:paraId="5C64D8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Theme="minorEastAsia" w:hAnsiTheme="minorEastAsia" w:eastAsiaTheme="minorEastAsia" w:cstheme="minorEastAsia"/>
                <w:bCs/>
                <w:color w:val="auto"/>
                <w:sz w:val="24"/>
                <w:szCs w:val="24"/>
                <w:lang w:val="en-US" w:eastAsia="zh-CN"/>
              </w:rPr>
            </w:pPr>
            <w:r>
              <w:rPr>
                <w:rFonts w:hint="default" w:asciiTheme="minorEastAsia" w:hAnsiTheme="minorEastAsia" w:eastAsiaTheme="minorEastAsia" w:cstheme="minorEastAsia"/>
                <w:bCs/>
                <w:color w:val="auto"/>
                <w:sz w:val="24"/>
                <w:szCs w:val="24"/>
                <w:lang w:val="en-US" w:eastAsia="zh-CN"/>
              </w:rPr>
              <w:t>合同签订后支付合同价款的40％，根据实际完成工程量支付工程进度款，不超过总价款的75%，剩余价款决算审计后付清。</w:t>
            </w:r>
          </w:p>
        </w:tc>
      </w:tr>
      <w:tr w14:paraId="1C821080">
        <w:tblPrEx>
          <w:tblCellMar>
            <w:top w:w="0" w:type="dxa"/>
            <w:left w:w="108" w:type="dxa"/>
            <w:bottom w:w="0" w:type="dxa"/>
            <w:right w:w="108" w:type="dxa"/>
          </w:tblCellMar>
        </w:tblPrEx>
        <w:trPr>
          <w:trHeight w:val="566" w:hRule="atLeast"/>
        </w:trPr>
        <w:tc>
          <w:tcPr>
            <w:tcW w:w="723" w:type="dxa"/>
            <w:tcBorders>
              <w:top w:val="single" w:color="auto" w:sz="4" w:space="0"/>
              <w:left w:val="single" w:color="auto" w:sz="4" w:space="0"/>
              <w:bottom w:val="single" w:color="auto" w:sz="4" w:space="0"/>
              <w:right w:val="single" w:color="auto" w:sz="4" w:space="0"/>
            </w:tcBorders>
            <w:vAlign w:val="center"/>
          </w:tcPr>
          <w:p w14:paraId="09B89503">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1765" w:type="dxa"/>
            <w:tcBorders>
              <w:top w:val="single" w:color="auto" w:sz="4" w:space="0"/>
              <w:left w:val="single" w:color="auto" w:sz="4" w:space="0"/>
              <w:bottom w:val="single" w:color="auto" w:sz="4" w:space="0"/>
              <w:right w:val="single" w:color="auto" w:sz="4" w:space="0"/>
            </w:tcBorders>
            <w:vAlign w:val="center"/>
          </w:tcPr>
          <w:p w14:paraId="2C6AE336">
            <w:pPr>
              <w:adjustRightInd w:val="0"/>
              <w:snapToGrid w:val="0"/>
              <w:spacing w:line="360" w:lineRule="auto"/>
              <w:jc w:val="center"/>
              <w:outlineLvl w:val="9"/>
              <w:rPr>
                <w:rFonts w:hint="eastAsia" w:asciiTheme="minorEastAsia" w:hAnsiTheme="minorEastAsia" w:eastAsiaTheme="minorEastAsia" w:cstheme="minorEastAsia"/>
                <w:bCs/>
                <w:color w:val="auto"/>
                <w:sz w:val="24"/>
                <w:szCs w:val="24"/>
                <w:lang w:val="zh-CN" w:eastAsia="zh-CN"/>
              </w:rPr>
            </w:pPr>
            <w:r>
              <w:rPr>
                <w:rFonts w:hint="eastAsia" w:ascii="宋体" w:hAnsi="宋体" w:cs="宋体"/>
                <w:color w:val="auto"/>
                <w:sz w:val="24"/>
                <w:szCs w:val="24"/>
                <w:lang w:val="en-US" w:eastAsia="zh-CN"/>
              </w:rPr>
              <w:t>施工地点</w:t>
            </w:r>
          </w:p>
        </w:tc>
        <w:tc>
          <w:tcPr>
            <w:tcW w:w="7515" w:type="dxa"/>
            <w:tcBorders>
              <w:top w:val="single" w:color="auto" w:sz="4" w:space="0"/>
              <w:left w:val="single" w:color="auto" w:sz="4" w:space="0"/>
              <w:bottom w:val="single" w:color="auto" w:sz="4" w:space="0"/>
              <w:right w:val="single" w:color="auto" w:sz="4" w:space="0"/>
            </w:tcBorders>
            <w:vAlign w:val="center"/>
          </w:tcPr>
          <w:p w14:paraId="2C07F629">
            <w:pPr>
              <w:adjustRightInd w:val="0"/>
              <w:snapToGrid w:val="0"/>
              <w:spacing w:line="360" w:lineRule="auto"/>
              <w:jc w:val="left"/>
              <w:outlineLvl w:val="9"/>
              <w:rPr>
                <w:rFonts w:hint="default" w:asciiTheme="minorEastAsia" w:hAnsiTheme="minorEastAsia" w:eastAsiaTheme="minorEastAsia" w:cstheme="minorEastAsia"/>
                <w:bCs/>
                <w:color w:val="auto"/>
                <w:sz w:val="24"/>
                <w:szCs w:val="24"/>
                <w:lang w:val="en-US" w:eastAsia="zh-CN"/>
              </w:rPr>
            </w:pPr>
            <w:r>
              <w:rPr>
                <w:rFonts w:hint="eastAsia" w:cs="Times New Roman"/>
                <w:color w:val="auto"/>
                <w:kern w:val="2"/>
                <w:sz w:val="24"/>
                <w:szCs w:val="16"/>
                <w:lang w:val="en-US" w:eastAsia="zh-CN" w:bidi="ar-SA"/>
              </w:rPr>
              <w:t>采购人指定地点</w:t>
            </w:r>
          </w:p>
        </w:tc>
      </w:tr>
      <w:tr w14:paraId="36EC5EF3">
        <w:tblPrEx>
          <w:tblCellMar>
            <w:top w:w="0" w:type="dxa"/>
            <w:left w:w="108" w:type="dxa"/>
            <w:bottom w:w="0" w:type="dxa"/>
            <w:right w:w="108" w:type="dxa"/>
          </w:tblCellMar>
        </w:tblPrEx>
        <w:trPr>
          <w:trHeight w:val="541" w:hRule="atLeast"/>
        </w:trPr>
        <w:tc>
          <w:tcPr>
            <w:tcW w:w="723" w:type="dxa"/>
            <w:tcBorders>
              <w:top w:val="single" w:color="auto" w:sz="4" w:space="0"/>
              <w:left w:val="single" w:color="auto" w:sz="4" w:space="0"/>
              <w:bottom w:val="single" w:color="auto" w:sz="4" w:space="0"/>
              <w:right w:val="single" w:color="auto" w:sz="4" w:space="0"/>
            </w:tcBorders>
            <w:vAlign w:val="center"/>
          </w:tcPr>
          <w:p w14:paraId="56D5FADD">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1765" w:type="dxa"/>
            <w:tcBorders>
              <w:top w:val="single" w:color="auto" w:sz="4" w:space="0"/>
              <w:left w:val="single" w:color="auto" w:sz="4" w:space="0"/>
              <w:bottom w:val="single" w:color="auto" w:sz="4" w:space="0"/>
              <w:right w:val="single" w:color="auto" w:sz="4" w:space="0"/>
            </w:tcBorders>
            <w:vAlign w:val="center"/>
          </w:tcPr>
          <w:p w14:paraId="1E9F43CC">
            <w:pPr>
              <w:adjustRightInd w:val="0"/>
              <w:snapToGrid w:val="0"/>
              <w:spacing w:line="360" w:lineRule="auto"/>
              <w:jc w:val="center"/>
              <w:outlineLvl w:val="9"/>
              <w:rPr>
                <w:rFonts w:asciiTheme="minorEastAsia" w:hAnsiTheme="minorEastAsia" w:eastAsiaTheme="minorEastAsia" w:cstheme="minorEastAsia"/>
                <w:color w:val="auto"/>
                <w:sz w:val="24"/>
                <w:szCs w:val="24"/>
                <w:lang w:val="zh-CN"/>
              </w:rPr>
            </w:pPr>
            <w:r>
              <w:rPr>
                <w:rFonts w:hint="eastAsia"/>
                <w:color w:val="auto"/>
                <w:sz w:val="24"/>
              </w:rPr>
              <w:t>评审方法</w:t>
            </w:r>
          </w:p>
        </w:tc>
        <w:tc>
          <w:tcPr>
            <w:tcW w:w="7515" w:type="dxa"/>
            <w:tcBorders>
              <w:top w:val="single" w:color="auto" w:sz="4" w:space="0"/>
              <w:left w:val="single" w:color="auto" w:sz="4" w:space="0"/>
              <w:bottom w:val="single" w:color="auto" w:sz="4" w:space="0"/>
              <w:right w:val="single" w:color="auto" w:sz="4" w:space="0"/>
            </w:tcBorders>
            <w:vAlign w:val="center"/>
          </w:tcPr>
          <w:p w14:paraId="7BE3B3B4">
            <w:pPr>
              <w:pStyle w:val="10"/>
              <w:topLinePunct/>
              <w:adjustRightInd w:val="0"/>
              <w:snapToGrid w:val="0"/>
              <w:spacing w:line="360" w:lineRule="auto"/>
              <w:ind w:left="470" w:leftChars="24" w:hanging="420" w:hangingChars="175"/>
              <w:outlineLvl w:val="9"/>
              <w:rPr>
                <w:rFonts w:hint="default" w:eastAsia="宋体" w:asciiTheme="minorEastAsia" w:hAnsiTheme="minorEastAsia" w:cstheme="minorEastAsia"/>
                <w:color w:val="auto"/>
                <w:sz w:val="24"/>
                <w:szCs w:val="24"/>
                <w:lang w:val="en-US" w:eastAsia="zh-CN"/>
              </w:rPr>
            </w:pPr>
            <w:r>
              <w:rPr>
                <w:rFonts w:hint="eastAsia"/>
                <w:color w:val="auto"/>
                <w:sz w:val="24"/>
              </w:rPr>
              <w:t>综合评分法</w:t>
            </w:r>
          </w:p>
        </w:tc>
      </w:tr>
      <w:tr w14:paraId="219A4187">
        <w:tblPrEx>
          <w:tblCellMar>
            <w:top w:w="0" w:type="dxa"/>
            <w:left w:w="108" w:type="dxa"/>
            <w:bottom w:w="0" w:type="dxa"/>
            <w:right w:w="108" w:type="dxa"/>
          </w:tblCellMar>
        </w:tblPrEx>
        <w:tc>
          <w:tcPr>
            <w:tcW w:w="723" w:type="dxa"/>
            <w:tcBorders>
              <w:top w:val="single" w:color="auto" w:sz="4" w:space="0"/>
              <w:left w:val="single" w:color="auto" w:sz="4" w:space="0"/>
              <w:bottom w:val="single" w:color="auto" w:sz="4" w:space="0"/>
              <w:right w:val="single" w:color="auto" w:sz="4" w:space="0"/>
            </w:tcBorders>
            <w:vAlign w:val="center"/>
          </w:tcPr>
          <w:p w14:paraId="5FCFF7BE">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1765" w:type="dxa"/>
            <w:tcBorders>
              <w:top w:val="single" w:color="auto" w:sz="4" w:space="0"/>
              <w:left w:val="single" w:color="auto" w:sz="4" w:space="0"/>
              <w:bottom w:val="single" w:color="auto" w:sz="4" w:space="0"/>
              <w:right w:val="single" w:color="auto" w:sz="4" w:space="0"/>
            </w:tcBorders>
            <w:vAlign w:val="center"/>
          </w:tcPr>
          <w:p w14:paraId="7A1460A7">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color w:val="auto"/>
                <w:sz w:val="24"/>
              </w:rPr>
              <w:t>合同签订</w:t>
            </w:r>
          </w:p>
        </w:tc>
        <w:tc>
          <w:tcPr>
            <w:tcW w:w="7515" w:type="dxa"/>
            <w:tcBorders>
              <w:top w:val="single" w:color="auto" w:sz="4" w:space="0"/>
              <w:left w:val="single" w:color="auto" w:sz="4" w:space="0"/>
              <w:bottom w:val="single" w:color="auto" w:sz="4" w:space="0"/>
              <w:right w:val="single" w:color="auto" w:sz="4" w:space="0"/>
            </w:tcBorders>
            <w:vAlign w:val="center"/>
          </w:tcPr>
          <w:p w14:paraId="205CEBC1">
            <w:pPr>
              <w:pStyle w:val="10"/>
              <w:topLinePunct/>
              <w:adjustRightInd w:val="0"/>
              <w:snapToGrid w:val="0"/>
              <w:spacing w:line="360" w:lineRule="auto"/>
              <w:ind w:left="470" w:leftChars="24" w:hanging="420" w:hangingChars="175"/>
              <w:outlineLvl w:val="9"/>
              <w:rPr>
                <w:rFonts w:asciiTheme="minorEastAsia" w:hAnsiTheme="minorEastAsia" w:eastAsiaTheme="minorEastAsia" w:cstheme="minorEastAsia"/>
                <w:color w:val="auto"/>
                <w:sz w:val="24"/>
                <w:szCs w:val="24"/>
              </w:rPr>
            </w:pPr>
            <w:r>
              <w:rPr>
                <w:rFonts w:hint="eastAsia"/>
                <w:color w:val="auto"/>
                <w:sz w:val="24"/>
                <w:lang w:eastAsia="zh-CN"/>
              </w:rPr>
              <w:t>成交供应商</w:t>
            </w:r>
            <w:r>
              <w:rPr>
                <w:rFonts w:hint="eastAsia"/>
                <w:color w:val="auto"/>
                <w:sz w:val="24"/>
              </w:rPr>
              <w:t>与</w:t>
            </w:r>
            <w:r>
              <w:rPr>
                <w:rFonts w:hint="eastAsia"/>
                <w:color w:val="auto"/>
                <w:sz w:val="24"/>
                <w:lang w:eastAsia="zh-CN"/>
              </w:rPr>
              <w:t>采购人</w:t>
            </w:r>
            <w:r>
              <w:rPr>
                <w:rFonts w:hint="eastAsia"/>
                <w:color w:val="auto"/>
                <w:sz w:val="24"/>
              </w:rPr>
              <w:t>签订合同。</w:t>
            </w:r>
          </w:p>
        </w:tc>
      </w:tr>
      <w:tr w14:paraId="74F39F7B">
        <w:tblPrEx>
          <w:tblCellMar>
            <w:top w:w="0" w:type="dxa"/>
            <w:left w:w="108" w:type="dxa"/>
            <w:bottom w:w="0" w:type="dxa"/>
            <w:right w:w="108" w:type="dxa"/>
          </w:tblCellMar>
        </w:tblPrEx>
        <w:trPr>
          <w:trHeight w:val="396" w:hRule="atLeast"/>
        </w:trPr>
        <w:tc>
          <w:tcPr>
            <w:tcW w:w="723" w:type="dxa"/>
            <w:tcBorders>
              <w:top w:val="single" w:color="auto" w:sz="4" w:space="0"/>
              <w:left w:val="single" w:color="auto" w:sz="4" w:space="0"/>
              <w:bottom w:val="single" w:color="auto" w:sz="4" w:space="0"/>
              <w:right w:val="single" w:color="auto" w:sz="4" w:space="0"/>
            </w:tcBorders>
            <w:vAlign w:val="center"/>
          </w:tcPr>
          <w:p w14:paraId="71161970">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1765" w:type="dxa"/>
            <w:tcBorders>
              <w:top w:val="single" w:color="auto" w:sz="4" w:space="0"/>
              <w:left w:val="single" w:color="auto" w:sz="4" w:space="0"/>
              <w:bottom w:val="single" w:color="auto" w:sz="4" w:space="0"/>
              <w:right w:val="single" w:color="auto" w:sz="4" w:space="0"/>
            </w:tcBorders>
            <w:vAlign w:val="center"/>
          </w:tcPr>
          <w:p w14:paraId="6F9AEF1E">
            <w:pPr>
              <w:adjustRightInd w:val="0"/>
              <w:snapToGrid w:val="0"/>
              <w:spacing w:line="360" w:lineRule="auto"/>
              <w:jc w:val="center"/>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是否退还竞争性磋商响应文件</w:t>
            </w:r>
          </w:p>
        </w:tc>
        <w:tc>
          <w:tcPr>
            <w:tcW w:w="7515" w:type="dxa"/>
            <w:tcBorders>
              <w:top w:val="single" w:color="auto" w:sz="4" w:space="0"/>
              <w:left w:val="single" w:color="auto" w:sz="4" w:space="0"/>
              <w:bottom w:val="single" w:color="auto" w:sz="4" w:space="0"/>
              <w:right w:val="single" w:color="auto" w:sz="4" w:space="0"/>
            </w:tcBorders>
            <w:vAlign w:val="center"/>
          </w:tcPr>
          <w:p w14:paraId="6232072B">
            <w:pPr>
              <w:adjustRightInd w:val="0"/>
              <w:snapToGrid w:val="0"/>
              <w:spacing w:line="360" w:lineRule="auto"/>
              <w:jc w:val="left"/>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r>
      <w:tr w14:paraId="7632DD31">
        <w:tblPrEx>
          <w:tblCellMar>
            <w:top w:w="0" w:type="dxa"/>
            <w:left w:w="108" w:type="dxa"/>
            <w:bottom w:w="0" w:type="dxa"/>
            <w:right w:w="108" w:type="dxa"/>
          </w:tblCellMar>
        </w:tblPrEx>
        <w:trPr>
          <w:trHeight w:val="1145" w:hRule="atLeast"/>
        </w:trPr>
        <w:tc>
          <w:tcPr>
            <w:tcW w:w="723" w:type="dxa"/>
            <w:tcBorders>
              <w:top w:val="single" w:color="auto" w:sz="4" w:space="0"/>
              <w:left w:val="single" w:color="auto" w:sz="4" w:space="0"/>
              <w:bottom w:val="single" w:color="auto" w:sz="4" w:space="0"/>
              <w:right w:val="single" w:color="auto" w:sz="4" w:space="0"/>
            </w:tcBorders>
            <w:vAlign w:val="center"/>
          </w:tcPr>
          <w:p w14:paraId="315FF326">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1765" w:type="dxa"/>
            <w:tcBorders>
              <w:top w:val="single" w:color="auto" w:sz="4" w:space="0"/>
              <w:left w:val="single" w:color="auto" w:sz="4" w:space="0"/>
              <w:bottom w:val="single" w:color="auto" w:sz="4" w:space="0"/>
              <w:right w:val="single" w:color="auto" w:sz="4" w:space="0"/>
            </w:tcBorders>
            <w:vAlign w:val="center"/>
          </w:tcPr>
          <w:p w14:paraId="44BBF68F">
            <w:pPr>
              <w:widowControl/>
              <w:adjustRightInd w:val="0"/>
              <w:snapToGrid w:val="0"/>
              <w:jc w:val="center"/>
              <w:textAlignment w:val="center"/>
              <w:outlineLvl w:val="9"/>
              <w:rPr>
                <w:rFonts w:asciiTheme="minorEastAsia" w:hAnsiTheme="minorEastAsia" w:eastAsiaTheme="minorEastAsia" w:cstheme="minorEastAsia"/>
                <w:color w:val="auto"/>
                <w:sz w:val="24"/>
                <w:szCs w:val="24"/>
              </w:rPr>
            </w:pPr>
            <w:r>
              <w:rPr>
                <w:rFonts w:hint="eastAsia" w:ascii="Times New Roman" w:hAnsi="Times New Roman" w:eastAsia="宋体" w:cs="Times New Roman"/>
                <w:color w:val="auto"/>
                <w:kern w:val="2"/>
                <w:sz w:val="24"/>
                <w:szCs w:val="16"/>
                <w:lang w:val="en-US" w:eastAsia="zh-CN" w:bidi="ar-SA"/>
              </w:rPr>
              <w:t>澄清修改</w:t>
            </w:r>
          </w:p>
        </w:tc>
        <w:tc>
          <w:tcPr>
            <w:tcW w:w="7515" w:type="dxa"/>
            <w:tcBorders>
              <w:top w:val="single" w:color="auto" w:sz="4" w:space="0"/>
              <w:left w:val="single" w:color="auto" w:sz="4" w:space="0"/>
              <w:bottom w:val="single" w:color="auto" w:sz="4" w:space="0"/>
              <w:right w:val="single" w:color="auto" w:sz="4" w:space="0"/>
            </w:tcBorders>
            <w:vAlign w:val="center"/>
          </w:tcPr>
          <w:p w14:paraId="68F96905">
            <w:pPr>
              <w:widowControl/>
              <w:adjustRightInd w:val="0"/>
              <w:snapToGrid w:val="0"/>
              <w:spacing w:line="360" w:lineRule="auto"/>
              <w:jc w:val="left"/>
              <w:textAlignment w:val="center"/>
              <w:outlineLvl w:val="9"/>
              <w:rPr>
                <w:rFonts w:asciiTheme="minorEastAsia" w:hAnsiTheme="minorEastAsia" w:eastAsiaTheme="minorEastAsia" w:cstheme="minorEastAsia"/>
                <w:color w:val="auto"/>
                <w:sz w:val="24"/>
                <w:szCs w:val="24"/>
              </w:rPr>
            </w:pPr>
            <w:r>
              <w:rPr>
                <w:rFonts w:hint="eastAsia" w:ascii="Times New Roman" w:hAnsi="Times New Roman" w:eastAsia="宋体" w:cs="Times New Roman"/>
                <w:color w:val="auto"/>
                <w:kern w:val="2"/>
                <w:sz w:val="24"/>
                <w:szCs w:val="16"/>
                <w:lang w:val="en-US" w:eastAsia="zh-CN" w:bidi="ar-SA"/>
              </w:rPr>
              <w:t>澄清或者修改应当在提交首次响应文件截止之日5天前，以书面形式通知所有领取竞争性磋商文件的供应商，不足5天的，应当顺延提交首次响应文件的截止日期。</w:t>
            </w:r>
          </w:p>
        </w:tc>
      </w:tr>
      <w:tr w14:paraId="20A6E53B">
        <w:tblPrEx>
          <w:tblCellMar>
            <w:top w:w="0" w:type="dxa"/>
            <w:left w:w="108" w:type="dxa"/>
            <w:bottom w:w="0" w:type="dxa"/>
            <w:right w:w="108" w:type="dxa"/>
          </w:tblCellMar>
        </w:tblPrEx>
        <w:trPr>
          <w:trHeight w:val="600" w:hRule="atLeast"/>
        </w:trPr>
        <w:tc>
          <w:tcPr>
            <w:tcW w:w="723" w:type="dxa"/>
            <w:tcBorders>
              <w:top w:val="single" w:color="auto" w:sz="4" w:space="0"/>
              <w:left w:val="single" w:color="auto" w:sz="4" w:space="0"/>
              <w:bottom w:val="single" w:color="auto" w:sz="4" w:space="0"/>
              <w:right w:val="single" w:color="auto" w:sz="4" w:space="0"/>
            </w:tcBorders>
            <w:vAlign w:val="center"/>
          </w:tcPr>
          <w:p w14:paraId="36CE35A1">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765" w:type="dxa"/>
            <w:tcBorders>
              <w:top w:val="single" w:color="auto" w:sz="4" w:space="0"/>
              <w:left w:val="single" w:color="auto" w:sz="4" w:space="0"/>
              <w:bottom w:val="single" w:color="auto" w:sz="4" w:space="0"/>
              <w:right w:val="single" w:color="auto" w:sz="4" w:space="0"/>
            </w:tcBorders>
            <w:vAlign w:val="center"/>
          </w:tcPr>
          <w:p w14:paraId="26854D55">
            <w:pPr>
              <w:widowControl/>
              <w:adjustRightInd w:val="0"/>
              <w:snapToGrid w:val="0"/>
              <w:jc w:val="center"/>
              <w:textAlignment w:val="center"/>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Times New Roman"/>
                <w:color w:val="auto"/>
                <w:sz w:val="24"/>
                <w:szCs w:val="24"/>
              </w:rPr>
              <w:t>投标偏离</w:t>
            </w:r>
          </w:p>
        </w:tc>
        <w:tc>
          <w:tcPr>
            <w:tcW w:w="7515" w:type="dxa"/>
            <w:tcBorders>
              <w:top w:val="single" w:color="auto" w:sz="4" w:space="0"/>
              <w:left w:val="single" w:color="auto" w:sz="4" w:space="0"/>
              <w:bottom w:val="single" w:color="auto" w:sz="4" w:space="0"/>
              <w:right w:val="single" w:color="auto" w:sz="4" w:space="0"/>
            </w:tcBorders>
            <w:vAlign w:val="center"/>
          </w:tcPr>
          <w:p w14:paraId="60FAD49D">
            <w:pPr>
              <w:widowControl/>
              <w:adjustRightInd w:val="0"/>
              <w:snapToGrid w:val="0"/>
              <w:spacing w:line="360" w:lineRule="auto"/>
              <w:jc w:val="left"/>
              <w:textAlignment w:val="center"/>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Times New Roman"/>
                <w:color w:val="auto"/>
                <w:sz w:val="24"/>
                <w:szCs w:val="24"/>
              </w:rPr>
              <w:t>投标文件中存在对招标文件的实质性负偏离</w:t>
            </w:r>
            <w:r>
              <w:rPr>
                <w:rFonts w:hint="eastAsia" w:ascii="宋体" w:hAnsi="宋体" w:eastAsia="宋体" w:cs="Times New Roman"/>
                <w:color w:val="auto"/>
                <w:sz w:val="24"/>
                <w:szCs w:val="24"/>
                <w:lang w:eastAsia="zh-CN"/>
              </w:rPr>
              <w:t>的</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视</w:t>
            </w:r>
            <w:r>
              <w:rPr>
                <w:rFonts w:hint="eastAsia" w:ascii="宋体" w:hAnsi="宋体" w:eastAsia="宋体" w:cs="Times New Roman"/>
                <w:color w:val="auto"/>
                <w:sz w:val="24"/>
                <w:szCs w:val="24"/>
              </w:rPr>
              <w:t>为无效投标。</w:t>
            </w:r>
          </w:p>
        </w:tc>
      </w:tr>
      <w:tr w14:paraId="3936F395">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3076EA99">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1765" w:type="dxa"/>
            <w:tcBorders>
              <w:top w:val="single" w:color="auto" w:sz="4" w:space="0"/>
              <w:left w:val="single" w:color="auto" w:sz="4" w:space="0"/>
              <w:bottom w:val="single" w:color="auto" w:sz="4" w:space="0"/>
              <w:right w:val="single" w:color="auto" w:sz="4" w:space="0"/>
            </w:tcBorders>
            <w:vAlign w:val="center"/>
          </w:tcPr>
          <w:p w14:paraId="14233561">
            <w:pPr>
              <w:widowControl/>
              <w:adjustRightInd w:val="0"/>
              <w:snapToGrid w:val="0"/>
              <w:jc w:val="center"/>
              <w:textAlignment w:val="center"/>
              <w:outlineLvl w:val="9"/>
              <w:rPr>
                <w:rFonts w:hint="eastAsia" w:ascii="宋体" w:hAnsi="宋体" w:eastAsia="宋体" w:cs="Times New Roman"/>
                <w:color w:val="auto"/>
                <w:kern w:val="2"/>
                <w:sz w:val="24"/>
                <w:szCs w:val="24"/>
                <w:lang w:val="en-US" w:eastAsia="zh-CN" w:bidi="ar-SA"/>
              </w:rPr>
            </w:pPr>
            <w:r>
              <w:rPr>
                <w:rFonts w:hint="eastAsia" w:ascii="宋体" w:hAnsi="宋体" w:cs="宋体"/>
                <w:color w:val="auto"/>
                <w:sz w:val="24"/>
              </w:rPr>
              <w:t>支持中小企业发展</w:t>
            </w:r>
          </w:p>
        </w:tc>
        <w:tc>
          <w:tcPr>
            <w:tcW w:w="7515" w:type="dxa"/>
            <w:tcBorders>
              <w:top w:val="single" w:color="auto" w:sz="4" w:space="0"/>
              <w:left w:val="single" w:color="auto" w:sz="4" w:space="0"/>
              <w:bottom w:val="single" w:color="auto" w:sz="4" w:space="0"/>
              <w:right w:val="single" w:color="auto" w:sz="4" w:space="0"/>
            </w:tcBorders>
            <w:vAlign w:val="center"/>
          </w:tcPr>
          <w:p w14:paraId="433842D2">
            <w:pPr>
              <w:adjustRightInd w:val="0"/>
              <w:snapToGrid w:val="0"/>
              <w:spacing w:line="360" w:lineRule="auto"/>
              <w:outlineLvl w:val="9"/>
              <w:rPr>
                <w:rFonts w:hint="eastAsia" w:ascii="宋体" w:hAnsi="宋体" w:cs="宋体"/>
                <w:color w:val="auto"/>
                <w:sz w:val="24"/>
              </w:rPr>
            </w:pPr>
            <w:r>
              <w:rPr>
                <w:rFonts w:hint="eastAsia" w:ascii="宋体" w:hAnsi="宋体" w:cs="宋体"/>
                <w:color w:val="auto"/>
                <w:sz w:val="24"/>
              </w:rPr>
              <w:t>支持中小企业发展</w:t>
            </w:r>
          </w:p>
          <w:p w14:paraId="77AA30D3">
            <w:pPr>
              <w:adjustRightInd w:val="0"/>
              <w:snapToGrid w:val="0"/>
              <w:spacing w:line="360" w:lineRule="auto"/>
              <w:outlineLvl w:val="9"/>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eq \o\ac(□</w:instrText>
            </w:r>
            <w:r>
              <w:rPr>
                <w:rFonts w:hint="eastAsia" w:ascii="宋体" w:hAnsi="宋体" w:cs="宋体"/>
                <w:color w:val="auto"/>
                <w:sz w:val="24"/>
                <w:lang w:eastAsia="zh-CN"/>
              </w:rPr>
              <w:instrText xml:space="preserve">,</w:instrText>
            </w:r>
            <w:r>
              <w:rPr>
                <w:rFonts w:hint="eastAsia" w:ascii="宋体" w:hAnsi="宋体" w:cs="宋体"/>
                <w:color w:val="auto"/>
                <w:position w:val="2"/>
                <w:sz w:val="16"/>
                <w:lang w:eastAsia="zh-CN"/>
              </w:rPr>
              <w:instrText xml:space="preserve">√</w:instrText>
            </w:r>
            <w:r>
              <w:rPr>
                <w:rFonts w:hint="eastAsia" w:ascii="宋体" w:hAnsi="宋体" w:cs="宋体"/>
                <w:color w:val="auto"/>
                <w:sz w:val="24"/>
              </w:rPr>
              <w:instrText xml:space="preserve">)</w:instrText>
            </w:r>
            <w:r>
              <w:rPr>
                <w:rFonts w:hint="eastAsia" w:ascii="宋体" w:hAnsi="宋体" w:cs="宋体"/>
                <w:color w:val="auto"/>
                <w:sz w:val="24"/>
              </w:rPr>
              <w:fldChar w:fldCharType="end"/>
            </w:r>
            <w:r>
              <w:rPr>
                <w:rFonts w:hint="eastAsia" w:ascii="宋体" w:hAnsi="宋体" w:cs="宋体"/>
                <w:color w:val="auto"/>
                <w:sz w:val="24"/>
              </w:rPr>
              <w:t>专门面向中小企业采购项目</w:t>
            </w:r>
          </w:p>
          <w:p w14:paraId="50547ADF">
            <w:pPr>
              <w:adjustRightInd w:val="0"/>
              <w:snapToGrid w:val="0"/>
              <w:spacing w:line="360" w:lineRule="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本项目专门面向小微企业采购，故不再执行价格评审优惠；</w:t>
            </w:r>
          </w:p>
          <w:p w14:paraId="056287CB">
            <w:pPr>
              <w:adjustRightInd w:val="0"/>
              <w:snapToGrid w:val="0"/>
              <w:spacing w:line="360" w:lineRule="auto"/>
              <w:outlineLvl w:val="9"/>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eq \o\ac(□)</w:instrText>
            </w:r>
            <w:r>
              <w:rPr>
                <w:rFonts w:hint="eastAsia" w:ascii="宋体" w:hAnsi="宋体" w:cs="宋体"/>
                <w:color w:val="auto"/>
                <w:sz w:val="24"/>
              </w:rPr>
              <w:fldChar w:fldCharType="end"/>
            </w:r>
            <w:r>
              <w:rPr>
                <w:rFonts w:hint="eastAsia" w:ascii="宋体" w:hAnsi="宋体" w:cs="宋体"/>
                <w:color w:val="auto"/>
                <w:sz w:val="24"/>
              </w:rPr>
              <w:t>非专门面向中小企业采购项目（价格扣除）：</w:t>
            </w:r>
          </w:p>
          <w:p w14:paraId="363FA3D6">
            <w:pPr>
              <w:adjustRightInd w:val="0"/>
              <w:snapToGrid w:val="0"/>
              <w:spacing w:line="360" w:lineRule="auto"/>
              <w:outlineLvl w:val="9"/>
              <w:rPr>
                <w:rFonts w:hint="eastAsia" w:ascii="宋体" w:hAnsi="宋体" w:cs="宋体"/>
                <w:color w:val="auto"/>
                <w:sz w:val="24"/>
              </w:rPr>
            </w:pPr>
            <w:r>
              <w:rPr>
                <w:rFonts w:hint="eastAsia" w:ascii="宋体" w:hAnsi="宋体" w:cs="宋体"/>
                <w:color w:val="auto"/>
                <w:sz w:val="24"/>
              </w:rPr>
              <w:sym w:font="Wingdings" w:char="F081"/>
            </w:r>
            <w:r>
              <w:rPr>
                <w:rFonts w:hint="eastAsia" w:ascii="宋体" w:hAnsi="宋体" w:cs="宋体"/>
                <w:color w:val="auto"/>
                <w:sz w:val="24"/>
              </w:rPr>
              <w:t>对小型和微型企业产品的价格给与</w:t>
            </w:r>
            <w:r>
              <w:rPr>
                <w:rFonts w:hint="eastAsia" w:ascii="宋体" w:hAnsi="宋体" w:cs="宋体"/>
                <w:color w:val="auto"/>
                <w:sz w:val="24"/>
                <w:lang w:val="en-US" w:eastAsia="zh-CN"/>
              </w:rPr>
              <w:t>10%-20</w:t>
            </w:r>
            <w:r>
              <w:rPr>
                <w:rFonts w:hint="eastAsia" w:ascii="宋体" w:hAnsi="宋体" w:cs="宋体"/>
                <w:color w:val="auto"/>
                <w:sz w:val="24"/>
              </w:rPr>
              <w:t>%的扣除，用扣除后的价格参与评审。项目的扣除比例为：小微企业扣除</w:t>
            </w:r>
            <w:r>
              <w:rPr>
                <w:rFonts w:hint="eastAsia" w:ascii="宋体" w:hAnsi="宋体" w:cs="宋体"/>
                <w:color w:val="auto"/>
                <w:sz w:val="24"/>
                <w:lang w:eastAsia="zh-CN"/>
              </w:rPr>
              <w:t>20%。</w:t>
            </w:r>
          </w:p>
          <w:p w14:paraId="7F04128F">
            <w:pPr>
              <w:adjustRightInd w:val="0"/>
              <w:snapToGrid w:val="0"/>
              <w:spacing w:line="360" w:lineRule="auto"/>
              <w:outlineLvl w:val="9"/>
              <w:rPr>
                <w:rFonts w:hint="eastAsia" w:ascii="宋体" w:hAnsi="宋体" w:eastAsia="宋体" w:cs="Times New Roman"/>
                <w:color w:val="auto"/>
                <w:kern w:val="2"/>
                <w:sz w:val="24"/>
                <w:szCs w:val="24"/>
                <w:lang w:val="en-US" w:eastAsia="zh-CN" w:bidi="ar-SA"/>
              </w:rPr>
            </w:pPr>
            <w:r>
              <w:rPr>
                <w:rFonts w:ascii="宋体" w:hAnsi="宋体" w:cs="宋体"/>
                <w:color w:val="auto"/>
                <w:sz w:val="24"/>
              </w:rPr>
              <w:sym w:font="Wingdings" w:char="F082"/>
            </w:r>
            <w:r>
              <w:rPr>
                <w:rFonts w:hint="eastAsia" w:ascii="宋体" w:hAnsi="宋体" w:cs="宋体"/>
                <w:color w:val="auto"/>
                <w:sz w:val="24"/>
              </w:rPr>
              <w:t>项目接收联合体投标的，若小型和微型企业的协议合同金额占到联合体协议合同金额30%以上的，可给予联合体</w:t>
            </w:r>
            <w:r>
              <w:rPr>
                <w:rFonts w:hint="eastAsia" w:ascii="宋体" w:hAnsi="宋体" w:cs="宋体"/>
                <w:color w:val="auto"/>
                <w:sz w:val="24"/>
                <w:lang w:val="en-US" w:eastAsia="zh-CN"/>
              </w:rPr>
              <w:t>4%-6</w:t>
            </w:r>
            <w:r>
              <w:rPr>
                <w:rFonts w:hint="eastAsia" w:ascii="宋体" w:hAnsi="宋体" w:cs="宋体"/>
                <w:color w:val="auto"/>
                <w:sz w:val="24"/>
              </w:rPr>
              <w:t>%的扣除，用扣除后的价格参与评审。项目的扣除比例为：</w:t>
            </w:r>
            <w:r>
              <w:rPr>
                <w:rFonts w:hint="eastAsia" w:ascii="宋体" w:hAnsi="宋体" w:cs="宋体"/>
                <w:color w:val="auto"/>
                <w:sz w:val="24"/>
                <w:lang w:val="en-US" w:eastAsia="zh-CN"/>
              </w:rPr>
              <w:t>6</w:t>
            </w:r>
            <w:r>
              <w:rPr>
                <w:rFonts w:hint="eastAsia" w:ascii="宋体" w:hAnsi="宋体" w:cs="宋体"/>
                <w:color w:val="auto"/>
                <w:sz w:val="24"/>
              </w:rPr>
              <w:t>%。</w:t>
            </w:r>
          </w:p>
        </w:tc>
      </w:tr>
      <w:tr w14:paraId="28041E7F">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5843589B">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1765" w:type="dxa"/>
            <w:tcBorders>
              <w:top w:val="single" w:color="auto" w:sz="4" w:space="0"/>
              <w:left w:val="single" w:color="auto" w:sz="4" w:space="0"/>
              <w:bottom w:val="single" w:color="auto" w:sz="4" w:space="0"/>
              <w:right w:val="single" w:color="auto" w:sz="4" w:space="0"/>
            </w:tcBorders>
            <w:vAlign w:val="center"/>
          </w:tcPr>
          <w:p w14:paraId="1E5171A3">
            <w:pPr>
              <w:widowControl/>
              <w:adjustRightInd w:val="0"/>
              <w:snapToGrid w:val="0"/>
              <w:jc w:val="center"/>
              <w:textAlignment w:val="center"/>
              <w:outlineLvl w:val="9"/>
              <w:rPr>
                <w:rFonts w:hint="default" w:ascii="Times New Roman" w:hAnsi="Times New Roman" w:eastAsia="宋体" w:cs="Times New Roman"/>
                <w:color w:val="auto"/>
                <w:kern w:val="2"/>
                <w:sz w:val="24"/>
                <w:lang w:val="en-US" w:eastAsia="zh-CN" w:bidi="ar-SA"/>
              </w:rPr>
            </w:pPr>
            <w:r>
              <w:rPr>
                <w:rFonts w:hint="eastAsia" w:cs="Times New Roman"/>
                <w:color w:val="auto"/>
                <w:kern w:val="2"/>
                <w:sz w:val="24"/>
                <w:lang w:val="en-US" w:eastAsia="zh-CN" w:bidi="ar-SA"/>
              </w:rPr>
              <w:t>中小企业的划分</w:t>
            </w:r>
          </w:p>
        </w:tc>
        <w:tc>
          <w:tcPr>
            <w:tcW w:w="7515" w:type="dxa"/>
            <w:tcBorders>
              <w:top w:val="single" w:color="auto" w:sz="4" w:space="0"/>
              <w:left w:val="single" w:color="auto" w:sz="4" w:space="0"/>
              <w:bottom w:val="single" w:color="auto" w:sz="4" w:space="0"/>
              <w:right w:val="single" w:color="auto" w:sz="4" w:space="0"/>
            </w:tcBorders>
            <w:vAlign w:val="center"/>
          </w:tcPr>
          <w:p w14:paraId="4A03A561">
            <w:pPr>
              <w:adjustRightInd w:val="0"/>
              <w:snapToGrid w:val="0"/>
              <w:spacing w:line="360" w:lineRule="auto"/>
              <w:outlineLvl w:val="9"/>
              <w:rPr>
                <w:rFonts w:hint="eastAsia" w:ascii="宋体" w:hAnsi="宋体" w:cs="宋体"/>
                <w:color w:val="auto"/>
                <w:sz w:val="24"/>
              </w:rPr>
            </w:pPr>
            <w:r>
              <w:rPr>
                <w:rFonts w:hint="eastAsia" w:ascii="宋体" w:hAnsi="宋体" w:cs="宋体"/>
                <w:color w:val="auto"/>
                <w:sz w:val="24"/>
              </w:rPr>
              <w:t>各行业划分标准具体为</w:t>
            </w:r>
          </w:p>
          <w:p w14:paraId="4D87F7B3">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1、农、林、牧、渔业。营业收入20000万元以下的为中小微型企业。其中，营业收入500万元及以上的为中型企业,营业收入50万元及以上的为小型企业，营业收入50万元以下的为微型企业。　　</w:t>
            </w:r>
          </w:p>
          <w:p w14:paraId="1DCFE543">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76ECB3FE">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3、建筑业</w:t>
            </w:r>
            <w:r>
              <w:rPr>
                <w:rFonts w:hint="eastAsia" w:ascii="宋体" w:hAnsi="宋体" w:eastAsia="宋体" w:cs="宋体"/>
                <w:color w:val="auto"/>
                <w:sz w:val="24"/>
                <w:lang w:eastAsia="zh-CN"/>
              </w:rPr>
              <w:t>。</w:t>
            </w:r>
            <w:r>
              <w:rPr>
                <w:rFonts w:hint="eastAsia" w:ascii="宋体" w:hAnsi="宋体" w:eastAsia="宋体" w:cs="宋体"/>
                <w:color w:val="auto"/>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23A48483">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F08CF5F">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15F21380">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4B379287">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635AC38B">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0D165D5D">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D70A73C">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01B7741B">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9BA955F">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1E38EC1">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B30AFFE">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30EC507F">
            <w:pPr>
              <w:adjustRightInd w:val="0"/>
              <w:snapToGrid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43B4E40D">
            <w:pPr>
              <w:adjustRightInd w:val="0"/>
              <w:snapToGrid w:val="0"/>
              <w:spacing w:line="360" w:lineRule="auto"/>
              <w:outlineLvl w:val="9"/>
              <w:rPr>
                <w:rFonts w:hint="eastAsia"/>
                <w:color w:val="auto"/>
              </w:rPr>
            </w:pPr>
            <w:r>
              <w:rPr>
                <w:rFonts w:hint="eastAsia" w:ascii="宋体" w:hAnsi="宋体" w:eastAsia="宋体" w:cs="宋体"/>
                <w:color w:val="auto"/>
                <w:sz w:val="24"/>
                <w:lang w:val="en-US" w:eastAsia="zh-CN"/>
              </w:rPr>
              <w:t>16、其他未列明行业.从业人员300人以下的为中小微型企业。其中，从业人员100人及以上的为中型企业;从业人员10人及以上的为小型企业；从业人员10人以下的为微型企业。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auto"/>
                <w:sz w:val="24"/>
              </w:rPr>
              <w:t>　</w:t>
            </w:r>
          </w:p>
          <w:p w14:paraId="6E360D45">
            <w:pPr>
              <w:pStyle w:val="11"/>
              <w:outlineLvl w:val="9"/>
              <w:rPr>
                <w:rFonts w:hint="eastAsia" w:ascii="Times New Roman" w:hAnsi="Times New Roman" w:eastAsia="宋体" w:cs="Times New Roman"/>
                <w:color w:val="auto"/>
                <w:kern w:val="2"/>
                <w:sz w:val="24"/>
                <w:lang w:val="en-US" w:eastAsia="zh-CN" w:bidi="ar-SA"/>
              </w:rPr>
            </w:pPr>
            <w:r>
              <w:rPr>
                <w:rFonts w:hint="eastAsia" w:ascii="宋体" w:hAnsi="宋体" w:eastAsia="宋体" w:cs="宋体"/>
                <w:b/>
                <w:bCs/>
                <w:color w:val="auto"/>
                <w:kern w:val="2"/>
                <w:sz w:val="24"/>
                <w:szCs w:val="24"/>
                <w:lang w:val="en-US" w:eastAsia="zh-CN" w:bidi="ar-SA"/>
              </w:rPr>
              <w:t>本项目</w:t>
            </w:r>
            <w:r>
              <w:rPr>
                <w:rFonts w:hint="eastAsia" w:ascii="宋体" w:hAnsi="宋体" w:cs="宋体"/>
                <w:b/>
                <w:bCs/>
                <w:color w:val="auto"/>
                <w:kern w:val="2"/>
                <w:sz w:val="24"/>
                <w:szCs w:val="24"/>
                <w:lang w:val="en-US" w:eastAsia="zh-CN" w:bidi="ar-SA"/>
              </w:rPr>
              <w:t>所属行业</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kern w:val="2"/>
                <w:sz w:val="24"/>
                <w:szCs w:val="24"/>
                <w:lang w:val="en-US" w:eastAsia="zh-CN" w:bidi="ar-SA"/>
              </w:rPr>
              <w:t>建筑业</w:t>
            </w:r>
          </w:p>
        </w:tc>
      </w:tr>
      <w:tr w14:paraId="4FEAC0B1">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193CAB21">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1765" w:type="dxa"/>
            <w:tcBorders>
              <w:top w:val="single" w:color="auto" w:sz="4" w:space="0"/>
              <w:left w:val="single" w:color="auto" w:sz="4" w:space="0"/>
              <w:bottom w:val="single" w:color="auto" w:sz="4" w:space="0"/>
              <w:right w:val="single" w:color="auto" w:sz="4" w:space="0"/>
            </w:tcBorders>
            <w:vAlign w:val="center"/>
          </w:tcPr>
          <w:p w14:paraId="4FD7B622">
            <w:pPr>
              <w:spacing w:line="420" w:lineRule="exact"/>
              <w:jc w:val="center"/>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代理服务费</w:t>
            </w:r>
          </w:p>
        </w:tc>
        <w:tc>
          <w:tcPr>
            <w:tcW w:w="7515" w:type="dxa"/>
            <w:tcBorders>
              <w:top w:val="single" w:color="auto" w:sz="4" w:space="0"/>
              <w:left w:val="single" w:color="auto" w:sz="4" w:space="0"/>
              <w:bottom w:val="single" w:color="auto" w:sz="4" w:space="0"/>
              <w:right w:val="single" w:color="auto" w:sz="4" w:space="0"/>
            </w:tcBorders>
            <w:vAlign w:val="center"/>
          </w:tcPr>
          <w:p w14:paraId="0E94D16B">
            <w:pPr>
              <w:adjustRightInd w:val="0"/>
              <w:snapToGrid w:val="0"/>
              <w:spacing w:line="360" w:lineRule="auto"/>
              <w:jc w:val="left"/>
              <w:outlineLvl w:val="9"/>
              <w:rPr>
                <w:rFonts w:ascii="宋体" w:hAnsi="宋体" w:cs="宋体"/>
                <w:color w:val="auto"/>
                <w:sz w:val="24"/>
                <w:szCs w:val="24"/>
              </w:rPr>
            </w:pPr>
            <w:r>
              <w:rPr>
                <w:rFonts w:hint="eastAsia" w:ascii="宋体" w:hAnsi="宋体" w:cs="仿宋_GB2312"/>
                <w:color w:val="auto"/>
                <w:sz w:val="24"/>
                <w:szCs w:val="24"/>
              </w:rPr>
              <w:t>(</w:t>
            </w:r>
            <w:r>
              <w:rPr>
                <w:rFonts w:hint="eastAsia"/>
                <w:color w:val="auto"/>
                <w:sz w:val="24"/>
                <w:szCs w:val="24"/>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由</w:t>
            </w:r>
            <w:r>
              <w:rPr>
                <w:rFonts w:hint="eastAsia"/>
                <w:color w:val="auto"/>
                <w:sz w:val="24"/>
                <w:szCs w:val="24"/>
                <w:u w:val="single"/>
                <w:lang w:val="en-US" w:eastAsia="zh-CN"/>
              </w:rPr>
              <w:t xml:space="preserve"> </w:t>
            </w:r>
            <w:r>
              <w:rPr>
                <w:rFonts w:hint="eastAsia"/>
                <w:color w:val="auto"/>
                <w:sz w:val="24"/>
                <w:szCs w:val="24"/>
                <w:u w:val="single"/>
                <w:shd w:val="clear"/>
                <w:lang w:val="en-US" w:eastAsia="zh-CN"/>
              </w:rPr>
              <w:t xml:space="preserve"> 采购人</w:t>
            </w:r>
            <w:r>
              <w:rPr>
                <w:rFonts w:hint="eastAsia"/>
                <w:color w:val="auto"/>
                <w:sz w:val="24"/>
                <w:szCs w:val="24"/>
                <w:u w:val="single"/>
                <w:lang w:val="en-US" w:eastAsia="zh-CN"/>
              </w:rPr>
              <w:t xml:space="preserve">  </w:t>
            </w:r>
            <w:r>
              <w:rPr>
                <w:rFonts w:hint="eastAsia"/>
                <w:color w:val="auto"/>
                <w:sz w:val="24"/>
                <w:szCs w:val="24"/>
              </w:rPr>
              <w:t>向</w:t>
            </w:r>
            <w:r>
              <w:rPr>
                <w:rFonts w:hint="eastAsia" w:asciiTheme="minorEastAsia" w:hAnsiTheme="minorEastAsia" w:eastAsiaTheme="minorEastAsia" w:cstheme="minorEastAsia"/>
                <w:color w:val="auto"/>
                <w:sz w:val="24"/>
                <w:szCs w:val="24"/>
                <w:lang w:eastAsia="zh-CN"/>
              </w:rPr>
              <w:t>陕西众信玖鼎项目管理有限责任公司</w:t>
            </w:r>
            <w:r>
              <w:rPr>
                <w:rFonts w:hint="eastAsia"/>
                <w:color w:val="auto"/>
                <w:sz w:val="24"/>
                <w:szCs w:val="24"/>
              </w:rPr>
              <w:t>交纳招标代理服务费。</w:t>
            </w:r>
          </w:p>
          <w:p w14:paraId="77639F4F">
            <w:pPr>
              <w:keepNext w:val="0"/>
              <w:keepLines w:val="0"/>
              <w:suppressLineNumbers w:val="0"/>
              <w:spacing w:before="0" w:beforeAutospacing="0" w:after="0" w:afterAutospacing="0" w:line="360" w:lineRule="auto"/>
              <w:ind w:left="0" w:right="0"/>
              <w:outlineLvl w:val="9"/>
              <w:rPr>
                <w:rFonts w:hint="eastAsia" w:ascii="宋体" w:hAnsi="宋体" w:cs="宋体"/>
                <w:color w:val="auto"/>
                <w:sz w:val="24"/>
                <w:szCs w:val="24"/>
              </w:rPr>
            </w:pPr>
            <w:r>
              <w:rPr>
                <w:rFonts w:hint="eastAsia" w:ascii="宋体" w:hAnsi="宋体" w:cs="宋体"/>
                <w:color w:val="auto"/>
                <w:sz w:val="24"/>
                <w:szCs w:val="24"/>
              </w:rPr>
              <w:t>采购代理服务费按差额定率累进法计算：</w:t>
            </w:r>
          </w:p>
          <w:tbl>
            <w:tblPr>
              <w:tblStyle w:val="26"/>
              <w:tblpPr w:leftFromText="180" w:rightFromText="180" w:vertAnchor="text" w:horzAnchor="page" w:tblpX="665" w:tblpY="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14"/>
              <w:gridCol w:w="1444"/>
              <w:gridCol w:w="1445"/>
            </w:tblGrid>
            <w:tr w14:paraId="5BD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49" w:type="dxa"/>
                </w:tcPr>
                <w:p w14:paraId="3D2FEAE8">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服务类型/费率/中标金额（万元）</w:t>
                  </w:r>
                </w:p>
              </w:tc>
              <w:tc>
                <w:tcPr>
                  <w:tcW w:w="1214" w:type="dxa"/>
                  <w:vAlign w:val="center"/>
                </w:tcPr>
                <w:p w14:paraId="4BB2992E">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货物招标</w:t>
                  </w:r>
                </w:p>
              </w:tc>
              <w:tc>
                <w:tcPr>
                  <w:tcW w:w="1444" w:type="dxa"/>
                  <w:vAlign w:val="center"/>
                </w:tcPr>
                <w:p w14:paraId="32FF67C6">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服务招标</w:t>
                  </w:r>
                </w:p>
              </w:tc>
              <w:tc>
                <w:tcPr>
                  <w:tcW w:w="1445" w:type="dxa"/>
                  <w:vAlign w:val="center"/>
                </w:tcPr>
                <w:p w14:paraId="08C3AA6D">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工程招标</w:t>
                  </w:r>
                </w:p>
              </w:tc>
            </w:tr>
            <w:tr w14:paraId="2413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049" w:type="dxa"/>
                </w:tcPr>
                <w:p w14:paraId="7F93B312">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100以下</w:t>
                  </w:r>
                </w:p>
              </w:tc>
              <w:tc>
                <w:tcPr>
                  <w:tcW w:w="1214" w:type="dxa"/>
                </w:tcPr>
                <w:p w14:paraId="27EFC7C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1.5%</w:t>
                  </w:r>
                </w:p>
              </w:tc>
              <w:tc>
                <w:tcPr>
                  <w:tcW w:w="1444" w:type="dxa"/>
                </w:tcPr>
                <w:p w14:paraId="439B1A48">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1.5%</w:t>
                  </w:r>
                </w:p>
              </w:tc>
              <w:tc>
                <w:tcPr>
                  <w:tcW w:w="1445" w:type="dxa"/>
                </w:tcPr>
                <w:p w14:paraId="6298F554">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w:t>
                  </w:r>
                </w:p>
              </w:tc>
            </w:tr>
            <w:tr w14:paraId="657B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049" w:type="dxa"/>
                </w:tcPr>
                <w:p w14:paraId="372F0946">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100-500</w:t>
                  </w:r>
                </w:p>
              </w:tc>
              <w:tc>
                <w:tcPr>
                  <w:tcW w:w="1214" w:type="dxa"/>
                </w:tcPr>
                <w:p w14:paraId="2E4DCBAA">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1.1%</w:t>
                  </w:r>
                </w:p>
              </w:tc>
              <w:tc>
                <w:tcPr>
                  <w:tcW w:w="1444" w:type="dxa"/>
                </w:tcPr>
                <w:p w14:paraId="5CE7DF28">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0.8%</w:t>
                  </w:r>
                </w:p>
              </w:tc>
              <w:tc>
                <w:tcPr>
                  <w:tcW w:w="1445" w:type="dxa"/>
                </w:tcPr>
                <w:p w14:paraId="3D62E1B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0.7%</w:t>
                  </w:r>
                </w:p>
              </w:tc>
            </w:tr>
            <w:tr w14:paraId="714C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049" w:type="dxa"/>
                </w:tcPr>
                <w:p w14:paraId="70D3AA6F">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500-1000</w:t>
                  </w:r>
                </w:p>
              </w:tc>
              <w:tc>
                <w:tcPr>
                  <w:tcW w:w="1214" w:type="dxa"/>
                </w:tcPr>
                <w:p w14:paraId="0C7DDF6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0.8%</w:t>
                  </w:r>
                </w:p>
              </w:tc>
              <w:tc>
                <w:tcPr>
                  <w:tcW w:w="1444" w:type="dxa"/>
                </w:tcPr>
                <w:p w14:paraId="28C3C6E3">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0.45%</w:t>
                  </w:r>
                </w:p>
              </w:tc>
              <w:tc>
                <w:tcPr>
                  <w:tcW w:w="1445" w:type="dxa"/>
                </w:tcPr>
                <w:p w14:paraId="67EF081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0.55%</w:t>
                  </w:r>
                </w:p>
              </w:tc>
            </w:tr>
            <w:tr w14:paraId="2AF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049" w:type="dxa"/>
                </w:tcPr>
                <w:p w14:paraId="16991919">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1000-5000</w:t>
                  </w:r>
                </w:p>
              </w:tc>
              <w:tc>
                <w:tcPr>
                  <w:tcW w:w="1214" w:type="dxa"/>
                </w:tcPr>
                <w:p w14:paraId="3CCAE602">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0.5%</w:t>
                  </w:r>
                </w:p>
              </w:tc>
              <w:tc>
                <w:tcPr>
                  <w:tcW w:w="1444" w:type="dxa"/>
                </w:tcPr>
                <w:p w14:paraId="2B4E105D">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0.25%</w:t>
                  </w:r>
                </w:p>
              </w:tc>
              <w:tc>
                <w:tcPr>
                  <w:tcW w:w="1445" w:type="dxa"/>
                </w:tcPr>
                <w:p w14:paraId="3152408A">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0.35%</w:t>
                  </w:r>
                </w:p>
              </w:tc>
            </w:tr>
            <w:tr w14:paraId="0A15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049" w:type="dxa"/>
                </w:tcPr>
                <w:p w14:paraId="53E13FB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5000-10000</w:t>
                  </w:r>
                </w:p>
              </w:tc>
              <w:tc>
                <w:tcPr>
                  <w:tcW w:w="1214" w:type="dxa"/>
                </w:tcPr>
                <w:p w14:paraId="3664C5F1">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0.25%</w:t>
                  </w:r>
                </w:p>
              </w:tc>
              <w:tc>
                <w:tcPr>
                  <w:tcW w:w="1444" w:type="dxa"/>
                </w:tcPr>
                <w:p w14:paraId="0CE03A94">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0.1%</w:t>
                  </w:r>
                </w:p>
              </w:tc>
              <w:tc>
                <w:tcPr>
                  <w:tcW w:w="1445" w:type="dxa"/>
                </w:tcPr>
                <w:p w14:paraId="236B8B3C">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0.2%</w:t>
                  </w:r>
                </w:p>
              </w:tc>
            </w:tr>
            <w:tr w14:paraId="753D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049" w:type="dxa"/>
                </w:tcPr>
                <w:p w14:paraId="30F2B673">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10000-100000</w:t>
                  </w:r>
                </w:p>
              </w:tc>
              <w:tc>
                <w:tcPr>
                  <w:tcW w:w="1214" w:type="dxa"/>
                </w:tcPr>
                <w:p w14:paraId="64C391AE">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0.05%</w:t>
                  </w:r>
                </w:p>
              </w:tc>
              <w:tc>
                <w:tcPr>
                  <w:tcW w:w="1444" w:type="dxa"/>
                </w:tcPr>
                <w:p w14:paraId="5D849EEC">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0.05%</w:t>
                  </w:r>
                </w:p>
              </w:tc>
              <w:tc>
                <w:tcPr>
                  <w:tcW w:w="1445" w:type="dxa"/>
                </w:tcPr>
                <w:p w14:paraId="2F6E8079">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0.05%</w:t>
                  </w:r>
                </w:p>
              </w:tc>
            </w:tr>
            <w:tr w14:paraId="3A67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049" w:type="dxa"/>
                </w:tcPr>
                <w:p w14:paraId="1C4EFDE7">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1000000以上</w:t>
                  </w:r>
                </w:p>
              </w:tc>
              <w:tc>
                <w:tcPr>
                  <w:tcW w:w="1214" w:type="dxa"/>
                </w:tcPr>
                <w:p w14:paraId="2C6CFCE0">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0.01%</w:t>
                  </w:r>
                </w:p>
              </w:tc>
              <w:tc>
                <w:tcPr>
                  <w:tcW w:w="1444" w:type="dxa"/>
                </w:tcPr>
                <w:p w14:paraId="66D6B95C">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0.01%</w:t>
                  </w:r>
                </w:p>
              </w:tc>
              <w:tc>
                <w:tcPr>
                  <w:tcW w:w="1445" w:type="dxa"/>
                </w:tcPr>
                <w:p w14:paraId="2AB5C151">
                  <w:pPr>
                    <w:keepNext w:val="0"/>
                    <w:keepLines w:val="0"/>
                    <w:suppressLineNumbers w:val="0"/>
                    <w:spacing w:before="0" w:beforeAutospacing="0" w:after="0" w:afterAutospacing="0" w:line="360" w:lineRule="auto"/>
                    <w:ind w:left="0" w:right="0"/>
                    <w:outlineLvl w:val="9"/>
                    <w:rPr>
                      <w:rFonts w:ascii="宋体" w:hAnsi="宋体" w:cs="宋体"/>
                      <w:color w:val="auto"/>
                      <w:sz w:val="24"/>
                      <w:szCs w:val="24"/>
                    </w:rPr>
                  </w:pPr>
                  <w:r>
                    <w:rPr>
                      <w:rFonts w:hint="eastAsia" w:ascii="宋体" w:hAnsi="宋体" w:cs="宋体"/>
                      <w:color w:val="auto"/>
                      <w:sz w:val="24"/>
                      <w:szCs w:val="24"/>
                    </w:rPr>
                    <w:t>0.01%</w:t>
                  </w:r>
                </w:p>
              </w:tc>
            </w:tr>
          </w:tbl>
          <w:p w14:paraId="27182463">
            <w:pPr>
              <w:pStyle w:val="36"/>
              <w:ind w:left="0" w:leftChars="0" w:firstLine="0" w:firstLineChars="0"/>
              <w:outlineLvl w:val="9"/>
              <w:rPr>
                <w:rFonts w:hint="eastAsia" w:ascii="宋体" w:hAnsi="宋体" w:cs="宋体"/>
                <w:color w:val="auto"/>
                <w:sz w:val="24"/>
                <w:szCs w:val="24"/>
              </w:rPr>
            </w:pPr>
          </w:p>
          <w:p w14:paraId="4D68252E">
            <w:pPr>
              <w:keepNext w:val="0"/>
              <w:keepLines w:val="0"/>
              <w:suppressLineNumbers w:val="0"/>
              <w:spacing w:before="0" w:beforeAutospacing="0" w:after="0" w:afterAutospacing="0" w:line="360" w:lineRule="auto"/>
              <w:ind w:left="0" w:right="0"/>
              <w:outlineLvl w:val="9"/>
              <w:rPr>
                <w:rFonts w:hint="eastAsia" w:ascii="宋体" w:hAnsi="宋体" w:cs="宋体"/>
                <w:color w:val="auto"/>
                <w:sz w:val="24"/>
                <w:szCs w:val="24"/>
              </w:rPr>
            </w:pPr>
          </w:p>
          <w:p w14:paraId="25605712">
            <w:pPr>
              <w:keepNext w:val="0"/>
              <w:keepLines w:val="0"/>
              <w:suppressLineNumbers w:val="0"/>
              <w:spacing w:before="0" w:beforeAutospacing="0" w:after="0" w:afterAutospacing="0" w:line="360" w:lineRule="auto"/>
              <w:ind w:left="0" w:right="0"/>
              <w:outlineLvl w:val="9"/>
              <w:rPr>
                <w:rFonts w:hint="eastAsia" w:ascii="宋体" w:hAnsi="宋体" w:cs="宋体"/>
                <w:color w:val="auto"/>
                <w:sz w:val="24"/>
                <w:szCs w:val="24"/>
              </w:rPr>
            </w:pPr>
          </w:p>
          <w:p w14:paraId="429DBC7D">
            <w:pPr>
              <w:keepNext w:val="0"/>
              <w:keepLines w:val="0"/>
              <w:suppressLineNumbers w:val="0"/>
              <w:spacing w:before="0" w:beforeAutospacing="0" w:after="0" w:afterAutospacing="0" w:line="360" w:lineRule="auto"/>
              <w:ind w:left="0" w:right="0"/>
              <w:outlineLvl w:val="9"/>
              <w:rPr>
                <w:rFonts w:hint="eastAsia" w:ascii="宋体" w:hAnsi="宋体" w:cs="宋体"/>
                <w:color w:val="auto"/>
                <w:sz w:val="24"/>
                <w:szCs w:val="24"/>
              </w:rPr>
            </w:pPr>
          </w:p>
          <w:p w14:paraId="660F065E">
            <w:pPr>
              <w:keepNext w:val="0"/>
              <w:keepLines w:val="0"/>
              <w:suppressLineNumbers w:val="0"/>
              <w:spacing w:before="0" w:beforeAutospacing="0" w:after="0" w:afterAutospacing="0" w:line="360" w:lineRule="auto"/>
              <w:ind w:left="0" w:right="0"/>
              <w:outlineLvl w:val="9"/>
              <w:rPr>
                <w:rFonts w:hint="eastAsia" w:ascii="宋体" w:hAnsi="宋体" w:cs="宋体"/>
                <w:color w:val="auto"/>
                <w:sz w:val="24"/>
                <w:szCs w:val="24"/>
              </w:rPr>
            </w:pPr>
          </w:p>
          <w:p w14:paraId="2296115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rPr>
              <w:t>例如：某</w:t>
            </w:r>
            <w:r>
              <w:rPr>
                <w:rFonts w:hint="eastAsia" w:ascii="宋体" w:hAnsi="宋体" w:cs="宋体"/>
                <w:color w:val="auto"/>
                <w:sz w:val="24"/>
                <w:szCs w:val="24"/>
                <w:lang w:val="en-US" w:eastAsia="zh-CN"/>
              </w:rPr>
              <w:t>工程</w:t>
            </w:r>
            <w:r>
              <w:rPr>
                <w:rFonts w:hint="eastAsia" w:ascii="宋体" w:hAnsi="宋体" w:cs="宋体"/>
                <w:color w:val="auto"/>
                <w:sz w:val="24"/>
                <w:szCs w:val="24"/>
              </w:rPr>
              <w:t>招标</w:t>
            </w:r>
            <w:r>
              <w:rPr>
                <w:rFonts w:hint="eastAsia" w:ascii="宋体" w:hAnsi="宋体" w:cs="宋体"/>
                <w:color w:val="auto"/>
                <w:sz w:val="24"/>
                <w:szCs w:val="24"/>
                <w:lang w:val="en-US" w:eastAsia="zh-CN"/>
              </w:rPr>
              <w:t>项目</w:t>
            </w:r>
            <w:r>
              <w:rPr>
                <w:rFonts w:hint="eastAsia" w:ascii="宋体" w:hAnsi="宋体" w:cs="宋体"/>
                <w:color w:val="auto"/>
                <w:sz w:val="24"/>
                <w:szCs w:val="24"/>
              </w:rPr>
              <w:t>成交金额为678.2万元，采购代理服务费计算如下：</w:t>
            </w:r>
          </w:p>
          <w:p w14:paraId="055B9BE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100万元*1.0%=1.00万元 </w:t>
            </w:r>
          </w:p>
          <w:p w14:paraId="43C8CC8B">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(500-100)*0.7%=2.80万元</w:t>
            </w:r>
          </w:p>
          <w:p w14:paraId="193BE421">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(678.2-500)*0.55%=0.9801万元</w:t>
            </w:r>
          </w:p>
          <w:p w14:paraId="71F11E30">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服务费=1.00+2.80+0.9801=4.7801万元。</w:t>
            </w:r>
          </w:p>
          <w:p w14:paraId="244FBEC6">
            <w:pPr>
              <w:pageBreakBefore w:val="0"/>
              <w:kinsoku/>
              <w:wordWrap/>
              <w:overflowPunct/>
              <w:topLinePunct w:val="0"/>
              <w:autoSpaceDE/>
              <w:autoSpaceDN/>
              <w:bidi w:val="0"/>
              <w:adjustRightInd/>
              <w:snapToGrid/>
              <w:spacing w:line="360" w:lineRule="auto"/>
              <w:textAlignment w:val="auto"/>
              <w:outlineLvl w:val="9"/>
              <w:rPr>
                <w:rFonts w:hint="default" w:ascii="宋体" w:hAnsi="宋体" w:cs="宋体"/>
                <w:color w:val="auto"/>
                <w:sz w:val="24"/>
                <w:lang w:val="en-US"/>
              </w:rPr>
            </w:pPr>
            <w:r>
              <w:rPr>
                <w:rFonts w:hint="eastAsia" w:ascii="宋体" w:hAnsi="宋体" w:eastAsia="宋体" w:cs="宋体"/>
                <w:color w:val="auto"/>
                <w:sz w:val="24"/>
                <w:szCs w:val="24"/>
                <w:lang w:val="en-US" w:eastAsia="zh-CN"/>
              </w:rPr>
              <w:t>（4）本项目项目属性：</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val="en-US" w:eastAsia="zh-CN"/>
              </w:rPr>
              <w:t>招标。</w:t>
            </w:r>
          </w:p>
        </w:tc>
      </w:tr>
      <w:tr w14:paraId="5977ADDC">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5C39B6B0">
            <w:pPr>
              <w:adjustRightInd w:val="0"/>
              <w:snapToGrid w:val="0"/>
              <w:spacing w:line="360" w:lineRule="auto"/>
              <w:jc w:val="center"/>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1765" w:type="dxa"/>
            <w:tcBorders>
              <w:top w:val="single" w:color="auto" w:sz="4" w:space="0"/>
              <w:left w:val="single" w:color="auto" w:sz="4" w:space="0"/>
              <w:bottom w:val="single" w:color="auto" w:sz="4" w:space="0"/>
              <w:right w:val="single" w:color="auto" w:sz="4" w:space="0"/>
            </w:tcBorders>
            <w:vAlign w:val="center"/>
          </w:tcPr>
          <w:p w14:paraId="1211A764">
            <w:pPr>
              <w:widowControl/>
              <w:adjustRightInd w:val="0"/>
              <w:snapToGrid w:val="0"/>
              <w:jc w:val="center"/>
              <w:textAlignment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公共资源信用承诺</w:t>
            </w:r>
          </w:p>
        </w:tc>
        <w:tc>
          <w:tcPr>
            <w:tcW w:w="7515" w:type="dxa"/>
            <w:tcBorders>
              <w:top w:val="single" w:color="auto" w:sz="4" w:space="0"/>
              <w:left w:val="single" w:color="auto" w:sz="4" w:space="0"/>
              <w:bottom w:val="single" w:color="auto" w:sz="4" w:space="0"/>
              <w:right w:val="single" w:color="auto" w:sz="4" w:space="0"/>
            </w:tcBorders>
            <w:vAlign w:val="center"/>
          </w:tcPr>
          <w:p w14:paraId="55165551">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14:paraId="2BD3808C">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1.承诺事项名称：选择《榆林市政府采购工程类/货物类/服务类项目供应商信用承诺书》；承诺事由：“填写项目名称+项目编号”；承诺附件：按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文件给定的格式填写，需上传至承诺附件；受理部门为榆林市财政局采购科；附件承诺有效期为1年，承诺起始时间为提交投标文件截止之日。</w:t>
            </w:r>
          </w:p>
          <w:p w14:paraId="5E1529E1">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2.承诺事项名称：选择《投标人信用承诺》；承诺事由：填写“公共资源交易平台所有活动”；承诺附件：按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1B5CE99F">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3. 承诺事项名称：选择《投标信用(保证金）承诺书》；承诺事由：填写“公共资源交易平台所有活动”；承诺附件：按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658F1417">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4.承诺事项名称：《投标人委托代理人员信用承诺书》；承诺事由：填写“公共资源交易平台所有活动”；承诺附件：按</w:t>
            </w:r>
            <w:r>
              <w:rPr>
                <w:rFonts w:hint="eastAsia" w:ascii="宋体" w:hAnsi="宋体" w:cs="宋体"/>
                <w:color w:val="auto"/>
                <w:kern w:val="0"/>
                <w:sz w:val="24"/>
                <w:szCs w:val="24"/>
                <w:lang w:val="en-US" w:eastAsia="zh-CN" w:bidi="ar-SA"/>
              </w:rPr>
              <w:t>磋商</w:t>
            </w:r>
            <w:r>
              <w:rPr>
                <w:rFonts w:hint="eastAsia" w:ascii="宋体" w:hAnsi="宋体" w:eastAsia="宋体" w:cs="宋体"/>
                <w:color w:val="auto"/>
                <w:kern w:val="0"/>
                <w:sz w:val="24"/>
                <w:szCs w:val="24"/>
                <w:lang w:val="zh-TW" w:eastAsia="zh-CN" w:bidi="ar-SA"/>
              </w:rPr>
              <w:t>文件给定的格式填写，需上传至承诺附件；受理部门为榆林市公共资源交易中心；承诺有效期同投标有效期，承诺起始时间为提交投标文件截止之日。</w:t>
            </w:r>
          </w:p>
          <w:p w14:paraId="1E3B99B8">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注：①法定代表人直接参与投标的无须上报和提供《投标人委托代理人员信用承诺书》。</w:t>
            </w:r>
          </w:p>
          <w:p w14:paraId="6C29CBFD">
            <w:pPr>
              <w:pStyle w:val="11"/>
              <w:spacing w:line="360" w:lineRule="auto"/>
              <w:outlineLvl w:val="9"/>
              <w:rPr>
                <w:rFonts w:hint="eastAsia" w:ascii="宋体" w:hAnsi="宋体" w:eastAsia="宋体" w:cs="宋体"/>
                <w:color w:val="auto"/>
                <w:kern w:val="0"/>
                <w:sz w:val="24"/>
                <w:szCs w:val="24"/>
                <w:lang w:val="zh-TW" w:eastAsia="zh-CN" w:bidi="ar-SA"/>
              </w:rPr>
            </w:pPr>
            <w:r>
              <w:rPr>
                <w:rFonts w:hint="eastAsia" w:ascii="宋体" w:hAnsi="宋体" w:eastAsia="宋体" w:cs="宋体"/>
                <w:color w:val="auto"/>
                <w:kern w:val="0"/>
                <w:sz w:val="24"/>
                <w:szCs w:val="24"/>
                <w:lang w:val="zh-TW" w:eastAsia="zh-CN" w:bidi="ar-SA"/>
              </w:rPr>
              <w:t>②不见面开标结束后由采购代理机构通过平台进行核实查验，未按上述要求在“信用中国（陕西榆林）”网站进行自主上报信用承诺或投标文件中所附内容与上报内容不符的将否决投标。</w:t>
            </w:r>
          </w:p>
        </w:tc>
      </w:tr>
      <w:tr w14:paraId="6384CDE8">
        <w:tblPrEx>
          <w:tblCellMar>
            <w:top w:w="0" w:type="dxa"/>
            <w:left w:w="108" w:type="dxa"/>
            <w:bottom w:w="0" w:type="dxa"/>
            <w:right w:w="108" w:type="dxa"/>
          </w:tblCellMar>
        </w:tblPrEx>
        <w:trPr>
          <w:trHeight w:val="1246" w:hRule="atLeast"/>
        </w:trPr>
        <w:tc>
          <w:tcPr>
            <w:tcW w:w="723" w:type="dxa"/>
            <w:tcBorders>
              <w:top w:val="single" w:color="auto" w:sz="4" w:space="0"/>
              <w:left w:val="single" w:color="auto" w:sz="4" w:space="0"/>
              <w:bottom w:val="single" w:color="auto" w:sz="4" w:space="0"/>
              <w:right w:val="single" w:color="auto" w:sz="4" w:space="0"/>
            </w:tcBorders>
            <w:vAlign w:val="center"/>
          </w:tcPr>
          <w:p w14:paraId="7C8A8ED2">
            <w:pPr>
              <w:widowControl/>
              <w:adjustRightInd w:val="0"/>
              <w:snapToGrid w:val="0"/>
              <w:spacing w:line="360" w:lineRule="auto"/>
              <w:jc w:val="center"/>
              <w:textAlignment w:val="center"/>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cs="宋体"/>
                <w:color w:val="auto"/>
                <w:sz w:val="24"/>
                <w:szCs w:val="24"/>
                <w:lang w:val="en-US" w:eastAsia="zh-CN"/>
              </w:rPr>
              <w:t>26</w:t>
            </w:r>
          </w:p>
        </w:tc>
        <w:tc>
          <w:tcPr>
            <w:tcW w:w="1765" w:type="dxa"/>
            <w:tcBorders>
              <w:top w:val="single" w:color="auto" w:sz="4" w:space="0"/>
              <w:left w:val="single" w:color="auto" w:sz="4" w:space="0"/>
              <w:bottom w:val="single" w:color="auto" w:sz="4" w:space="0"/>
              <w:right w:val="single" w:color="auto" w:sz="4" w:space="0"/>
            </w:tcBorders>
            <w:vAlign w:val="center"/>
          </w:tcPr>
          <w:p w14:paraId="5457C3B2">
            <w:pPr>
              <w:widowControl/>
              <w:adjustRightInd w:val="0"/>
              <w:snapToGrid w:val="0"/>
              <w:jc w:val="center"/>
              <w:textAlignment w:val="center"/>
              <w:outlineLvl w:val="9"/>
              <w:rPr>
                <w:rFonts w:ascii="宋体" w:hAnsi="宋体" w:cs="宋体"/>
                <w:color w:val="auto"/>
                <w:sz w:val="24"/>
                <w:lang w:val="zh-CN"/>
              </w:rPr>
            </w:pPr>
            <w:r>
              <w:rPr>
                <w:rFonts w:hint="eastAsia" w:ascii="宋体" w:hAnsi="宋体" w:cs="宋体"/>
                <w:color w:val="auto"/>
                <w:sz w:val="24"/>
                <w:szCs w:val="24"/>
                <w:lang w:val="en-US" w:eastAsia="zh-CN"/>
              </w:rPr>
              <w:t>不见面开标</w:t>
            </w:r>
          </w:p>
        </w:tc>
        <w:tc>
          <w:tcPr>
            <w:tcW w:w="7515" w:type="dxa"/>
            <w:tcBorders>
              <w:top w:val="single" w:color="auto" w:sz="4" w:space="0"/>
              <w:left w:val="single" w:color="auto" w:sz="4" w:space="0"/>
              <w:bottom w:val="single" w:color="auto" w:sz="4" w:space="0"/>
              <w:right w:val="single" w:color="auto" w:sz="4" w:space="0"/>
            </w:tcBorders>
            <w:vAlign w:val="center"/>
          </w:tcPr>
          <w:p w14:paraId="473B990A">
            <w:pPr>
              <w:spacing w:line="360" w:lineRule="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该项目将采取“不见面”开标的形式，投标人无须到达开标现场，即可在网上直接参与开标活动。相关注意事项如下：</w:t>
            </w:r>
          </w:p>
          <w:p w14:paraId="4D796E85">
            <w:pPr>
              <w:numPr>
                <w:ilvl w:val="0"/>
                <w:numId w:val="1"/>
              </w:numPr>
              <w:spacing w:line="360" w:lineRule="auto"/>
              <w:outlineLvl w:val="9"/>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t>开标当日，请各供应商</w:t>
            </w:r>
            <w:r>
              <w:rPr>
                <w:rFonts w:hint="eastAsia" w:ascii="思源宋体 CN Light" w:hAnsi="思源宋体 CN Light" w:eastAsia="思源宋体 CN Light" w:cs="思源宋体 CN Light"/>
                <w:color w:val="auto"/>
                <w:sz w:val="24"/>
                <w:szCs w:val="24"/>
                <w:lang w:val="en-US" w:eastAsia="zh-CN"/>
              </w:rPr>
              <w:t>在开标截止时间前</w:t>
            </w:r>
            <w:r>
              <w:rPr>
                <w:rFonts w:hint="eastAsia" w:ascii="思源宋体 CN Light" w:hAnsi="思源宋体 CN Light" w:eastAsia="思源宋体 CN Light" w:cs="思源宋体 CN Light"/>
                <w:color w:val="auto"/>
                <w:sz w:val="24"/>
                <w:szCs w:val="24"/>
              </w:rPr>
              <w:t>至少提前半小时登录“不见面”开标系统</w:t>
            </w:r>
            <w:r>
              <w:rPr>
                <w:rFonts w:hint="eastAsia" w:ascii="思源宋体 CN Light" w:hAnsi="思源宋体 CN Light" w:eastAsia="思源宋体 CN Light" w:cs="思源宋体 CN Light"/>
                <w:color w:val="auto"/>
                <w:sz w:val="24"/>
                <w:szCs w:val="24"/>
                <w:lang w:eastAsia="zh-CN"/>
              </w:rPr>
              <w:t>，</w:t>
            </w:r>
            <w:r>
              <w:rPr>
                <w:rFonts w:hint="eastAsia" w:ascii="思源宋体 CN Light" w:hAnsi="思源宋体 CN Light" w:eastAsia="思源宋体 CN Light" w:cs="思源宋体 CN Light"/>
                <w:color w:val="auto"/>
                <w:sz w:val="24"/>
                <w:szCs w:val="24"/>
                <w:lang w:val="en-US" w:eastAsia="zh-CN"/>
              </w:rPr>
              <w:t xml:space="preserve">登录方式有以下几种： </w:t>
            </w:r>
          </w:p>
          <w:p w14:paraId="277FCFEB">
            <w:pPr>
              <w:numPr>
                <w:ilvl w:val="0"/>
                <w:numId w:val="2"/>
              </w:numPr>
              <w:spacing w:line="360" w:lineRule="auto"/>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IE浏览器输入网址：</w:t>
            </w:r>
          </w:p>
          <w:p w14:paraId="28A6DE18">
            <w:pPr>
              <w:numPr>
                <w:ilvl w:val="0"/>
                <w:numId w:val="0"/>
              </w:numPr>
              <w:spacing w:line="360" w:lineRule="auto"/>
              <w:outlineLvl w:val="9"/>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fldChar w:fldCharType="begin"/>
            </w:r>
            <w:r>
              <w:rPr>
                <w:rFonts w:hint="eastAsia" w:ascii="思源宋体 CN Light" w:hAnsi="思源宋体 CN Light" w:eastAsia="思源宋体 CN Light" w:cs="思源宋体 CN Light"/>
                <w:color w:val="auto"/>
                <w:sz w:val="24"/>
                <w:szCs w:val="24"/>
              </w:rPr>
              <w:instrText xml:space="preserve"> HYPERLINK "http://219.145.120.168:8082/BidOpeningHall/bidhall/default/login），" </w:instrText>
            </w:r>
            <w:r>
              <w:rPr>
                <w:rFonts w:hint="eastAsia" w:ascii="思源宋体 CN Light" w:hAnsi="思源宋体 CN Light" w:eastAsia="思源宋体 CN Light" w:cs="思源宋体 CN Light"/>
                <w:color w:val="auto"/>
                <w:sz w:val="24"/>
                <w:szCs w:val="24"/>
              </w:rPr>
              <w:fldChar w:fldCharType="separate"/>
            </w:r>
            <w:r>
              <w:rPr>
                <w:rStyle w:val="33"/>
                <w:rFonts w:hint="eastAsia" w:ascii="思源宋体 CN Light" w:hAnsi="思源宋体 CN Light" w:eastAsia="思源宋体 CN Light" w:cs="思源宋体 CN Light"/>
                <w:color w:val="auto"/>
                <w:sz w:val="24"/>
                <w:szCs w:val="24"/>
              </w:rPr>
              <w:t>http://111.20.184.126:8081/BidOpeningHallCS/bidhall/default/login</w:t>
            </w:r>
            <w:r>
              <w:rPr>
                <w:rStyle w:val="33"/>
                <w:rFonts w:hint="eastAsia" w:ascii="思源宋体 CN Light" w:hAnsi="思源宋体 CN Light" w:eastAsia="思源宋体 CN Light" w:cs="思源宋体 CN Light"/>
                <w:color w:val="auto"/>
                <w:sz w:val="24"/>
                <w:szCs w:val="24"/>
                <w:u w:val="none"/>
                <w:lang w:eastAsia="zh-CN"/>
              </w:rPr>
              <w:t>；</w:t>
            </w:r>
            <w:r>
              <w:rPr>
                <w:rFonts w:hint="eastAsia" w:ascii="思源宋体 CN Light" w:hAnsi="思源宋体 CN Light" w:eastAsia="思源宋体 CN Light" w:cs="思源宋体 CN Light"/>
                <w:color w:val="auto"/>
                <w:sz w:val="24"/>
                <w:szCs w:val="24"/>
              </w:rPr>
              <w:fldChar w:fldCharType="end"/>
            </w:r>
          </w:p>
          <w:p w14:paraId="340DCB43">
            <w:pPr>
              <w:numPr>
                <w:ilvl w:val="0"/>
                <w:numId w:val="2"/>
              </w:numPr>
              <w:spacing w:line="360" w:lineRule="auto"/>
              <w:ind w:left="0" w:leftChars="0" w:firstLine="0" w:firstLineChars="0"/>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rPr>
              <w:t>在【全国公共资源交易平台（陕西省·</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市）】</w:t>
            </w:r>
            <w:r>
              <w:rPr>
                <w:rFonts w:hint="eastAsia" w:ascii="思源宋体 CN Light" w:hAnsi="思源宋体 CN Light" w:eastAsia="思源宋体 CN Light" w:cs="思源宋体 CN Light"/>
                <w:color w:val="auto"/>
                <w:sz w:val="24"/>
                <w:szCs w:val="24"/>
                <w:lang w:val="en-US" w:eastAsia="zh-CN"/>
              </w:rPr>
              <w:t>网站首页点击不见面开标模块进入；</w:t>
            </w:r>
          </w:p>
          <w:p w14:paraId="34D5E056">
            <w:pPr>
              <w:numPr>
                <w:ilvl w:val="0"/>
                <w:numId w:val="2"/>
              </w:numPr>
              <w:spacing w:line="360" w:lineRule="auto"/>
              <w:ind w:left="0" w:leftChars="0" w:firstLine="0" w:firstLineChars="0"/>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在</w:t>
            </w:r>
            <w:r>
              <w:rPr>
                <w:rFonts w:hint="eastAsia" w:ascii="思源宋体 CN Light" w:hAnsi="思源宋体 CN Light" w:eastAsia="思源宋体 CN Light" w:cs="思源宋体 CN Light"/>
                <w:color w:val="auto"/>
                <w:sz w:val="24"/>
                <w:szCs w:val="24"/>
              </w:rPr>
              <w:t>【全国公共资源交易平台（陕西省）】</w:t>
            </w:r>
            <w:r>
              <w:rPr>
                <w:rFonts w:hint="eastAsia" w:ascii="思源宋体 CN Light" w:hAnsi="思源宋体 CN Light" w:eastAsia="思源宋体 CN Light" w:cs="思源宋体 CN Light"/>
                <w:color w:val="auto"/>
                <w:sz w:val="24"/>
                <w:szCs w:val="24"/>
                <w:lang w:val="en-US" w:eastAsia="zh-CN"/>
              </w:rPr>
              <w:t>网站首页点击不见面开标模块选择榆林市进入。</w:t>
            </w:r>
          </w:p>
          <w:p w14:paraId="64D7FAFD">
            <w:pPr>
              <w:numPr>
                <w:ilvl w:val="0"/>
                <w:numId w:val="0"/>
              </w:numPr>
              <w:spacing w:line="360" w:lineRule="auto"/>
              <w:ind w:leftChars="0"/>
              <w:outlineLvl w:val="9"/>
              <w:rPr>
                <w:rFonts w:hint="default" w:ascii="思源宋体 CN Light" w:hAnsi="思源宋体 CN Light" w:eastAsia="思源宋体 CN Light" w:cs="思源宋体 CN Light"/>
                <w:b/>
                <w:bCs/>
                <w:color w:val="auto"/>
                <w:sz w:val="24"/>
                <w:szCs w:val="24"/>
                <w:lang w:val="en-US" w:eastAsia="zh-CN"/>
              </w:rPr>
            </w:pPr>
            <w:r>
              <w:rPr>
                <w:rFonts w:hint="eastAsia" w:ascii="思源宋体 CN Light" w:hAnsi="思源宋体 CN Light" w:eastAsia="思源宋体 CN Light" w:cs="思源宋体 CN Light"/>
                <w:b/>
                <w:bCs/>
                <w:color w:val="auto"/>
                <w:sz w:val="24"/>
                <w:szCs w:val="24"/>
                <w:lang w:val="en-US" w:eastAsia="zh-CN"/>
              </w:rPr>
              <w:t>注：登录不见面开标系统请选择IE11浏览器</w:t>
            </w:r>
          </w:p>
          <w:p w14:paraId="658D247A">
            <w:pPr>
              <w:spacing w:line="360" w:lineRule="auto"/>
              <w:outlineLvl w:val="9"/>
              <w:rPr>
                <w:rFonts w:hint="eastAsia" w:ascii="思源宋体 CN Light" w:hAnsi="思源宋体 CN Light" w:eastAsia="思源宋体 CN Light" w:cs="思源宋体 CN Light"/>
                <w:b/>
                <w:bCs/>
                <w:color w:val="auto"/>
                <w:sz w:val="24"/>
                <w:szCs w:val="24"/>
                <w:lang w:eastAsia="zh-CN"/>
              </w:rPr>
            </w:pPr>
            <w:r>
              <w:rPr>
                <w:rFonts w:hint="eastAsia" w:ascii="思源宋体 CN Light" w:hAnsi="思源宋体 CN Light" w:eastAsia="思源宋体 CN Light" w:cs="思源宋体 CN Light"/>
                <w:color w:val="auto"/>
                <w:sz w:val="24"/>
                <w:szCs w:val="24"/>
                <w:lang w:val="en-US" w:eastAsia="zh-CN"/>
              </w:rPr>
              <w:t>2、供应商应</w:t>
            </w:r>
            <w:r>
              <w:rPr>
                <w:rFonts w:hint="eastAsia" w:ascii="思源宋体 CN Light" w:hAnsi="思源宋体 CN Light" w:eastAsia="思源宋体 CN Light" w:cs="思源宋体 CN Light"/>
                <w:color w:val="auto"/>
                <w:sz w:val="24"/>
                <w:szCs w:val="24"/>
              </w:rPr>
              <w:t>按要求及时签到</w:t>
            </w:r>
            <w:r>
              <w:rPr>
                <w:rFonts w:hint="eastAsia" w:ascii="思源宋体 CN Light" w:hAnsi="思源宋体 CN Light" w:eastAsia="思源宋体 CN Light" w:cs="思源宋体 CN Light"/>
                <w:b/>
                <w:bCs/>
                <w:color w:val="auto"/>
                <w:sz w:val="24"/>
                <w:szCs w:val="24"/>
                <w:lang w:val="en-US" w:eastAsia="zh-CN"/>
              </w:rPr>
              <w:t>（签到时间为投标截止时间前1小时内，如果未签到将视为放弃投标资格）</w:t>
            </w:r>
            <w:r>
              <w:rPr>
                <w:rFonts w:hint="eastAsia" w:ascii="思源宋体 CN Light" w:hAnsi="思源宋体 CN Light" w:eastAsia="思源宋体 CN Light" w:cs="思源宋体 CN Light"/>
                <w:color w:val="auto"/>
                <w:sz w:val="24"/>
                <w:szCs w:val="24"/>
                <w:lang w:val="en-US" w:eastAsia="zh-CN"/>
              </w:rPr>
              <w:t>，</w:t>
            </w:r>
            <w:r>
              <w:rPr>
                <w:rFonts w:hint="eastAsia" w:ascii="思源宋体 CN Light" w:hAnsi="思源宋体 CN Light" w:eastAsia="思源宋体 CN Light" w:cs="思源宋体 CN Light"/>
                <w:color w:val="auto"/>
                <w:sz w:val="24"/>
                <w:szCs w:val="24"/>
              </w:rPr>
              <w:t>评审过程中，评标委员会可能会就某些问题要求供应商进行在线澄清</w:t>
            </w:r>
            <w:r>
              <w:rPr>
                <w:rFonts w:hint="eastAsia" w:ascii="思源宋体 CN Light" w:hAnsi="思源宋体 CN Light" w:eastAsia="思源宋体 CN Light" w:cs="思源宋体 CN Light"/>
                <w:color w:val="auto"/>
                <w:sz w:val="24"/>
                <w:szCs w:val="24"/>
                <w:lang w:eastAsia="zh-CN"/>
              </w:rPr>
              <w:t>，</w:t>
            </w:r>
            <w:r>
              <w:rPr>
                <w:rFonts w:hint="eastAsia" w:ascii="思源宋体 CN Light" w:hAnsi="思源宋体 CN Light" w:eastAsia="思源宋体 CN Light" w:cs="思源宋体 CN Light"/>
                <w:color w:val="auto"/>
                <w:sz w:val="24"/>
                <w:szCs w:val="24"/>
                <w:lang w:val="en-US" w:eastAsia="zh-CN"/>
              </w:rPr>
              <w:t>请供应商</w:t>
            </w:r>
            <w:r>
              <w:rPr>
                <w:rFonts w:hint="eastAsia" w:ascii="思源宋体 CN Light" w:hAnsi="思源宋体 CN Light" w:eastAsia="思源宋体 CN Light" w:cs="思源宋体 CN Light"/>
                <w:color w:val="auto"/>
                <w:sz w:val="24"/>
                <w:szCs w:val="24"/>
              </w:rPr>
              <w:t>保持在线直到评审结束；</w:t>
            </w:r>
          </w:p>
          <w:p w14:paraId="4779B955">
            <w:pPr>
              <w:spacing w:line="360" w:lineRule="auto"/>
              <w:outlineLvl w:val="9"/>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lang w:val="en-US" w:eastAsia="zh-CN"/>
              </w:rPr>
              <w:t>3</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val="en-US" w:eastAsia="zh-CN"/>
              </w:rPr>
              <w:t>开</w:t>
            </w:r>
            <w:r>
              <w:rPr>
                <w:rFonts w:hint="eastAsia" w:ascii="思源宋体 CN Light" w:hAnsi="思源宋体 CN Light" w:eastAsia="思源宋体 CN Light" w:cs="思源宋体 CN Light"/>
                <w:color w:val="auto"/>
                <w:sz w:val="24"/>
                <w:szCs w:val="24"/>
              </w:rPr>
              <w:t>标过程中，供应商在收到工作人员“开始解密”指令后，请及时使用CA对电子投标文件进行解密。解密时所用CA应与加密投标文件时所用CA相同；</w:t>
            </w:r>
          </w:p>
          <w:p w14:paraId="6A5B6F2C">
            <w:pPr>
              <w:spacing w:line="360" w:lineRule="auto"/>
              <w:outlineLvl w:val="9"/>
              <w:rPr>
                <w:rFonts w:hint="eastAsia" w:ascii="思源宋体 CN Light" w:hAnsi="思源宋体 CN Light" w:eastAsia="思源宋体 CN Light" w:cs="思源宋体 CN Light"/>
                <w:b/>
                <w:bCs/>
                <w:color w:val="auto"/>
                <w:sz w:val="24"/>
                <w:szCs w:val="24"/>
                <w:lang w:val="en-US" w:eastAsia="zh-CN"/>
              </w:rPr>
            </w:pPr>
            <w:r>
              <w:rPr>
                <w:rFonts w:hint="eastAsia" w:ascii="思源宋体 CN Light" w:hAnsi="思源宋体 CN Light" w:eastAsia="思源宋体 CN Light" w:cs="思源宋体 CN Light"/>
                <w:b/>
                <w:bCs/>
                <w:color w:val="auto"/>
                <w:sz w:val="24"/>
                <w:szCs w:val="24"/>
                <w:lang w:val="en-US" w:eastAsia="zh-CN"/>
              </w:rPr>
              <w:t>注：解密时间为30分钟，在解密时间内供应商全部解密完成后，可提前进入开标下一阶段。</w:t>
            </w:r>
          </w:p>
          <w:p w14:paraId="5058BD10">
            <w:pPr>
              <w:spacing w:line="360" w:lineRule="auto"/>
              <w:outlineLvl w:val="9"/>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lang w:val="en-US" w:eastAsia="zh-CN"/>
              </w:rPr>
              <w:t>4</w:t>
            </w:r>
            <w:r>
              <w:rPr>
                <w:rFonts w:hint="eastAsia" w:ascii="思源宋体 CN Light" w:hAnsi="思源宋体 CN Light" w:eastAsia="思源宋体 CN Light" w:cs="思源宋体 CN Light"/>
                <w:color w:val="auto"/>
                <w:sz w:val="24"/>
                <w:szCs w:val="24"/>
              </w:rPr>
              <w:t>、相关技术问题，请咨询软件开发商：</w:t>
            </w:r>
          </w:p>
          <w:p w14:paraId="4E7C7C17">
            <w:pPr>
              <w:spacing w:line="360" w:lineRule="auto"/>
              <w:outlineLvl w:val="9"/>
              <w:rPr>
                <w:rFonts w:hint="eastAsia" w:ascii="思源宋体 CN Light" w:hAnsi="思源宋体 CN Light" w:eastAsia="思源宋体 CN Light" w:cs="思源宋体 CN Light"/>
                <w:color w:val="auto"/>
                <w:sz w:val="24"/>
                <w:szCs w:val="24"/>
              </w:rPr>
            </w:pPr>
            <w:r>
              <w:rPr>
                <w:rFonts w:hint="eastAsia" w:ascii="思源宋体 CN Light" w:hAnsi="思源宋体 CN Light" w:eastAsia="思源宋体 CN Light" w:cs="思源宋体 CN Light"/>
                <w:color w:val="auto"/>
                <w:sz w:val="24"/>
                <w:szCs w:val="24"/>
              </w:rPr>
              <w:t>（1）技术支持热线：400-998-0000/400-928-0095</w:t>
            </w:r>
          </w:p>
          <w:p w14:paraId="1307B60E">
            <w:pPr>
              <w:widowControl/>
              <w:adjustRightInd w:val="0"/>
              <w:snapToGrid w:val="0"/>
              <w:spacing w:line="360" w:lineRule="auto"/>
              <w:textAlignment w:val="center"/>
              <w:outlineLvl w:val="9"/>
              <w:rPr>
                <w:rFonts w:ascii="宋体" w:hAnsi="宋体" w:cs="宋体"/>
                <w:color w:val="auto"/>
                <w:sz w:val="24"/>
              </w:rPr>
            </w:pPr>
            <w:r>
              <w:rPr>
                <w:rFonts w:hint="eastAsia" w:ascii="思源宋体 CN Light" w:hAnsi="思源宋体 CN Light" w:eastAsia="思源宋体 CN Light" w:cs="思源宋体 CN Light"/>
                <w:color w:val="auto"/>
                <w:sz w:val="24"/>
                <w:szCs w:val="24"/>
                <w:lang w:val="en-US" w:eastAsia="zh-CN"/>
              </w:rPr>
              <w:t>5</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不见面开标</w:t>
            </w:r>
            <w:r>
              <w:rPr>
                <w:rFonts w:hint="eastAsia" w:ascii="思源宋体 CN Light" w:hAnsi="思源宋体 CN Light" w:eastAsia="思源宋体 CN Light" w:cs="思源宋体 CN Light"/>
                <w:color w:val="auto"/>
                <w:sz w:val="24"/>
                <w:szCs w:val="24"/>
                <w:lang w:val="en-US" w:eastAsia="zh-CN"/>
              </w:rPr>
              <w:t>系统</w:t>
            </w:r>
            <w:r>
              <w:rPr>
                <w:rFonts w:hint="eastAsia" w:ascii="思源宋体 CN Light" w:hAnsi="思源宋体 CN Light" w:eastAsia="思源宋体 CN Light" w:cs="思源宋体 CN Light"/>
                <w:color w:val="auto"/>
                <w:sz w:val="24"/>
                <w:szCs w:val="24"/>
              </w:rPr>
              <w:t>操作手册</w:t>
            </w:r>
            <w:r>
              <w:rPr>
                <w:rFonts w:hint="eastAsia" w:ascii="思源宋体 CN Light" w:hAnsi="思源宋体 CN Light" w:eastAsia="思源宋体 CN Light" w:cs="思源宋体 CN Light"/>
                <w:color w:val="auto"/>
                <w:sz w:val="24"/>
                <w:szCs w:val="24"/>
                <w:lang w:val="en-US" w:eastAsia="zh-CN"/>
              </w:rPr>
              <w:t>下载方式：登录</w:t>
            </w:r>
            <w:r>
              <w:rPr>
                <w:rFonts w:hint="eastAsia" w:ascii="思源宋体 CN Light" w:hAnsi="思源宋体 CN Light" w:eastAsia="思源宋体 CN Light" w:cs="思源宋体 CN Light"/>
                <w:color w:val="auto"/>
                <w:sz w:val="24"/>
                <w:szCs w:val="24"/>
              </w:rPr>
              <w:t>【全国公共资源交易平台（陕西省·</w:t>
            </w:r>
            <w:r>
              <w:rPr>
                <w:rFonts w:hint="eastAsia" w:ascii="思源宋体 CN Light" w:hAnsi="思源宋体 CN Light" w:eastAsia="思源宋体 CN Light" w:cs="思源宋体 CN Light"/>
                <w:color w:val="auto"/>
                <w:sz w:val="24"/>
                <w:szCs w:val="24"/>
                <w:lang w:val="en-US" w:eastAsia="zh-CN"/>
              </w:rPr>
              <w:t>榆林</w:t>
            </w:r>
            <w:r>
              <w:rPr>
                <w:rFonts w:hint="eastAsia" w:ascii="思源宋体 CN Light" w:hAnsi="思源宋体 CN Light" w:eastAsia="思源宋体 CN Light" w:cs="思源宋体 CN Light"/>
                <w:color w:val="auto"/>
                <w:sz w:val="24"/>
                <w:szCs w:val="24"/>
              </w:rPr>
              <w:t>市）】</w:t>
            </w:r>
            <w:r>
              <w:rPr>
                <w:rFonts w:hint="eastAsia" w:ascii="思源宋体 CN Light" w:hAnsi="思源宋体 CN Light" w:eastAsia="思源宋体 CN Light" w:cs="思源宋体 CN Light"/>
                <w:color w:val="auto"/>
                <w:sz w:val="24"/>
                <w:szCs w:val="24"/>
                <w:lang w:val="en-US" w:eastAsia="zh-CN"/>
              </w:rPr>
              <w:t>网站首页选择【服务指南】-【下载专区】-点击【</w:t>
            </w:r>
            <w:r>
              <w:rPr>
                <w:rFonts w:hint="eastAsia" w:ascii="思源宋体 CN Light" w:hAnsi="思源宋体 CN Light" w:eastAsia="思源宋体 CN Light" w:cs="思源宋体 CN Light"/>
                <w:color w:val="auto"/>
                <w:sz w:val="24"/>
                <w:szCs w:val="24"/>
              </w:rPr>
              <w:fldChar w:fldCharType="begin"/>
            </w:r>
            <w:r>
              <w:rPr>
                <w:rFonts w:hint="eastAsia" w:ascii="思源宋体 CN Light" w:hAnsi="思源宋体 CN Light" w:eastAsia="思源宋体 CN Light" w:cs="思源宋体 CN Light"/>
                <w:color w:val="auto"/>
                <w:sz w:val="24"/>
                <w:szCs w:val="24"/>
              </w:rPr>
              <w:instrText xml:space="preserve"> HYPERLINK "http://yl.sxggzyjy.cn/BigFileUpLoadStorage/temp/2021-12-10/2583610f-1c5d-49b2-a314-0c1c4faeec6a/%E6%A6%86%E6%9E%97%E4%B8%8D%E8%A7%81%E9%9D%A2%E5%BC%80%E6%A0%87%E5%A4%A7%E5%8E%85%E6%93%8D%E4%BD%9C%E6%89%8B%E5%86%8C%EF%BC%88%E6%8A%95%E6%A0%87%E4%BA%BA%EF%BC%89.docx" \o "榆林不见面开标系统操作手册（投标人）" \t "http://yl.sxggzyjy.cn/fwzn/_blank" </w:instrText>
            </w:r>
            <w:r>
              <w:rPr>
                <w:rFonts w:hint="eastAsia" w:ascii="思源宋体 CN Light" w:hAnsi="思源宋体 CN Light" w:eastAsia="思源宋体 CN Light" w:cs="思源宋体 CN Light"/>
                <w:color w:val="auto"/>
                <w:sz w:val="24"/>
                <w:szCs w:val="24"/>
              </w:rPr>
              <w:fldChar w:fldCharType="separate"/>
            </w:r>
            <w:r>
              <w:rPr>
                <w:rFonts w:hint="eastAsia" w:ascii="思源宋体 CN Light" w:hAnsi="思源宋体 CN Light" w:eastAsia="思源宋体 CN Light" w:cs="思源宋体 CN Light"/>
                <w:color w:val="auto"/>
                <w:sz w:val="24"/>
                <w:szCs w:val="24"/>
              </w:rPr>
              <w:t>榆林不见面开标系统操作手册（投标人）</w:t>
            </w:r>
            <w:r>
              <w:rPr>
                <w:rFonts w:hint="eastAsia" w:ascii="思源宋体 CN Light" w:hAnsi="思源宋体 CN Light" w:eastAsia="思源宋体 CN Light" w:cs="思源宋体 CN Light"/>
                <w:color w:val="auto"/>
                <w:sz w:val="24"/>
                <w:szCs w:val="24"/>
              </w:rPr>
              <w:fldChar w:fldCharType="end"/>
            </w:r>
            <w:r>
              <w:rPr>
                <w:rFonts w:hint="eastAsia" w:ascii="思源宋体 CN Light" w:hAnsi="思源宋体 CN Light" w:eastAsia="思源宋体 CN Light" w:cs="思源宋体 CN Light"/>
                <w:color w:val="auto"/>
                <w:sz w:val="24"/>
                <w:szCs w:val="24"/>
                <w:lang w:val="en-US" w:eastAsia="zh-CN"/>
              </w:rPr>
              <w:t>】进行下载</w:t>
            </w:r>
            <w:r>
              <w:rPr>
                <w:rFonts w:hint="eastAsia" w:ascii="思源宋体 CN Light" w:hAnsi="思源宋体 CN Light" w:eastAsia="思源宋体 CN Light" w:cs="思源宋体 CN Light"/>
                <w:color w:val="auto"/>
                <w:sz w:val="24"/>
                <w:szCs w:val="24"/>
              </w:rPr>
              <w:t>。</w:t>
            </w:r>
            <w:r>
              <w:rPr>
                <w:rFonts w:hint="eastAsia" w:ascii="思源宋体 CN Light" w:hAnsi="思源宋体 CN Light" w:eastAsia="思源宋体 CN Light" w:cs="思源宋体 CN Light"/>
                <w:color w:val="auto"/>
                <w:sz w:val="24"/>
                <w:szCs w:val="24"/>
                <w:lang w:val="en-US" w:eastAsia="zh-CN"/>
              </w:rPr>
              <w:t xml:space="preserve">    </w:t>
            </w:r>
          </w:p>
        </w:tc>
      </w:tr>
      <w:tr w14:paraId="1173747F">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7CE2BCDC">
            <w:pPr>
              <w:widowControl/>
              <w:adjustRightInd w:val="0"/>
              <w:snapToGrid w:val="0"/>
              <w:spacing w:line="360" w:lineRule="auto"/>
              <w:jc w:val="center"/>
              <w:textAlignment w:val="center"/>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cs="宋体"/>
                <w:color w:val="auto"/>
                <w:sz w:val="24"/>
                <w:szCs w:val="24"/>
                <w:lang w:val="en-US" w:eastAsia="zh-CN"/>
              </w:rPr>
              <w:t>27</w:t>
            </w:r>
          </w:p>
        </w:tc>
        <w:tc>
          <w:tcPr>
            <w:tcW w:w="1765" w:type="dxa"/>
            <w:tcBorders>
              <w:top w:val="single" w:color="auto" w:sz="4" w:space="0"/>
              <w:left w:val="single" w:color="auto" w:sz="4" w:space="0"/>
              <w:bottom w:val="single" w:color="auto" w:sz="4" w:space="0"/>
              <w:right w:val="single" w:color="auto" w:sz="4" w:space="0"/>
            </w:tcBorders>
            <w:vAlign w:val="center"/>
          </w:tcPr>
          <w:p w14:paraId="17398F7D">
            <w:pPr>
              <w:widowControl/>
              <w:adjustRightInd w:val="0"/>
              <w:snapToGrid w:val="0"/>
              <w:jc w:val="center"/>
              <w:textAlignment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 w:val="0"/>
                <w:color w:val="auto"/>
                <w:kern w:val="2"/>
                <w:sz w:val="24"/>
                <w:szCs w:val="24"/>
                <w:shd w:val="clear" w:color="auto" w:fill="FFFFFF"/>
                <w:lang w:val="en-US" w:eastAsia="zh-CN" w:bidi="ar-SA"/>
              </w:rPr>
              <w:t>答疑文件</w:t>
            </w:r>
          </w:p>
        </w:tc>
        <w:tc>
          <w:tcPr>
            <w:tcW w:w="7515" w:type="dxa"/>
            <w:tcBorders>
              <w:top w:val="single" w:color="auto" w:sz="4" w:space="0"/>
              <w:left w:val="single" w:color="auto" w:sz="4" w:space="0"/>
              <w:bottom w:val="single" w:color="auto" w:sz="4" w:space="0"/>
              <w:right w:val="single" w:color="auto" w:sz="4" w:space="0"/>
            </w:tcBorders>
            <w:vAlign w:val="center"/>
          </w:tcPr>
          <w:p w14:paraId="7BD6BE01">
            <w:pPr>
              <w:pStyle w:val="11"/>
              <w:spacing w:line="360" w:lineRule="auto"/>
              <w:outlineLvl w:val="9"/>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b w:val="0"/>
                <w:color w:val="auto"/>
                <w:kern w:val="2"/>
                <w:sz w:val="24"/>
                <w:szCs w:val="24"/>
                <w:shd w:val="clear" w:color="auto" w:fill="FFFFFF"/>
                <w:lang w:val="en-US" w:eastAsia="zh-CN" w:bidi="ar-SA"/>
              </w:rPr>
              <w:t>供应商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tc>
      </w:tr>
      <w:tr w14:paraId="38F303E4">
        <w:tblPrEx>
          <w:tblCellMar>
            <w:top w:w="0" w:type="dxa"/>
            <w:left w:w="108" w:type="dxa"/>
            <w:bottom w:w="0" w:type="dxa"/>
            <w:right w:w="108" w:type="dxa"/>
          </w:tblCellMar>
        </w:tblPrEx>
        <w:trPr>
          <w:trHeight w:val="698" w:hRule="atLeast"/>
        </w:trPr>
        <w:tc>
          <w:tcPr>
            <w:tcW w:w="723" w:type="dxa"/>
            <w:tcBorders>
              <w:top w:val="single" w:color="auto" w:sz="4" w:space="0"/>
              <w:left w:val="single" w:color="auto" w:sz="4" w:space="0"/>
              <w:bottom w:val="single" w:color="auto" w:sz="4" w:space="0"/>
              <w:right w:val="single" w:color="auto" w:sz="4" w:space="0"/>
            </w:tcBorders>
            <w:vAlign w:val="center"/>
          </w:tcPr>
          <w:p w14:paraId="4FDD5971">
            <w:pPr>
              <w:widowControl/>
              <w:adjustRightInd w:val="0"/>
              <w:snapToGrid w:val="0"/>
              <w:spacing w:line="360" w:lineRule="auto"/>
              <w:jc w:val="center"/>
              <w:textAlignment w:val="center"/>
              <w:outlineLvl w:val="9"/>
              <w:rPr>
                <w:rFonts w:hint="default" w:asciiTheme="minorEastAsia" w:hAnsiTheme="minorEastAsia" w:eastAsiaTheme="minorEastAsia" w:cstheme="minorEastAsia"/>
                <w:color w:val="auto"/>
                <w:sz w:val="24"/>
                <w:szCs w:val="24"/>
                <w:lang w:val="en-US" w:eastAsia="zh-CN"/>
              </w:rPr>
            </w:pPr>
            <w:r>
              <w:rPr>
                <w:rFonts w:hint="eastAsia" w:ascii="宋体" w:hAnsi="宋体" w:cs="宋体"/>
                <w:color w:val="auto"/>
                <w:sz w:val="24"/>
                <w:szCs w:val="24"/>
                <w:lang w:val="en-US" w:eastAsia="zh-CN"/>
              </w:rPr>
              <w:t>28</w:t>
            </w:r>
          </w:p>
        </w:tc>
        <w:tc>
          <w:tcPr>
            <w:tcW w:w="1765" w:type="dxa"/>
            <w:tcBorders>
              <w:top w:val="single" w:color="auto" w:sz="4" w:space="0"/>
              <w:left w:val="single" w:color="auto" w:sz="4" w:space="0"/>
              <w:bottom w:val="single" w:color="auto" w:sz="4" w:space="0"/>
              <w:right w:val="single" w:color="auto" w:sz="4" w:space="0"/>
            </w:tcBorders>
            <w:vAlign w:val="center"/>
          </w:tcPr>
          <w:p w14:paraId="469ED3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150" w:rightChars="0"/>
              <w:jc w:val="center"/>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投标文件递交</w:t>
            </w:r>
          </w:p>
          <w:p w14:paraId="0F1440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150" w:rightChars="0"/>
              <w:jc w:val="center"/>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方式</w:t>
            </w:r>
          </w:p>
          <w:p w14:paraId="37A0498F">
            <w:pPr>
              <w:widowControl/>
              <w:adjustRightInd w:val="0"/>
              <w:snapToGrid w:val="0"/>
              <w:jc w:val="center"/>
              <w:textAlignment w:val="center"/>
              <w:outlineLvl w:val="9"/>
              <w:rPr>
                <w:rFonts w:hint="eastAsia" w:ascii="宋体" w:hAnsi="宋体" w:cs="宋体"/>
                <w:color w:val="auto"/>
                <w:sz w:val="24"/>
                <w:szCs w:val="24"/>
              </w:rPr>
            </w:pPr>
          </w:p>
        </w:tc>
        <w:tc>
          <w:tcPr>
            <w:tcW w:w="7515" w:type="dxa"/>
            <w:tcBorders>
              <w:top w:val="single" w:color="auto" w:sz="4" w:space="0"/>
              <w:left w:val="single" w:color="auto" w:sz="4" w:space="0"/>
              <w:bottom w:val="single" w:color="auto" w:sz="4" w:space="0"/>
              <w:right w:val="single" w:color="auto" w:sz="4" w:space="0"/>
            </w:tcBorders>
            <w:vAlign w:val="center"/>
          </w:tcPr>
          <w:p w14:paraId="41B6453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150" w:rightChars="0"/>
              <w:outlineLvl w:val="9"/>
              <w:rPr>
                <w:rFonts w:hint="default" w:ascii="宋体" w:hAnsi="宋体" w:eastAsia="思源宋体 CN Light" w:cs="宋体"/>
                <w:bCs/>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 xml:space="preserve">供应商应于提交投标文件截止时间前任意时段登录交易平台〖首页〉电子交易平台〉企业端〗在线提交电子投标文件，逾期提交系统将拒绝接收。 </w:t>
            </w:r>
          </w:p>
        </w:tc>
      </w:tr>
      <w:tr w14:paraId="1360840C">
        <w:tblPrEx>
          <w:tblCellMar>
            <w:top w:w="0" w:type="dxa"/>
            <w:left w:w="108" w:type="dxa"/>
            <w:bottom w:w="0" w:type="dxa"/>
            <w:right w:w="108" w:type="dxa"/>
          </w:tblCellMar>
        </w:tblPrEx>
        <w:trPr>
          <w:trHeight w:val="585" w:hRule="atLeast"/>
        </w:trPr>
        <w:tc>
          <w:tcPr>
            <w:tcW w:w="10003" w:type="dxa"/>
            <w:gridSpan w:val="3"/>
            <w:tcBorders>
              <w:top w:val="single" w:color="auto" w:sz="4" w:space="0"/>
              <w:left w:val="single" w:color="auto" w:sz="4" w:space="0"/>
              <w:bottom w:val="single" w:color="auto" w:sz="4" w:space="0"/>
              <w:right w:val="single" w:color="auto" w:sz="4" w:space="0"/>
            </w:tcBorders>
            <w:vAlign w:val="center"/>
          </w:tcPr>
          <w:p w14:paraId="55738065">
            <w:pPr>
              <w:adjustRightInd w:val="0"/>
              <w:snapToGrid w:val="0"/>
              <w:spacing w:line="360" w:lineRule="auto"/>
              <w:jc w:val="left"/>
              <w:outlineLvl w:val="9"/>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本表是对供应商须知的提示、补充和修改，如有矛盾，应以本表为准。如本表未说明的，以本竞争性磋商文件内容为准。</w:t>
            </w:r>
          </w:p>
        </w:tc>
      </w:tr>
    </w:tbl>
    <w:p w14:paraId="2CC00F2D">
      <w:pPr>
        <w:outlineLvl w:val="9"/>
        <w:rPr>
          <w:color w:val="auto"/>
        </w:rPr>
      </w:pPr>
      <w:bookmarkStart w:id="28" w:name="_Toc513557026"/>
      <w:r>
        <w:rPr>
          <w:color w:val="auto"/>
        </w:rPr>
        <w:br w:type="page"/>
      </w:r>
    </w:p>
    <w:p w14:paraId="32574CE1">
      <w:pPr>
        <w:spacing w:line="240" w:lineRule="auto"/>
        <w:jc w:val="center"/>
        <w:outlineLvl w:val="9"/>
        <w:rPr>
          <w:rFonts w:ascii="宋体" w:hAnsi="宋体"/>
          <w:b/>
          <w:bCs/>
          <w:color w:val="auto"/>
          <w:sz w:val="32"/>
          <w:szCs w:val="32"/>
        </w:rPr>
      </w:pPr>
      <w:bookmarkStart w:id="29" w:name="_Toc19773"/>
      <w:bookmarkStart w:id="30" w:name="_Toc11332"/>
      <w:bookmarkStart w:id="31" w:name="_Toc19554"/>
      <w:bookmarkStart w:id="32" w:name="_Toc19507"/>
      <w:bookmarkStart w:id="33" w:name="_Toc23612"/>
      <w:bookmarkStart w:id="34" w:name="_Toc23852"/>
      <w:bookmarkStart w:id="35" w:name="_Toc29584"/>
      <w:r>
        <w:rPr>
          <w:rFonts w:hint="eastAsia" w:ascii="宋体" w:hAnsi="宋体" w:eastAsia="宋体" w:cs="Times New Roman"/>
          <w:b/>
          <w:bCs/>
          <w:color w:val="auto"/>
          <w:sz w:val="32"/>
          <w:szCs w:val="32"/>
        </w:rPr>
        <w:t>（二）</w:t>
      </w:r>
      <w:r>
        <w:rPr>
          <w:rFonts w:hint="eastAsia" w:ascii="宋体" w:hAnsi="宋体"/>
          <w:b/>
          <w:bCs/>
          <w:color w:val="auto"/>
          <w:sz w:val="32"/>
          <w:szCs w:val="32"/>
        </w:rPr>
        <w:t>供应商须知</w:t>
      </w:r>
      <w:bookmarkEnd w:id="28"/>
      <w:bookmarkEnd w:id="29"/>
      <w:bookmarkEnd w:id="30"/>
      <w:bookmarkEnd w:id="31"/>
      <w:bookmarkEnd w:id="32"/>
      <w:bookmarkEnd w:id="33"/>
      <w:bookmarkEnd w:id="34"/>
      <w:bookmarkEnd w:id="35"/>
    </w:p>
    <w:p w14:paraId="07A8ADC9">
      <w:pPr>
        <w:pStyle w:val="44"/>
        <w:spacing w:line="240" w:lineRule="auto"/>
        <w:ind w:firstLine="482" w:firstLineChars="200"/>
        <w:outlineLvl w:val="9"/>
        <w:rPr>
          <w:rFonts w:ascii="宋体" w:hAnsi="宋体"/>
          <w:b/>
          <w:color w:val="auto"/>
          <w:sz w:val="24"/>
          <w:szCs w:val="24"/>
        </w:rPr>
      </w:pPr>
      <w:bookmarkStart w:id="36" w:name="_Toc15038"/>
      <w:bookmarkStart w:id="37" w:name="_Toc18148"/>
      <w:bookmarkStart w:id="38" w:name="_Toc24343"/>
      <w:bookmarkStart w:id="39" w:name="_Toc31778"/>
      <w:bookmarkStart w:id="40" w:name="_Toc11273"/>
      <w:bookmarkStart w:id="41" w:name="_Toc27754"/>
      <w:bookmarkStart w:id="42" w:name="_Toc513557027"/>
      <w:bookmarkStart w:id="43" w:name="_Toc28324"/>
      <w:bookmarkStart w:id="44" w:name="_Toc10851"/>
      <w:bookmarkStart w:id="45" w:name="_Toc30389"/>
      <w:r>
        <w:rPr>
          <w:rFonts w:ascii="宋体" w:hAnsi="宋体"/>
          <w:b/>
          <w:color w:val="auto"/>
          <w:sz w:val="24"/>
          <w:szCs w:val="24"/>
        </w:rPr>
        <w:t>1</w:t>
      </w:r>
      <w:r>
        <w:rPr>
          <w:rFonts w:hint="eastAsia" w:ascii="宋体" w:hAnsi="宋体"/>
          <w:b/>
          <w:color w:val="auto"/>
          <w:sz w:val="24"/>
          <w:szCs w:val="24"/>
        </w:rPr>
        <w:t>．</w:t>
      </w:r>
      <w:r>
        <w:rPr>
          <w:rFonts w:ascii="宋体" w:hAnsi="宋体"/>
          <w:b/>
          <w:color w:val="auto"/>
          <w:sz w:val="24"/>
          <w:szCs w:val="24"/>
        </w:rPr>
        <w:t xml:space="preserve">  </w:t>
      </w:r>
      <w:r>
        <w:rPr>
          <w:rFonts w:hint="eastAsia" w:ascii="宋体" w:hAnsi="宋体"/>
          <w:b/>
          <w:color w:val="auto"/>
          <w:sz w:val="24"/>
          <w:szCs w:val="24"/>
        </w:rPr>
        <w:t>总则</w:t>
      </w:r>
      <w:bookmarkEnd w:id="36"/>
      <w:bookmarkEnd w:id="37"/>
      <w:bookmarkEnd w:id="38"/>
      <w:bookmarkEnd w:id="39"/>
      <w:bookmarkEnd w:id="40"/>
      <w:bookmarkEnd w:id="41"/>
      <w:bookmarkEnd w:id="42"/>
      <w:bookmarkEnd w:id="43"/>
      <w:bookmarkEnd w:id="44"/>
      <w:bookmarkEnd w:id="45"/>
    </w:p>
    <w:p w14:paraId="6BD638BD">
      <w:pPr>
        <w:spacing w:line="360" w:lineRule="auto"/>
        <w:outlineLvl w:val="9"/>
        <w:rPr>
          <w:rFonts w:ascii="宋体" w:hAnsi="宋体" w:cs="宋体"/>
          <w:b/>
          <w:bCs/>
          <w:color w:val="auto"/>
          <w:sz w:val="24"/>
          <w:szCs w:val="24"/>
        </w:rPr>
      </w:pPr>
      <w:r>
        <w:rPr>
          <w:rFonts w:hint="eastAsia" w:ascii="宋体" w:hAnsi="宋体" w:cs="宋体"/>
          <w:b/>
          <w:bCs/>
          <w:color w:val="auto"/>
          <w:sz w:val="24"/>
          <w:szCs w:val="24"/>
        </w:rPr>
        <w:t>1、说明</w:t>
      </w:r>
    </w:p>
    <w:p w14:paraId="726BB7BB">
      <w:pPr>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r>
        <w:rPr>
          <w:rFonts w:hint="eastAsia" w:ascii="宋体" w:hAnsi="宋体" w:cs="宋体"/>
          <w:color w:val="auto"/>
          <w:sz w:val="24"/>
          <w:szCs w:val="24"/>
        </w:rPr>
        <w:t>本竞争性</w:t>
      </w:r>
      <w:r>
        <w:rPr>
          <w:rFonts w:hint="eastAsia" w:ascii="宋体" w:hAnsi="宋体" w:cs="宋体"/>
          <w:color w:val="auto"/>
          <w:sz w:val="24"/>
          <w:szCs w:val="24"/>
          <w:lang w:eastAsia="zh-CN"/>
        </w:rPr>
        <w:t>磋商</w:t>
      </w:r>
      <w:r>
        <w:rPr>
          <w:rFonts w:hint="eastAsia" w:ascii="宋体" w:hAnsi="宋体" w:cs="宋体"/>
          <w:color w:val="auto"/>
          <w:sz w:val="24"/>
          <w:szCs w:val="24"/>
        </w:rPr>
        <w:t>文件仅适用于本竞争性</w:t>
      </w:r>
      <w:r>
        <w:rPr>
          <w:rFonts w:hint="eastAsia" w:ascii="宋体" w:hAnsi="宋体" w:cs="宋体"/>
          <w:color w:val="auto"/>
          <w:sz w:val="24"/>
          <w:szCs w:val="24"/>
          <w:lang w:eastAsia="zh-CN"/>
        </w:rPr>
        <w:t>磋商</w:t>
      </w:r>
      <w:r>
        <w:rPr>
          <w:rFonts w:hint="eastAsia" w:ascii="宋体" w:hAnsi="宋体" w:cs="宋体"/>
          <w:color w:val="auto"/>
          <w:sz w:val="24"/>
          <w:szCs w:val="24"/>
        </w:rPr>
        <w:t>公告中所叙述</w:t>
      </w:r>
      <w:r>
        <w:rPr>
          <w:rFonts w:hint="eastAsia" w:ascii="宋体" w:hAnsi="宋体" w:cs="仿宋_GB2312"/>
          <w:color w:val="auto"/>
          <w:sz w:val="24"/>
          <w:szCs w:val="24"/>
        </w:rPr>
        <w:t>货物、工程及服务采购</w:t>
      </w:r>
      <w:r>
        <w:rPr>
          <w:rFonts w:hint="eastAsia" w:ascii="宋体" w:hAnsi="宋体" w:cs="宋体"/>
          <w:color w:val="auto"/>
          <w:sz w:val="24"/>
          <w:szCs w:val="24"/>
        </w:rPr>
        <w:t>。</w:t>
      </w:r>
    </w:p>
    <w:p w14:paraId="0863CEB5">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1.2本次采购属政府采购，采购人，采购代理机构、供应商、</w:t>
      </w:r>
      <w:r>
        <w:rPr>
          <w:rFonts w:hint="eastAsia" w:ascii="宋体" w:hAnsi="宋体" w:cs="宋体"/>
          <w:color w:val="auto"/>
          <w:sz w:val="24"/>
          <w:szCs w:val="24"/>
          <w:lang w:eastAsia="zh-CN"/>
        </w:rPr>
        <w:t>磋商</w:t>
      </w:r>
      <w:r>
        <w:rPr>
          <w:rFonts w:hint="eastAsia" w:ascii="宋体" w:hAnsi="宋体" w:cs="宋体"/>
          <w:color w:val="auto"/>
          <w:sz w:val="24"/>
          <w:szCs w:val="24"/>
        </w:rPr>
        <w:t>小组的相关行为均受《中华人民共和国政府采购法》、财政部规章及政府采购项目所在地有关法规、规章的约束，其权利受到上述法律法规的保护。</w:t>
      </w:r>
    </w:p>
    <w:p w14:paraId="5687FAE9">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1.3 本次招标采用</w:t>
      </w:r>
      <w:r>
        <w:rPr>
          <w:rFonts w:hint="eastAsia"/>
          <w:color w:val="auto"/>
          <w:sz w:val="24"/>
          <w:szCs w:val="24"/>
        </w:rPr>
        <w:t>竞争性磋商</w:t>
      </w:r>
      <w:r>
        <w:rPr>
          <w:rFonts w:hint="eastAsia" w:ascii="宋体" w:hAnsi="宋体" w:cs="宋体"/>
          <w:color w:val="auto"/>
          <w:sz w:val="24"/>
          <w:szCs w:val="24"/>
        </w:rPr>
        <w:t>的方式。</w:t>
      </w:r>
    </w:p>
    <w:p w14:paraId="10D15F5A">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1.4本磋商文件的解释权属于</w:t>
      </w:r>
      <w:r>
        <w:rPr>
          <w:rFonts w:hint="eastAsia" w:ascii="宋体" w:hAnsi="宋体" w:cs="宋体"/>
          <w:color w:val="auto"/>
          <w:sz w:val="24"/>
          <w:szCs w:val="24"/>
          <w:lang w:eastAsia="zh-CN"/>
        </w:rPr>
        <w:t>陕西众信玖鼎项目管理有限责任公司</w:t>
      </w:r>
      <w:r>
        <w:rPr>
          <w:rFonts w:hint="eastAsia" w:ascii="宋体" w:hAnsi="宋体" w:cs="宋体"/>
          <w:color w:val="auto"/>
          <w:sz w:val="24"/>
          <w:szCs w:val="24"/>
        </w:rPr>
        <w:t>所有。</w:t>
      </w:r>
    </w:p>
    <w:p w14:paraId="51856F6D">
      <w:pPr>
        <w:spacing w:line="360" w:lineRule="auto"/>
        <w:outlineLvl w:val="9"/>
        <w:rPr>
          <w:rFonts w:ascii="宋体" w:hAnsi="宋体" w:cs="宋体"/>
          <w:b/>
          <w:bCs/>
          <w:color w:val="auto"/>
          <w:sz w:val="24"/>
          <w:szCs w:val="24"/>
        </w:rPr>
      </w:pPr>
      <w:r>
        <w:rPr>
          <w:rFonts w:hint="eastAsia" w:ascii="宋体" w:hAnsi="宋体" w:cs="宋体"/>
          <w:b/>
          <w:bCs/>
          <w:color w:val="auto"/>
          <w:sz w:val="24"/>
          <w:szCs w:val="24"/>
        </w:rPr>
        <w:t>2、合格的供应商</w:t>
      </w:r>
    </w:p>
    <w:p w14:paraId="17E7E7AB">
      <w:pPr>
        <w:wordWrap w:val="0"/>
        <w:topLinePunct/>
        <w:spacing w:line="360" w:lineRule="auto"/>
        <w:ind w:firstLine="480" w:firstLineChars="200"/>
        <w:jc w:val="left"/>
        <w:outlineLvl w:val="9"/>
        <w:rPr>
          <w:rFonts w:ascii="宋体" w:hAnsi="宋体"/>
          <w:color w:val="auto"/>
          <w:sz w:val="24"/>
          <w:szCs w:val="24"/>
        </w:rPr>
      </w:pPr>
      <w:bookmarkStart w:id="46" w:name="_Toc152045535"/>
      <w:bookmarkStart w:id="47" w:name="_Toc152042311"/>
      <w:bookmarkStart w:id="48" w:name="_Toc179632552"/>
      <w:bookmarkStart w:id="49" w:name="_Toc144974503"/>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.1 </w:t>
      </w:r>
      <w:r>
        <w:rPr>
          <w:rFonts w:hint="eastAsia" w:ascii="宋体" w:hAnsi="宋体"/>
          <w:color w:val="auto"/>
          <w:sz w:val="24"/>
          <w:szCs w:val="24"/>
        </w:rPr>
        <w:t>合格的供应商：满足下列资格条件且有能力提供项目所需服务的供应商。</w:t>
      </w:r>
    </w:p>
    <w:p w14:paraId="46656B2E">
      <w:pPr>
        <w:spacing w:line="360" w:lineRule="auto"/>
        <w:outlineLvl w:val="9"/>
        <w:rPr>
          <w:rFonts w:hint="eastAsia" w:ascii="宋体" w:hAnsi="宋体"/>
          <w:bCs/>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.2</w:t>
      </w:r>
      <w:r>
        <w:rPr>
          <w:rFonts w:hint="eastAsia" w:ascii="宋体" w:hAnsi="宋体"/>
          <w:bCs/>
          <w:color w:val="auto"/>
          <w:sz w:val="24"/>
          <w:szCs w:val="24"/>
        </w:rPr>
        <w:t>资格条件</w:t>
      </w:r>
    </w:p>
    <w:p w14:paraId="729717D3">
      <w:pPr>
        <w:spacing w:line="360" w:lineRule="auto"/>
        <w:ind w:firstLine="480" w:firstLineChars="200"/>
        <w:outlineLvl w:val="9"/>
        <w:rPr>
          <w:rFonts w:hint="eastAsia" w:ascii="宋体" w:hAnsi="宋体" w:cs="宋体"/>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.2.1</w:t>
      </w:r>
      <w:r>
        <w:rPr>
          <w:rFonts w:hint="eastAsia" w:ascii="宋体" w:hAnsi="宋体" w:cs="宋体"/>
          <w:color w:val="auto"/>
          <w:sz w:val="24"/>
          <w:szCs w:val="24"/>
        </w:rPr>
        <w:t>供应商应当符合《中华人民共和国政府采购法》第二十二条第一款规定的投标人基本资格条件；以及</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文件规定的供应商特定资格条件。</w:t>
      </w:r>
    </w:p>
    <w:p w14:paraId="4826610C">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.3供应商必须从陕西省公共资源交易平台获取</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文件，供应商自行转让或复制的竞争性</w:t>
      </w:r>
      <w:r>
        <w:rPr>
          <w:rFonts w:hint="eastAsia" w:ascii="宋体" w:hAnsi="宋体" w:cs="宋体"/>
          <w:color w:val="auto"/>
          <w:sz w:val="24"/>
          <w:szCs w:val="24"/>
          <w:lang w:eastAsia="zh-CN"/>
        </w:rPr>
        <w:t>磋商</w:t>
      </w:r>
      <w:r>
        <w:rPr>
          <w:rFonts w:hint="eastAsia" w:ascii="宋体" w:hAnsi="宋体" w:cs="宋体"/>
          <w:color w:val="auto"/>
          <w:sz w:val="24"/>
          <w:szCs w:val="24"/>
        </w:rPr>
        <w:t>文件视为无效文件</w:t>
      </w:r>
      <w:r>
        <w:rPr>
          <w:rFonts w:hint="eastAsia" w:ascii="宋体" w:hAnsi="宋体" w:cs="宋体"/>
          <w:color w:val="auto"/>
          <w:sz w:val="24"/>
          <w:szCs w:val="24"/>
          <w:lang w:eastAsia="zh-CN"/>
        </w:rPr>
        <w:t>，此文件</w:t>
      </w:r>
      <w:r>
        <w:rPr>
          <w:rFonts w:hint="eastAsia" w:ascii="宋体" w:hAnsi="宋体" w:cs="宋体"/>
          <w:color w:val="auto"/>
          <w:sz w:val="24"/>
          <w:szCs w:val="24"/>
        </w:rPr>
        <w:t>仅作为本次</w:t>
      </w:r>
      <w:r>
        <w:rPr>
          <w:rFonts w:hint="eastAsia" w:ascii="宋体" w:hAnsi="宋体" w:cs="宋体"/>
          <w:color w:val="auto"/>
          <w:sz w:val="24"/>
          <w:szCs w:val="24"/>
          <w:lang w:eastAsia="zh-CN"/>
        </w:rPr>
        <w:t>磋商</w:t>
      </w:r>
      <w:r>
        <w:rPr>
          <w:rFonts w:hint="eastAsia" w:ascii="宋体" w:hAnsi="宋体" w:cs="宋体"/>
          <w:color w:val="auto"/>
          <w:sz w:val="24"/>
          <w:szCs w:val="24"/>
        </w:rPr>
        <w:t>使用。</w:t>
      </w:r>
    </w:p>
    <w:p w14:paraId="7BD1DC1B">
      <w:pPr>
        <w:spacing w:line="360" w:lineRule="auto"/>
        <w:ind w:firstLine="480" w:firstLineChars="200"/>
        <w:outlineLvl w:val="9"/>
        <w:rPr>
          <w:rFonts w:hint="eastAsia"/>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.4法定代表人或者负责人为同一人或者存在控股、管理关系的两个以上供应商，不得参加同一政府采购项目投标。</w:t>
      </w:r>
    </w:p>
    <w:p w14:paraId="79B268DD">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.5是否接受联合体投标：见投标人须知前附表。</w:t>
      </w:r>
    </w:p>
    <w:p w14:paraId="2D6763AB">
      <w:pPr>
        <w:spacing w:line="360" w:lineRule="auto"/>
        <w:ind w:firstLine="480" w:firstLineChars="200"/>
        <w:outlineLvl w:val="9"/>
        <w:rPr>
          <w:rFonts w:hint="eastAsia"/>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.6供应商应参照《中华人民共和国政府采购法》及其它有关的中国法律和法规。</w:t>
      </w:r>
    </w:p>
    <w:bookmarkEnd w:id="46"/>
    <w:bookmarkEnd w:id="47"/>
    <w:bookmarkEnd w:id="48"/>
    <w:bookmarkEnd w:id="49"/>
    <w:p w14:paraId="026F2B4D">
      <w:pPr>
        <w:spacing w:line="360" w:lineRule="auto"/>
        <w:outlineLvl w:val="9"/>
        <w:rPr>
          <w:rFonts w:hint="eastAsia" w:ascii="宋体" w:hAnsi="宋体" w:eastAsia="宋体" w:cs="宋体"/>
          <w:b/>
          <w:bCs/>
          <w:color w:val="auto"/>
          <w:kern w:val="2"/>
          <w:sz w:val="24"/>
          <w:szCs w:val="24"/>
          <w:lang w:val="en-US" w:eastAsia="zh-CN" w:bidi="ar-SA"/>
        </w:rPr>
      </w:pPr>
      <w:bookmarkStart w:id="50" w:name="_Toc179632553"/>
      <w:bookmarkStart w:id="51" w:name="_Toc144974504"/>
      <w:bookmarkStart w:id="52" w:name="_Toc152042312"/>
      <w:bookmarkStart w:id="53" w:name="_Toc152045536"/>
      <w:r>
        <w:rPr>
          <w:rFonts w:hint="eastAsia" w:ascii="宋体"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磋商内容的合格性和合法性</w:t>
      </w:r>
    </w:p>
    <w:p w14:paraId="39D68EB8">
      <w:pPr>
        <w:tabs>
          <w:tab w:val="left" w:pos="720"/>
        </w:tabs>
        <w:spacing w:line="360" w:lineRule="auto"/>
        <w:ind w:left="479" w:leftChars="228"/>
        <w:outlineLvl w:val="9"/>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.1磋商内容应满足竞争性磋商文件的要求并应符合国家法律法规、行业管理部门</w:t>
      </w:r>
    </w:p>
    <w:p w14:paraId="09EEE233">
      <w:pPr>
        <w:tabs>
          <w:tab w:val="left" w:pos="720"/>
        </w:tabs>
        <w:spacing w:line="360" w:lineRule="auto"/>
        <w:outlineLvl w:val="9"/>
        <w:rPr>
          <w:rFonts w:hint="eastAsia" w:ascii="宋体" w:hAnsi="宋体" w:cs="宋体"/>
          <w:color w:val="auto"/>
          <w:sz w:val="24"/>
          <w:szCs w:val="24"/>
        </w:rPr>
      </w:pPr>
      <w:r>
        <w:rPr>
          <w:rFonts w:hint="eastAsia" w:ascii="宋体" w:hAnsi="宋体" w:cs="宋体"/>
          <w:color w:val="auto"/>
          <w:sz w:val="24"/>
          <w:szCs w:val="24"/>
        </w:rPr>
        <w:t>要求的其他强制性标准。</w:t>
      </w:r>
    </w:p>
    <w:p w14:paraId="6DB4B6BD">
      <w:pPr>
        <w:spacing w:line="360" w:lineRule="auto"/>
        <w:outlineLvl w:val="9"/>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竞争性磋商响应文件内容的真实性</w:t>
      </w:r>
    </w:p>
    <w:p w14:paraId="739DE144">
      <w:pPr>
        <w:tabs>
          <w:tab w:val="left" w:pos="720"/>
        </w:tabs>
        <w:spacing w:line="360" w:lineRule="auto"/>
        <w:ind w:left="479" w:leftChars="228"/>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4.1供应商应保证其竞争性磋商响应文件中所提供的所有磋商资料、信息是真实的，</w:t>
      </w:r>
    </w:p>
    <w:p w14:paraId="5ABCFBD3">
      <w:pPr>
        <w:tabs>
          <w:tab w:val="left" w:pos="720"/>
        </w:tabs>
        <w:spacing w:line="360" w:lineRule="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并且来源于合法的渠道。因竞争性磋商响应文件中所提供的磋商资料、信息不真实或者其来源不合法而导致的所有法律责任，由供应商自行承担。</w:t>
      </w:r>
    </w:p>
    <w:p w14:paraId="2E002C19">
      <w:pPr>
        <w:spacing w:line="360" w:lineRule="auto"/>
        <w:outlineLvl w:val="9"/>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5、</w:t>
      </w:r>
      <w:r>
        <w:rPr>
          <w:rFonts w:hint="eastAsia" w:ascii="宋体" w:hAnsi="宋体" w:eastAsia="宋体" w:cs="宋体"/>
          <w:b/>
          <w:bCs/>
          <w:color w:val="auto"/>
          <w:kern w:val="2"/>
          <w:sz w:val="24"/>
          <w:szCs w:val="24"/>
          <w:lang w:val="en-US" w:eastAsia="zh-CN" w:bidi="ar-SA"/>
        </w:rPr>
        <w:t>磋商过程的监督和管理</w:t>
      </w:r>
    </w:p>
    <w:p w14:paraId="06EDB232">
      <w:pPr>
        <w:tabs>
          <w:tab w:val="left" w:pos="720"/>
        </w:tabs>
        <w:spacing w:line="360" w:lineRule="auto"/>
        <w:ind w:left="479" w:leftChars="228"/>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5.1同级人民政府财政部门及有关部门依法履行对竞争性磋商过程的监督管理职</w:t>
      </w:r>
    </w:p>
    <w:p w14:paraId="6ABDC169">
      <w:pPr>
        <w:tabs>
          <w:tab w:val="left" w:pos="720"/>
        </w:tabs>
        <w:spacing w:line="240" w:lineRule="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责。</w:t>
      </w:r>
    </w:p>
    <w:p w14:paraId="6F4CEE51">
      <w:pPr>
        <w:spacing w:line="240" w:lineRule="auto"/>
        <w:outlineLvl w:val="9"/>
        <w:rPr>
          <w:rFonts w:ascii="宋体" w:hAnsi="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、保密</w:t>
      </w:r>
      <w:bookmarkEnd w:id="50"/>
      <w:bookmarkEnd w:id="51"/>
      <w:bookmarkEnd w:id="52"/>
      <w:bookmarkEnd w:id="53"/>
    </w:p>
    <w:p w14:paraId="5D4D4E91">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.1参与招标活动的各方应对竞争性磋商文件和竞争性磋商响应文件中的商业和技术等秘密保密，违者应对由此造成的后果承担法律责任。 </w:t>
      </w:r>
    </w:p>
    <w:p w14:paraId="7192FAA7">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54" w:name="_Toc1845"/>
      <w:bookmarkStart w:id="55" w:name="_Toc12425"/>
      <w:bookmarkStart w:id="56" w:name="_Toc1428"/>
      <w:bookmarkStart w:id="57" w:name="_Toc513557028"/>
      <w:bookmarkStart w:id="58" w:name="_Toc13815"/>
      <w:bookmarkStart w:id="59" w:name="_Toc16996"/>
      <w:bookmarkStart w:id="60" w:name="_Toc622"/>
      <w:bookmarkStart w:id="61" w:name="_Toc7627"/>
      <w:bookmarkStart w:id="62" w:name="_Toc23337"/>
      <w:bookmarkStart w:id="63" w:name="_Toc29929"/>
      <w:r>
        <w:rPr>
          <w:rFonts w:hint="eastAsia" w:asciiTheme="minorEastAsia" w:hAnsiTheme="minorEastAsia" w:eastAsiaTheme="minorEastAsia" w:cstheme="minorEastAsia"/>
          <w:b/>
          <w:color w:val="auto"/>
          <w:sz w:val="24"/>
          <w:szCs w:val="24"/>
        </w:rPr>
        <w:t>2．竞争性磋商文件</w:t>
      </w:r>
      <w:bookmarkEnd w:id="54"/>
      <w:bookmarkEnd w:id="55"/>
      <w:bookmarkEnd w:id="56"/>
      <w:bookmarkEnd w:id="57"/>
      <w:bookmarkEnd w:id="58"/>
      <w:bookmarkEnd w:id="59"/>
      <w:bookmarkEnd w:id="60"/>
      <w:bookmarkEnd w:id="61"/>
      <w:bookmarkEnd w:id="62"/>
      <w:bookmarkEnd w:id="63"/>
    </w:p>
    <w:p w14:paraId="76A91481">
      <w:pPr>
        <w:pStyle w:val="45"/>
        <w:adjustRightInd w:val="0"/>
        <w:snapToGrid w:val="0"/>
        <w:spacing w:line="360" w:lineRule="auto"/>
        <w:outlineLvl w:val="9"/>
        <w:rPr>
          <w:rFonts w:asciiTheme="minorEastAsia" w:hAnsiTheme="minorEastAsia" w:eastAsiaTheme="minorEastAsia" w:cstheme="minorEastAsia"/>
          <w:color w:val="auto"/>
          <w:sz w:val="24"/>
          <w:szCs w:val="24"/>
        </w:rPr>
      </w:pPr>
      <w:bookmarkStart w:id="64" w:name="_Toc144974511"/>
      <w:bookmarkStart w:id="65" w:name="_Toc152045543"/>
      <w:bookmarkStart w:id="66" w:name="_Toc179632561"/>
      <w:bookmarkStart w:id="67" w:name="_Toc152042319"/>
      <w:r>
        <w:rPr>
          <w:rFonts w:hint="eastAsia" w:ascii="宋体" w:hAnsi="宋体" w:eastAsia="宋体"/>
          <w:b/>
          <w:color w:val="auto"/>
          <w:sz w:val="24"/>
          <w:szCs w:val="24"/>
          <w:lang w:val="en-US" w:eastAsia="zh-CN"/>
        </w:rPr>
        <w:t>7</w:t>
      </w:r>
      <w:r>
        <w:rPr>
          <w:rFonts w:hint="eastAsia" w:ascii="宋体" w:hAnsi="宋体" w:eastAsia="宋体"/>
          <w:b/>
          <w:color w:val="auto"/>
          <w:sz w:val="24"/>
          <w:szCs w:val="24"/>
        </w:rPr>
        <w:t>、竞争性磋商文件的组成</w:t>
      </w:r>
      <w:bookmarkEnd w:id="64"/>
      <w:bookmarkEnd w:id="65"/>
      <w:bookmarkEnd w:id="66"/>
      <w:bookmarkEnd w:id="67"/>
    </w:p>
    <w:p w14:paraId="3A8232FE">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.1竞争性磋商</w:t>
      </w:r>
      <w:r>
        <w:rPr>
          <w:rFonts w:hint="eastAsia" w:ascii="宋体" w:hAnsi="宋体" w:cs="宋体"/>
          <w:color w:val="auto"/>
          <w:sz w:val="24"/>
          <w:szCs w:val="24"/>
        </w:rPr>
        <w:t>文件包括以下内容：</w:t>
      </w:r>
    </w:p>
    <w:p w14:paraId="5974A265">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（1）竞争性磋商公告；</w:t>
      </w:r>
    </w:p>
    <w:p w14:paraId="7F2643BE">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w:t>
      </w:r>
      <w:r>
        <w:rPr>
          <w:rFonts w:hint="eastAsia" w:ascii="宋体" w:hAnsi="宋体" w:cs="宋体"/>
          <w:color w:val="auto"/>
          <w:sz w:val="24"/>
          <w:szCs w:val="24"/>
        </w:rPr>
        <w:t>须知</w:t>
      </w:r>
      <w:r>
        <w:rPr>
          <w:rFonts w:hint="eastAsia" w:asciiTheme="minorEastAsia" w:hAnsiTheme="minorEastAsia" w:eastAsiaTheme="minorEastAsia" w:cstheme="minorEastAsia"/>
          <w:color w:val="auto"/>
          <w:sz w:val="24"/>
          <w:szCs w:val="24"/>
        </w:rPr>
        <w:t>前附表及供应商</w:t>
      </w:r>
      <w:r>
        <w:rPr>
          <w:rFonts w:hint="eastAsia" w:ascii="宋体" w:hAnsi="宋体" w:cs="宋体"/>
          <w:color w:val="auto"/>
          <w:sz w:val="24"/>
          <w:szCs w:val="24"/>
        </w:rPr>
        <w:t>须知</w:t>
      </w:r>
      <w:r>
        <w:rPr>
          <w:rFonts w:hint="eastAsia" w:asciiTheme="minorEastAsia" w:hAnsiTheme="minorEastAsia" w:eastAsiaTheme="minorEastAsia" w:cstheme="minorEastAsia"/>
          <w:color w:val="auto"/>
          <w:sz w:val="24"/>
          <w:szCs w:val="24"/>
        </w:rPr>
        <w:t>；</w:t>
      </w:r>
    </w:p>
    <w:p w14:paraId="5284B765">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（3）评审办法；</w:t>
      </w:r>
    </w:p>
    <w:p w14:paraId="50945A0E">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（4）合同条款及合同文件格式；</w:t>
      </w:r>
    </w:p>
    <w:p w14:paraId="2B78AF60">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宋体" w:hAnsi="宋体" w:cs="宋体" w:eastAsiaTheme="minorEastAsia"/>
          <w:bCs/>
          <w:color w:val="auto"/>
          <w:sz w:val="24"/>
          <w:szCs w:val="24"/>
          <w:lang w:eastAsia="zh-CN"/>
        </w:rPr>
        <w:t>工程量清单</w:t>
      </w:r>
      <w:r>
        <w:rPr>
          <w:rFonts w:hint="eastAsia" w:asciiTheme="minorEastAsia" w:hAnsiTheme="minorEastAsia" w:eastAsiaTheme="minorEastAsia" w:cstheme="minorEastAsia"/>
          <w:color w:val="auto"/>
          <w:sz w:val="24"/>
          <w:szCs w:val="24"/>
        </w:rPr>
        <w:t xml:space="preserve">； </w:t>
      </w:r>
    </w:p>
    <w:p w14:paraId="3C5617E3">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）竞争性磋商响应文件格式。</w:t>
      </w:r>
    </w:p>
    <w:p w14:paraId="226BC9F7">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.2 除</w:t>
      </w:r>
      <w:r>
        <w:rPr>
          <w:rFonts w:hint="eastAsia" w:ascii="宋体" w:hAnsi="宋体" w:cs="宋体"/>
          <w:color w:val="auto"/>
          <w:sz w:val="24"/>
          <w:szCs w:val="24"/>
          <w:lang w:val="en-US" w:eastAsia="zh-CN"/>
        </w:rPr>
        <w:t>7</w:t>
      </w:r>
      <w:r>
        <w:rPr>
          <w:rFonts w:hint="eastAsia" w:ascii="宋体" w:hAnsi="宋体" w:cs="宋体"/>
          <w:color w:val="auto"/>
          <w:sz w:val="24"/>
          <w:szCs w:val="24"/>
        </w:rPr>
        <w:t>.1内容外，</w:t>
      </w:r>
      <w:r>
        <w:rPr>
          <w:rFonts w:hint="eastAsia" w:ascii="宋体" w:hAnsi="宋体" w:cs="宋体"/>
          <w:color w:val="auto"/>
          <w:sz w:val="24"/>
          <w:szCs w:val="24"/>
          <w:lang w:eastAsia="zh-CN"/>
        </w:rPr>
        <w:t>采购代理机构</w:t>
      </w:r>
      <w:r>
        <w:rPr>
          <w:rFonts w:hint="eastAsia" w:ascii="宋体" w:hAnsi="宋体" w:cs="宋体"/>
          <w:color w:val="auto"/>
          <w:sz w:val="24"/>
          <w:szCs w:val="24"/>
        </w:rPr>
        <w:t>以书面形式发出的对</w:t>
      </w:r>
      <w:r>
        <w:rPr>
          <w:rFonts w:hint="eastAsia" w:asciiTheme="minorEastAsia" w:hAnsiTheme="minorEastAsia" w:eastAsiaTheme="minorEastAsia" w:cstheme="minorEastAsia"/>
          <w:color w:val="auto"/>
          <w:sz w:val="24"/>
          <w:szCs w:val="24"/>
        </w:rPr>
        <w:t>竞争性磋商</w:t>
      </w:r>
      <w:r>
        <w:rPr>
          <w:rFonts w:hint="eastAsia" w:ascii="宋体" w:hAnsi="宋体" w:cs="宋体"/>
          <w:color w:val="auto"/>
          <w:sz w:val="24"/>
          <w:szCs w:val="24"/>
        </w:rPr>
        <w:t>文件的澄清或修改内容，均为</w:t>
      </w:r>
      <w:r>
        <w:rPr>
          <w:rFonts w:hint="eastAsia" w:asciiTheme="minorEastAsia" w:hAnsiTheme="minorEastAsia" w:eastAsiaTheme="minorEastAsia" w:cstheme="minorEastAsia"/>
          <w:color w:val="auto"/>
          <w:sz w:val="24"/>
          <w:szCs w:val="24"/>
        </w:rPr>
        <w:t>竞争性磋商</w:t>
      </w:r>
      <w:r>
        <w:rPr>
          <w:rFonts w:hint="eastAsia" w:ascii="宋体" w:hAnsi="宋体" w:cs="宋体"/>
          <w:color w:val="auto"/>
          <w:sz w:val="24"/>
          <w:szCs w:val="24"/>
        </w:rPr>
        <w:t>文件的组成部分，对</w:t>
      </w:r>
      <w:r>
        <w:rPr>
          <w:rFonts w:hint="eastAsia" w:ascii="宋体" w:hAnsi="宋体" w:cs="宋体"/>
          <w:color w:val="auto"/>
          <w:sz w:val="24"/>
          <w:szCs w:val="24"/>
          <w:lang w:eastAsia="zh-CN"/>
        </w:rPr>
        <w:t>采购代理机构</w:t>
      </w:r>
      <w:r>
        <w:rPr>
          <w:rFonts w:hint="eastAsia" w:ascii="宋体" w:hAnsi="宋体" w:cs="宋体"/>
          <w:color w:val="auto"/>
          <w:sz w:val="24"/>
          <w:szCs w:val="24"/>
        </w:rPr>
        <w:t>和供应商起约束作用。</w:t>
      </w:r>
    </w:p>
    <w:p w14:paraId="544FE432">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7.3</w:t>
      </w:r>
      <w:r>
        <w:rPr>
          <w:rFonts w:hint="eastAsia" w:ascii="宋体" w:hAnsi="宋体" w:cs="宋体"/>
          <w:color w:val="auto"/>
          <w:sz w:val="24"/>
          <w:szCs w:val="24"/>
        </w:rPr>
        <w:t>采购项目需要落实的政府采购政策：国务院财政部门会同有关部门制定的采购需求标准、预留采购份额、价格评审优惠、优先采购等措施，实现节约能源、保护环境、扶持不发达地区和少数民族地区、促进中小企业发展等目标的政府采购政策。</w:t>
      </w:r>
    </w:p>
    <w:p w14:paraId="6DC44EB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bookmarkStart w:id="68" w:name="_Toc152045544"/>
      <w:bookmarkStart w:id="69" w:name="_Toc179632562"/>
      <w:bookmarkStart w:id="70" w:name="_Toc152042320"/>
      <w:bookmarkStart w:id="71" w:name="_Toc144974512"/>
      <w:r>
        <w:rPr>
          <w:rFonts w:hint="eastAsia" w:ascii="宋体" w:hAnsi="宋体" w:eastAsia="宋体" w:cs="宋体"/>
          <w:i w:val="0"/>
          <w:iCs w:val="0"/>
          <w:caps w:val="0"/>
          <w:color w:val="auto"/>
          <w:spacing w:val="0"/>
          <w:sz w:val="24"/>
          <w:szCs w:val="24"/>
          <w:shd w:val="clear" w:fill="FFFFFF"/>
          <w:vertAlign w:val="baseline"/>
        </w:rPr>
        <w:t>①《节能产品政府采购实施意见》财库〔2004〕185号;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②《环境标志产品政府采购实施的意见》财库〔2006〕90号；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④《政府采购促进中小企业发展管理办法》财库〔2020〕46号；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⑪其他需要落实的政府采购政策。</w:t>
      </w:r>
    </w:p>
    <w:p w14:paraId="6AEF74B6">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lang w:val="en-US" w:eastAsia="zh-CN"/>
        </w:rPr>
        <w:t>8</w:t>
      </w:r>
      <w:r>
        <w:rPr>
          <w:rFonts w:hint="eastAsia" w:ascii="宋体" w:hAnsi="宋体" w:eastAsia="宋体"/>
          <w:b/>
          <w:color w:val="auto"/>
          <w:sz w:val="24"/>
          <w:szCs w:val="24"/>
        </w:rPr>
        <w:t>、竞争性磋商文件的澄清</w:t>
      </w:r>
      <w:bookmarkEnd w:id="68"/>
      <w:bookmarkEnd w:id="69"/>
      <w:bookmarkEnd w:id="70"/>
      <w:bookmarkEnd w:id="71"/>
    </w:p>
    <w:p w14:paraId="4D3BF1C9">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72" w:name="_Toc179632563"/>
      <w:bookmarkStart w:id="73" w:name="_Toc152042321"/>
      <w:bookmarkStart w:id="74" w:name="_Toc152045545"/>
      <w:bookmarkStart w:id="75" w:name="_Toc144974513"/>
      <w:r>
        <w:rPr>
          <w:rFonts w:hint="eastAsia" w:asciiTheme="minorEastAsia" w:hAnsiTheme="minorEastAsia" w:eastAsiaTheme="minorEastAsia" w:cstheme="minorEastAsia"/>
          <w:color w:val="auto"/>
          <w:sz w:val="24"/>
          <w:szCs w:val="24"/>
          <w:lang w:val="zh-CN"/>
        </w:rPr>
        <w:t>采购代理机构可对已发出的磋商文件进行必要的澄清或者修改，澄清或者修改的内容可能影响响应文件编制的，澄清或修改的内容应以书面形式在提交首次响应文件截止时间至少五日前通知所有获取磋商文件的供应商；</w:t>
      </w:r>
      <w:r>
        <w:rPr>
          <w:rFonts w:hint="eastAsia" w:asciiTheme="minorEastAsia" w:hAnsiTheme="minorEastAsia" w:eastAsiaTheme="minorEastAsia" w:cstheme="minorEastAsia"/>
          <w:color w:val="auto"/>
          <w:sz w:val="24"/>
          <w:szCs w:val="24"/>
          <w:lang w:val="en-US" w:eastAsia="zh-CN"/>
        </w:rPr>
        <w:t>不足5日的，顺延提交首次响应文件截止时间</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rPr>
        <w:t>在规定的时间内供应商对采购活动文件无异议的，视为供应商完全响应竞争性磋商文件并接受采购活动文件中约定的主要条款。在规定时间后提出的质疑，采购人或采购代理机构不予答复。否则，因此所带来的一切不利后果由各供应商自负。</w:t>
      </w:r>
    </w:p>
    <w:p w14:paraId="41A4705A">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lang w:val="en-US" w:eastAsia="zh-CN"/>
        </w:rPr>
        <w:t>9</w:t>
      </w:r>
      <w:r>
        <w:rPr>
          <w:rFonts w:hint="eastAsia" w:ascii="宋体" w:hAnsi="宋体" w:eastAsia="宋体"/>
          <w:b/>
          <w:color w:val="auto"/>
          <w:sz w:val="24"/>
          <w:szCs w:val="24"/>
        </w:rPr>
        <w:t>、竞争性磋商文件的修改</w:t>
      </w:r>
      <w:bookmarkEnd w:id="72"/>
      <w:bookmarkEnd w:id="73"/>
      <w:bookmarkEnd w:id="74"/>
      <w:bookmarkEnd w:id="75"/>
    </w:p>
    <w:p w14:paraId="0BC5748A">
      <w:pPr>
        <w:pageBreakBefore w:val="0"/>
        <w:bidi w:val="0"/>
        <w:spacing w:line="360" w:lineRule="auto"/>
        <w:ind w:firstLine="480" w:firstLineChars="200"/>
        <w:outlineLvl w:val="9"/>
        <w:rPr>
          <w:rFonts w:hint="eastAsia" w:ascii="宋体" w:hAnsi="宋体" w:eastAsia="宋体" w:cs="宋体"/>
          <w:color w:val="auto"/>
          <w:sz w:val="24"/>
          <w:szCs w:val="24"/>
        </w:rPr>
      </w:pPr>
      <w:bookmarkStart w:id="76" w:name="_Toc513557029"/>
      <w:bookmarkStart w:id="77" w:name="_Toc17851"/>
      <w:bookmarkStart w:id="78" w:name="_Toc363119280"/>
      <w:bookmarkStart w:id="79" w:name="_Toc510859894"/>
      <w:bookmarkStart w:id="80" w:name="_Toc510859688"/>
      <w:bookmarkStart w:id="81" w:name="_Toc8470"/>
      <w:bookmarkStart w:id="82" w:name="_Toc30391"/>
      <w:bookmarkStart w:id="83" w:name="_Toc8450"/>
      <w:r>
        <w:rPr>
          <w:rFonts w:hint="eastAsia" w:ascii="宋体" w:hAnsi="宋体" w:cs="宋体"/>
          <w:color w:val="auto"/>
          <w:sz w:val="24"/>
          <w:szCs w:val="24"/>
          <w:lang w:val="en-US" w:eastAsia="zh-CN"/>
        </w:rPr>
        <w:t>9</w:t>
      </w:r>
      <w:r>
        <w:rPr>
          <w:rFonts w:hint="eastAsia" w:ascii="宋体" w:hAnsi="宋体" w:eastAsia="宋体" w:cs="宋体"/>
          <w:color w:val="auto"/>
          <w:sz w:val="24"/>
          <w:szCs w:val="24"/>
        </w:rPr>
        <w:t>.1在采购活动截止前的任何时候，无论出于何种原因，采购代理机构可以对竞争性磋商文件进行修改，也可以在解答各供应商提出的澄清问题时，修改采购活动文件。</w:t>
      </w:r>
    </w:p>
    <w:p w14:paraId="6514D6DF">
      <w:pPr>
        <w:pageBreakBefore w:val="0"/>
        <w:bidi w:val="0"/>
        <w:spacing w:line="360" w:lineRule="auto"/>
        <w:ind w:firstLine="480"/>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2竞争性磋商文件的修改以书面形式通知领取采购活动文件的各供应商，并作为竞争性磋商文件的补充，与其具有同等法律效力并具有约束力；供应商在收到该通知后应立即以传真、电子邮件等有效形式予以确认。</w:t>
      </w:r>
    </w:p>
    <w:p w14:paraId="0BF91495">
      <w:pPr>
        <w:pageBreakBefore w:val="0"/>
        <w:bidi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.3为使供应商在准备响应文件时，有充分的时间对采购活动文件的修改进行研究考虑，采购人可自行决定，酌情推迟响应文件截止日期，并以书面形式通知所有已</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竞争性磋商文件的供应商。</w:t>
      </w:r>
    </w:p>
    <w:p w14:paraId="1F6F0DFA">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84" w:name="_Toc14923"/>
      <w:bookmarkStart w:id="85" w:name="_Toc8834"/>
      <w:bookmarkStart w:id="86" w:name="_Toc6028"/>
      <w:bookmarkStart w:id="87" w:name="_Toc1315"/>
      <w:bookmarkStart w:id="88" w:name="_Toc19904"/>
      <w:r>
        <w:rPr>
          <w:rFonts w:hint="eastAsia" w:asciiTheme="minorEastAsia" w:hAnsiTheme="minorEastAsia" w:eastAsiaTheme="minorEastAsia" w:cstheme="minorEastAsia"/>
          <w:b/>
          <w:color w:val="auto"/>
          <w:sz w:val="24"/>
          <w:szCs w:val="24"/>
        </w:rPr>
        <w:t>3. 竞争性磋商响应文件</w:t>
      </w:r>
      <w:bookmarkEnd w:id="76"/>
      <w:bookmarkEnd w:id="77"/>
      <w:bookmarkEnd w:id="78"/>
      <w:bookmarkEnd w:id="79"/>
      <w:bookmarkEnd w:id="80"/>
      <w:r>
        <w:rPr>
          <w:rFonts w:hint="eastAsia" w:asciiTheme="minorEastAsia" w:hAnsiTheme="minorEastAsia" w:eastAsiaTheme="minorEastAsia" w:cstheme="minorEastAsia"/>
          <w:b/>
          <w:color w:val="auto"/>
          <w:sz w:val="24"/>
          <w:szCs w:val="24"/>
        </w:rPr>
        <w:t>的编制</w:t>
      </w:r>
      <w:bookmarkEnd w:id="81"/>
      <w:bookmarkEnd w:id="82"/>
      <w:bookmarkEnd w:id="83"/>
      <w:bookmarkEnd w:id="84"/>
      <w:bookmarkEnd w:id="85"/>
      <w:bookmarkEnd w:id="86"/>
      <w:bookmarkEnd w:id="87"/>
      <w:bookmarkEnd w:id="88"/>
    </w:p>
    <w:p w14:paraId="1393077F">
      <w:pPr>
        <w:pStyle w:val="45"/>
        <w:adjustRightInd w:val="0"/>
        <w:snapToGrid w:val="0"/>
        <w:spacing w:line="360" w:lineRule="auto"/>
        <w:outlineLvl w:val="9"/>
        <w:rPr>
          <w:rFonts w:ascii="宋体" w:hAnsi="宋体" w:cs="宋体"/>
          <w:color w:val="auto"/>
          <w:sz w:val="24"/>
          <w:szCs w:val="24"/>
        </w:rPr>
      </w:pPr>
      <w:bookmarkStart w:id="89" w:name="_Toc152042323"/>
      <w:bookmarkStart w:id="90" w:name="_Toc179632565"/>
      <w:bookmarkStart w:id="91" w:name="_Toc152045547"/>
      <w:bookmarkStart w:id="92" w:name="_Toc144974515"/>
      <w:r>
        <w:rPr>
          <w:rFonts w:hint="eastAsia" w:ascii="宋体" w:hAnsi="宋体" w:eastAsia="宋体"/>
          <w:b/>
          <w:color w:val="auto"/>
          <w:sz w:val="24"/>
          <w:szCs w:val="24"/>
          <w:lang w:val="en-US" w:eastAsia="zh-CN"/>
        </w:rPr>
        <w:t>10</w:t>
      </w:r>
      <w:r>
        <w:rPr>
          <w:rFonts w:hint="eastAsia" w:ascii="宋体" w:hAnsi="宋体" w:eastAsia="宋体"/>
          <w:b/>
          <w:color w:val="auto"/>
          <w:sz w:val="24"/>
          <w:szCs w:val="24"/>
        </w:rPr>
        <w:t>、磋商语言和磋商货币</w:t>
      </w:r>
    </w:p>
    <w:p w14:paraId="32AD2B00">
      <w:pPr>
        <w:autoSpaceDE w:val="0"/>
        <w:autoSpaceDN w:val="0"/>
        <w:adjustRightInd w:val="0"/>
        <w:snapToGrid w:val="0"/>
        <w:spacing w:line="360" w:lineRule="auto"/>
        <w:ind w:firstLine="480" w:firstLineChars="200"/>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.1供应商提交的竞争性磋商响应文件以及供应商与采购代理机构就有关磋商的所有来往函电均应使用中文。</w:t>
      </w:r>
    </w:p>
    <w:p w14:paraId="4036BEDB">
      <w:pPr>
        <w:autoSpaceDE w:val="0"/>
        <w:autoSpaceDN w:val="0"/>
        <w:adjustRightInd w:val="0"/>
        <w:snapToGrid w:val="0"/>
        <w:spacing w:line="360" w:lineRule="auto"/>
        <w:ind w:firstLine="480" w:firstLineChars="200"/>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10</w:t>
      </w:r>
      <w:r>
        <w:rPr>
          <w:rFonts w:hint="eastAsia" w:asciiTheme="minorEastAsia" w:hAnsiTheme="minorEastAsia" w:eastAsiaTheme="minorEastAsia" w:cstheme="minorEastAsia"/>
          <w:color w:val="auto"/>
          <w:kern w:val="0"/>
          <w:sz w:val="24"/>
          <w:szCs w:val="24"/>
        </w:rPr>
        <w:t>.2磋商应以人民币报价。任何包含非人民币报价的磋商将按无效磋商处理。</w:t>
      </w:r>
    </w:p>
    <w:p w14:paraId="69C15ABD">
      <w:pPr>
        <w:autoSpaceDE w:val="0"/>
        <w:autoSpaceDN w:val="0"/>
        <w:adjustRightInd w:val="0"/>
        <w:snapToGrid w:val="0"/>
        <w:spacing w:line="360" w:lineRule="auto"/>
        <w:outlineLvl w:val="9"/>
        <w:rPr>
          <w:rFonts w:ascii="宋体" w:hAnsi="宋体" w:eastAsia="宋体"/>
          <w:b/>
          <w:color w:val="auto"/>
          <w:sz w:val="24"/>
          <w:szCs w:val="24"/>
        </w:rPr>
      </w:pPr>
      <w:r>
        <w:rPr>
          <w:rFonts w:hint="eastAsia" w:ascii="宋体" w:hAnsi="宋体"/>
          <w:b/>
          <w:color w:val="auto"/>
          <w:sz w:val="24"/>
          <w:szCs w:val="24"/>
          <w:lang w:val="en-US" w:eastAsia="zh-CN"/>
        </w:rPr>
        <w:t>11</w:t>
      </w:r>
      <w:r>
        <w:rPr>
          <w:rFonts w:hint="eastAsia" w:ascii="宋体" w:hAnsi="宋体" w:eastAsia="宋体"/>
          <w:b/>
          <w:color w:val="auto"/>
          <w:sz w:val="24"/>
          <w:szCs w:val="24"/>
        </w:rPr>
        <w:t>、竞争性磋商响应文件的组成</w:t>
      </w:r>
      <w:bookmarkEnd w:id="89"/>
      <w:bookmarkEnd w:id="90"/>
      <w:bookmarkEnd w:id="91"/>
      <w:bookmarkEnd w:id="92"/>
    </w:p>
    <w:p w14:paraId="6FD52F9B">
      <w:pPr>
        <w:tabs>
          <w:tab w:val="left" w:pos="720"/>
        </w:tabs>
        <w:spacing w:line="360" w:lineRule="auto"/>
        <w:ind w:firstLine="480" w:firstLineChars="200"/>
        <w:outlineLvl w:val="9"/>
        <w:rPr>
          <w:rFonts w:hint="eastAsia" w:ascii="宋体" w:hAnsi="宋体" w:cs="宋体"/>
          <w:color w:val="auto"/>
          <w:sz w:val="24"/>
          <w:szCs w:val="24"/>
          <w:lang w:eastAsia="zh-CN"/>
        </w:rPr>
      </w:pPr>
      <w:bookmarkStart w:id="93" w:name="_Toc152042326"/>
      <w:bookmarkStart w:id="94" w:name="_Toc144974518"/>
      <w:bookmarkStart w:id="95" w:name="_Toc179632568"/>
      <w:bookmarkStart w:id="96" w:name="_Toc152045550"/>
      <w:r>
        <w:rPr>
          <w:rFonts w:hint="eastAsia" w:ascii="宋体" w:hAnsi="宋体" w:cs="宋体"/>
          <w:color w:val="auto"/>
          <w:sz w:val="24"/>
          <w:szCs w:val="24"/>
          <w:lang w:val="en-US" w:eastAsia="zh-CN"/>
        </w:rPr>
        <w:t>11.1</w:t>
      </w:r>
      <w:r>
        <w:rPr>
          <w:rFonts w:hint="eastAsia" w:ascii="宋体" w:hAnsi="宋体" w:cs="宋体"/>
          <w:color w:val="auto"/>
          <w:sz w:val="24"/>
          <w:szCs w:val="24"/>
        </w:rPr>
        <w:t>供应商编写的竞争性磋商响应文件</w:t>
      </w:r>
      <w:r>
        <w:rPr>
          <w:rFonts w:hint="eastAsia" w:ascii="宋体" w:hAnsi="宋体" w:cs="宋体"/>
          <w:color w:val="auto"/>
          <w:sz w:val="24"/>
          <w:szCs w:val="24"/>
          <w:lang w:eastAsia="zh-CN"/>
        </w:rPr>
        <w:t>应</w:t>
      </w:r>
      <w:r>
        <w:rPr>
          <w:rFonts w:hint="eastAsia" w:ascii="宋体" w:hAnsi="宋体" w:cs="宋体"/>
          <w:color w:val="auto"/>
          <w:sz w:val="24"/>
          <w:szCs w:val="24"/>
        </w:rPr>
        <w:t>包括</w:t>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七</w:t>
      </w:r>
      <w:r>
        <w:rPr>
          <w:rFonts w:hint="eastAsia" w:ascii="宋体" w:hAnsi="宋体" w:cs="宋体"/>
          <w:color w:val="auto"/>
          <w:sz w:val="24"/>
          <w:szCs w:val="24"/>
          <w:lang w:eastAsia="zh-CN"/>
        </w:rPr>
        <w:t>章竞争性磋商响应文件格式”</w:t>
      </w:r>
      <w:r>
        <w:rPr>
          <w:rFonts w:hint="eastAsia" w:ascii="宋体" w:hAnsi="宋体" w:cs="宋体"/>
          <w:color w:val="auto"/>
          <w:sz w:val="24"/>
          <w:szCs w:val="24"/>
          <w:lang w:val="en-US" w:eastAsia="zh-CN"/>
        </w:rPr>
        <w:t>的所有内容，</w:t>
      </w:r>
      <w:r>
        <w:rPr>
          <w:rFonts w:hint="eastAsia" w:ascii="宋体" w:hAnsi="宋体" w:cs="宋体"/>
          <w:color w:val="auto"/>
          <w:sz w:val="24"/>
          <w:szCs w:val="24"/>
        </w:rPr>
        <w:t>具体见竞争性</w:t>
      </w:r>
      <w:r>
        <w:rPr>
          <w:rFonts w:hint="eastAsia" w:ascii="宋体" w:hAnsi="宋体" w:cs="宋体"/>
          <w:color w:val="auto"/>
          <w:sz w:val="24"/>
          <w:szCs w:val="24"/>
          <w:lang w:eastAsia="zh-CN"/>
        </w:rPr>
        <w:t>磋商</w:t>
      </w:r>
      <w:r>
        <w:rPr>
          <w:rFonts w:hint="eastAsia" w:ascii="宋体" w:hAnsi="宋体" w:cs="宋体"/>
          <w:color w:val="auto"/>
          <w:sz w:val="24"/>
          <w:szCs w:val="24"/>
        </w:rPr>
        <w:t>响应文件格式</w:t>
      </w:r>
      <w:r>
        <w:rPr>
          <w:rFonts w:hint="eastAsia" w:ascii="宋体" w:hAnsi="宋体" w:cs="宋体"/>
          <w:color w:val="auto"/>
          <w:sz w:val="24"/>
          <w:szCs w:val="24"/>
          <w:lang w:eastAsia="zh-CN"/>
        </w:rPr>
        <w:t>；</w:t>
      </w:r>
    </w:p>
    <w:p w14:paraId="68123EA5">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.2 供应商的所有资格证明文件均应当为合法、有效文件，否则将被视为该文件未递交。</w:t>
      </w:r>
    </w:p>
    <w:p w14:paraId="6CAE7F25">
      <w:pPr>
        <w:spacing w:line="360" w:lineRule="auto"/>
        <w:ind w:firstLine="480" w:firstLineChars="200"/>
        <w:outlineLvl w:val="9"/>
        <w:rPr>
          <w:rFonts w:hint="eastAsia"/>
          <w:color w:val="auto"/>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sz w:val="24"/>
          <w:szCs w:val="24"/>
        </w:rPr>
        <w:t>.3 上述文件应当按照竞争性</w:t>
      </w:r>
      <w:r>
        <w:rPr>
          <w:rFonts w:hint="eastAsia" w:ascii="宋体" w:hAnsi="宋体" w:cs="宋体"/>
          <w:color w:val="auto"/>
          <w:sz w:val="24"/>
          <w:szCs w:val="24"/>
          <w:lang w:eastAsia="zh-CN"/>
        </w:rPr>
        <w:t>磋商</w:t>
      </w:r>
      <w:r>
        <w:rPr>
          <w:rFonts w:hint="eastAsia" w:ascii="宋体" w:hAnsi="宋体" w:cs="宋体"/>
          <w:color w:val="auto"/>
          <w:sz w:val="24"/>
          <w:szCs w:val="24"/>
        </w:rPr>
        <w:t>文件规定的格式填写、签署和盖章。</w:t>
      </w:r>
    </w:p>
    <w:p w14:paraId="66FCC225">
      <w:pPr>
        <w:spacing w:line="360" w:lineRule="auto"/>
        <w:outlineLvl w:val="9"/>
        <w:rPr>
          <w:rFonts w:hint="eastAsia"/>
          <w:color w:val="auto"/>
          <w:sz w:val="24"/>
          <w:szCs w:val="24"/>
          <w:lang w:eastAsia="zh-CN"/>
        </w:rPr>
      </w:pPr>
      <w:r>
        <w:rPr>
          <w:rFonts w:hint="eastAsia" w:ascii="宋体" w:hAnsi="宋体" w:cs="宋体"/>
          <w:color w:val="auto"/>
          <w:sz w:val="24"/>
          <w:szCs w:val="24"/>
          <w:lang w:val="en-US" w:eastAsia="zh-CN"/>
        </w:rPr>
        <w:t>12</w:t>
      </w:r>
      <w:r>
        <w:rPr>
          <w:rFonts w:hint="eastAsia" w:ascii="宋体" w:hAnsi="宋体" w:cs="宋体"/>
          <w:color w:val="auto"/>
          <w:sz w:val="24"/>
          <w:szCs w:val="24"/>
        </w:rPr>
        <w:t>、竞争性磋商响应文件格式</w:t>
      </w:r>
    </w:p>
    <w:p w14:paraId="68036ECD">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.1 供应商提交的竞争性磋商响应文件应当使用竞争性磋商文件所提供的竞争性磋商响应文件全部格式。</w:t>
      </w:r>
    </w:p>
    <w:p w14:paraId="49FBAE26">
      <w:pPr>
        <w:spacing w:line="240" w:lineRule="auto"/>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、磋商报价</w:t>
      </w:r>
    </w:p>
    <w:p w14:paraId="0BC54EF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投标人在投标截止时间前修改投标函中的投标总报价，应同时修改“工程量清单”中的相应报价。</w:t>
      </w:r>
    </w:p>
    <w:p w14:paraId="1CCA6C68">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投标人的投标报价，应是本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招标文件、工程量清单、答疑纪要、合同条款上所列招标工程范围内工程的全部各项支付金额的总和，投标报价不得以任何理由予以重复。</w:t>
      </w:r>
    </w:p>
    <w:p w14:paraId="315EADB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投标人投标报价汇总表中的价格均包括完成该工程项目的直接费、间接费、利润、税金、保险费和投标人必须的其他费用以及合同明示或暗示的所有风险、责任和义务等全部费用。</w:t>
      </w:r>
    </w:p>
    <w:p w14:paraId="421E5B6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投标人应根据《计价规则》规定和投标文件要求格式计价，其中人工费、材料费、机械费，投标人应根据施工组织设计、企业实际情况、市场信息价自主报价。组价时应考虑以下因素：人工费、材料费、机械费社会价格浮动因素，自然灾害及停水、停电、停窝工损失等风险费用。</w:t>
      </w:r>
    </w:p>
    <w:p w14:paraId="50260BC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如发现工程量清单中的数量与图纸中数量不一致时，应立即通知招标人核查，除非招标人以书面形式予以更正，应以工程量清单中列出的数量为准。</w:t>
      </w:r>
    </w:p>
    <w:p w14:paraId="68283FC0">
      <w:pPr>
        <w:spacing w:line="240" w:lineRule="auto"/>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、磋商有效期</w:t>
      </w:r>
    </w:p>
    <w:p w14:paraId="528BD97E">
      <w:pPr>
        <w:adjustRightInd w:val="0"/>
        <w:snapToGrid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.1 磋商有效期见本须知前附表所规定的期限，在此期限内，凡符合本</w:t>
      </w:r>
      <w:r>
        <w:rPr>
          <w:rFonts w:hint="eastAsia" w:asciiTheme="minorEastAsia" w:hAnsiTheme="minorEastAsia" w:eastAsiaTheme="minorEastAsia" w:cstheme="minorEastAsia"/>
          <w:color w:val="auto"/>
          <w:kern w:val="0"/>
          <w:sz w:val="24"/>
          <w:szCs w:val="24"/>
        </w:rPr>
        <w:t>竞争性磋商</w:t>
      </w:r>
      <w:r>
        <w:rPr>
          <w:rFonts w:hint="eastAsia" w:ascii="宋体" w:hAnsi="宋体" w:cs="宋体"/>
          <w:color w:val="auto"/>
          <w:sz w:val="24"/>
          <w:szCs w:val="24"/>
        </w:rPr>
        <w:t>文件要求的</w:t>
      </w:r>
      <w:r>
        <w:rPr>
          <w:rFonts w:hint="eastAsia" w:asciiTheme="minorEastAsia" w:hAnsiTheme="minorEastAsia" w:eastAsiaTheme="minorEastAsia" w:cstheme="minorEastAsia"/>
          <w:color w:val="auto"/>
          <w:kern w:val="0"/>
          <w:sz w:val="24"/>
          <w:szCs w:val="24"/>
        </w:rPr>
        <w:t>竞争性磋商响应文件</w:t>
      </w:r>
      <w:r>
        <w:rPr>
          <w:rFonts w:hint="eastAsia" w:ascii="宋体" w:hAnsi="宋体" w:cs="宋体"/>
          <w:color w:val="auto"/>
          <w:sz w:val="24"/>
          <w:szCs w:val="24"/>
        </w:rPr>
        <w:t>均保持有效。</w:t>
      </w:r>
    </w:p>
    <w:p w14:paraId="1E1D8BF0">
      <w:pPr>
        <w:pStyle w:val="45"/>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.2 在特殊情况下，</w:t>
      </w:r>
      <w:r>
        <w:rPr>
          <w:rFonts w:hint="eastAsia" w:ascii="宋体" w:hAnsi="宋体" w:eastAsia="宋体"/>
          <w:color w:val="auto"/>
          <w:sz w:val="24"/>
          <w:szCs w:val="24"/>
          <w:lang w:eastAsia="zh-CN"/>
        </w:rPr>
        <w:t>采购人</w:t>
      </w:r>
      <w:r>
        <w:rPr>
          <w:rFonts w:hint="eastAsia" w:ascii="宋体" w:hAnsi="宋体" w:eastAsia="宋体"/>
          <w:color w:val="auto"/>
          <w:sz w:val="24"/>
          <w:szCs w:val="24"/>
        </w:rPr>
        <w:t>在原定磋商有效期内，可以根据需要以书面形式向供应商提出延长磋商有效期的要求，对此要求供应商须在2日内以书面形式予以答复。</w:t>
      </w:r>
    </w:p>
    <w:p w14:paraId="468E2F62">
      <w:pPr>
        <w:spacing w:line="240" w:lineRule="auto"/>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、磋商保证金</w:t>
      </w:r>
      <w:bookmarkEnd w:id="93"/>
      <w:bookmarkEnd w:id="94"/>
      <w:bookmarkEnd w:id="95"/>
      <w:bookmarkEnd w:id="96"/>
    </w:p>
    <w:p w14:paraId="14DD336C">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.1 </w:t>
      </w:r>
      <w:r>
        <w:rPr>
          <w:rFonts w:hint="eastAsia" w:ascii="宋体" w:hAnsi="宋体" w:eastAsia="宋体" w:cs="宋体"/>
          <w:color w:val="auto"/>
          <w:kern w:val="2"/>
          <w:sz w:val="24"/>
          <w:szCs w:val="24"/>
          <w:highlight w:val="none"/>
          <w:lang w:val="en-US" w:eastAsia="zh-CN" w:bidi="ar-SA"/>
        </w:rPr>
        <w:t>根据榆林市财政局下发的榆政财采发【2023】8号文件规定实行信用承诺代替保证金。投标人可签署“投标信用承诺书”代替保证金</w:t>
      </w:r>
      <w:r>
        <w:rPr>
          <w:rFonts w:hint="eastAsia" w:ascii="宋体" w:hAnsi="宋体" w:cs="宋体"/>
          <w:color w:val="auto"/>
          <w:sz w:val="24"/>
          <w:szCs w:val="24"/>
        </w:rPr>
        <w:t>。</w:t>
      </w:r>
    </w:p>
    <w:p w14:paraId="42F55E93">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2 </w:t>
      </w:r>
      <w:r>
        <w:rPr>
          <w:rFonts w:hint="eastAsia" w:ascii="宋体" w:hAnsi="宋体" w:eastAsia="宋体" w:cs="宋体"/>
          <w:color w:val="auto"/>
          <w:kern w:val="2"/>
          <w:sz w:val="24"/>
          <w:szCs w:val="24"/>
          <w:highlight w:val="none"/>
          <w:lang w:val="en-US" w:eastAsia="zh-CN" w:bidi="ar-SA"/>
        </w:rPr>
        <w:t>投标人在投标文件中附“投标信用承诺书”并按要求签字盖章及</w:t>
      </w:r>
      <w:r>
        <w:rPr>
          <w:rFonts w:hint="eastAsia" w:cs="宋体"/>
          <w:b/>
          <w:bCs/>
          <w:color w:val="auto"/>
          <w:kern w:val="0"/>
          <w:sz w:val="24"/>
          <w:szCs w:val="24"/>
          <w:highlight w:val="none"/>
          <w:lang w:val="en-US" w:eastAsia="zh-CN"/>
        </w:rPr>
        <w:t>附信用承诺网页截图。</w:t>
      </w:r>
    </w:p>
    <w:p w14:paraId="1C96313E">
      <w:pPr>
        <w:adjustRightInd w:val="0"/>
        <w:snapToGrid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投标单位已</w:t>
      </w:r>
      <w:r>
        <w:rPr>
          <w:rFonts w:hint="eastAsia" w:ascii="宋体" w:hAnsi="宋体" w:cs="宋体"/>
          <w:color w:val="auto"/>
          <w:sz w:val="24"/>
          <w:szCs w:val="24"/>
          <w:lang w:val="en-US" w:eastAsia="zh-CN"/>
        </w:rPr>
        <w:t>在信用中国网站承诺并公示的</w:t>
      </w:r>
      <w:r>
        <w:rPr>
          <w:rFonts w:hint="eastAsia" w:ascii="宋体" w:hAnsi="宋体" w:eastAsia="宋体" w:cs="宋体"/>
          <w:color w:val="auto"/>
          <w:kern w:val="2"/>
          <w:sz w:val="24"/>
          <w:szCs w:val="24"/>
          <w:highlight w:val="none"/>
          <w:lang w:val="en-US" w:eastAsia="zh-CN" w:bidi="ar-SA"/>
        </w:rPr>
        <w:t>“投标信用承诺书”</w:t>
      </w:r>
      <w:r>
        <w:rPr>
          <w:rFonts w:hint="eastAsia" w:ascii="宋体" w:hAnsi="宋体" w:cs="宋体"/>
          <w:color w:val="auto"/>
          <w:sz w:val="24"/>
          <w:szCs w:val="24"/>
        </w:rPr>
        <w:t xml:space="preserve">而自动放弃投标权利的，需在开标之前提交《弃标函》。 </w:t>
      </w:r>
    </w:p>
    <w:p w14:paraId="78C6977D">
      <w:pPr>
        <w:spacing w:line="360" w:lineRule="auto"/>
        <w:outlineLvl w:val="9"/>
        <w:rPr>
          <w:rFonts w:ascii="宋体" w:hAnsi="宋体" w:cs="宋体"/>
          <w:color w:val="auto"/>
          <w:sz w:val="24"/>
          <w:szCs w:val="24"/>
        </w:rPr>
      </w:pPr>
      <w:bookmarkStart w:id="97" w:name="_Toc152042329"/>
      <w:bookmarkStart w:id="98" w:name="_Toc144974521"/>
      <w:bookmarkStart w:id="99" w:name="_Toc152045553"/>
      <w:bookmarkStart w:id="100" w:name="_Toc179632571"/>
      <w:r>
        <w:rPr>
          <w:rFonts w:hint="eastAsia" w:ascii="宋体" w:hAnsi="宋体" w:cs="宋体"/>
          <w:color w:val="auto"/>
          <w:sz w:val="24"/>
          <w:szCs w:val="24"/>
        </w:rPr>
        <w:t>1</w:t>
      </w:r>
      <w:r>
        <w:rPr>
          <w:rFonts w:hint="eastAsia" w:ascii="宋体" w:hAnsi="宋体" w:cs="宋体"/>
          <w:color w:val="auto"/>
          <w:sz w:val="24"/>
          <w:szCs w:val="24"/>
          <w:lang w:val="en-US" w:eastAsia="zh-CN"/>
        </w:rPr>
        <w:t>6</w:t>
      </w:r>
      <w:r>
        <w:rPr>
          <w:rFonts w:hint="eastAsia" w:ascii="宋体" w:hAnsi="宋体" w:cs="宋体"/>
          <w:color w:val="auto"/>
          <w:sz w:val="24"/>
          <w:szCs w:val="24"/>
        </w:rPr>
        <w:t>、 备选磋商方案</w:t>
      </w:r>
      <w:bookmarkEnd w:id="97"/>
      <w:bookmarkEnd w:id="98"/>
      <w:bookmarkEnd w:id="99"/>
      <w:bookmarkEnd w:id="100"/>
    </w:p>
    <w:p w14:paraId="6984422F">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.1除磋商须知前附表另有规定外，供应商不得递交备选磋商方案。</w:t>
      </w:r>
    </w:p>
    <w:p w14:paraId="6A9C1EEA">
      <w:pPr>
        <w:spacing w:line="360" w:lineRule="auto"/>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7</w:t>
      </w:r>
      <w:r>
        <w:rPr>
          <w:rFonts w:hint="eastAsia" w:ascii="宋体" w:hAnsi="宋体" w:cs="宋体"/>
          <w:color w:val="auto"/>
          <w:sz w:val="24"/>
          <w:szCs w:val="24"/>
        </w:rPr>
        <w:t>、竞争性磋商响应文件的签署及规定</w:t>
      </w:r>
    </w:p>
    <w:p w14:paraId="1011226F">
      <w:pPr>
        <w:spacing w:line="360" w:lineRule="auto"/>
        <w:ind w:firstLine="480" w:firstLineChars="200"/>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w:t>
      </w:r>
      <w:r>
        <w:rPr>
          <w:rFonts w:hint="eastAsia" w:ascii="宋体" w:hAnsi="宋体" w:cs="宋体"/>
          <w:color w:val="auto"/>
          <w:sz w:val="24"/>
          <w:szCs w:val="24"/>
        </w:rPr>
        <w:t xml:space="preserve">.1 </w:t>
      </w:r>
      <w:r>
        <w:rPr>
          <w:rFonts w:hint="eastAsia" w:ascii="思源宋体 CN Light" w:hAnsi="思源宋体 CN Light" w:eastAsia="思源宋体 CN Light" w:cs="思源宋体 CN Light"/>
          <w:color w:val="auto"/>
          <w:sz w:val="24"/>
          <w:szCs w:val="24"/>
          <w:lang w:val="en-US" w:eastAsia="zh-CN"/>
        </w:rPr>
        <w:t>投标文件可采用系统上传的</w:t>
      </w:r>
      <w:r>
        <w:rPr>
          <w:rFonts w:hint="eastAsia" w:ascii="思源宋体 CN Light" w:hAnsi="思源宋体 CN Light" w:eastAsia="思源宋体 CN Light" w:cs="思源宋体 CN Light"/>
          <w:color w:val="auto"/>
          <w:sz w:val="24"/>
          <w:szCs w:val="24"/>
        </w:rPr>
        <w:t>电子投标文件</w:t>
      </w:r>
      <w:r>
        <w:rPr>
          <w:rFonts w:hint="eastAsia" w:ascii="思源宋体 CN Light" w:hAnsi="思源宋体 CN Light" w:eastAsia="思源宋体 CN Light" w:cs="思源宋体 CN Light"/>
          <w:color w:val="auto"/>
          <w:sz w:val="24"/>
          <w:szCs w:val="24"/>
          <w:lang w:val="en-US" w:eastAsia="zh-CN"/>
        </w:rPr>
        <w:t>的打印件</w:t>
      </w:r>
      <w:r>
        <w:rPr>
          <w:rFonts w:hint="eastAsia" w:ascii="宋体" w:hAnsi="宋体" w:cs="宋体"/>
          <w:color w:val="auto"/>
          <w:sz w:val="24"/>
          <w:szCs w:val="24"/>
        </w:rPr>
        <w:t>。</w:t>
      </w:r>
      <w:r>
        <w:rPr>
          <w:rFonts w:hint="eastAsia" w:ascii="宋体" w:hAnsi="宋体" w:cs="宋体"/>
          <w:color w:val="auto"/>
          <w:sz w:val="24"/>
          <w:szCs w:val="24"/>
          <w:lang w:val="en-US" w:eastAsia="zh-CN"/>
        </w:rPr>
        <w:tab/>
      </w:r>
    </w:p>
    <w:p w14:paraId="1C55EEE4">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17</w:t>
      </w:r>
      <w:r>
        <w:rPr>
          <w:rFonts w:hint="eastAsia" w:ascii="宋体" w:hAnsi="宋体" w:cs="宋体"/>
          <w:color w:val="auto"/>
          <w:sz w:val="24"/>
          <w:szCs w:val="24"/>
        </w:rPr>
        <w:t xml:space="preserve">.2 除投标人对错处作必要修改外，投标文件中不许有加行、涂抹或改写。若有修改须由授权代表或法定代表人在修改处签字。 </w:t>
      </w:r>
    </w:p>
    <w:p w14:paraId="6797C979">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17.3</w:t>
      </w:r>
      <w:r>
        <w:rPr>
          <w:rFonts w:hint="eastAsia" w:ascii="宋体" w:hAnsi="宋体" w:cs="宋体"/>
          <w:color w:val="auto"/>
          <w:sz w:val="24"/>
          <w:szCs w:val="24"/>
        </w:rPr>
        <w:t xml:space="preserve"> 采购人拒绝接受以电报、电话、传真、电子邮件形式的投标。</w:t>
      </w:r>
    </w:p>
    <w:p w14:paraId="406EAB1E">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17.4</w:t>
      </w:r>
      <w:r>
        <w:rPr>
          <w:rFonts w:hint="eastAsia" w:ascii="宋体" w:hAnsi="宋体" w:cs="宋体"/>
          <w:color w:val="auto"/>
          <w:sz w:val="24"/>
          <w:szCs w:val="24"/>
        </w:rPr>
        <w:t xml:space="preserve">电子招标文件下载。供应商登录全国公共资源交易平台（陕西省） 网站〖首页·〉电子交易平台·〉企业端〗后，选择项目点击 “我要投标”，参与投标活动。然后即可在〖我的项目〗中点击“项目流程&gt;交易文件下载”下载电子招标文件。 </w:t>
      </w:r>
    </w:p>
    <w:p w14:paraId="52FCEE55">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17.5</w:t>
      </w:r>
      <w:r>
        <w:rPr>
          <w:rFonts w:hint="eastAsia" w:ascii="宋体" w:hAnsi="宋体" w:cs="宋体"/>
          <w:color w:val="auto"/>
          <w:sz w:val="24"/>
          <w:szCs w:val="24"/>
        </w:rPr>
        <w:t xml:space="preserve"> 电子招标文件需要使用专用软件打开、浏览。供应商可在全国公共资源交易平台（陕西省）网站〖首页·〉服务指南·〉下载专区〗免费下载“陕西省公共资源交易平台政府采购电子标书制作工具(V8.0.0.36)”，并升级至最新版本，使用该客户端可以打开电子投标文件。软件操作手册详见全国公共资源交易平台（陕西省）网站〖首页·〉服务指南·〉下载专区〗中的《陕西省公共资源交易（政府采购类）响应文件制作软件操作手册》。 </w:t>
      </w:r>
    </w:p>
    <w:p w14:paraId="38F23C87">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17.6</w:t>
      </w:r>
      <w:r>
        <w:rPr>
          <w:rFonts w:hint="eastAsia" w:ascii="宋体" w:hAnsi="宋体" w:cs="宋体"/>
          <w:color w:val="auto"/>
          <w:sz w:val="24"/>
          <w:szCs w:val="24"/>
        </w:rPr>
        <w:t xml:space="preserve"> 制作电子投标文件。电子投标文件同样需要使用上述软件进行编制。在编制过程中，如有技术性问题，请先翻阅操作手册，或致电软件开发商。 </w:t>
      </w:r>
    </w:p>
    <w:p w14:paraId="61C4ED3F">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技术支持热线：4009280095、4009980000 </w:t>
      </w:r>
    </w:p>
    <w:p w14:paraId="37620825">
      <w:pPr>
        <w:adjustRightInd w:val="0"/>
        <w:snapToGrid w:val="0"/>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CA 锁购买：</w:t>
      </w:r>
      <w:r>
        <w:rPr>
          <w:rFonts w:hint="eastAsia" w:ascii="宋体" w:hAnsi="宋体" w:cs="宋体"/>
          <w:color w:val="auto"/>
          <w:sz w:val="24"/>
          <w:szCs w:val="24"/>
          <w:lang w:val="en-US" w:eastAsia="zh-CN"/>
        </w:rPr>
        <w:t>榆林市市民大厦三楼E18、E19窗口办理，咨询电话0912-3452148、029-88661298或4006-369-888（陕西CA联系电话）</w:t>
      </w:r>
    </w:p>
    <w:p w14:paraId="3346CDAD">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101" w:name="_Toc510859689"/>
      <w:bookmarkStart w:id="102" w:name="_Toc510859895"/>
      <w:bookmarkStart w:id="103" w:name="_Toc152045555"/>
      <w:bookmarkStart w:id="104" w:name="_Toc144974523"/>
      <w:bookmarkStart w:id="105" w:name="_Toc152042331"/>
      <w:bookmarkStart w:id="106" w:name="_Toc14109"/>
      <w:bookmarkStart w:id="107" w:name="_Toc363119281"/>
      <w:bookmarkStart w:id="108" w:name="_Toc179632573"/>
      <w:bookmarkStart w:id="109" w:name="_Toc513557030"/>
      <w:bookmarkStart w:id="110" w:name="_Toc17362"/>
      <w:bookmarkStart w:id="111" w:name="_Toc4451"/>
      <w:bookmarkStart w:id="112" w:name="_Toc16264"/>
      <w:bookmarkStart w:id="113" w:name="_Toc10897"/>
      <w:bookmarkStart w:id="114" w:name="_Toc24637"/>
      <w:bookmarkStart w:id="115" w:name="_Toc26516"/>
      <w:bookmarkStart w:id="116" w:name="_Toc17904"/>
      <w:bookmarkStart w:id="117" w:name="_Toc32167"/>
      <w:r>
        <w:rPr>
          <w:rFonts w:hint="eastAsia" w:asciiTheme="minorEastAsia" w:hAnsiTheme="minorEastAsia" w:eastAsiaTheme="minorEastAsia" w:cstheme="minorEastAsia"/>
          <w:b/>
          <w:color w:val="auto"/>
          <w:sz w:val="24"/>
          <w:szCs w:val="24"/>
        </w:rPr>
        <w:t xml:space="preserve">4. </w:t>
      </w:r>
      <w:bookmarkEnd w:id="101"/>
      <w:bookmarkEnd w:id="102"/>
      <w:bookmarkEnd w:id="103"/>
      <w:bookmarkEnd w:id="104"/>
      <w:bookmarkEnd w:id="105"/>
      <w:bookmarkEnd w:id="106"/>
      <w:bookmarkEnd w:id="107"/>
      <w:bookmarkEnd w:id="108"/>
      <w:bookmarkEnd w:id="109"/>
      <w:r>
        <w:rPr>
          <w:rFonts w:hint="eastAsia" w:asciiTheme="minorEastAsia" w:hAnsiTheme="minorEastAsia" w:eastAsiaTheme="minorEastAsia" w:cstheme="minorEastAsia"/>
          <w:b/>
          <w:color w:val="auto"/>
          <w:sz w:val="24"/>
          <w:szCs w:val="24"/>
        </w:rPr>
        <w:t>竞争性磋商响应文件</w:t>
      </w:r>
      <w:r>
        <w:rPr>
          <w:rFonts w:hint="eastAsia" w:ascii="宋体" w:hAnsi="宋体"/>
          <w:b/>
          <w:color w:val="auto"/>
          <w:sz w:val="24"/>
          <w:szCs w:val="24"/>
        </w:rPr>
        <w:t>的</w:t>
      </w:r>
      <w:bookmarkEnd w:id="110"/>
      <w:bookmarkEnd w:id="111"/>
      <w:bookmarkEnd w:id="112"/>
      <w:bookmarkEnd w:id="113"/>
      <w:bookmarkEnd w:id="114"/>
      <w:bookmarkEnd w:id="115"/>
      <w:bookmarkEnd w:id="116"/>
      <w:r>
        <w:rPr>
          <w:rFonts w:hint="eastAsia" w:ascii="宋体" w:hAnsi="宋体"/>
          <w:b/>
          <w:color w:val="auto"/>
          <w:sz w:val="24"/>
          <w:szCs w:val="24"/>
        </w:rPr>
        <w:t>递交</w:t>
      </w:r>
      <w:bookmarkEnd w:id="117"/>
    </w:p>
    <w:p w14:paraId="182ACFB9">
      <w:pPr>
        <w:spacing w:line="360" w:lineRule="auto"/>
        <w:outlineLvl w:val="9"/>
        <w:rPr>
          <w:rFonts w:ascii="宋体" w:hAnsi="宋体" w:cs="宋体"/>
          <w:b w:val="0"/>
          <w:bCs w:val="0"/>
          <w:color w:val="auto"/>
          <w:sz w:val="24"/>
          <w:szCs w:val="24"/>
        </w:rPr>
      </w:pPr>
      <w:bookmarkStart w:id="118" w:name="_Toc144974524"/>
      <w:bookmarkStart w:id="119" w:name="_Toc152045556"/>
      <w:bookmarkStart w:id="120" w:name="_Toc179632574"/>
      <w:bookmarkStart w:id="121" w:name="_Toc152042332"/>
      <w:r>
        <w:rPr>
          <w:rFonts w:hint="eastAsia" w:ascii="宋体" w:hAnsi="宋体" w:cs="宋体"/>
          <w:b w:val="0"/>
          <w:bCs w:val="0"/>
          <w:color w:val="auto"/>
          <w:sz w:val="24"/>
          <w:szCs w:val="24"/>
          <w:lang w:val="en-US" w:eastAsia="zh-CN"/>
        </w:rPr>
        <w:t>18</w:t>
      </w:r>
      <w:r>
        <w:rPr>
          <w:rFonts w:hint="eastAsia" w:ascii="宋体" w:hAnsi="宋体" w:cs="宋体"/>
          <w:b w:val="0"/>
          <w:bCs w:val="0"/>
          <w:color w:val="auto"/>
          <w:sz w:val="24"/>
          <w:szCs w:val="24"/>
        </w:rPr>
        <w:t>、</w:t>
      </w:r>
      <w:bookmarkEnd w:id="118"/>
      <w:bookmarkEnd w:id="119"/>
      <w:bookmarkEnd w:id="120"/>
      <w:bookmarkEnd w:id="121"/>
      <w:r>
        <w:rPr>
          <w:rFonts w:hint="eastAsia" w:ascii="宋体" w:hAnsi="宋体" w:cs="宋体"/>
          <w:b w:val="0"/>
          <w:bCs w:val="0"/>
          <w:color w:val="auto"/>
          <w:sz w:val="24"/>
          <w:szCs w:val="24"/>
        </w:rPr>
        <w:t>竞争性</w:t>
      </w:r>
      <w:r>
        <w:rPr>
          <w:rFonts w:hint="eastAsia" w:ascii="宋体" w:hAnsi="宋体" w:cs="宋体"/>
          <w:b w:val="0"/>
          <w:bCs w:val="0"/>
          <w:color w:val="auto"/>
          <w:sz w:val="24"/>
          <w:szCs w:val="24"/>
          <w:lang w:val="en-US" w:eastAsia="zh-CN"/>
        </w:rPr>
        <w:t>磋商</w:t>
      </w:r>
      <w:r>
        <w:rPr>
          <w:rFonts w:hint="eastAsia" w:ascii="宋体" w:hAnsi="宋体" w:cs="宋体"/>
          <w:b w:val="0"/>
          <w:bCs w:val="0"/>
          <w:color w:val="auto"/>
          <w:sz w:val="24"/>
          <w:szCs w:val="24"/>
        </w:rPr>
        <w:t>响应文件的递交</w:t>
      </w:r>
    </w:p>
    <w:p w14:paraId="6A74F6A5">
      <w:pPr>
        <w:pStyle w:val="17"/>
        <w:spacing w:line="360" w:lineRule="auto"/>
        <w:ind w:firstLine="482" w:firstLineChars="200"/>
        <w:outlineLvl w:val="9"/>
        <w:rPr>
          <w:rFonts w:ascii="思源宋体 CN Light" w:hAnsi="思源宋体 CN Light" w:eastAsia="思源宋体 CN Light" w:cs="思源宋体 CN Light"/>
          <w:b/>
          <w:bCs/>
          <w:color w:val="auto"/>
          <w:sz w:val="24"/>
          <w:szCs w:val="24"/>
        </w:rPr>
      </w:pPr>
      <w:r>
        <w:rPr>
          <w:rFonts w:hint="eastAsia" w:ascii="宋体" w:hAnsi="宋体" w:cs="宋体"/>
          <w:b/>
          <w:bCs/>
          <w:color w:val="auto"/>
          <w:sz w:val="24"/>
          <w:szCs w:val="24"/>
          <w:lang w:val="en-US" w:eastAsia="zh-CN"/>
        </w:rPr>
        <w:t>18</w:t>
      </w:r>
      <w:r>
        <w:rPr>
          <w:rFonts w:hint="eastAsia" w:ascii="宋体" w:hAnsi="宋体" w:cs="宋体"/>
          <w:b/>
          <w:bCs/>
          <w:color w:val="auto"/>
          <w:sz w:val="24"/>
          <w:szCs w:val="24"/>
        </w:rPr>
        <w:t>.1 电子竞争性</w:t>
      </w:r>
      <w:r>
        <w:rPr>
          <w:rFonts w:hint="eastAsia" w:ascii="宋体" w:hAnsi="宋体" w:cs="宋体"/>
          <w:b/>
          <w:bCs/>
          <w:color w:val="auto"/>
          <w:sz w:val="24"/>
          <w:szCs w:val="24"/>
          <w:lang w:val="en-US" w:eastAsia="zh-CN"/>
        </w:rPr>
        <w:t>磋商</w:t>
      </w:r>
      <w:r>
        <w:rPr>
          <w:rFonts w:hint="eastAsia" w:ascii="宋体" w:hAnsi="宋体" w:cs="宋体"/>
          <w:b/>
          <w:bCs/>
          <w:color w:val="auto"/>
          <w:sz w:val="24"/>
          <w:szCs w:val="24"/>
        </w:rPr>
        <w:t>响应文件递交</w:t>
      </w:r>
    </w:p>
    <w:p w14:paraId="4662F4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150" w:rightChars="0" w:firstLine="480" w:firstLineChars="200"/>
        <w:outlineLvl w:val="9"/>
        <w:rPr>
          <w:rFonts w:hint="eastAsia" w:ascii="思源宋体 CN Light" w:hAnsi="思源宋体 CN Light" w:eastAsia="思源宋体 CN Light" w:cs="思源宋体 CN Light"/>
          <w:color w:val="auto"/>
          <w:sz w:val="24"/>
          <w:szCs w:val="24"/>
          <w:lang w:val="en-US" w:eastAsia="zh-CN"/>
        </w:rPr>
      </w:pPr>
      <w:bookmarkStart w:id="122" w:name="_Toc179632576"/>
      <w:bookmarkStart w:id="123" w:name="_Toc152045558"/>
      <w:bookmarkStart w:id="124" w:name="_Toc152042334"/>
      <w:bookmarkStart w:id="125" w:name="_Toc144974526"/>
      <w:r>
        <w:rPr>
          <w:rFonts w:hint="eastAsia" w:ascii="宋体" w:hAnsi="宋体" w:cs="宋体"/>
          <w:color w:val="auto"/>
          <w:sz w:val="24"/>
          <w:szCs w:val="24"/>
          <w:lang w:val="en-US" w:eastAsia="zh-CN"/>
        </w:rPr>
        <w:t>18.1.1</w:t>
      </w:r>
      <w:r>
        <w:rPr>
          <w:rFonts w:hint="eastAsia" w:ascii="宋体" w:hAnsi="宋体" w:cs="宋体"/>
          <w:color w:val="auto"/>
          <w:sz w:val="24"/>
          <w:szCs w:val="24"/>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r>
        <w:rPr>
          <w:rFonts w:hint="eastAsia" w:ascii="思源宋体 CN Light" w:hAnsi="思源宋体 CN Light" w:eastAsia="思源宋体 CN Light" w:cs="思源宋体 CN Light"/>
          <w:color w:val="auto"/>
          <w:sz w:val="24"/>
          <w:szCs w:val="24"/>
          <w:lang w:val="en-US" w:eastAsia="zh-CN"/>
        </w:rPr>
        <w:t>。</w:t>
      </w:r>
    </w:p>
    <w:p w14:paraId="1DFB1BDA">
      <w:pPr>
        <w:spacing w:line="360" w:lineRule="auto"/>
        <w:ind w:firstLine="480" w:firstLineChars="200"/>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18.1.2本项目采用“不见面”开标形式，供应商可登录榆林交易平台〖首页〉不见面开标〗在线参与开评标过程，详见招标文件以及交易平台〖首页〉服务指南〉下载专区〗中的《榆林市不见面开标大厅操作手册（投标人）》。</w:t>
      </w:r>
    </w:p>
    <w:p w14:paraId="4B79F880">
      <w:pPr>
        <w:pStyle w:val="17"/>
        <w:spacing w:line="360" w:lineRule="auto"/>
        <w:ind w:firstLine="482" w:firstLineChars="200"/>
        <w:outlineLvl w:val="9"/>
        <w:rPr>
          <w:rFonts w:ascii="思源宋体 CN Light" w:hAnsi="思源宋体 CN Light" w:eastAsia="思源宋体 CN Light" w:cs="思源宋体 CN Light"/>
          <w:b/>
          <w:bCs/>
          <w:color w:val="auto"/>
          <w:sz w:val="24"/>
          <w:szCs w:val="24"/>
        </w:rPr>
      </w:pPr>
      <w:r>
        <w:rPr>
          <w:rFonts w:hint="eastAsia" w:ascii="思源宋体 CN Light" w:hAnsi="思源宋体 CN Light" w:eastAsia="思源宋体 CN Light" w:cs="思源宋体 CN Light"/>
          <w:b/>
          <w:bCs/>
          <w:color w:val="auto"/>
          <w:sz w:val="24"/>
          <w:szCs w:val="24"/>
          <w:lang w:val="en-US" w:eastAsia="zh-CN"/>
        </w:rPr>
        <w:t>18</w:t>
      </w:r>
      <w:r>
        <w:rPr>
          <w:rFonts w:hint="eastAsia" w:ascii="思源宋体 CN Light" w:hAnsi="思源宋体 CN Light" w:eastAsia="思源宋体 CN Light" w:cs="思源宋体 CN Light"/>
          <w:b/>
          <w:bCs/>
          <w:color w:val="auto"/>
          <w:sz w:val="24"/>
          <w:szCs w:val="24"/>
        </w:rPr>
        <w:t>.2纸质竞争性</w:t>
      </w:r>
      <w:r>
        <w:rPr>
          <w:rFonts w:hint="eastAsia" w:ascii="宋体" w:hAnsi="宋体" w:cs="宋体"/>
          <w:b/>
          <w:bCs/>
          <w:color w:val="auto"/>
          <w:sz w:val="24"/>
          <w:szCs w:val="24"/>
          <w:lang w:val="en-US" w:eastAsia="zh-CN"/>
        </w:rPr>
        <w:t>磋商</w:t>
      </w:r>
      <w:r>
        <w:rPr>
          <w:rFonts w:hint="eastAsia" w:ascii="宋体" w:hAnsi="宋体" w:cs="宋体"/>
          <w:b/>
          <w:bCs/>
          <w:color w:val="auto"/>
          <w:sz w:val="24"/>
          <w:szCs w:val="24"/>
        </w:rPr>
        <w:t>响应</w:t>
      </w:r>
      <w:r>
        <w:rPr>
          <w:rFonts w:hint="eastAsia" w:ascii="思源宋体 CN Light" w:hAnsi="思源宋体 CN Light" w:eastAsia="思源宋体 CN Light" w:cs="思源宋体 CN Light"/>
          <w:b/>
          <w:bCs/>
          <w:color w:val="auto"/>
          <w:sz w:val="24"/>
          <w:szCs w:val="24"/>
        </w:rPr>
        <w:t>文件递交</w:t>
      </w:r>
    </w:p>
    <w:p w14:paraId="530D52D5">
      <w:pPr>
        <w:spacing w:line="360" w:lineRule="auto"/>
        <w:ind w:firstLine="480" w:firstLineChars="200"/>
        <w:outlineLvl w:val="9"/>
        <w:rPr>
          <w:rFonts w:hint="eastAsia" w:ascii="思源宋体 CN Light" w:hAnsi="思源宋体 CN Light" w:eastAsia="思源宋体 CN Light" w:cs="思源宋体 CN Light"/>
          <w:color w:val="auto"/>
          <w:sz w:val="24"/>
          <w:szCs w:val="24"/>
        </w:rPr>
      </w:pPr>
      <w:r>
        <w:rPr>
          <w:rFonts w:hint="eastAsia" w:ascii="宋体" w:hAnsi="宋体" w:cs="仿宋_GB2312"/>
          <w:bCs/>
          <w:color w:val="auto"/>
          <w:sz w:val="24"/>
          <w:szCs w:val="24"/>
          <w:lang w:val="en-US" w:eastAsia="zh-CN"/>
        </w:rPr>
        <w:t>18</w:t>
      </w:r>
      <w:r>
        <w:rPr>
          <w:rFonts w:hint="eastAsia" w:ascii="宋体" w:hAnsi="宋体" w:cs="仿宋_GB2312"/>
          <w:bCs/>
          <w:color w:val="auto"/>
          <w:sz w:val="24"/>
          <w:szCs w:val="24"/>
        </w:rPr>
        <w:t>.</w:t>
      </w:r>
      <w:r>
        <w:rPr>
          <w:rFonts w:hint="eastAsia" w:ascii="宋体" w:hAnsi="宋体" w:cs="仿宋_GB2312"/>
          <w:bCs/>
          <w:color w:val="auto"/>
          <w:sz w:val="24"/>
          <w:szCs w:val="24"/>
          <w:lang w:val="en-US" w:eastAsia="zh-CN"/>
        </w:rPr>
        <w:t>2.</w:t>
      </w:r>
      <w:r>
        <w:rPr>
          <w:rFonts w:hint="eastAsia" w:ascii="宋体" w:hAnsi="宋体" w:cs="仿宋_GB2312"/>
          <w:bCs/>
          <w:color w:val="auto"/>
          <w:sz w:val="24"/>
          <w:szCs w:val="24"/>
        </w:rPr>
        <w:t>1</w:t>
      </w:r>
      <w:r>
        <w:rPr>
          <w:rFonts w:hint="eastAsia" w:ascii="思源宋体 CN Light" w:hAnsi="思源宋体 CN Light" w:eastAsia="思源宋体 CN Light" w:cs="思源宋体 CN Light"/>
          <w:color w:val="auto"/>
          <w:sz w:val="24"/>
          <w:szCs w:val="24"/>
          <w:lang w:val="en-US" w:eastAsia="zh-CN"/>
        </w:rPr>
        <w:t>为便于采购人归档和向监管部门备案，中标供应商人需按以下要求递交纸质版投标文件，投标文件可采用系统上传的</w:t>
      </w:r>
      <w:r>
        <w:rPr>
          <w:rFonts w:hint="eastAsia" w:ascii="思源宋体 CN Light" w:hAnsi="思源宋体 CN Light" w:eastAsia="思源宋体 CN Light" w:cs="思源宋体 CN Light"/>
          <w:color w:val="auto"/>
          <w:sz w:val="24"/>
          <w:szCs w:val="24"/>
        </w:rPr>
        <w:t>电子投标文件</w:t>
      </w:r>
      <w:r>
        <w:rPr>
          <w:rFonts w:hint="eastAsia" w:ascii="思源宋体 CN Light" w:hAnsi="思源宋体 CN Light" w:eastAsia="思源宋体 CN Light" w:cs="思源宋体 CN Light"/>
          <w:color w:val="auto"/>
          <w:sz w:val="24"/>
          <w:szCs w:val="24"/>
          <w:lang w:val="en-US" w:eastAsia="zh-CN"/>
        </w:rPr>
        <w:t>的打印件，正本、副本分别装订成册，每份投标文件封皮须清楚地标明“正本”或“副本”：</w:t>
      </w:r>
    </w:p>
    <w:p w14:paraId="1BAE38FA">
      <w:pPr>
        <w:spacing w:line="360" w:lineRule="auto"/>
        <w:ind w:firstLine="480" w:firstLineChars="200"/>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 xml:space="preserve">竞争性磋商响应文件：正本：1 份、副本：3 份； </w:t>
      </w:r>
    </w:p>
    <w:p w14:paraId="4ABD00B1">
      <w:pPr>
        <w:spacing w:line="360" w:lineRule="auto"/>
        <w:ind w:firstLine="480" w:firstLineChars="200"/>
        <w:outlineLvl w:val="9"/>
        <w:rPr>
          <w:rFonts w:hint="eastAsia"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投标文件</w:t>
      </w:r>
      <w:r>
        <w:rPr>
          <w:rFonts w:hint="eastAsia" w:ascii="宋体" w:hAnsi="宋体" w:cs="宋体"/>
          <w:color w:val="auto"/>
          <w:sz w:val="24"/>
          <w:szCs w:val="24"/>
        </w:rPr>
        <w:t>电子版U盘</w:t>
      </w:r>
      <w:r>
        <w:rPr>
          <w:rFonts w:hint="eastAsia" w:ascii="宋体" w:hAnsi="宋体" w:cs="宋体"/>
          <w:color w:val="auto"/>
          <w:sz w:val="24"/>
          <w:szCs w:val="24"/>
          <w:lang w:val="en-US" w:eastAsia="zh-CN"/>
        </w:rPr>
        <w:t>1</w:t>
      </w:r>
      <w:r>
        <w:rPr>
          <w:rFonts w:hint="eastAsia" w:ascii="宋体" w:hAnsi="宋体" w:cs="宋体"/>
          <w:color w:val="auto"/>
          <w:sz w:val="24"/>
          <w:szCs w:val="24"/>
        </w:rPr>
        <w:t>份（Word版响应文件）</w:t>
      </w:r>
      <w:r>
        <w:rPr>
          <w:rFonts w:hint="eastAsia" w:ascii="思源宋体 CN Light" w:hAnsi="思源宋体 CN Light" w:eastAsia="思源宋体 CN Light" w:cs="思源宋体 CN Light"/>
          <w:color w:val="auto"/>
          <w:sz w:val="24"/>
          <w:szCs w:val="24"/>
          <w:lang w:val="en-US" w:eastAsia="zh-CN"/>
        </w:rPr>
        <w:t>。</w:t>
      </w:r>
    </w:p>
    <w:p w14:paraId="0EB4C331">
      <w:pPr>
        <w:spacing w:line="360" w:lineRule="auto"/>
        <w:ind w:firstLine="480" w:firstLineChars="200"/>
        <w:outlineLvl w:val="9"/>
        <w:rPr>
          <w:rFonts w:hint="default" w:ascii="思源宋体 CN Light" w:hAnsi="思源宋体 CN Light" w:eastAsia="思源宋体 CN Light" w:cs="思源宋体 CN Light"/>
          <w:color w:val="auto"/>
          <w:sz w:val="24"/>
          <w:szCs w:val="24"/>
          <w:lang w:val="en-US" w:eastAsia="zh-CN"/>
        </w:rPr>
      </w:pPr>
      <w:r>
        <w:rPr>
          <w:rFonts w:hint="eastAsia" w:ascii="思源宋体 CN Light" w:hAnsi="思源宋体 CN Light" w:eastAsia="思源宋体 CN Light" w:cs="思源宋体 CN Light"/>
          <w:color w:val="auto"/>
          <w:sz w:val="24"/>
          <w:szCs w:val="24"/>
          <w:lang w:val="en-US" w:eastAsia="zh-CN"/>
        </w:rPr>
        <w:t>18.2.2递交方式：纸质版投标文件</w:t>
      </w:r>
      <w:r>
        <w:rPr>
          <w:rFonts w:hint="eastAsia" w:ascii="思源宋体 CN Light" w:hAnsi="思源宋体 CN Light" w:eastAsia="思源宋体 CN Light" w:cs="思源宋体 CN Light"/>
          <w:color w:val="auto"/>
          <w:sz w:val="24"/>
          <w:szCs w:val="24"/>
        </w:rPr>
        <w:t>在开标时无需提交，待开标结束后，需邮寄补交一正</w:t>
      </w:r>
      <w:r>
        <w:rPr>
          <w:rFonts w:hint="eastAsia" w:ascii="思源宋体 CN Light" w:hAnsi="思源宋体 CN Light" w:eastAsia="思源宋体 CN Light" w:cs="思源宋体 CN Light"/>
          <w:color w:val="auto"/>
          <w:sz w:val="24"/>
          <w:szCs w:val="24"/>
          <w:lang w:val="en-US" w:eastAsia="zh-CN"/>
        </w:rPr>
        <w:t>叁副</w:t>
      </w:r>
      <w:r>
        <w:rPr>
          <w:rFonts w:hint="eastAsia" w:ascii="思源宋体 CN Light" w:hAnsi="思源宋体 CN Light" w:eastAsia="思源宋体 CN Light" w:cs="思源宋体 CN Light"/>
          <w:color w:val="auto"/>
          <w:sz w:val="24"/>
          <w:szCs w:val="24"/>
        </w:rPr>
        <w:t>纸质投标文件及</w:t>
      </w:r>
      <w:r>
        <w:rPr>
          <w:rFonts w:hint="eastAsia" w:ascii="宋体" w:hAnsi="宋体" w:cs="宋体"/>
          <w:color w:val="auto"/>
          <w:sz w:val="24"/>
          <w:szCs w:val="24"/>
        </w:rPr>
        <w:t>电子版U盘</w:t>
      </w:r>
      <w:r>
        <w:rPr>
          <w:rFonts w:hint="eastAsia" w:ascii="宋体" w:hAnsi="宋体" w:cs="宋体"/>
          <w:color w:val="auto"/>
          <w:sz w:val="24"/>
          <w:szCs w:val="24"/>
          <w:lang w:val="en-US" w:eastAsia="zh-CN"/>
        </w:rPr>
        <w:t>1</w:t>
      </w:r>
      <w:r>
        <w:rPr>
          <w:rFonts w:hint="eastAsia" w:ascii="宋体" w:hAnsi="宋体" w:cs="宋体"/>
          <w:color w:val="auto"/>
          <w:sz w:val="24"/>
          <w:szCs w:val="24"/>
        </w:rPr>
        <w:t>份（Word版响应文件）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以电报、传真、电子邮件形式递交的投标文件将不予接受。</w:t>
      </w:r>
    </w:p>
    <w:p w14:paraId="6D6E5FC0">
      <w:pP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19</w:t>
      </w:r>
      <w:r>
        <w:rPr>
          <w:rFonts w:hint="eastAsia" w:ascii="宋体" w:hAnsi="宋体" w:eastAsia="宋体" w:cs="宋体"/>
          <w:b/>
          <w:bCs/>
          <w:color w:val="auto"/>
          <w:kern w:val="2"/>
          <w:sz w:val="24"/>
          <w:szCs w:val="24"/>
          <w:highlight w:val="none"/>
          <w:lang w:val="en-US" w:eastAsia="zh-CN" w:bidi="ar-SA"/>
        </w:rPr>
        <w:t>、竞争性磋商响应文件的修改与撤回</w:t>
      </w:r>
      <w:bookmarkEnd w:id="122"/>
      <w:bookmarkEnd w:id="123"/>
      <w:bookmarkEnd w:id="124"/>
      <w:bookmarkEnd w:id="125"/>
    </w:p>
    <w:p w14:paraId="61C23B91">
      <w:pPr>
        <w:spacing w:line="360" w:lineRule="auto"/>
        <w:ind w:firstLine="480" w:firstLineChars="200"/>
        <w:outlineLvl w:val="9"/>
        <w:rPr>
          <w:rFonts w:hint="eastAsia" w:ascii="宋体" w:hAnsi="宋体" w:cs="宋体"/>
          <w:color w:val="auto"/>
          <w:sz w:val="24"/>
          <w:szCs w:val="24"/>
        </w:rPr>
      </w:pPr>
      <w:bookmarkStart w:id="126" w:name="_Toc179632577"/>
      <w:bookmarkStart w:id="127" w:name="_Toc510859690"/>
      <w:bookmarkStart w:id="128" w:name="_Toc152045559"/>
      <w:bookmarkStart w:id="129" w:name="_Toc510859896"/>
      <w:bookmarkStart w:id="130" w:name="_Toc363119282"/>
      <w:bookmarkStart w:id="131" w:name="_Toc17633"/>
      <w:bookmarkStart w:id="132" w:name="_Toc144974527"/>
      <w:bookmarkStart w:id="133" w:name="_Toc152042335"/>
      <w:bookmarkStart w:id="134" w:name="_Toc513557031"/>
      <w:bookmarkStart w:id="135" w:name="_Toc27216"/>
      <w:bookmarkStart w:id="136" w:name="_Toc23404"/>
      <w:bookmarkStart w:id="137" w:name="_Toc13549"/>
      <w:r>
        <w:rPr>
          <w:rFonts w:hint="eastAsia" w:ascii="宋体" w:hAnsi="宋体" w:cs="宋体"/>
          <w:color w:val="auto"/>
          <w:sz w:val="24"/>
          <w:szCs w:val="24"/>
          <w:lang w:val="en-US" w:eastAsia="zh-CN"/>
        </w:rPr>
        <w:t>19</w:t>
      </w:r>
      <w:r>
        <w:rPr>
          <w:rFonts w:hint="eastAsia" w:ascii="宋体" w:hAnsi="宋体" w:cs="宋体"/>
          <w:color w:val="auto"/>
          <w:sz w:val="24"/>
          <w:szCs w:val="24"/>
        </w:rPr>
        <w:t>.1 供应商在</w:t>
      </w:r>
      <w:r>
        <w:rPr>
          <w:rFonts w:hint="eastAsia" w:ascii="宋体" w:hAnsi="宋体" w:cs="宋体"/>
          <w:color w:val="auto"/>
          <w:sz w:val="24"/>
          <w:szCs w:val="24"/>
          <w:lang w:val="en-US" w:eastAsia="zh-CN"/>
        </w:rPr>
        <w:t>磋商</w:t>
      </w:r>
      <w:r>
        <w:rPr>
          <w:rFonts w:hint="eastAsia" w:ascii="宋体" w:hAnsi="宋体" w:cs="宋体"/>
          <w:color w:val="auto"/>
          <w:sz w:val="24"/>
          <w:szCs w:val="24"/>
        </w:rPr>
        <w:t>截止时间前，可以对所递交的</w:t>
      </w:r>
      <w:r>
        <w:rPr>
          <w:rFonts w:hint="eastAsia" w:ascii="宋体" w:hAnsi="宋体" w:cs="宋体"/>
          <w:color w:val="auto"/>
          <w:sz w:val="24"/>
          <w:szCs w:val="24"/>
          <w:lang w:val="en-US" w:eastAsia="zh-CN"/>
        </w:rPr>
        <w:t>磋商</w:t>
      </w:r>
      <w:r>
        <w:rPr>
          <w:rFonts w:hint="eastAsia" w:ascii="宋体" w:hAnsi="宋体" w:cs="宋体"/>
          <w:color w:val="auto"/>
          <w:sz w:val="24"/>
          <w:szCs w:val="24"/>
        </w:rPr>
        <w:t>响应文件进行补充、修改或者撤回，并书面通知采购代理机构。补充、修改的内容应当按</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文件要求签署、盖章，并作为</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响应文件的组成部分。</w:t>
      </w:r>
    </w:p>
    <w:p w14:paraId="3014CDAB">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outlineLvl w:val="9"/>
        <w:rPr>
          <w:rFonts w:hint="default" w:eastAsia="黑体"/>
          <w:color w:val="auto"/>
          <w:sz w:val="24"/>
          <w:szCs w:val="24"/>
          <w:lang w:val="en-US" w:eastAsia="zh-CN"/>
        </w:rPr>
      </w:pPr>
      <w:r>
        <w:rPr>
          <w:rFonts w:hint="eastAsia" w:ascii="宋体" w:hAnsi="宋体" w:cs="宋体"/>
          <w:color w:val="auto"/>
          <w:sz w:val="24"/>
          <w:szCs w:val="24"/>
          <w:lang w:val="en-US" w:eastAsia="zh-CN"/>
        </w:rPr>
        <w:t>19.2</w:t>
      </w:r>
      <w:r>
        <w:rPr>
          <w:rFonts w:hint="eastAsia" w:ascii="宋体" w:hAnsi="宋体" w:eastAsia="宋体" w:cs="宋体"/>
          <w:color w:val="auto"/>
          <w:kern w:val="2"/>
          <w:sz w:val="24"/>
          <w:szCs w:val="24"/>
          <w:highlight w:val="none"/>
          <w:lang w:val="en-US" w:eastAsia="zh-CN" w:bidi="ar-SA"/>
        </w:rPr>
        <w:t>当修改的内容影响投标文件编制时，将在交易平台上同步发布答疑文件，此时供应商应从“项目流程·〉答疑文件下载”下载最新发布的答疑文件（*.SXSCF格式），</w:t>
      </w:r>
      <w:r>
        <w:rPr>
          <w:rFonts w:hint="eastAsia" w:ascii="宋体" w:hAnsi="宋体" w:eastAsia="宋体" w:cs="宋体"/>
          <w:color w:val="auto"/>
          <w:kern w:val="2"/>
          <w:sz w:val="24"/>
          <w:szCs w:val="24"/>
          <w:lang w:val="en-US" w:eastAsia="zh-CN" w:bidi="ar-SA"/>
        </w:rPr>
        <w:t>并使用该文件重新编制电子投标文件（*.SXSTF格式），使用旧版电子招标文件或旧版答疑文件制作的电子投标文件，系统将拒绝接收。</w:t>
      </w:r>
    </w:p>
    <w:p w14:paraId="3C54A659">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磋商</w:t>
      </w:r>
      <w:r>
        <w:rPr>
          <w:rFonts w:hint="eastAsia" w:ascii="宋体" w:hAnsi="宋体" w:cs="宋体"/>
          <w:color w:val="auto"/>
          <w:sz w:val="24"/>
          <w:szCs w:val="24"/>
        </w:rPr>
        <w:t>截</w:t>
      </w:r>
      <w:r>
        <w:rPr>
          <w:rFonts w:hint="eastAsia" w:ascii="宋体" w:hAnsi="宋体" w:eastAsia="宋体" w:cs="宋体"/>
          <w:color w:val="auto"/>
          <w:sz w:val="24"/>
          <w:szCs w:val="24"/>
        </w:rPr>
        <w:t>止时间后，供应商不得对</w:t>
      </w:r>
      <w:r>
        <w:rPr>
          <w:rFonts w:hint="eastAsia" w:ascii="宋体" w:hAnsi="宋体" w:cs="宋体"/>
          <w:color w:val="auto"/>
          <w:sz w:val="24"/>
          <w:szCs w:val="24"/>
        </w:rPr>
        <w:t>其</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响应文件做任何修改。</w:t>
      </w:r>
    </w:p>
    <w:p w14:paraId="6F923EB9">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lang w:val="en-US" w:eastAsia="zh-CN"/>
        </w:rPr>
        <w:t>19</w:t>
      </w: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从</w:t>
      </w:r>
      <w:r>
        <w:rPr>
          <w:rFonts w:hint="eastAsia" w:ascii="宋体" w:hAnsi="宋体" w:cs="宋体"/>
          <w:color w:val="auto"/>
          <w:sz w:val="24"/>
          <w:szCs w:val="24"/>
          <w:lang w:val="en-US" w:eastAsia="zh-CN"/>
        </w:rPr>
        <w:t>磋商</w:t>
      </w:r>
      <w:r>
        <w:rPr>
          <w:rFonts w:hint="eastAsia" w:ascii="宋体" w:hAnsi="宋体" w:cs="宋体"/>
          <w:color w:val="auto"/>
          <w:sz w:val="24"/>
          <w:szCs w:val="24"/>
        </w:rPr>
        <w:t>截止期至供应商在</w:t>
      </w:r>
      <w:r>
        <w:rPr>
          <w:rFonts w:hint="eastAsia" w:ascii="宋体" w:hAnsi="宋体" w:cs="宋体"/>
          <w:color w:val="auto"/>
          <w:sz w:val="24"/>
          <w:szCs w:val="24"/>
          <w:lang w:val="en-US" w:eastAsia="zh-CN"/>
        </w:rPr>
        <w:t>磋商响应</w:t>
      </w:r>
      <w:r>
        <w:rPr>
          <w:rFonts w:hint="eastAsia" w:ascii="宋体" w:hAnsi="宋体" w:cs="宋体"/>
          <w:color w:val="auto"/>
          <w:sz w:val="24"/>
          <w:szCs w:val="24"/>
        </w:rPr>
        <w:t>函格式中确定的</w:t>
      </w:r>
      <w:r>
        <w:rPr>
          <w:rFonts w:hint="eastAsia" w:ascii="宋体" w:hAnsi="宋体" w:cs="宋体"/>
          <w:color w:val="auto"/>
          <w:sz w:val="24"/>
          <w:szCs w:val="24"/>
          <w:lang w:val="en-US" w:eastAsia="zh-CN"/>
        </w:rPr>
        <w:t>磋商</w:t>
      </w:r>
      <w:r>
        <w:rPr>
          <w:rFonts w:hint="eastAsia" w:ascii="宋体" w:hAnsi="宋体" w:cs="宋体"/>
          <w:color w:val="auto"/>
          <w:sz w:val="24"/>
          <w:szCs w:val="24"/>
        </w:rPr>
        <w:t>有效期之间，供应商不得撤销其</w:t>
      </w:r>
      <w:r>
        <w:rPr>
          <w:rFonts w:hint="eastAsia" w:ascii="宋体" w:hAnsi="宋体" w:cs="宋体"/>
          <w:color w:val="auto"/>
          <w:sz w:val="24"/>
          <w:szCs w:val="24"/>
          <w:lang w:val="en-US" w:eastAsia="zh-CN"/>
        </w:rPr>
        <w:t>磋商</w:t>
      </w:r>
      <w:r>
        <w:rPr>
          <w:rFonts w:hint="eastAsia" w:ascii="宋体" w:hAnsi="宋体" w:cs="宋体"/>
          <w:color w:val="auto"/>
          <w:sz w:val="24"/>
          <w:szCs w:val="24"/>
        </w:rPr>
        <w:t>，否则</w:t>
      </w:r>
      <w:r>
        <w:rPr>
          <w:rFonts w:hint="eastAsia" w:ascii="宋体" w:hAnsi="宋体" w:cs="宋体"/>
          <w:color w:val="auto"/>
          <w:sz w:val="24"/>
          <w:szCs w:val="24"/>
          <w:lang w:val="en-US" w:eastAsia="zh-CN"/>
        </w:rPr>
        <w:t>按照投标信用承诺书有关规定执行</w:t>
      </w:r>
      <w:r>
        <w:rPr>
          <w:rFonts w:hint="eastAsia" w:ascii="宋体" w:hAnsi="宋体" w:cs="宋体"/>
          <w:color w:val="auto"/>
          <w:sz w:val="24"/>
          <w:szCs w:val="24"/>
        </w:rPr>
        <w:t>。</w:t>
      </w:r>
    </w:p>
    <w:p w14:paraId="5BCBFA8A">
      <w:pPr>
        <w:pStyle w:val="44"/>
        <w:spacing w:line="240" w:lineRule="auto"/>
        <w:ind w:firstLine="482" w:firstLineChars="200"/>
        <w:outlineLvl w:val="9"/>
        <w:rPr>
          <w:rFonts w:asciiTheme="minorEastAsia" w:hAnsiTheme="minorEastAsia" w:eastAsiaTheme="minorEastAsia" w:cstheme="minorEastAsia"/>
          <w:b/>
          <w:color w:val="auto"/>
          <w:sz w:val="24"/>
          <w:szCs w:val="24"/>
        </w:rPr>
      </w:pPr>
      <w:bookmarkStart w:id="138" w:name="_Toc22473"/>
      <w:bookmarkStart w:id="139" w:name="_Toc16899"/>
      <w:bookmarkStart w:id="140" w:name="_Toc1674"/>
      <w:bookmarkStart w:id="141" w:name="_Toc22772"/>
      <w:bookmarkStart w:id="142" w:name="_Toc15284"/>
      <w:r>
        <w:rPr>
          <w:rFonts w:hint="eastAsia" w:asciiTheme="minorEastAsia" w:hAnsiTheme="minorEastAsia" w:eastAsiaTheme="minorEastAsia" w:cstheme="minorEastAsia"/>
          <w:b/>
          <w:color w:val="auto"/>
          <w:sz w:val="24"/>
          <w:szCs w:val="24"/>
        </w:rPr>
        <w:t>5. 磋商</w:t>
      </w:r>
      <w:bookmarkEnd w:id="126"/>
      <w:bookmarkEnd w:id="127"/>
      <w:bookmarkEnd w:id="128"/>
      <w:bookmarkEnd w:id="129"/>
      <w:bookmarkEnd w:id="130"/>
      <w:bookmarkEnd w:id="131"/>
      <w:bookmarkEnd w:id="132"/>
      <w:bookmarkEnd w:id="133"/>
      <w:bookmarkEnd w:id="134"/>
      <w:r>
        <w:rPr>
          <w:rFonts w:hAnsi="宋体"/>
          <w:b/>
          <w:color w:val="auto"/>
          <w:sz w:val="24"/>
          <w:szCs w:val="24"/>
        </w:rPr>
        <w:t>与评标</w:t>
      </w:r>
      <w:bookmarkEnd w:id="135"/>
      <w:bookmarkEnd w:id="136"/>
      <w:bookmarkEnd w:id="137"/>
      <w:bookmarkEnd w:id="138"/>
      <w:bookmarkEnd w:id="139"/>
      <w:bookmarkEnd w:id="140"/>
      <w:bookmarkEnd w:id="141"/>
      <w:bookmarkEnd w:id="142"/>
    </w:p>
    <w:p w14:paraId="7FC5B218">
      <w:pPr>
        <w:spacing w:line="240" w:lineRule="auto"/>
        <w:outlineLvl w:val="9"/>
        <w:rPr>
          <w:rFonts w:ascii="宋体" w:hAnsi="宋体" w:cs="宋体"/>
          <w:color w:val="auto"/>
          <w:sz w:val="24"/>
          <w:szCs w:val="24"/>
        </w:rPr>
      </w:pPr>
      <w:bookmarkStart w:id="143" w:name="_Toc152042336"/>
      <w:bookmarkStart w:id="144" w:name="_Toc144974528"/>
      <w:bookmarkStart w:id="145" w:name="_Toc179632578"/>
      <w:bookmarkStart w:id="146" w:name="_Toc152045560"/>
      <w:r>
        <w:rPr>
          <w:rFonts w:hint="eastAsia" w:ascii="宋体" w:hAnsi="宋体" w:cs="宋体"/>
          <w:color w:val="auto"/>
          <w:sz w:val="24"/>
          <w:szCs w:val="24"/>
          <w:lang w:val="en-US" w:eastAsia="zh-CN"/>
        </w:rPr>
        <w:t>20</w:t>
      </w:r>
      <w:r>
        <w:rPr>
          <w:rFonts w:hint="eastAsia" w:ascii="宋体" w:hAnsi="宋体" w:cs="宋体"/>
          <w:color w:val="auto"/>
          <w:sz w:val="24"/>
          <w:szCs w:val="24"/>
        </w:rPr>
        <w:t>、</w:t>
      </w:r>
      <w:bookmarkEnd w:id="143"/>
      <w:bookmarkEnd w:id="144"/>
      <w:bookmarkEnd w:id="145"/>
      <w:bookmarkEnd w:id="146"/>
      <w:r>
        <w:rPr>
          <w:rFonts w:hint="eastAsia" w:ascii="宋体" w:hAnsi="宋体" w:cs="宋体"/>
          <w:color w:val="auto"/>
          <w:sz w:val="24"/>
          <w:szCs w:val="24"/>
        </w:rPr>
        <w:t>竞争性磋商会议时间和地点</w:t>
      </w:r>
    </w:p>
    <w:p w14:paraId="11CF65F4">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rPr>
        <w:t>在规定的磋商截止时间（磋商时间）和供应商须知前附表规定组织竞争性磋商，磋商时所有供应商代表自愿参加，参加磋商的代表应签</w:t>
      </w:r>
      <w:r>
        <w:rPr>
          <w:rFonts w:hint="eastAsia" w:asciiTheme="minorEastAsia" w:hAnsiTheme="minorEastAsia" w:eastAsiaTheme="minorEastAsia" w:cstheme="minorEastAsia"/>
          <w:color w:val="auto"/>
          <w:sz w:val="24"/>
          <w:szCs w:val="24"/>
          <w:lang w:val="en-US" w:eastAsia="zh-CN"/>
        </w:rPr>
        <w:t>到</w:t>
      </w:r>
      <w:r>
        <w:rPr>
          <w:rFonts w:hint="eastAsia" w:asciiTheme="minorEastAsia" w:hAnsiTheme="minorEastAsia" w:eastAsiaTheme="minorEastAsia" w:cstheme="minorEastAsia"/>
          <w:color w:val="auto"/>
          <w:sz w:val="24"/>
          <w:szCs w:val="24"/>
        </w:rPr>
        <w:t>。</w:t>
      </w:r>
    </w:p>
    <w:p w14:paraId="40E6850E">
      <w:pPr>
        <w:adjustRightInd w:val="0"/>
        <w:snapToGrid w:val="0"/>
        <w:spacing w:line="360" w:lineRule="auto"/>
        <w:ind w:firstLine="480" w:firstLineChars="200"/>
        <w:outlineLvl w:val="9"/>
        <w:rPr>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rPr>
        <w:t>将做磋商记录，存档备查。</w:t>
      </w:r>
    </w:p>
    <w:p w14:paraId="78793136">
      <w:pPr>
        <w:pStyle w:val="45"/>
        <w:adjustRightInd w:val="0"/>
        <w:snapToGrid w:val="0"/>
        <w:spacing w:line="360" w:lineRule="auto"/>
        <w:outlineLvl w:val="9"/>
        <w:rPr>
          <w:rFonts w:ascii="宋体" w:hAnsi="宋体" w:eastAsia="宋体"/>
          <w:b/>
          <w:color w:val="auto"/>
          <w:sz w:val="24"/>
          <w:szCs w:val="24"/>
        </w:rPr>
      </w:pPr>
      <w:bookmarkStart w:id="147" w:name="_Toc144974529"/>
      <w:bookmarkStart w:id="148" w:name="_Toc179632579"/>
      <w:bookmarkStart w:id="149" w:name="_Toc152042337"/>
      <w:bookmarkStart w:id="150" w:name="_Toc152045561"/>
      <w:r>
        <w:rPr>
          <w:rFonts w:hint="eastAsia" w:ascii="宋体" w:hAnsi="宋体" w:eastAsia="宋体"/>
          <w:b/>
          <w:color w:val="auto"/>
          <w:sz w:val="24"/>
          <w:szCs w:val="24"/>
          <w:lang w:val="en-US" w:eastAsia="zh-CN"/>
        </w:rPr>
        <w:t>21</w:t>
      </w:r>
      <w:r>
        <w:rPr>
          <w:rFonts w:hint="eastAsia" w:ascii="宋体" w:hAnsi="宋体" w:eastAsia="宋体"/>
          <w:b/>
          <w:color w:val="auto"/>
          <w:sz w:val="24"/>
          <w:szCs w:val="24"/>
        </w:rPr>
        <w:t>、磋商程序</w:t>
      </w:r>
      <w:bookmarkEnd w:id="147"/>
      <w:bookmarkEnd w:id="148"/>
      <w:bookmarkEnd w:id="149"/>
      <w:bookmarkEnd w:id="150"/>
    </w:p>
    <w:p w14:paraId="43A2E0E0">
      <w:pPr>
        <w:spacing w:line="360" w:lineRule="auto"/>
        <w:ind w:firstLine="480" w:firstLineChars="200"/>
        <w:outlineLvl w:val="9"/>
        <w:rPr>
          <w:rFonts w:hint="eastAsia" w:ascii="宋体" w:hAnsi="宋体" w:cs="宋体"/>
          <w:color w:val="auto"/>
          <w:sz w:val="24"/>
          <w:szCs w:val="24"/>
        </w:rPr>
      </w:pPr>
      <w:bookmarkStart w:id="151" w:name="_Toc152042338"/>
      <w:bookmarkStart w:id="152" w:name="_Toc179632580"/>
      <w:bookmarkStart w:id="153" w:name="_Toc152045562"/>
      <w:bookmarkStart w:id="154" w:name="_Toc144974530"/>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.1 采购代理机构在规定的时间和地点组织</w:t>
      </w:r>
      <w:r>
        <w:rPr>
          <w:rFonts w:hint="eastAsia" w:ascii="宋体" w:hAnsi="宋体" w:cs="宋体"/>
          <w:color w:val="auto"/>
          <w:sz w:val="24"/>
          <w:szCs w:val="24"/>
          <w:lang w:val="en-US" w:eastAsia="zh-CN"/>
        </w:rPr>
        <w:t>磋商</w:t>
      </w:r>
      <w:r>
        <w:rPr>
          <w:rFonts w:hint="eastAsia" w:ascii="宋体" w:hAnsi="宋体" w:cs="宋体"/>
          <w:color w:val="auto"/>
          <w:sz w:val="24"/>
          <w:szCs w:val="24"/>
        </w:rPr>
        <w:t>。</w:t>
      </w:r>
      <w:r>
        <w:rPr>
          <w:rFonts w:hint="eastAsia" w:ascii="思源宋体 CN Light" w:hAnsi="思源宋体 CN Light" w:eastAsia="思源宋体 CN Light" w:cs="思源宋体 CN Light"/>
          <w:color w:val="auto"/>
          <w:sz w:val="24"/>
          <w:szCs w:val="24"/>
        </w:rPr>
        <w:t>各供应商</w:t>
      </w:r>
      <w:r>
        <w:rPr>
          <w:rFonts w:hint="eastAsia" w:ascii="思源宋体 CN Light" w:hAnsi="思源宋体 CN Light" w:eastAsia="思源宋体 CN Light" w:cs="思源宋体 CN Light"/>
          <w:color w:val="auto"/>
          <w:sz w:val="24"/>
          <w:szCs w:val="24"/>
          <w:lang w:val="en-US" w:eastAsia="zh-CN"/>
        </w:rPr>
        <w:t>在开标截止时间前</w:t>
      </w:r>
      <w:r>
        <w:rPr>
          <w:rFonts w:hint="eastAsia" w:ascii="思源宋体 CN Light" w:hAnsi="思源宋体 CN Light" w:eastAsia="思源宋体 CN Light" w:cs="思源宋体 CN Light"/>
          <w:color w:val="auto"/>
          <w:sz w:val="24"/>
          <w:szCs w:val="24"/>
        </w:rPr>
        <w:t>至少提前</w:t>
      </w:r>
      <w:r>
        <w:rPr>
          <w:rFonts w:hint="eastAsia" w:ascii="思源宋体 CN Light" w:hAnsi="思源宋体 CN Light" w:eastAsia="思源宋体 CN Light" w:cs="思源宋体 CN Light"/>
          <w:color w:val="auto"/>
          <w:sz w:val="24"/>
          <w:szCs w:val="24"/>
          <w:lang w:val="en-US" w:eastAsia="zh-CN"/>
        </w:rPr>
        <w:t>一</w:t>
      </w:r>
      <w:r>
        <w:rPr>
          <w:rFonts w:hint="eastAsia" w:ascii="思源宋体 CN Light" w:hAnsi="思源宋体 CN Light" w:eastAsia="思源宋体 CN Light" w:cs="思源宋体 CN Light"/>
          <w:color w:val="auto"/>
          <w:sz w:val="24"/>
          <w:szCs w:val="24"/>
        </w:rPr>
        <w:t>小时</w:t>
      </w:r>
      <w:r>
        <w:rPr>
          <w:rFonts w:hint="eastAsia" w:ascii="思源宋体 CN Light" w:hAnsi="思源宋体 CN Light" w:eastAsia="思源宋体 CN Light" w:cs="思源宋体 CN Light"/>
          <w:color w:val="auto"/>
          <w:sz w:val="24"/>
          <w:szCs w:val="24"/>
          <w:lang w:val="en-US" w:eastAsia="zh-CN"/>
        </w:rPr>
        <w:t>内</w:t>
      </w:r>
      <w:r>
        <w:rPr>
          <w:rFonts w:hint="eastAsia" w:ascii="思源宋体 CN Light" w:hAnsi="思源宋体 CN Light" w:eastAsia="思源宋体 CN Light" w:cs="思源宋体 CN Light"/>
          <w:color w:val="auto"/>
          <w:sz w:val="24"/>
          <w:szCs w:val="24"/>
        </w:rPr>
        <w:t>登录“不见面”开标系统</w:t>
      </w:r>
      <w:r>
        <w:rPr>
          <w:rFonts w:hint="eastAsia" w:ascii="思源宋体 CN Light" w:hAnsi="思源宋体 CN Light" w:eastAsia="思源宋体 CN Light" w:cs="思源宋体 CN Light"/>
          <w:color w:val="auto"/>
          <w:sz w:val="24"/>
          <w:szCs w:val="24"/>
          <w:lang w:val="en-US" w:eastAsia="zh-CN"/>
        </w:rPr>
        <w:t>登录，供应商应</w:t>
      </w:r>
      <w:r>
        <w:rPr>
          <w:rFonts w:hint="eastAsia" w:ascii="思源宋体 CN Light" w:hAnsi="思源宋体 CN Light" w:eastAsia="思源宋体 CN Light" w:cs="思源宋体 CN Light"/>
          <w:color w:val="auto"/>
          <w:sz w:val="24"/>
          <w:szCs w:val="24"/>
        </w:rPr>
        <w:t>按要求及时签到</w:t>
      </w:r>
      <w:r>
        <w:rPr>
          <w:rFonts w:hint="eastAsia" w:ascii="思源宋体 CN Light" w:hAnsi="思源宋体 CN Light" w:eastAsia="思源宋体 CN Light" w:cs="思源宋体 CN Light"/>
          <w:b/>
          <w:bCs/>
          <w:color w:val="auto"/>
          <w:sz w:val="24"/>
          <w:szCs w:val="24"/>
          <w:lang w:val="en-US" w:eastAsia="zh-CN"/>
        </w:rPr>
        <w:t>（签到时间为投标截止时间前1小时内，如果未签到将视为放弃投标资格），</w:t>
      </w:r>
      <w:r>
        <w:rPr>
          <w:rFonts w:hint="eastAsia" w:ascii="思源宋体 CN Light" w:hAnsi="思源宋体 CN Light" w:eastAsia="思源宋体 CN Light" w:cs="思源宋体 CN Light"/>
          <w:color w:val="auto"/>
          <w:sz w:val="24"/>
          <w:szCs w:val="24"/>
        </w:rPr>
        <w:t>评审过程中，</w:t>
      </w:r>
      <w:r>
        <w:rPr>
          <w:rFonts w:hint="eastAsia" w:ascii="思源宋体 CN Light" w:hAnsi="思源宋体 CN Light" w:eastAsia="思源宋体 CN Light" w:cs="思源宋体 CN Light"/>
          <w:color w:val="auto"/>
          <w:sz w:val="24"/>
          <w:szCs w:val="24"/>
          <w:lang w:val="en-US" w:eastAsia="zh-CN"/>
        </w:rPr>
        <w:t>磋商小组</w:t>
      </w:r>
      <w:r>
        <w:rPr>
          <w:rFonts w:hint="eastAsia" w:ascii="思源宋体 CN Light" w:hAnsi="思源宋体 CN Light" w:eastAsia="思源宋体 CN Light" w:cs="思源宋体 CN Light"/>
          <w:color w:val="auto"/>
          <w:sz w:val="24"/>
          <w:szCs w:val="24"/>
        </w:rPr>
        <w:t>可能会就某些问题要求供应商进行在线澄清</w:t>
      </w:r>
      <w:r>
        <w:rPr>
          <w:rFonts w:hint="eastAsia" w:ascii="思源宋体 CN Light" w:hAnsi="思源宋体 CN Light" w:eastAsia="思源宋体 CN Light" w:cs="思源宋体 CN Light"/>
          <w:color w:val="auto"/>
          <w:sz w:val="24"/>
          <w:szCs w:val="24"/>
          <w:lang w:eastAsia="zh-CN"/>
        </w:rPr>
        <w:t>，</w:t>
      </w:r>
      <w:r>
        <w:rPr>
          <w:rFonts w:hint="eastAsia" w:ascii="思源宋体 CN Light" w:hAnsi="思源宋体 CN Light" w:eastAsia="思源宋体 CN Light" w:cs="思源宋体 CN Light"/>
          <w:color w:val="auto"/>
          <w:sz w:val="24"/>
          <w:szCs w:val="24"/>
          <w:lang w:val="en-US" w:eastAsia="zh-CN"/>
        </w:rPr>
        <w:t>请供应商</w:t>
      </w:r>
      <w:r>
        <w:rPr>
          <w:rFonts w:hint="eastAsia" w:ascii="思源宋体 CN Light" w:hAnsi="思源宋体 CN Light" w:eastAsia="思源宋体 CN Light" w:cs="思源宋体 CN Light"/>
          <w:color w:val="auto"/>
          <w:sz w:val="24"/>
          <w:szCs w:val="24"/>
        </w:rPr>
        <w:t>保持在线直到评审结束；</w:t>
      </w:r>
    </w:p>
    <w:p w14:paraId="462DC67E">
      <w:pPr>
        <w:spacing w:line="360" w:lineRule="auto"/>
        <w:ind w:firstLine="480" w:firstLineChars="200"/>
        <w:outlineLvl w:val="9"/>
        <w:rPr>
          <w:rFonts w:hint="eastAsia" w:ascii="思源宋体 CN Light" w:hAnsi="思源宋体 CN Light" w:eastAsia="思源宋体 CN Light" w:cs="思源宋体 CN Light"/>
          <w:color w:val="auto"/>
          <w:sz w:val="24"/>
          <w:szCs w:val="24"/>
          <w:lang w:val="en-US" w:eastAsia="zh-CN"/>
        </w:rPr>
      </w:pPr>
      <w:r>
        <w:rPr>
          <w:rFonts w:hint="eastAsia" w:ascii="宋体" w:hAnsi="宋体" w:cs="宋体"/>
          <w:color w:val="auto"/>
          <w:sz w:val="24"/>
          <w:szCs w:val="24"/>
          <w:lang w:val="en-US" w:eastAsia="zh-CN"/>
        </w:rPr>
        <w:t>22.</w:t>
      </w:r>
      <w:r>
        <w:rPr>
          <w:rFonts w:hint="eastAsia" w:ascii="思源宋体 CN Light" w:hAnsi="思源宋体 CN Light" w:eastAsia="思源宋体 CN Light" w:cs="思源宋体 CN Light"/>
          <w:color w:val="auto"/>
          <w:sz w:val="24"/>
          <w:szCs w:val="24"/>
          <w:lang w:val="en-US" w:eastAsia="zh-CN"/>
        </w:rPr>
        <w:t>2</w:t>
      </w:r>
      <w:r>
        <w:rPr>
          <w:rFonts w:hint="eastAsia" w:ascii="思源宋体 CN Light" w:hAnsi="思源宋体 CN Light" w:eastAsia="思源宋体 CN Light" w:cs="思源宋体 CN Light"/>
          <w:color w:val="auto"/>
          <w:sz w:val="24"/>
          <w:szCs w:val="24"/>
        </w:rPr>
        <w:t>宣读会议纪律</w:t>
      </w:r>
      <w:r>
        <w:rPr>
          <w:rFonts w:hint="eastAsia" w:ascii="思源宋体 CN Light" w:hAnsi="思源宋体 CN Light" w:eastAsia="思源宋体 CN Light" w:cs="思源宋体 CN Light"/>
          <w:color w:val="auto"/>
          <w:sz w:val="24"/>
          <w:szCs w:val="24"/>
          <w:lang w:eastAsia="zh-CN"/>
        </w:rPr>
        <w:t>；</w:t>
      </w:r>
    </w:p>
    <w:p w14:paraId="39052D28">
      <w:pPr>
        <w:spacing w:line="360" w:lineRule="auto"/>
        <w:ind w:firstLine="480" w:firstLineChars="200"/>
        <w:outlineLvl w:val="9"/>
        <w:rPr>
          <w:rFonts w:hint="eastAsia" w:ascii="思源宋体 CN Light" w:hAnsi="思源宋体 CN Light" w:eastAsia="思源宋体 CN Light" w:cs="思源宋体 CN Light"/>
          <w:color w:val="auto"/>
          <w:sz w:val="24"/>
          <w:szCs w:val="24"/>
          <w:lang w:val="en-US" w:eastAsia="zh-CN"/>
        </w:rPr>
      </w:pPr>
      <w:r>
        <w:rPr>
          <w:rFonts w:hint="eastAsia" w:ascii="宋体" w:hAnsi="宋体" w:cs="宋体"/>
          <w:color w:val="auto"/>
          <w:sz w:val="24"/>
          <w:szCs w:val="24"/>
          <w:lang w:val="en-US" w:eastAsia="zh-CN"/>
        </w:rPr>
        <w:t>22.3</w:t>
      </w:r>
      <w:r>
        <w:rPr>
          <w:rFonts w:hint="eastAsia" w:ascii="思源宋体 CN Light" w:hAnsi="思源宋体 CN Light" w:eastAsia="思源宋体 CN Light" w:cs="思源宋体 CN Light"/>
          <w:color w:val="auto"/>
          <w:sz w:val="24"/>
          <w:szCs w:val="24"/>
          <w:lang w:val="en-US" w:eastAsia="zh-CN"/>
        </w:rPr>
        <w:t>开</w:t>
      </w:r>
      <w:r>
        <w:rPr>
          <w:rFonts w:hint="eastAsia" w:ascii="思源宋体 CN Light" w:hAnsi="思源宋体 CN Light" w:eastAsia="思源宋体 CN Light" w:cs="思源宋体 CN Light"/>
          <w:color w:val="auto"/>
          <w:sz w:val="24"/>
          <w:szCs w:val="24"/>
        </w:rPr>
        <w:t>标过程中，供应商在收到工作人员“开始解密”指令后，请及时使用CA对电子投标文件进行解密。解密时所用CA应与加密投标文件时所用CA相同</w:t>
      </w:r>
      <w:r>
        <w:rPr>
          <w:rFonts w:hint="eastAsia" w:ascii="思源宋体 CN Light" w:hAnsi="思源宋体 CN Light" w:eastAsia="思源宋体 CN Light" w:cs="思源宋体 CN Light"/>
          <w:color w:val="auto"/>
          <w:sz w:val="24"/>
          <w:szCs w:val="24"/>
          <w:lang w:eastAsia="zh-CN"/>
        </w:rPr>
        <w:t>，</w:t>
      </w:r>
      <w:r>
        <w:rPr>
          <w:rFonts w:hint="eastAsia" w:ascii="思源宋体 CN Light" w:hAnsi="思源宋体 CN Light" w:eastAsia="思源宋体 CN Light" w:cs="思源宋体 CN Light"/>
          <w:color w:val="auto"/>
          <w:sz w:val="24"/>
          <w:szCs w:val="24"/>
          <w:lang w:val="en-US" w:eastAsia="zh-CN"/>
        </w:rPr>
        <w:t>解密时间为30分钟，在解密时间内供应商全部解密完成后，可提前进入开标下一阶段。</w:t>
      </w:r>
    </w:p>
    <w:p w14:paraId="62A7B659">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磋商</w:t>
      </w:r>
      <w:r>
        <w:rPr>
          <w:rFonts w:hint="eastAsia" w:ascii="宋体" w:hAnsi="宋体" w:cs="宋体"/>
          <w:color w:val="auto"/>
          <w:sz w:val="24"/>
          <w:szCs w:val="24"/>
        </w:rPr>
        <w:t>有效供应商不足三家的，按照国家相关法律、法规及有关规定执行。</w:t>
      </w:r>
    </w:p>
    <w:p w14:paraId="5ECB5584">
      <w:pPr>
        <w:spacing w:line="360" w:lineRule="auto"/>
        <w:ind w:firstLine="480" w:firstLineChars="200"/>
        <w:outlineLvl w:val="9"/>
        <w:rPr>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采购代理机构将做开标记录，存档备查。</w:t>
      </w:r>
    </w:p>
    <w:p w14:paraId="4540202B">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rPr>
        <w:t>2</w:t>
      </w:r>
      <w:r>
        <w:rPr>
          <w:rFonts w:hint="eastAsia" w:ascii="宋体" w:hAnsi="宋体" w:eastAsia="宋体"/>
          <w:b/>
          <w:color w:val="auto"/>
          <w:sz w:val="24"/>
          <w:szCs w:val="24"/>
          <w:lang w:val="en-US" w:eastAsia="zh-CN"/>
        </w:rPr>
        <w:t>2</w:t>
      </w:r>
      <w:r>
        <w:rPr>
          <w:rFonts w:hint="eastAsia" w:ascii="宋体" w:hAnsi="宋体" w:eastAsia="宋体"/>
          <w:b/>
          <w:color w:val="auto"/>
          <w:sz w:val="24"/>
          <w:szCs w:val="24"/>
        </w:rPr>
        <w:t>、评审组织及评审原则</w:t>
      </w:r>
    </w:p>
    <w:p w14:paraId="6916B89E">
      <w:pPr>
        <w:spacing w:line="360" w:lineRule="auto"/>
        <w:ind w:firstLine="482" w:firstLineChars="200"/>
        <w:outlineLvl w:val="9"/>
        <w:rPr>
          <w:rFonts w:ascii="宋体" w:hAnsi="宋体" w:cs="宋体"/>
          <w:b/>
          <w:bCs/>
          <w:color w:val="auto"/>
          <w:sz w:val="24"/>
          <w:szCs w:val="24"/>
        </w:rPr>
      </w:pPr>
      <w:r>
        <w:rPr>
          <w:rFonts w:hint="eastAsia" w:ascii="宋体" w:hAnsi="宋体" w:cs="宋体"/>
          <w:b/>
          <w:bCs/>
          <w:color w:val="auto"/>
          <w:sz w:val="24"/>
          <w:szCs w:val="24"/>
        </w:rPr>
        <w:t>2</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.1磋商小组</w:t>
      </w:r>
    </w:p>
    <w:p w14:paraId="02DF4023">
      <w:pPr>
        <w:spacing w:line="360" w:lineRule="auto"/>
        <w:ind w:firstLine="480" w:firstLineChars="200"/>
        <w:outlineLvl w:val="9"/>
        <w:rPr>
          <w:rFonts w:ascii="宋体" w:hAnsi="宋体" w:cs="宋体"/>
          <w:color w:val="auto"/>
          <w:sz w:val="24"/>
          <w:szCs w:val="24"/>
        </w:rPr>
      </w:pPr>
      <w:r>
        <w:rPr>
          <w:rFonts w:hint="eastAsia" w:ascii="宋体" w:hAnsi="宋体" w:eastAsia="宋体" w:cs="宋体"/>
          <w:color w:val="auto"/>
          <w:sz w:val="24"/>
          <w:szCs w:val="24"/>
        </w:rPr>
        <w:t>按照《中华人民共和国政府采购法》、中华人民共和国财政部第</w:t>
      </w:r>
      <w:r>
        <w:rPr>
          <w:rFonts w:hint="eastAsia" w:ascii="宋体" w:hAnsi="宋体" w:eastAsia="宋体" w:cs="宋体"/>
          <w:color w:val="auto"/>
          <w:sz w:val="24"/>
          <w:szCs w:val="24"/>
          <w:lang w:val="en-US" w:eastAsia="zh-CN"/>
        </w:rPr>
        <w:t>87</w:t>
      </w:r>
      <w:r>
        <w:rPr>
          <w:rFonts w:hint="eastAsia" w:ascii="宋体" w:hAnsi="宋体" w:eastAsia="宋体" w:cs="宋体"/>
          <w:color w:val="auto"/>
          <w:sz w:val="24"/>
          <w:szCs w:val="24"/>
        </w:rPr>
        <w:t>号部长令--《政府采购货物和服务招标投标管理办法》和关于印发《政府采购竞争性磋商采购方式管理暂行办法》的通知财库【2014】214号，依法组建磋商小组。磋商小组由采购人代表和有关技术、经济等方面的专家组成，磋商小组按照竞争性磋商文件规定的评审方法独立进行评审工作。</w:t>
      </w:r>
    </w:p>
    <w:p w14:paraId="2DD8DED7">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.1.2 磋商小组成员有下列情形之一的，应当回避，已经进入的应当更换：</w:t>
      </w:r>
    </w:p>
    <w:p w14:paraId="4A91C592">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.1.2.1</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或供应商的主要负责人的近亲属；</w:t>
      </w:r>
    </w:p>
    <w:p w14:paraId="6EA64515">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.1.2.2项目主管部门或者行政监督部门的人员；</w:t>
      </w:r>
    </w:p>
    <w:p w14:paraId="517DFE67">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.1.2.3与供应商有经济利益关系，可能影响对投标公正评审的；</w:t>
      </w:r>
    </w:p>
    <w:p w14:paraId="5AE7DD11">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.1.2.4曾因在招标、评审以及其他与采购投标有关活动中从事违法行为而受过行政处罚或刑事处罚的。</w:t>
      </w:r>
    </w:p>
    <w:p w14:paraId="40408149">
      <w:pPr>
        <w:pStyle w:val="45"/>
        <w:tabs>
          <w:tab w:val="left" w:pos="2620"/>
        </w:tabs>
        <w:adjustRightInd w:val="0"/>
        <w:snapToGrid w:val="0"/>
        <w:spacing w:line="360" w:lineRule="auto"/>
        <w:ind w:firstLine="480" w:firstLineChars="200"/>
        <w:outlineLvl w:val="9"/>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rPr>
        <w:t>2</w:t>
      </w:r>
      <w:r>
        <w:rPr>
          <w:rFonts w:hint="eastAsia" w:asciiTheme="minorEastAsia" w:hAnsiTheme="minorEastAsia" w:eastAsiaTheme="minorEastAsia" w:cstheme="minorEastAsia"/>
          <w:bCs w:val="0"/>
          <w:color w:val="auto"/>
          <w:sz w:val="24"/>
          <w:szCs w:val="24"/>
          <w:lang w:val="en-US" w:eastAsia="zh-CN"/>
        </w:rPr>
        <w:t>2</w:t>
      </w:r>
      <w:r>
        <w:rPr>
          <w:rFonts w:hint="eastAsia" w:asciiTheme="minorEastAsia" w:hAnsiTheme="minorEastAsia" w:eastAsiaTheme="minorEastAsia" w:cstheme="minorEastAsia"/>
          <w:bCs w:val="0"/>
          <w:color w:val="auto"/>
          <w:sz w:val="24"/>
          <w:szCs w:val="24"/>
        </w:rPr>
        <w:t>.1.3</w:t>
      </w:r>
      <w:r>
        <w:rPr>
          <w:rFonts w:hint="eastAsia" w:asciiTheme="minorEastAsia" w:hAnsiTheme="minorEastAsia" w:eastAsiaTheme="minorEastAsia" w:cstheme="minorEastAsia"/>
          <w:bCs w:val="0"/>
          <w:color w:val="auto"/>
          <w:sz w:val="24"/>
          <w:szCs w:val="24"/>
          <w:lang w:eastAsia="zh-CN"/>
        </w:rPr>
        <w:t>磋商小组</w:t>
      </w:r>
      <w:r>
        <w:rPr>
          <w:rFonts w:hint="eastAsia" w:asciiTheme="minorEastAsia" w:hAnsiTheme="minorEastAsia" w:eastAsiaTheme="minorEastAsia" w:cstheme="minorEastAsia"/>
          <w:bCs w:val="0"/>
          <w:color w:val="auto"/>
          <w:sz w:val="24"/>
          <w:szCs w:val="24"/>
        </w:rPr>
        <w:t>成员的名单在</w:t>
      </w:r>
      <w:r>
        <w:rPr>
          <w:rFonts w:hint="eastAsia" w:asciiTheme="minorEastAsia" w:hAnsiTheme="minorEastAsia" w:eastAsiaTheme="minorEastAsia" w:cstheme="minorEastAsia"/>
          <w:bCs w:val="0"/>
          <w:color w:val="auto"/>
          <w:sz w:val="24"/>
          <w:szCs w:val="24"/>
          <w:lang w:eastAsia="zh-CN"/>
        </w:rPr>
        <w:t>成交</w:t>
      </w:r>
      <w:r>
        <w:rPr>
          <w:rFonts w:hint="eastAsia" w:asciiTheme="minorEastAsia" w:hAnsiTheme="minorEastAsia" w:eastAsiaTheme="minorEastAsia" w:cstheme="minorEastAsia"/>
          <w:bCs w:val="0"/>
          <w:color w:val="auto"/>
          <w:sz w:val="24"/>
          <w:szCs w:val="24"/>
        </w:rPr>
        <w:t>结果确定前应当保密。</w:t>
      </w:r>
    </w:p>
    <w:p w14:paraId="28332A0B">
      <w:pPr>
        <w:adjustRightInd w:val="0"/>
        <w:snapToGrid w:val="0"/>
        <w:spacing w:line="360" w:lineRule="auto"/>
        <w:ind w:firstLine="480" w:firstLineChars="200"/>
        <w:outlineLvl w:val="9"/>
        <w:rPr>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.1.4评标采用保密方式进行。</w:t>
      </w:r>
    </w:p>
    <w:p w14:paraId="32166A49">
      <w:pPr>
        <w:pStyle w:val="45"/>
        <w:tabs>
          <w:tab w:val="left" w:pos="2620"/>
        </w:tabs>
        <w:adjustRightInd w:val="0"/>
        <w:snapToGrid w:val="0"/>
        <w:spacing w:line="360" w:lineRule="auto"/>
        <w:ind w:firstLine="482"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w:t>
      </w:r>
      <w:r>
        <w:rPr>
          <w:rFonts w:hint="eastAsia" w:asciiTheme="minorEastAsia" w:hAnsiTheme="minorEastAsia" w:eastAsia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.2 评审原则</w:t>
      </w:r>
      <w:r>
        <w:rPr>
          <w:rFonts w:hint="eastAsia" w:asciiTheme="minorEastAsia" w:hAnsiTheme="minorEastAsia" w:eastAsiaTheme="minorEastAsia" w:cstheme="minorEastAsia"/>
          <w:color w:val="auto"/>
          <w:sz w:val="24"/>
          <w:szCs w:val="24"/>
        </w:rPr>
        <w:tab/>
      </w:r>
    </w:p>
    <w:p w14:paraId="74D94E60">
      <w:pPr>
        <w:adjustRightInd w:val="0"/>
        <w:snapToGrid w:val="0"/>
        <w:spacing w:line="360" w:lineRule="auto"/>
        <w:ind w:firstLine="720" w:firstLineChars="3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.2.1评审活动遵循公平、公正、科学和择优的原则。</w:t>
      </w:r>
    </w:p>
    <w:p w14:paraId="437D1606">
      <w:pPr>
        <w:pStyle w:val="45"/>
        <w:tabs>
          <w:tab w:val="left" w:pos="2620"/>
        </w:tabs>
        <w:adjustRightInd w:val="0"/>
        <w:snapToGrid w:val="0"/>
        <w:spacing w:line="360" w:lineRule="auto"/>
        <w:ind w:firstLine="482" w:firstLineChars="200"/>
        <w:outlineLvl w:val="9"/>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r>
        <w:rPr>
          <w:rFonts w:hint="eastAsia" w:asciiTheme="minorEastAsia" w:hAnsiTheme="minorEastAsia" w:eastAsia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.3评审</w:t>
      </w:r>
    </w:p>
    <w:p w14:paraId="130C02D0">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.3.1竞争性磋商文件和竞争性磋商响应文件是评审的依据。在评审中，不得改变竞争性磋商文件中规定的评审标准、方法和成交条件。</w:t>
      </w:r>
    </w:p>
    <w:p w14:paraId="5787E90C">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3.2在评审期间，对竞争性磋商响应文件中含义不明确、同类问题表述不一致或者有明显文字和计算错误的内容，磋商小组可以（由磋商小组专家签字）要求供应商作出必要的澄清、说明或者纠正。供应商的澄清、说明或者补正不得超出竞争性磋商响应文件的范围或者改变竞争性磋商响应文件的实质性内容。</w:t>
      </w:r>
    </w:p>
    <w:p w14:paraId="6338E529">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.3.3如果供应商在澄清规定期限内，未能答复或拒绝答复磋商小组提出的澄清要求，将由磋商小组根据其竞争性磋商响应文件按最大风险进行评审。</w:t>
      </w:r>
    </w:p>
    <w:p w14:paraId="6E49F7AE">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竞争性磋商响应文件的符合性检查</w:t>
      </w:r>
    </w:p>
    <w:p w14:paraId="21E0DC1B">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.1磋商小组将审查竞争性磋商响应文件是否完整、资格证明文件是否齐全有无计算上的错误等。</w:t>
      </w:r>
    </w:p>
    <w:p w14:paraId="6950D8AC">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.2计算错误将按以下方法更正：若单价计算的结果与总价不一致，以单价为准修改总价；若用文字表示的数值与用数字表示的数值不一致，以文字表示的数值为准。如果“</w:t>
      </w:r>
      <w:r>
        <w:rPr>
          <w:rFonts w:hint="eastAsia" w:ascii="宋体" w:hAnsi="宋体" w:cs="宋体"/>
          <w:color w:val="auto"/>
          <w:sz w:val="24"/>
          <w:szCs w:val="24"/>
          <w:lang w:eastAsia="zh-CN"/>
        </w:rPr>
        <w:t>磋商报价一览表</w:t>
      </w:r>
      <w:r>
        <w:rPr>
          <w:rFonts w:hint="eastAsia" w:ascii="宋体" w:hAnsi="宋体" w:cs="宋体"/>
          <w:color w:val="auto"/>
          <w:sz w:val="24"/>
          <w:szCs w:val="24"/>
        </w:rPr>
        <w:t>”中的总价与磋商的其他文件中的总价不一致，以“</w:t>
      </w:r>
      <w:r>
        <w:rPr>
          <w:rFonts w:hint="eastAsia" w:ascii="宋体" w:hAnsi="宋体" w:cs="宋体"/>
          <w:color w:val="auto"/>
          <w:sz w:val="24"/>
          <w:szCs w:val="24"/>
          <w:lang w:eastAsia="zh-CN"/>
        </w:rPr>
        <w:t>磋商报价一览表</w:t>
      </w:r>
      <w:r>
        <w:rPr>
          <w:rFonts w:hint="eastAsia" w:ascii="宋体" w:hAnsi="宋体" w:cs="宋体"/>
          <w:color w:val="auto"/>
          <w:sz w:val="24"/>
          <w:szCs w:val="24"/>
        </w:rPr>
        <w:t>”中的总价为准。如果供应商不接受对其错误的更正，其磋商将被拒绝。</w:t>
      </w:r>
    </w:p>
    <w:p w14:paraId="72BE306D">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.3对于竞争性磋商响应文件中明显的标点符号错误或不构成实质性偏差的不正规、不一致或不规则，招标方可以接受。</w:t>
      </w:r>
    </w:p>
    <w:p w14:paraId="03C6DE71">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磋商小组要审查每份竞争性磋商响应文件是否实质上响应了竞争性磋商文件的要求。实质上响应的磋商</w:t>
      </w:r>
      <w:r>
        <w:rPr>
          <w:rFonts w:hint="eastAsia" w:ascii="宋体" w:hAnsi="宋体" w:cs="宋体"/>
          <w:color w:val="auto"/>
          <w:sz w:val="24"/>
          <w:szCs w:val="24"/>
          <w:lang w:val="en-US" w:eastAsia="zh-CN"/>
        </w:rPr>
        <w:t>文件</w:t>
      </w:r>
      <w:r>
        <w:rPr>
          <w:rFonts w:hint="eastAsia" w:ascii="宋体" w:hAnsi="宋体" w:cs="宋体"/>
          <w:color w:val="auto"/>
          <w:sz w:val="24"/>
          <w:szCs w:val="24"/>
        </w:rPr>
        <w:t>应该是与竞争性磋商文件要求的全部条款、条件和规格参数相符，完全响应，不得负偏离。对关键条文的偏离、保留或反对将被认为是实质上的偏离。磋商小组决定磋商的响应性只根据磋商响应文件本身的内容，而不寻求外部的证据。</w:t>
      </w:r>
    </w:p>
    <w:p w14:paraId="038BCA53">
      <w:pPr>
        <w:keepNext w:val="0"/>
        <w:keepLines w:val="0"/>
        <w:widowControl/>
        <w:suppressLineNumbers w:val="0"/>
        <w:spacing w:line="360" w:lineRule="auto"/>
        <w:ind w:firstLine="480" w:firstLineChars="200"/>
        <w:jc w:val="left"/>
        <w:outlineLvl w:val="9"/>
        <w:rPr>
          <w:rFonts w:hint="eastAsia" w:ascii="宋体" w:hAnsi="宋体" w:eastAsia="宋体" w:cs="宋体"/>
          <w:color w:val="auto"/>
          <w:kern w:val="0"/>
          <w:sz w:val="24"/>
          <w:szCs w:val="24"/>
          <w:lang w:val="en-US" w:eastAsia="zh-CN" w:bidi="ar"/>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.5实质上没有响应竞争性磋商文件要求的磋商将被按无效投标处理。供应商不得通过修正或撤销不合要求的偏离从而使其磋商成为实质性响应的磋商。</w:t>
      </w:r>
    </w:p>
    <w:p w14:paraId="6D0EAE09">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ascii="宋体" w:hAnsi="宋体" w:cs="宋体"/>
          <w:color w:val="auto"/>
          <w:sz w:val="24"/>
          <w:szCs w:val="24"/>
        </w:rPr>
        <w:t>竞争性磋商响应文件的详细评审</w:t>
      </w:r>
    </w:p>
    <w:p w14:paraId="2E9542B3">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磋商小组只对确定为实质性响应竞争性磋商文件要求的磋商响应文件进行详细评审。</w:t>
      </w:r>
    </w:p>
    <w:p w14:paraId="3CC4954A">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22</w:t>
      </w:r>
      <w:r>
        <w:rPr>
          <w:rFonts w:hint="eastAsia" w:ascii="宋体" w:hAnsi="宋体" w:cs="宋体"/>
          <w:color w:val="auto"/>
          <w:sz w:val="24"/>
          <w:szCs w:val="24"/>
        </w:rPr>
        <w:t>.3.</w:t>
      </w:r>
      <w:r>
        <w:rPr>
          <w:rFonts w:hint="eastAsia" w:ascii="宋体" w:hAnsi="宋体" w:cs="宋体"/>
          <w:color w:val="auto"/>
          <w:sz w:val="24"/>
          <w:szCs w:val="24"/>
          <w:lang w:val="en-US" w:eastAsia="zh-CN"/>
        </w:rPr>
        <w:t>6</w:t>
      </w:r>
      <w:r>
        <w:rPr>
          <w:rFonts w:hint="eastAsia" w:ascii="宋体" w:hAnsi="宋体" w:cs="宋体"/>
          <w:color w:val="auto"/>
          <w:sz w:val="24"/>
          <w:szCs w:val="24"/>
        </w:rPr>
        <w:t>成交候选人的确定</w:t>
      </w:r>
    </w:p>
    <w:p w14:paraId="54936B91">
      <w:pPr>
        <w:spacing w:line="360" w:lineRule="auto"/>
        <w:ind w:firstLine="480" w:firstLineChars="200"/>
        <w:outlineLvl w:val="9"/>
        <w:rPr>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6</w:t>
      </w:r>
      <w:r>
        <w:rPr>
          <w:rFonts w:hint="eastAsia" w:ascii="宋体" w:hAnsi="宋体" w:cs="宋体"/>
          <w:color w:val="auto"/>
          <w:sz w:val="24"/>
          <w:szCs w:val="24"/>
        </w:rPr>
        <w:t>.1磋商小组依据本磋商文件“评标方法”，对竞争性磋商响应文件进行评审和比较，向</w:t>
      </w:r>
      <w:r>
        <w:rPr>
          <w:rFonts w:hint="eastAsia" w:ascii="宋体" w:hAnsi="宋体" w:cs="宋体"/>
          <w:color w:val="auto"/>
          <w:sz w:val="24"/>
          <w:szCs w:val="24"/>
          <w:lang w:eastAsia="zh-CN"/>
        </w:rPr>
        <w:t>采购人</w:t>
      </w:r>
      <w:r>
        <w:rPr>
          <w:rFonts w:hint="eastAsia" w:ascii="宋体" w:hAnsi="宋体" w:cs="宋体"/>
          <w:color w:val="auto"/>
          <w:sz w:val="24"/>
          <w:szCs w:val="24"/>
        </w:rPr>
        <w:t>提交书面评标报告，并推荐</w:t>
      </w:r>
      <w:r>
        <w:rPr>
          <w:rFonts w:hint="eastAsia" w:ascii="宋体" w:hAnsi="宋体" w:cs="宋体"/>
          <w:color w:val="auto"/>
          <w:sz w:val="24"/>
          <w:szCs w:val="24"/>
          <w:lang w:val="en-US" w:eastAsia="zh-CN"/>
        </w:rPr>
        <w:t>1-3名</w:t>
      </w:r>
      <w:r>
        <w:rPr>
          <w:rFonts w:hint="eastAsia" w:ascii="宋体" w:hAnsi="宋体" w:cs="宋体"/>
          <w:color w:val="auto"/>
          <w:sz w:val="24"/>
          <w:szCs w:val="24"/>
        </w:rPr>
        <w:t>供应商为成交候选人。</w:t>
      </w:r>
    </w:p>
    <w:p w14:paraId="6F53CB6A">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2</w:t>
      </w:r>
      <w:r>
        <w:rPr>
          <w:rFonts w:hint="eastAsia" w:ascii="宋体" w:hAnsi="宋体" w:cs="宋体"/>
          <w:color w:val="auto"/>
          <w:sz w:val="24"/>
          <w:szCs w:val="24"/>
        </w:rPr>
        <w:t>.3.</w:t>
      </w:r>
      <w:r>
        <w:rPr>
          <w:rFonts w:hint="eastAsia" w:ascii="宋体" w:hAnsi="宋体" w:cs="宋体"/>
          <w:color w:val="auto"/>
          <w:sz w:val="24"/>
          <w:szCs w:val="24"/>
          <w:lang w:val="en-US" w:eastAsia="zh-CN"/>
        </w:rPr>
        <w:t>6</w:t>
      </w:r>
      <w:r>
        <w:rPr>
          <w:rFonts w:hint="eastAsia" w:ascii="宋体" w:hAnsi="宋体" w:cs="宋体"/>
          <w:color w:val="auto"/>
          <w:sz w:val="24"/>
          <w:szCs w:val="24"/>
        </w:rPr>
        <w:t xml:space="preserve">.2 </w:t>
      </w:r>
      <w:r>
        <w:rPr>
          <w:rFonts w:hint="eastAsia" w:ascii="宋体" w:hAnsi="宋体" w:cs="宋体"/>
          <w:color w:val="auto"/>
          <w:sz w:val="24"/>
          <w:szCs w:val="24"/>
          <w:lang w:eastAsia="zh-CN"/>
        </w:rPr>
        <w:t>采购人</w:t>
      </w:r>
      <w:r>
        <w:rPr>
          <w:rFonts w:hint="eastAsia" w:ascii="宋体" w:hAnsi="宋体" w:cs="宋体"/>
          <w:color w:val="auto"/>
          <w:sz w:val="24"/>
          <w:szCs w:val="24"/>
        </w:rPr>
        <w:t>根据磋商小组提交的评标报告和推荐的成交候选人确定成交供应商。</w:t>
      </w:r>
    </w:p>
    <w:p w14:paraId="38279741">
      <w:pPr>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经评审，认为有效</w:t>
      </w:r>
      <w:r>
        <w:rPr>
          <w:rFonts w:hint="eastAsia" w:ascii="宋体" w:hAnsi="宋体" w:eastAsia="宋体" w:cs="宋体"/>
          <w:color w:val="auto"/>
          <w:sz w:val="24"/>
          <w:szCs w:val="24"/>
          <w:lang w:eastAsia="zh-CN"/>
        </w:rPr>
        <w:t>供应商</w:t>
      </w:r>
      <w:r>
        <w:rPr>
          <w:rFonts w:hint="eastAsia" w:ascii="宋体" w:hAnsi="宋体" w:cs="宋体"/>
          <w:color w:val="auto"/>
          <w:sz w:val="24"/>
          <w:szCs w:val="24"/>
          <w:lang w:val="en-US" w:eastAsia="zh-CN"/>
        </w:rPr>
        <w:t>不足3</w:t>
      </w:r>
      <w:r>
        <w:rPr>
          <w:rFonts w:hint="eastAsia" w:ascii="宋体" w:hAnsi="宋体" w:eastAsia="宋体" w:cs="宋体"/>
          <w:color w:val="auto"/>
          <w:sz w:val="24"/>
          <w:szCs w:val="24"/>
        </w:rPr>
        <w:t>家的，可以否决本次</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、投标。所有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被否决后，招标人应当依法重新招标。</w:t>
      </w:r>
    </w:p>
    <w:p w14:paraId="6B248CF8">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提交最后报价的供应商为2家时，可以继续进行磋商的情形：</w:t>
      </w:r>
    </w:p>
    <w:p w14:paraId="2B39CA11">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（一）市场竞争不充分的科研项目，以及需要扶持的科技成果转化项目；</w:t>
      </w:r>
    </w:p>
    <w:p w14:paraId="0F879698">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jc w:val="left"/>
        <w:textAlignment w:val="auto"/>
        <w:outlineLvl w:val="9"/>
        <w:rPr>
          <w:rFonts w:hint="eastAsia"/>
          <w:color w:val="auto"/>
          <w:sz w:val="24"/>
          <w:szCs w:val="24"/>
        </w:rPr>
      </w:pPr>
      <w:bookmarkStart w:id="155" w:name="_Toc20079"/>
      <w:r>
        <w:rPr>
          <w:rFonts w:hint="eastAsia" w:ascii="宋体" w:hAnsi="宋体" w:eastAsia="宋体" w:cs="宋体"/>
          <w:color w:val="auto"/>
          <w:sz w:val="24"/>
          <w:szCs w:val="24"/>
        </w:rPr>
        <w:t>（二）政府购买服务项目（含政府和社会资本项目）。</w:t>
      </w:r>
      <w:bookmarkEnd w:id="155"/>
    </w:p>
    <w:p w14:paraId="74406B0C">
      <w:pPr>
        <w:pStyle w:val="45"/>
        <w:adjustRightInd w:val="0"/>
        <w:spacing w:line="360" w:lineRule="auto"/>
        <w:outlineLvl w:val="9"/>
        <w:rPr>
          <w:rFonts w:ascii="宋体" w:hAnsi="宋体" w:eastAsia="宋体"/>
          <w:color w:val="auto"/>
          <w:sz w:val="24"/>
          <w:szCs w:val="24"/>
        </w:rPr>
      </w:pPr>
      <w:r>
        <w:rPr>
          <w:rFonts w:hint="eastAsia" w:ascii="宋体" w:hAnsi="宋体" w:eastAsia="宋体"/>
          <w:b/>
          <w:color w:val="auto"/>
          <w:sz w:val="24"/>
          <w:szCs w:val="24"/>
        </w:rPr>
        <w:t>2</w:t>
      </w:r>
      <w:r>
        <w:rPr>
          <w:rFonts w:hint="eastAsia" w:ascii="宋体" w:hAnsi="宋体" w:eastAsia="宋体"/>
          <w:b/>
          <w:color w:val="auto"/>
          <w:sz w:val="24"/>
          <w:szCs w:val="24"/>
          <w:lang w:val="en-US" w:eastAsia="zh-CN"/>
        </w:rPr>
        <w:t>3</w:t>
      </w:r>
      <w:r>
        <w:rPr>
          <w:rFonts w:hint="eastAsia" w:ascii="宋体" w:hAnsi="宋体" w:eastAsia="宋体"/>
          <w:b/>
          <w:color w:val="auto"/>
          <w:sz w:val="24"/>
          <w:szCs w:val="24"/>
        </w:rPr>
        <w:t>、评审过程的保密</w:t>
      </w:r>
    </w:p>
    <w:p w14:paraId="4FF23F89">
      <w:pPr>
        <w:adjustRightInd w:val="0"/>
        <w:snapToGrid w:val="0"/>
        <w:spacing w:line="360" w:lineRule="auto"/>
        <w:ind w:firstLine="480" w:firstLineChars="200"/>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（1）磋商后，直至授予成交人合同为止，凡属于对竞争性磋商响应文件的审查、补遗、评价和比较的有关资料以及成交人候选人的推荐情况等均严格保密。</w:t>
      </w:r>
    </w:p>
    <w:p w14:paraId="78CE731F">
      <w:pPr>
        <w:adjustRightInd w:val="0"/>
        <w:snapToGrid w:val="0"/>
        <w:spacing w:line="360" w:lineRule="auto"/>
        <w:ind w:firstLine="480" w:firstLineChars="200"/>
        <w:outlineLvl w:val="9"/>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（2）在竞争性磋商响应文件的评审、成交人候选人推荐以及授予合同的过程中，供应商向</w:t>
      </w:r>
      <w:r>
        <w:rPr>
          <w:rFonts w:hint="eastAsia" w:asciiTheme="minorEastAsia" w:hAnsiTheme="minorEastAsia" w:eastAsiaTheme="minorEastAsia" w:cstheme="minorEastAsia"/>
          <w:color w:val="auto"/>
          <w:kern w:val="0"/>
          <w:sz w:val="24"/>
          <w:szCs w:val="24"/>
          <w:lang w:eastAsia="zh-CN"/>
        </w:rPr>
        <w:t>采购人</w:t>
      </w:r>
      <w:r>
        <w:rPr>
          <w:rFonts w:hint="eastAsia" w:asciiTheme="minorEastAsia" w:hAnsiTheme="minorEastAsia" w:eastAsiaTheme="minorEastAsia" w:cstheme="minorEastAsia"/>
          <w:color w:val="auto"/>
          <w:kern w:val="0"/>
          <w:sz w:val="24"/>
          <w:szCs w:val="24"/>
        </w:rPr>
        <w:t>和磋商小组施加影响的任何行为，都将会导致其磋商被拒绝直至取消其成交资格。</w:t>
      </w:r>
    </w:p>
    <w:p w14:paraId="119F1556">
      <w:pPr>
        <w:adjustRightInd w:val="0"/>
        <w:snapToGrid w:val="0"/>
        <w:spacing w:line="360" w:lineRule="auto"/>
        <w:ind w:firstLine="480" w:firstLineChars="200"/>
        <w:outlineLvl w:val="9"/>
        <w:rPr>
          <w:color w:val="auto"/>
          <w:sz w:val="24"/>
          <w:szCs w:val="24"/>
        </w:rPr>
      </w:pPr>
      <w:r>
        <w:rPr>
          <w:rFonts w:hint="eastAsia" w:asciiTheme="minorEastAsia" w:hAnsiTheme="minorEastAsia" w:eastAsiaTheme="minorEastAsia" w:cstheme="minorEastAsia"/>
          <w:color w:val="auto"/>
          <w:kern w:val="0"/>
          <w:sz w:val="24"/>
          <w:szCs w:val="24"/>
        </w:rPr>
        <w:t>（3）成交人确定后，</w:t>
      </w:r>
      <w:r>
        <w:rPr>
          <w:rFonts w:hint="eastAsia" w:asciiTheme="minorEastAsia" w:hAnsiTheme="minorEastAsia" w:eastAsiaTheme="minorEastAsia" w:cstheme="minorEastAsia"/>
          <w:color w:val="auto"/>
          <w:kern w:val="0"/>
          <w:sz w:val="24"/>
          <w:szCs w:val="24"/>
          <w:lang w:eastAsia="zh-CN"/>
        </w:rPr>
        <w:t>采购人</w:t>
      </w:r>
      <w:r>
        <w:rPr>
          <w:rFonts w:hint="eastAsia" w:asciiTheme="minorEastAsia" w:hAnsiTheme="minorEastAsia" w:eastAsiaTheme="minorEastAsia" w:cstheme="minorEastAsia"/>
          <w:color w:val="auto"/>
          <w:kern w:val="0"/>
          <w:sz w:val="24"/>
          <w:szCs w:val="24"/>
        </w:rPr>
        <w:t>不对未成</w:t>
      </w:r>
      <w:r>
        <w:rPr>
          <w:rFonts w:hint="eastAsia" w:asciiTheme="minorEastAsia" w:hAnsiTheme="minorEastAsia" w:eastAsiaTheme="minorEastAsia" w:cstheme="minorEastAsia"/>
          <w:b/>
          <w:bCs/>
          <w:color w:val="auto"/>
          <w:kern w:val="0"/>
          <w:sz w:val="24"/>
          <w:szCs w:val="24"/>
        </w:rPr>
        <w:t>交</w:t>
      </w:r>
      <w:r>
        <w:rPr>
          <w:rFonts w:hint="eastAsia" w:asciiTheme="minorEastAsia" w:hAnsiTheme="minorEastAsia" w:eastAsiaTheme="minorEastAsia" w:cstheme="minorEastAsia"/>
          <w:color w:val="auto"/>
          <w:kern w:val="0"/>
          <w:sz w:val="24"/>
          <w:szCs w:val="24"/>
        </w:rPr>
        <w:t>人就评审过程以及未能成交原因作出任何解释。未成交人不得向磋商小组组成人员或其他有关人员索问评审过程的情况和材料。</w:t>
      </w:r>
    </w:p>
    <w:p w14:paraId="7084F466">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rPr>
        <w:t>2</w:t>
      </w:r>
      <w:r>
        <w:rPr>
          <w:rFonts w:hint="eastAsia" w:ascii="宋体" w:hAnsi="宋体" w:eastAsia="宋体"/>
          <w:b/>
          <w:color w:val="auto"/>
          <w:sz w:val="24"/>
          <w:szCs w:val="24"/>
          <w:lang w:val="en-US" w:eastAsia="zh-CN"/>
        </w:rPr>
        <w:t>4</w:t>
      </w:r>
      <w:r>
        <w:rPr>
          <w:rFonts w:hint="eastAsia" w:ascii="宋体" w:hAnsi="宋体" w:eastAsia="宋体"/>
          <w:b/>
          <w:color w:val="auto"/>
          <w:sz w:val="24"/>
          <w:szCs w:val="24"/>
        </w:rPr>
        <w:t>、评审方法</w:t>
      </w:r>
    </w:p>
    <w:p w14:paraId="1FA8255C">
      <w:pPr>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6</w:t>
      </w:r>
      <w:r>
        <w:rPr>
          <w:rFonts w:hint="eastAsia" w:ascii="宋体" w:hAnsi="宋体" w:cs="宋体"/>
          <w:color w:val="auto"/>
          <w:sz w:val="24"/>
          <w:szCs w:val="24"/>
        </w:rPr>
        <w:t>.1</w:t>
      </w:r>
      <w:r>
        <w:rPr>
          <w:rFonts w:hint="eastAsia" w:hAnsi="宋体"/>
          <w:color w:val="auto"/>
          <w:sz w:val="24"/>
          <w:szCs w:val="24"/>
        </w:rPr>
        <w:t>按照中华人民共和国财政部第</w:t>
      </w:r>
      <w:r>
        <w:rPr>
          <w:rFonts w:hint="eastAsia" w:hAnsi="宋体"/>
          <w:color w:val="auto"/>
          <w:sz w:val="24"/>
          <w:szCs w:val="24"/>
          <w:lang w:val="en-US" w:eastAsia="zh-CN"/>
        </w:rPr>
        <w:t>87</w:t>
      </w:r>
      <w:r>
        <w:rPr>
          <w:rFonts w:hint="eastAsia" w:hAnsi="宋体"/>
          <w:color w:val="auto"/>
          <w:sz w:val="24"/>
          <w:szCs w:val="24"/>
        </w:rPr>
        <w:t>号部长令--《政府采购货物和服务招标投标管理办法》、关于印发《政府采购竞争性磋商采购方式管理暂行办法》的通知财库【2014】214号，本次评审采用综合评分法，即在全部满足竞争性磋商文件实质性要求前提下，磋商小组应当根据综合评分情况，按照评审得分高低顺序推存一至三名成交候选供应商。</w:t>
      </w:r>
    </w:p>
    <w:p w14:paraId="1AACBD9F">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rPr>
        <w:t>2</w:t>
      </w:r>
      <w:r>
        <w:rPr>
          <w:rFonts w:hint="eastAsia" w:ascii="宋体" w:hAnsi="宋体" w:eastAsia="宋体"/>
          <w:b/>
          <w:color w:val="auto"/>
          <w:sz w:val="24"/>
          <w:szCs w:val="24"/>
          <w:lang w:val="en-US" w:eastAsia="zh-CN"/>
        </w:rPr>
        <w:t>5</w:t>
      </w:r>
      <w:r>
        <w:rPr>
          <w:rFonts w:hint="eastAsia" w:ascii="宋体" w:hAnsi="宋体" w:eastAsia="宋体"/>
          <w:b/>
          <w:color w:val="auto"/>
          <w:sz w:val="24"/>
          <w:szCs w:val="24"/>
        </w:rPr>
        <w:t>、评审程序</w:t>
      </w:r>
    </w:p>
    <w:p w14:paraId="36E2F0C5">
      <w:pPr>
        <w:pStyle w:val="23"/>
        <w:widowControl w:val="0"/>
        <w:adjustRightInd w:val="0"/>
        <w:snapToGrid w:val="0"/>
        <w:spacing w:before="0" w:beforeAutospacing="0" w:after="0" w:afterAutospacing="0" w:line="360" w:lineRule="auto"/>
        <w:ind w:firstLine="480" w:firstLineChars="200"/>
        <w:jc w:val="both"/>
        <w:outlineLvl w:val="9"/>
        <w:rPr>
          <w:rFonts w:ascii="Times New Roman" w:hAnsi="Times New Roman"/>
          <w:color w:val="auto"/>
          <w:kern w:val="2"/>
          <w:sz w:val="24"/>
          <w:szCs w:val="24"/>
          <w:lang w:bidi="ar"/>
        </w:rPr>
      </w:pPr>
      <w:r>
        <w:rPr>
          <w:rFonts w:hint="eastAsia"/>
          <w:color w:val="auto"/>
          <w:sz w:val="24"/>
          <w:szCs w:val="24"/>
        </w:rPr>
        <w:t>2</w:t>
      </w:r>
      <w:r>
        <w:rPr>
          <w:rFonts w:hint="eastAsia"/>
          <w:color w:val="auto"/>
          <w:sz w:val="24"/>
          <w:szCs w:val="24"/>
          <w:lang w:val="en-US" w:eastAsia="zh-CN"/>
        </w:rPr>
        <w:t>7</w:t>
      </w:r>
      <w:r>
        <w:rPr>
          <w:rFonts w:hint="eastAsia"/>
          <w:color w:val="auto"/>
          <w:sz w:val="24"/>
          <w:szCs w:val="24"/>
        </w:rPr>
        <w:t>.1按照竞争性磋商响应文件初审、澄清有关问题、分别磋商、符合二次报价条件的供应商进行二次报价（所有报价在公示前均不公开宣布）、比较与评</w:t>
      </w:r>
      <w:r>
        <w:rPr>
          <w:rFonts w:hint="eastAsia" w:ascii="Times New Roman" w:hAnsi="Times New Roman"/>
          <w:color w:val="auto"/>
          <w:kern w:val="2"/>
          <w:sz w:val="24"/>
          <w:szCs w:val="24"/>
          <w:lang w:bidi="ar"/>
        </w:rPr>
        <w:t>审、推荐成交候选供应商名单的工作程序进行评审。在上一步评审中被认定为无效磋商者，不进入下一步的评审。</w:t>
      </w:r>
    </w:p>
    <w:p w14:paraId="2EB419C6">
      <w:pPr>
        <w:pStyle w:val="45"/>
        <w:adjustRightInd w:val="0"/>
        <w:snapToGrid w:val="0"/>
        <w:spacing w:line="360" w:lineRule="auto"/>
        <w:outlineLvl w:val="9"/>
        <w:rPr>
          <w:rFonts w:ascii="宋体" w:hAnsi="宋体" w:eastAsia="宋体"/>
          <w:b/>
          <w:color w:val="auto"/>
          <w:sz w:val="24"/>
          <w:szCs w:val="24"/>
        </w:rPr>
      </w:pPr>
      <w:r>
        <w:rPr>
          <w:rFonts w:hint="eastAsia" w:ascii="宋体" w:hAnsi="宋体" w:eastAsia="宋体"/>
          <w:b/>
          <w:color w:val="auto"/>
          <w:sz w:val="24"/>
          <w:szCs w:val="24"/>
          <w:lang w:val="en-US" w:eastAsia="zh-CN"/>
        </w:rPr>
        <w:t>26</w:t>
      </w:r>
      <w:r>
        <w:rPr>
          <w:rFonts w:hint="eastAsia" w:ascii="宋体" w:hAnsi="宋体" w:eastAsia="宋体"/>
          <w:b/>
          <w:color w:val="auto"/>
          <w:sz w:val="24"/>
          <w:szCs w:val="24"/>
        </w:rPr>
        <w:t>、质疑提出与答复</w:t>
      </w:r>
    </w:p>
    <w:p w14:paraId="533666F6">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供应商如果认为采购程序、采购过程或中标结果使自身的合法权益受到损害，可以在知道或者应知其权益受到损害之日起7个工作日内，以书面形式向采购代理机构提出。</w:t>
      </w:r>
    </w:p>
    <w:p w14:paraId="689C0938">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1、供应商提出质疑应当提交质疑函和必要的证明材料，并按财政部《质疑函范本》给定的格式进行填写，范本下载详见【财政部国库司（gks.mof.gov.cn）】网站〖首页•〉政府采购管理〗栏目中的《政府采购供应商质疑函范本》。</w:t>
      </w:r>
    </w:p>
    <w:p w14:paraId="06848037">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《政府采购供应商质疑函范本》链接地址：</w:t>
      </w:r>
    </w:p>
    <w:p w14:paraId="678E0BC5">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http://www.mof.gov.cn/gp/xxgkml/gks/201802/t20180201_2804587.htm</w:t>
      </w:r>
    </w:p>
    <w:p w14:paraId="70BC83E2">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46280861">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2.1质疑函应当包括下列内容：</w:t>
      </w:r>
    </w:p>
    <w:p w14:paraId="4D331EE9">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（1）</w:t>
      </w:r>
      <w:r>
        <w:rPr>
          <w:rFonts w:hint="eastAsia"/>
          <w:color w:val="auto"/>
          <w:sz w:val="24"/>
          <w:szCs w:val="24"/>
          <w:lang w:val="zh-CN"/>
        </w:rPr>
        <w:t>投标人</w:t>
      </w:r>
      <w:r>
        <w:rPr>
          <w:rFonts w:hint="eastAsia"/>
          <w:color w:val="auto"/>
          <w:sz w:val="24"/>
          <w:szCs w:val="24"/>
        </w:rPr>
        <w:t>的姓名或者名称、地址、邮编、联系人及联系电话；</w:t>
      </w:r>
    </w:p>
    <w:p w14:paraId="104B5A16">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（2）质疑项目的名称、编号；</w:t>
      </w:r>
    </w:p>
    <w:p w14:paraId="1DDA76F0">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（3）具体、明确的质疑事项和与质疑事项相关的请求；</w:t>
      </w:r>
    </w:p>
    <w:p w14:paraId="0F780923">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（4）事实依据；</w:t>
      </w:r>
    </w:p>
    <w:p w14:paraId="6CB15511">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（5）必要的法律依据；</w:t>
      </w:r>
    </w:p>
    <w:p w14:paraId="257846D2">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 xml:space="preserve">（6）提出质疑的日期。 </w:t>
      </w:r>
    </w:p>
    <w:p w14:paraId="1DD80C84">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3、在法定质疑期内，针对同一采购程序环节的质疑应当一次性提出。采购代理机构或采购人将在收到书面质疑后7个工作日内做出答复，并以书面形式通知质疑人和其他有关供应商。</w:t>
      </w:r>
    </w:p>
    <w:p w14:paraId="0EB2DD78">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4、有下列情形之一的，属于无效质疑，采购代理机构和采购人不予受理：</w:t>
      </w:r>
    </w:p>
    <w:p w14:paraId="3FA12599">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（1）质疑人不是参与本次政府采购项目的供应商或潜在供应商；</w:t>
      </w:r>
    </w:p>
    <w:p w14:paraId="01E15F5D">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（2）质疑人与质疑事项不存在利害关系的；</w:t>
      </w:r>
    </w:p>
    <w:p w14:paraId="51852FE2">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（3）未在法定期限内提出质疑的；</w:t>
      </w:r>
    </w:p>
    <w:p w14:paraId="72ECA9F1">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（4）质疑未以书面形式提出，或质疑函主要内容构成不完整的，或缺乏必要的证明材料及证明材料不完整的；</w:t>
      </w:r>
    </w:p>
    <w:p w14:paraId="7A6764B0">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（5）质疑函没有合法有效的签字、盖章或授权的；</w:t>
      </w:r>
    </w:p>
    <w:p w14:paraId="6EE79C88">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（6）以非法手段取得证据、材料的；</w:t>
      </w:r>
    </w:p>
    <w:p w14:paraId="6102E60E">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（7）质疑答复后，同一质疑人就同一事项再次提出质疑的；</w:t>
      </w:r>
    </w:p>
    <w:p w14:paraId="72435BFA">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（8）不符合法律、法规、规章和政府采购监管机构规定的其他条件的。</w:t>
      </w:r>
    </w:p>
    <w:p w14:paraId="27CCCF00">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5、质疑人对采购代理机构或采购人的答复不满意，以及采购代理机构或采购人未在规定时间内做出答复的，可以在答复期满后15个工作日内向政府采购监管机构提出投诉。</w:t>
      </w:r>
    </w:p>
    <w:p w14:paraId="71DD2FBC">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6、供应商投诉的事项不得超出已质疑事项的范围。</w:t>
      </w:r>
    </w:p>
    <w:p w14:paraId="05CA6249">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7、对捏造事实、提供虚假材料进行质疑、投诉的行为予以严肃处理：</w:t>
      </w:r>
    </w:p>
    <w:p w14:paraId="4A879BB2">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14:paraId="25DEE0CD">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8、对捏造事实诬告陷害他人、诽谤他人的法律适用：</w:t>
      </w:r>
    </w:p>
    <w:p w14:paraId="74B58CCF">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1362E5F1">
      <w:pPr>
        <w:pStyle w:val="23"/>
        <w:adjustRightInd w:val="0"/>
        <w:snapToGrid w:val="0"/>
        <w:spacing w:before="0" w:beforeAutospacing="0" w:after="0" w:afterAutospacing="0" w:line="500" w:lineRule="exact"/>
        <w:ind w:firstLine="360" w:firstLineChars="150"/>
        <w:outlineLvl w:val="9"/>
        <w:rPr>
          <w:rFonts w:hint="eastAsia"/>
          <w:color w:val="auto"/>
          <w:sz w:val="24"/>
          <w:szCs w:val="24"/>
        </w:rPr>
      </w:pPr>
      <w:r>
        <w:rPr>
          <w:rFonts w:hint="eastAsia"/>
          <w:color w:val="auto"/>
          <w:sz w:val="24"/>
          <w:szCs w:val="24"/>
        </w:rPr>
        <w:t>《中华人民共和国刑法》第246条【侮辱罪、诽谤罪】以暴力或者其他方法公然侮辱他人或者捏造事实诽谤他人，情节严重的，处三年以下有期徒刑、拘役、管制或者剥夺政治权利。</w:t>
      </w:r>
    </w:p>
    <w:p w14:paraId="64B6E6B9">
      <w:pPr>
        <w:pStyle w:val="23"/>
        <w:numPr>
          <w:ilvl w:val="0"/>
          <w:numId w:val="3"/>
        </w:numPr>
        <w:adjustRightInd w:val="0"/>
        <w:snapToGrid w:val="0"/>
        <w:spacing w:before="0" w:beforeAutospacing="0" w:after="0" w:afterAutospacing="0" w:line="500" w:lineRule="exact"/>
        <w:ind w:firstLine="360" w:firstLineChars="150"/>
        <w:outlineLvl w:val="9"/>
        <w:rPr>
          <w:rFonts w:hint="eastAsia" w:ascii="宋体" w:hAnsi="宋体" w:eastAsia="宋体" w:cs="宋体"/>
          <w:color w:val="auto"/>
          <w:kern w:val="0"/>
          <w:sz w:val="24"/>
          <w:szCs w:val="24"/>
          <w:lang w:val="en-US" w:eastAsia="zh-CN" w:bidi="ar-SA"/>
        </w:rPr>
      </w:pPr>
      <w:r>
        <w:rPr>
          <w:rFonts w:hint="eastAsia"/>
          <w:color w:val="auto"/>
          <w:sz w:val="24"/>
          <w:szCs w:val="24"/>
        </w:rPr>
        <w:t>质疑函递交地址：</w:t>
      </w:r>
      <w:r>
        <w:rPr>
          <w:rFonts w:hint="eastAsia" w:cs="宋体"/>
          <w:color w:val="auto"/>
          <w:kern w:val="0"/>
          <w:sz w:val="24"/>
          <w:szCs w:val="24"/>
          <w:lang w:val="en-US" w:eastAsia="zh-CN" w:bidi="ar-SA"/>
        </w:rPr>
        <w:t>榆林市通达路高科城A座7楼东户3室</w:t>
      </w:r>
    </w:p>
    <w:p w14:paraId="7098E531">
      <w:pPr>
        <w:pStyle w:val="23"/>
        <w:numPr>
          <w:ilvl w:val="0"/>
          <w:numId w:val="3"/>
        </w:numPr>
        <w:adjustRightInd w:val="0"/>
        <w:snapToGrid w:val="0"/>
        <w:spacing w:before="0" w:beforeAutospacing="0" w:after="0" w:afterAutospacing="0" w:line="500" w:lineRule="exact"/>
        <w:ind w:firstLine="360" w:firstLineChars="150"/>
        <w:outlineLvl w:val="9"/>
        <w:rPr>
          <w:rFonts w:hint="eastAsia" w:ascii="Calibri" w:hAnsi="Calibri"/>
          <w:color w:val="auto"/>
          <w:sz w:val="24"/>
          <w:szCs w:val="24"/>
        </w:rPr>
      </w:pPr>
      <w:r>
        <w:rPr>
          <w:rFonts w:hint="eastAsia" w:ascii="Calibri" w:hAnsi="Calibri"/>
          <w:color w:val="auto"/>
          <w:sz w:val="24"/>
          <w:szCs w:val="24"/>
        </w:rPr>
        <w:t>联系人：</w:t>
      </w:r>
      <w:r>
        <w:rPr>
          <w:rFonts w:hint="eastAsia" w:ascii="Calibri" w:hAnsi="Calibri"/>
          <w:color w:val="auto"/>
          <w:sz w:val="24"/>
          <w:szCs w:val="24"/>
          <w:lang w:val="en-US" w:eastAsia="zh-CN"/>
        </w:rPr>
        <w:t>陕西众信玖鼎项目管理有限责任公司</w:t>
      </w:r>
    </w:p>
    <w:p w14:paraId="43386EAC">
      <w:pPr>
        <w:pStyle w:val="23"/>
        <w:adjustRightInd w:val="0"/>
        <w:snapToGrid w:val="0"/>
        <w:spacing w:before="0" w:beforeAutospacing="0" w:after="0" w:afterAutospacing="0" w:line="500" w:lineRule="exact"/>
        <w:ind w:firstLine="840" w:firstLineChars="350"/>
        <w:outlineLvl w:val="9"/>
        <w:rPr>
          <w:rFonts w:hint="default" w:eastAsia="宋体"/>
          <w:color w:val="auto"/>
          <w:sz w:val="24"/>
          <w:szCs w:val="24"/>
          <w:lang w:val="en-US" w:eastAsia="zh-CN"/>
        </w:rPr>
      </w:pPr>
      <w:r>
        <w:rPr>
          <w:rFonts w:hint="eastAsia" w:ascii="Calibri" w:hAnsi="Calibri"/>
          <w:color w:val="auto"/>
          <w:sz w:val="24"/>
          <w:szCs w:val="24"/>
        </w:rPr>
        <w:t>联系</w:t>
      </w:r>
      <w:r>
        <w:rPr>
          <w:rFonts w:hint="eastAsia"/>
          <w:color w:val="auto"/>
          <w:sz w:val="24"/>
          <w:szCs w:val="24"/>
        </w:rPr>
        <w:t>方式：</w:t>
      </w:r>
      <w:r>
        <w:rPr>
          <w:rFonts w:hint="eastAsia"/>
          <w:color w:val="auto"/>
          <w:sz w:val="24"/>
          <w:szCs w:val="24"/>
          <w:lang w:val="en-US" w:eastAsia="zh-CN"/>
        </w:rPr>
        <w:t>17709120240</w:t>
      </w:r>
    </w:p>
    <w:p w14:paraId="44ADE490">
      <w:pPr>
        <w:pStyle w:val="23"/>
        <w:adjustRightInd w:val="0"/>
        <w:snapToGrid w:val="0"/>
        <w:spacing w:before="0" w:beforeAutospacing="0" w:after="0" w:afterAutospacing="0" w:line="360" w:lineRule="auto"/>
        <w:ind w:firstLine="360" w:firstLineChars="150"/>
        <w:outlineLvl w:val="9"/>
        <w:rPr>
          <w:rFonts w:ascii="Times New Roman" w:hAnsi="Times New Roman"/>
          <w:color w:val="auto"/>
          <w:kern w:val="2"/>
          <w:sz w:val="24"/>
          <w:szCs w:val="24"/>
          <w:lang w:bidi="ar"/>
        </w:rPr>
      </w:pPr>
    </w:p>
    <w:bookmarkEnd w:id="151"/>
    <w:bookmarkEnd w:id="152"/>
    <w:bookmarkEnd w:id="153"/>
    <w:bookmarkEnd w:id="154"/>
    <w:p w14:paraId="4A913475">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156" w:name="_Toc510859692"/>
      <w:bookmarkStart w:id="157" w:name="_Toc363119284"/>
      <w:bookmarkStart w:id="158" w:name="_Toc510859898"/>
      <w:bookmarkStart w:id="159" w:name="_Toc18105"/>
      <w:bookmarkStart w:id="160" w:name="_Toc30606"/>
      <w:bookmarkStart w:id="161" w:name="_Toc152045566"/>
      <w:bookmarkStart w:id="162" w:name="_Toc152042342"/>
      <w:bookmarkStart w:id="163" w:name="_Toc144974534"/>
      <w:bookmarkStart w:id="164" w:name="_Toc32214"/>
      <w:bookmarkStart w:id="165" w:name="_Toc5656"/>
      <w:bookmarkStart w:id="166" w:name="_Toc31470"/>
      <w:bookmarkStart w:id="167" w:name="_Toc23734"/>
      <w:bookmarkStart w:id="168" w:name="_Toc16908"/>
      <w:bookmarkStart w:id="169" w:name="_Toc13342"/>
      <w:bookmarkStart w:id="170" w:name="_Toc179632584"/>
      <w:bookmarkStart w:id="171" w:name="_Toc22430"/>
      <w:bookmarkStart w:id="172" w:name="_Toc513557033"/>
      <w:r>
        <w:rPr>
          <w:rFonts w:hint="eastAsia" w:asciiTheme="minorEastAsia" w:hAnsiTheme="minorEastAsia" w:eastAsiaTheme="minorEastAsia" w:cstheme="minorEastAsia"/>
          <w:b/>
          <w:color w:val="auto"/>
          <w:sz w:val="24"/>
          <w:szCs w:val="24"/>
        </w:rPr>
        <w:t>6.合同授予</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E029E67">
      <w:pPr>
        <w:pStyle w:val="45"/>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bookmarkStart w:id="173" w:name="_Toc152042343"/>
      <w:bookmarkStart w:id="174" w:name="_Toc179632585"/>
      <w:bookmarkStart w:id="175" w:name="_Toc152045567"/>
      <w:bookmarkStart w:id="176" w:name="_Toc144974535"/>
    </w:p>
    <w:bookmarkEnd w:id="173"/>
    <w:bookmarkEnd w:id="174"/>
    <w:bookmarkEnd w:id="175"/>
    <w:bookmarkEnd w:id="176"/>
    <w:p w14:paraId="4D04F22C">
      <w:pPr>
        <w:pStyle w:val="45"/>
        <w:adjustRightInd w:val="0"/>
        <w:snapToGrid w:val="0"/>
        <w:spacing w:line="360" w:lineRule="auto"/>
        <w:outlineLvl w:val="9"/>
        <w:rPr>
          <w:rFonts w:ascii="宋体" w:hAnsi="宋体" w:eastAsia="宋体"/>
          <w:b/>
          <w:color w:val="auto"/>
          <w:sz w:val="24"/>
          <w:szCs w:val="24"/>
        </w:rPr>
      </w:pPr>
      <w:bookmarkStart w:id="177" w:name="_Toc152045568"/>
      <w:bookmarkStart w:id="178" w:name="_Toc144974536"/>
      <w:bookmarkStart w:id="179" w:name="_Toc179632586"/>
      <w:bookmarkStart w:id="180" w:name="_Toc152042344"/>
      <w:r>
        <w:rPr>
          <w:rFonts w:hint="eastAsia" w:ascii="宋体" w:hAnsi="宋体" w:eastAsia="宋体"/>
          <w:b/>
          <w:color w:val="auto"/>
          <w:sz w:val="24"/>
          <w:szCs w:val="24"/>
          <w:lang w:val="en-US" w:eastAsia="zh-CN"/>
        </w:rPr>
        <w:t>27</w:t>
      </w:r>
      <w:r>
        <w:rPr>
          <w:rFonts w:hint="eastAsia" w:ascii="宋体" w:hAnsi="宋体" w:eastAsia="宋体"/>
          <w:b/>
          <w:color w:val="auto"/>
          <w:sz w:val="24"/>
          <w:szCs w:val="24"/>
        </w:rPr>
        <w:t>、</w:t>
      </w:r>
      <w:r>
        <w:rPr>
          <w:rFonts w:hint="eastAsia" w:ascii="宋体" w:hAnsi="宋体" w:eastAsia="宋体"/>
          <w:b/>
          <w:color w:val="auto"/>
          <w:sz w:val="24"/>
          <w:szCs w:val="24"/>
          <w:lang w:eastAsia="zh-CN"/>
        </w:rPr>
        <w:t>成交</w:t>
      </w:r>
      <w:r>
        <w:rPr>
          <w:rFonts w:hint="eastAsia" w:ascii="宋体" w:hAnsi="宋体" w:eastAsia="宋体"/>
          <w:b/>
          <w:color w:val="auto"/>
          <w:sz w:val="24"/>
          <w:szCs w:val="24"/>
        </w:rPr>
        <w:t>通知</w:t>
      </w:r>
      <w:bookmarkEnd w:id="177"/>
      <w:bookmarkEnd w:id="178"/>
      <w:bookmarkEnd w:id="179"/>
      <w:bookmarkEnd w:id="180"/>
      <w:r>
        <w:rPr>
          <w:rFonts w:hint="eastAsia" w:ascii="宋体" w:hAnsi="宋体" w:eastAsia="宋体"/>
          <w:b/>
          <w:color w:val="auto"/>
          <w:sz w:val="24"/>
          <w:szCs w:val="24"/>
        </w:rPr>
        <w:t>书</w:t>
      </w:r>
    </w:p>
    <w:p w14:paraId="07124302">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采购代理机构应当在评审结束后2个工作日内将评审报告送采购人确认。</w:t>
      </w:r>
    </w:p>
    <w:p w14:paraId="05AC66B9">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4393DFDE">
      <w:pPr>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523B5DAF">
      <w:pPr>
        <w:pStyle w:val="45"/>
        <w:adjustRightInd w:val="0"/>
        <w:snapToGrid w:val="0"/>
        <w:spacing w:line="360" w:lineRule="auto"/>
        <w:outlineLvl w:val="9"/>
        <w:rPr>
          <w:rFonts w:ascii="宋体" w:hAnsi="宋体" w:eastAsia="宋体"/>
          <w:b/>
          <w:color w:val="auto"/>
          <w:sz w:val="24"/>
          <w:szCs w:val="24"/>
        </w:rPr>
      </w:pPr>
      <w:bookmarkStart w:id="181" w:name="_Toc152045570"/>
      <w:bookmarkStart w:id="182" w:name="_Toc152042346"/>
      <w:bookmarkStart w:id="183" w:name="_Toc179632588"/>
      <w:bookmarkStart w:id="184" w:name="_Toc144974538"/>
      <w:r>
        <w:rPr>
          <w:rFonts w:hint="eastAsia" w:ascii="宋体" w:hAnsi="宋体" w:eastAsia="宋体"/>
          <w:b/>
          <w:color w:val="auto"/>
          <w:sz w:val="24"/>
          <w:szCs w:val="24"/>
          <w:lang w:val="en-US" w:eastAsia="zh-CN"/>
        </w:rPr>
        <w:t>28</w:t>
      </w:r>
      <w:r>
        <w:rPr>
          <w:rFonts w:hint="eastAsia" w:ascii="宋体" w:hAnsi="宋体" w:eastAsia="宋体"/>
          <w:b/>
          <w:color w:val="auto"/>
          <w:sz w:val="24"/>
          <w:szCs w:val="24"/>
        </w:rPr>
        <w:t>、签订合同</w:t>
      </w:r>
      <w:bookmarkEnd w:id="181"/>
      <w:bookmarkEnd w:id="182"/>
      <w:bookmarkEnd w:id="183"/>
      <w:bookmarkEnd w:id="184"/>
    </w:p>
    <w:p w14:paraId="0364089A">
      <w:pPr>
        <w:adjustRightInd w:val="0"/>
        <w:snapToGrid w:val="0"/>
        <w:spacing w:line="360" w:lineRule="auto"/>
        <w:ind w:firstLine="480" w:firstLineChars="200"/>
        <w:outlineLvl w:val="9"/>
        <w:rPr>
          <w:rFonts w:ascii="宋体" w:hAnsi="宋体" w:cs="宋体"/>
          <w:color w:val="auto"/>
          <w:sz w:val="24"/>
          <w:szCs w:val="24"/>
        </w:rPr>
      </w:pP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和成交供应商应当自成交通知书发出之日起</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日内，根据竞争性磋商文件和成交供应商的竞争性磋商响应文件订立书面合同，</w:t>
      </w:r>
      <w:r>
        <w:rPr>
          <w:rFonts w:hint="eastAsia" w:ascii="宋体" w:hAnsi="宋体" w:cs="宋体" w:eastAsiaTheme="minorEastAsia"/>
          <w:color w:val="auto"/>
          <w:sz w:val="24"/>
          <w:szCs w:val="24"/>
          <w:lang w:eastAsia="zh-CN"/>
        </w:rPr>
        <w:t>采购人</w:t>
      </w:r>
      <w:r>
        <w:rPr>
          <w:rFonts w:hint="eastAsia" w:ascii="宋体" w:hAnsi="宋体" w:cs="宋体"/>
          <w:color w:val="auto"/>
          <w:sz w:val="24"/>
          <w:szCs w:val="24"/>
        </w:rPr>
        <w:t>和成交供应商不得再行订立背离合同实质性内容的其他协议。</w:t>
      </w:r>
    </w:p>
    <w:p w14:paraId="4A176AA8">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28</w:t>
      </w:r>
      <w:r>
        <w:rPr>
          <w:rFonts w:hint="eastAsia" w:asciiTheme="minorEastAsia" w:hAnsiTheme="minorEastAsia" w:eastAsiaTheme="minorEastAsia" w:cstheme="minorEastAsia"/>
          <w:color w:val="auto"/>
          <w:sz w:val="24"/>
          <w:szCs w:val="24"/>
        </w:rPr>
        <w:t>.2成交供应商无正当理由拒签合同的，</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取消其成交资格，</w:t>
      </w:r>
      <w:r>
        <w:rPr>
          <w:rFonts w:hint="eastAsia" w:asciiTheme="minorEastAsia" w:hAnsiTheme="minorEastAsia" w:eastAsiaTheme="minorEastAsia" w:cstheme="minorEastAsia"/>
          <w:color w:val="auto"/>
          <w:sz w:val="24"/>
          <w:szCs w:val="24"/>
          <w:lang w:val="en-US" w:eastAsia="zh-CN"/>
        </w:rPr>
        <w:t>并根据投标信用承诺书有关规定执行</w:t>
      </w:r>
      <w:r>
        <w:rPr>
          <w:rFonts w:hint="eastAsia" w:asciiTheme="minorEastAsia" w:hAnsiTheme="minorEastAsia" w:eastAsiaTheme="minorEastAsia" w:cstheme="minorEastAsia"/>
          <w:color w:val="auto"/>
          <w:sz w:val="24"/>
          <w:szCs w:val="24"/>
        </w:rPr>
        <w:t>；给</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 xml:space="preserve">造成的损失的，成交供应商还应当对予以赔偿。 </w:t>
      </w:r>
    </w:p>
    <w:p w14:paraId="324DCD1B">
      <w:pPr>
        <w:spacing w:line="360" w:lineRule="auto"/>
        <w:ind w:left="599" w:leftChars="228" w:hanging="120" w:hangingChars="50"/>
        <w:outlineLvl w:val="9"/>
        <w:rPr>
          <w:rFonts w:ascii="宋体" w:hAnsi="宋体" w:cs="宋体"/>
          <w:color w:val="auto"/>
          <w:sz w:val="24"/>
          <w:szCs w:val="24"/>
        </w:rPr>
      </w:pPr>
      <w:r>
        <w:rPr>
          <w:rFonts w:hint="eastAsia" w:ascii="宋体" w:hAnsi="宋体" w:cs="宋体"/>
          <w:color w:val="auto"/>
          <w:sz w:val="24"/>
          <w:szCs w:val="24"/>
          <w:lang w:val="en-US" w:eastAsia="zh-CN"/>
        </w:rPr>
        <w:t>28</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成交供应商应当按照合同约定履行义务，完成成交项目，不得将成交项目</w:t>
      </w:r>
    </w:p>
    <w:p w14:paraId="4ED9A987">
      <w:pPr>
        <w:spacing w:line="360" w:lineRule="auto"/>
        <w:outlineLvl w:val="9"/>
        <w:rPr>
          <w:color w:val="auto"/>
          <w:sz w:val="24"/>
          <w:szCs w:val="24"/>
        </w:rPr>
      </w:pPr>
      <w:r>
        <w:rPr>
          <w:rFonts w:hint="eastAsia" w:ascii="宋体" w:hAnsi="宋体" w:cs="宋体"/>
          <w:color w:val="auto"/>
          <w:sz w:val="24"/>
          <w:szCs w:val="24"/>
        </w:rPr>
        <w:t>转让（转包）给他人。</w:t>
      </w:r>
    </w:p>
    <w:p w14:paraId="778B5640">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185" w:name="_Toc27160"/>
      <w:bookmarkStart w:id="186" w:name="_Toc8386"/>
      <w:bookmarkStart w:id="187" w:name="_Toc179632589"/>
      <w:bookmarkStart w:id="188" w:name="_Toc27207"/>
      <w:bookmarkStart w:id="189" w:name="_Toc510859693"/>
      <w:bookmarkStart w:id="190" w:name="_Toc510859899"/>
      <w:bookmarkStart w:id="191" w:name="_Toc30718"/>
      <w:bookmarkStart w:id="192" w:name="_Toc513557034"/>
      <w:bookmarkStart w:id="193" w:name="_Toc152042347"/>
      <w:bookmarkStart w:id="194" w:name="_Toc16241"/>
      <w:bookmarkStart w:id="195" w:name="_Toc363119285"/>
      <w:bookmarkStart w:id="196" w:name="_Toc144974539"/>
      <w:bookmarkStart w:id="197" w:name="_Toc28337"/>
      <w:bookmarkStart w:id="198" w:name="_Toc17135"/>
      <w:bookmarkStart w:id="199" w:name="_Toc23799"/>
      <w:bookmarkStart w:id="200" w:name="_Toc152045571"/>
      <w:bookmarkStart w:id="201" w:name="_Toc16686"/>
      <w:r>
        <w:rPr>
          <w:rFonts w:hint="eastAsia" w:asciiTheme="minorEastAsia" w:hAnsiTheme="minorEastAsia" w:eastAsiaTheme="minorEastAsia" w:cstheme="minorEastAsia"/>
          <w:b/>
          <w:color w:val="auto"/>
          <w:sz w:val="24"/>
          <w:szCs w:val="24"/>
        </w:rPr>
        <w:t>7. 重新采购</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5B6763C">
      <w:pPr>
        <w:pStyle w:val="45"/>
        <w:adjustRightInd w:val="0"/>
        <w:snapToGrid w:val="0"/>
        <w:spacing w:line="360" w:lineRule="auto"/>
        <w:outlineLvl w:val="9"/>
        <w:rPr>
          <w:rFonts w:ascii="宋体" w:hAnsi="宋体" w:eastAsia="宋体"/>
          <w:b/>
          <w:color w:val="auto"/>
          <w:sz w:val="24"/>
          <w:szCs w:val="24"/>
        </w:rPr>
      </w:pPr>
      <w:bookmarkStart w:id="202" w:name="_Toc144974540"/>
      <w:bookmarkStart w:id="203" w:name="_Toc152045572"/>
      <w:bookmarkStart w:id="204" w:name="_Toc179632590"/>
      <w:bookmarkStart w:id="205" w:name="_Toc152042348"/>
      <w:r>
        <w:rPr>
          <w:rFonts w:hint="eastAsia" w:ascii="宋体" w:hAnsi="宋体" w:eastAsia="宋体"/>
          <w:b/>
          <w:color w:val="auto"/>
          <w:sz w:val="24"/>
          <w:szCs w:val="24"/>
          <w:lang w:val="en-US" w:eastAsia="zh-CN"/>
        </w:rPr>
        <w:t>29</w:t>
      </w:r>
      <w:r>
        <w:rPr>
          <w:rFonts w:hint="eastAsia" w:ascii="宋体" w:hAnsi="宋体" w:eastAsia="宋体"/>
          <w:b/>
          <w:color w:val="auto"/>
          <w:sz w:val="24"/>
          <w:szCs w:val="24"/>
        </w:rPr>
        <w:t>、重新采购</w:t>
      </w:r>
      <w:bookmarkEnd w:id="202"/>
      <w:bookmarkEnd w:id="203"/>
      <w:bookmarkEnd w:id="204"/>
      <w:bookmarkEnd w:id="205"/>
    </w:p>
    <w:p w14:paraId="14096D51">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jc w:val="left"/>
        <w:textAlignment w:val="auto"/>
        <w:outlineLvl w:val="9"/>
        <w:rPr>
          <w:rFonts w:hint="eastAsia" w:ascii="宋体" w:hAnsi="宋体" w:eastAsia="宋体" w:cs="宋体"/>
          <w:color w:val="auto"/>
          <w:sz w:val="24"/>
          <w:szCs w:val="24"/>
        </w:rPr>
      </w:pPr>
      <w:bookmarkStart w:id="206" w:name="_Toc6327"/>
      <w:bookmarkStart w:id="207" w:name="_Toc152045574"/>
      <w:bookmarkStart w:id="208" w:name="_Toc510859900"/>
      <w:bookmarkStart w:id="209" w:name="_Toc16351"/>
      <w:bookmarkStart w:id="210" w:name="_Toc29516"/>
      <w:bookmarkStart w:id="211" w:name="_Toc9642"/>
      <w:bookmarkStart w:id="212" w:name="_Toc363119286"/>
      <w:bookmarkStart w:id="213" w:name="_Toc179632592"/>
      <w:bookmarkStart w:id="214" w:name="_Toc510859694"/>
      <w:bookmarkStart w:id="215" w:name="_Toc144974542"/>
      <w:bookmarkStart w:id="216" w:name="_Toc513557035"/>
      <w:bookmarkStart w:id="217" w:name="_Toc152042350"/>
      <w:r>
        <w:rPr>
          <w:rFonts w:hint="eastAsia" w:ascii="宋体" w:hAnsi="宋体" w:cs="宋体"/>
          <w:color w:val="auto"/>
          <w:sz w:val="24"/>
          <w:szCs w:val="24"/>
          <w:lang w:val="en-US" w:eastAsia="zh-CN"/>
        </w:rPr>
        <w:t>29.1</w:t>
      </w:r>
      <w:r>
        <w:rPr>
          <w:rFonts w:hint="eastAsia" w:ascii="宋体" w:hAnsi="宋体" w:eastAsia="宋体" w:cs="宋体"/>
          <w:color w:val="auto"/>
          <w:sz w:val="24"/>
          <w:szCs w:val="24"/>
        </w:rPr>
        <w:t>磋商开始后，出现下列情形之一的，采购代理机构将终止竞争性磋商采购活动，发布项目终止公告并说明原因，重新开展采购活动：</w:t>
      </w:r>
    </w:p>
    <w:p w14:paraId="200E2489">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（一）因情况变化，不再符合规定的竞争性磋商采购方式适用情形的；</w:t>
      </w:r>
    </w:p>
    <w:p w14:paraId="121B2985">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（二）出现影响采购公正的违法、违规行为的；</w:t>
      </w:r>
    </w:p>
    <w:p w14:paraId="3D4C8D7D">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（三）在采购过程中符合要求的供应商不足3家的 ；</w:t>
      </w:r>
    </w:p>
    <w:p w14:paraId="5663349E">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（四）报价未超过采购预算的供应商不足3家的。</w:t>
      </w:r>
    </w:p>
    <w:p w14:paraId="04868BF6">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29</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提交最后报价的供应商为2家时，可以继续进行磋商的情形：</w:t>
      </w:r>
    </w:p>
    <w:p w14:paraId="359C8322">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（一）市场竞争不充分的科研项目，以及需要扶持的科技成果转化项目；</w:t>
      </w:r>
    </w:p>
    <w:p w14:paraId="73837A61">
      <w:pPr>
        <w:keepNext w:val="0"/>
        <w:keepLines w:val="0"/>
        <w:pageBreakBefore w:val="0"/>
        <w:widowControl w:val="0"/>
        <w:kinsoku/>
        <w:wordWrap/>
        <w:overflowPunct/>
        <w:topLinePunct w:val="0"/>
        <w:autoSpaceDE/>
        <w:autoSpaceDN/>
        <w:bidi w:val="0"/>
        <w:adjustRightInd/>
        <w:snapToGrid/>
        <w:spacing w:line="360" w:lineRule="auto"/>
        <w:ind w:left="0" w:leftChars="0" w:firstLine="120" w:firstLineChars="50"/>
        <w:jc w:val="left"/>
        <w:textAlignment w:val="auto"/>
        <w:outlineLvl w:val="9"/>
        <w:rPr>
          <w:rFonts w:hint="eastAsia" w:ascii="宋体" w:hAnsi="宋体" w:eastAsia="宋体" w:cs="宋体"/>
          <w:color w:val="auto"/>
          <w:sz w:val="24"/>
          <w:szCs w:val="24"/>
        </w:rPr>
      </w:pPr>
      <w:bookmarkStart w:id="218" w:name="_Toc21530"/>
      <w:r>
        <w:rPr>
          <w:rFonts w:hint="eastAsia" w:ascii="宋体" w:hAnsi="宋体" w:eastAsia="宋体" w:cs="宋体"/>
          <w:color w:val="auto"/>
          <w:sz w:val="24"/>
          <w:szCs w:val="24"/>
        </w:rPr>
        <w:t>（二）政府购买服务项目（含政府和社会资本项目）。</w:t>
      </w:r>
      <w:bookmarkEnd w:id="218"/>
    </w:p>
    <w:p w14:paraId="69CAB3DC">
      <w:pPr>
        <w:pStyle w:val="44"/>
        <w:spacing w:line="360" w:lineRule="auto"/>
        <w:ind w:firstLine="482" w:firstLineChars="200"/>
        <w:outlineLvl w:val="9"/>
        <w:rPr>
          <w:rFonts w:asciiTheme="minorEastAsia" w:hAnsiTheme="minorEastAsia" w:eastAsiaTheme="minorEastAsia" w:cstheme="minorEastAsia"/>
          <w:b/>
          <w:color w:val="auto"/>
          <w:sz w:val="24"/>
          <w:szCs w:val="24"/>
        </w:rPr>
      </w:pPr>
      <w:bookmarkStart w:id="219" w:name="_Toc31841"/>
      <w:bookmarkStart w:id="220" w:name="_Toc15443"/>
      <w:bookmarkStart w:id="221" w:name="_Toc29962"/>
      <w:bookmarkStart w:id="222" w:name="_Toc179"/>
      <w:bookmarkStart w:id="223" w:name="_Toc3899"/>
      <w:r>
        <w:rPr>
          <w:rFonts w:hint="eastAsia" w:asciiTheme="minorEastAsia" w:hAnsiTheme="minorEastAsia" w:eastAsiaTheme="minorEastAsia" w:cstheme="minorEastAsia"/>
          <w:b/>
          <w:color w:val="auto"/>
          <w:sz w:val="24"/>
          <w:szCs w:val="24"/>
        </w:rPr>
        <w:t>8. 纪律和监督</w:t>
      </w:r>
      <w:bookmarkEnd w:id="206"/>
      <w:bookmarkEnd w:id="207"/>
      <w:bookmarkEnd w:id="208"/>
      <w:bookmarkEnd w:id="209"/>
      <w:bookmarkEnd w:id="210"/>
      <w:bookmarkEnd w:id="211"/>
      <w:bookmarkEnd w:id="212"/>
      <w:bookmarkEnd w:id="213"/>
      <w:bookmarkEnd w:id="214"/>
      <w:bookmarkEnd w:id="215"/>
      <w:bookmarkEnd w:id="216"/>
      <w:bookmarkEnd w:id="217"/>
      <w:bookmarkEnd w:id="219"/>
      <w:bookmarkEnd w:id="220"/>
      <w:bookmarkEnd w:id="221"/>
      <w:bookmarkEnd w:id="222"/>
      <w:bookmarkEnd w:id="223"/>
    </w:p>
    <w:p w14:paraId="5240E24D">
      <w:pPr>
        <w:pStyle w:val="45"/>
        <w:adjustRightInd w:val="0"/>
        <w:snapToGrid w:val="0"/>
        <w:spacing w:line="360" w:lineRule="auto"/>
        <w:outlineLvl w:val="9"/>
        <w:rPr>
          <w:rFonts w:ascii="宋体" w:hAnsi="宋体" w:eastAsia="宋体"/>
          <w:b/>
          <w:color w:val="auto"/>
          <w:sz w:val="24"/>
          <w:szCs w:val="24"/>
        </w:rPr>
      </w:pPr>
      <w:bookmarkStart w:id="224" w:name="_Toc152042351"/>
      <w:bookmarkStart w:id="225" w:name="_Toc152045575"/>
      <w:bookmarkStart w:id="226" w:name="_Toc179632593"/>
      <w:bookmarkStart w:id="227" w:name="_Toc144974543"/>
      <w:r>
        <w:rPr>
          <w:rFonts w:hint="eastAsia" w:ascii="宋体" w:hAnsi="宋体" w:eastAsia="宋体"/>
          <w:b/>
          <w:color w:val="auto"/>
          <w:sz w:val="24"/>
          <w:szCs w:val="24"/>
          <w:lang w:val="en-US" w:eastAsia="zh-CN"/>
        </w:rPr>
        <w:t>30</w:t>
      </w:r>
      <w:r>
        <w:rPr>
          <w:rFonts w:hint="eastAsia" w:ascii="宋体" w:hAnsi="宋体" w:eastAsia="宋体"/>
          <w:b/>
          <w:color w:val="auto"/>
          <w:sz w:val="24"/>
          <w:szCs w:val="24"/>
        </w:rPr>
        <w:t>、对</w:t>
      </w:r>
      <w:r>
        <w:rPr>
          <w:rFonts w:hint="eastAsia" w:ascii="宋体" w:hAnsi="宋体" w:eastAsia="宋体"/>
          <w:b/>
          <w:color w:val="auto"/>
          <w:sz w:val="24"/>
          <w:szCs w:val="24"/>
          <w:lang w:eastAsia="zh-CN"/>
        </w:rPr>
        <w:t>采购人</w:t>
      </w:r>
      <w:r>
        <w:rPr>
          <w:rFonts w:hint="eastAsia" w:ascii="宋体" w:hAnsi="宋体" w:eastAsia="宋体"/>
          <w:b/>
          <w:color w:val="auto"/>
          <w:sz w:val="24"/>
          <w:szCs w:val="24"/>
        </w:rPr>
        <w:t>的纪律要求</w:t>
      </w:r>
      <w:bookmarkEnd w:id="224"/>
      <w:bookmarkEnd w:id="225"/>
      <w:bookmarkEnd w:id="226"/>
      <w:bookmarkEnd w:id="227"/>
    </w:p>
    <w:p w14:paraId="59D13E26">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不得泄漏招标投标活动中应当保密的情况和资料，不得与供应商串通损害国家利益、社会公共利益或者他人合法权益。</w:t>
      </w:r>
    </w:p>
    <w:p w14:paraId="18E5D9DF">
      <w:pPr>
        <w:pStyle w:val="45"/>
        <w:adjustRightInd w:val="0"/>
        <w:snapToGrid w:val="0"/>
        <w:spacing w:line="360" w:lineRule="auto"/>
        <w:outlineLvl w:val="9"/>
        <w:rPr>
          <w:rFonts w:ascii="宋体" w:hAnsi="宋体" w:eastAsia="宋体"/>
          <w:b/>
          <w:color w:val="auto"/>
          <w:sz w:val="24"/>
          <w:szCs w:val="24"/>
        </w:rPr>
      </w:pPr>
      <w:bookmarkStart w:id="228" w:name="_Toc152042352"/>
      <w:bookmarkStart w:id="229" w:name="_Toc144974544"/>
      <w:bookmarkStart w:id="230" w:name="_Toc179632594"/>
      <w:bookmarkStart w:id="231" w:name="_Toc152045576"/>
      <w:r>
        <w:rPr>
          <w:rFonts w:hint="eastAsia" w:ascii="宋体" w:hAnsi="宋体" w:eastAsia="宋体"/>
          <w:b/>
          <w:color w:val="auto"/>
          <w:sz w:val="24"/>
          <w:szCs w:val="24"/>
          <w:lang w:val="en-US" w:eastAsia="zh-CN"/>
        </w:rPr>
        <w:t>31</w:t>
      </w:r>
      <w:r>
        <w:rPr>
          <w:rFonts w:hint="eastAsia" w:ascii="宋体" w:hAnsi="宋体" w:eastAsia="宋体"/>
          <w:b/>
          <w:color w:val="auto"/>
          <w:sz w:val="24"/>
          <w:szCs w:val="24"/>
        </w:rPr>
        <w:t>、对供应商的纪律要求</w:t>
      </w:r>
      <w:bookmarkEnd w:id="228"/>
      <w:bookmarkEnd w:id="229"/>
      <w:bookmarkEnd w:id="230"/>
      <w:bookmarkEnd w:id="231"/>
    </w:p>
    <w:p w14:paraId="101D9EC1">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供应商不得相互串通磋商或者与</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串通磋商，不得向</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或者磋商小组成员行贿谋取成交，不得以他人名义磋商或者以其他方式弄虚作假骗取成交；供应商不得以任何方式干扰、影响评审工作。</w:t>
      </w:r>
    </w:p>
    <w:p w14:paraId="028352FA">
      <w:pPr>
        <w:pStyle w:val="45"/>
        <w:adjustRightInd w:val="0"/>
        <w:snapToGrid w:val="0"/>
        <w:spacing w:line="360" w:lineRule="auto"/>
        <w:outlineLvl w:val="9"/>
        <w:rPr>
          <w:rFonts w:ascii="宋体" w:hAnsi="宋体" w:eastAsia="宋体"/>
          <w:b/>
          <w:color w:val="auto"/>
          <w:sz w:val="24"/>
          <w:szCs w:val="24"/>
        </w:rPr>
      </w:pPr>
      <w:bookmarkStart w:id="232" w:name="_Toc179632595"/>
      <w:bookmarkStart w:id="233" w:name="_Toc152045577"/>
      <w:bookmarkStart w:id="234" w:name="_Toc152042353"/>
      <w:bookmarkStart w:id="235" w:name="_Toc144974545"/>
      <w:r>
        <w:rPr>
          <w:rFonts w:hint="eastAsia" w:ascii="宋体" w:hAnsi="宋体" w:eastAsia="宋体"/>
          <w:b/>
          <w:color w:val="auto"/>
          <w:sz w:val="24"/>
          <w:szCs w:val="24"/>
          <w:lang w:val="en-US" w:eastAsia="zh-CN"/>
        </w:rPr>
        <w:t>32</w:t>
      </w:r>
      <w:r>
        <w:rPr>
          <w:rFonts w:hint="eastAsia" w:ascii="宋体" w:hAnsi="宋体" w:eastAsia="宋体"/>
          <w:b/>
          <w:color w:val="auto"/>
          <w:sz w:val="24"/>
          <w:szCs w:val="24"/>
        </w:rPr>
        <w:t>、对磋商小组成员的纪律要求</w:t>
      </w:r>
      <w:bookmarkEnd w:id="232"/>
      <w:bookmarkEnd w:id="233"/>
      <w:bookmarkEnd w:id="234"/>
      <w:bookmarkEnd w:id="235"/>
    </w:p>
    <w:p w14:paraId="7CDA54F5">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成员不得收受他人的财物或者其他好处，不得向他人透漏对竞争性磋商响应文件的评审和比较、成交人候选人的推荐情况以及评审有关的其他情况。在评审活动中，磋商小组成员不得擅离职守，影响评审程序正常进行，不得使用“评审办法”没有规定的评审因素和标准进行评审。</w:t>
      </w:r>
    </w:p>
    <w:p w14:paraId="2752029C">
      <w:pPr>
        <w:pStyle w:val="45"/>
        <w:adjustRightInd w:val="0"/>
        <w:snapToGrid w:val="0"/>
        <w:spacing w:line="360" w:lineRule="auto"/>
        <w:outlineLvl w:val="9"/>
        <w:rPr>
          <w:rFonts w:ascii="宋体" w:hAnsi="宋体" w:eastAsia="宋体"/>
          <w:b/>
          <w:color w:val="auto"/>
          <w:sz w:val="24"/>
          <w:szCs w:val="24"/>
        </w:rPr>
      </w:pPr>
      <w:bookmarkStart w:id="236" w:name="_Toc152042354"/>
      <w:bookmarkStart w:id="237" w:name="_Toc179632596"/>
      <w:bookmarkStart w:id="238" w:name="_Toc152045578"/>
      <w:bookmarkStart w:id="239" w:name="_Toc144974546"/>
      <w:r>
        <w:rPr>
          <w:rFonts w:hint="eastAsia" w:ascii="宋体" w:hAnsi="宋体" w:eastAsia="宋体"/>
          <w:b/>
          <w:color w:val="auto"/>
          <w:sz w:val="24"/>
          <w:szCs w:val="24"/>
          <w:lang w:val="en-US" w:eastAsia="zh-CN"/>
        </w:rPr>
        <w:t>33</w:t>
      </w:r>
      <w:r>
        <w:rPr>
          <w:rFonts w:hint="eastAsia" w:ascii="宋体" w:hAnsi="宋体" w:eastAsia="宋体"/>
          <w:b/>
          <w:color w:val="auto"/>
          <w:sz w:val="24"/>
          <w:szCs w:val="24"/>
        </w:rPr>
        <w:t>、 对与评审活动有关的工作人员的纪律要求</w:t>
      </w:r>
      <w:bookmarkEnd w:id="236"/>
      <w:bookmarkEnd w:id="237"/>
      <w:bookmarkEnd w:id="238"/>
    </w:p>
    <w:p w14:paraId="6C709E3C">
      <w:pPr>
        <w:adjustRightInd w:val="0"/>
        <w:snapToGrid w:val="0"/>
        <w:spacing w:line="360" w:lineRule="auto"/>
        <w:ind w:firstLine="480" w:firstLineChars="200"/>
        <w:outlineLvl w:val="9"/>
        <w:rPr>
          <w:rFonts w:asciiTheme="minorEastAsia" w:hAnsiTheme="minorEastAsia" w:eastAsiaTheme="minorEastAsia" w:cstheme="minorEastAsia"/>
          <w:color w:val="auto"/>
          <w:sz w:val="24"/>
          <w:szCs w:val="24"/>
        </w:rPr>
      </w:pPr>
      <w:bookmarkStart w:id="240" w:name="_Toc152042355"/>
      <w:r>
        <w:rPr>
          <w:rFonts w:hint="eastAsia" w:asciiTheme="minorEastAsia" w:hAnsiTheme="minorEastAsia" w:eastAsiaTheme="minorEastAsia" w:cstheme="minorEastAsia"/>
          <w:color w:val="auto"/>
          <w:sz w:val="24"/>
          <w:szCs w:val="24"/>
        </w:rPr>
        <w:t>与评审活动有关的工作人员不得收受他人的财物或者其他好处，不得向他人透漏对竞争性磋商响应文件的评审和比较、成交人候选人的推荐情况以及评审有关的其他情况。在评审活动中，与评审活动有关的工作人员不得擅离职守，影响评审程序正常进行。</w:t>
      </w:r>
      <w:bookmarkEnd w:id="240"/>
    </w:p>
    <w:p w14:paraId="56699D96">
      <w:pPr>
        <w:pStyle w:val="45"/>
        <w:adjustRightInd w:val="0"/>
        <w:snapToGrid w:val="0"/>
        <w:spacing w:line="360" w:lineRule="auto"/>
        <w:outlineLvl w:val="9"/>
        <w:rPr>
          <w:rFonts w:ascii="宋体" w:hAnsi="宋体" w:eastAsia="宋体"/>
          <w:b/>
          <w:color w:val="auto"/>
          <w:sz w:val="24"/>
          <w:szCs w:val="24"/>
        </w:rPr>
      </w:pPr>
      <w:bookmarkStart w:id="241" w:name="_Toc152042356"/>
      <w:bookmarkStart w:id="242" w:name="_Toc152045579"/>
      <w:bookmarkStart w:id="243" w:name="_Toc179632597"/>
      <w:r>
        <w:rPr>
          <w:rFonts w:hint="eastAsia" w:ascii="宋体" w:hAnsi="宋体" w:eastAsia="宋体"/>
          <w:b/>
          <w:color w:val="auto"/>
          <w:sz w:val="24"/>
          <w:szCs w:val="24"/>
        </w:rPr>
        <w:t>3</w:t>
      </w:r>
      <w:r>
        <w:rPr>
          <w:rFonts w:hint="eastAsia" w:ascii="宋体" w:hAnsi="宋体" w:eastAsia="宋体"/>
          <w:b/>
          <w:color w:val="auto"/>
          <w:sz w:val="24"/>
          <w:szCs w:val="24"/>
          <w:lang w:val="en-US" w:eastAsia="zh-CN"/>
        </w:rPr>
        <w:t>4</w:t>
      </w:r>
      <w:r>
        <w:rPr>
          <w:rFonts w:hint="eastAsia" w:ascii="宋体" w:hAnsi="宋体" w:eastAsia="宋体"/>
          <w:b/>
          <w:color w:val="auto"/>
          <w:sz w:val="24"/>
          <w:szCs w:val="24"/>
        </w:rPr>
        <w:t>、 投诉</w:t>
      </w:r>
      <w:bookmarkEnd w:id="239"/>
      <w:bookmarkEnd w:id="241"/>
      <w:bookmarkEnd w:id="242"/>
      <w:bookmarkEnd w:id="243"/>
    </w:p>
    <w:p w14:paraId="00909431">
      <w:pPr>
        <w:adjustRightInd w:val="0"/>
        <w:snapToGrid w:val="0"/>
        <w:spacing w:line="360" w:lineRule="auto"/>
        <w:ind w:firstLine="480" w:firstLineChars="200"/>
        <w:outlineLvl w:val="9"/>
        <w:rPr>
          <w:rFonts w:ascii="宋体" w:hAnsi="宋体"/>
          <w:bCs/>
          <w:color w:val="auto"/>
          <w:kern w:val="44"/>
          <w:sz w:val="24"/>
          <w:szCs w:val="24"/>
        </w:rPr>
      </w:pPr>
      <w:r>
        <w:rPr>
          <w:rFonts w:hint="eastAsia" w:asciiTheme="minorEastAsia" w:hAnsiTheme="minorEastAsia" w:eastAsiaTheme="minorEastAsia" w:cstheme="minorEastAsia"/>
          <w:color w:val="auto"/>
          <w:sz w:val="24"/>
          <w:szCs w:val="24"/>
        </w:rPr>
        <w:t>供应商和其他利害关系人认为本次招标活动违反法律、法规和规章规定的，有权向有关行政监督部门投诉。</w:t>
      </w:r>
      <w:bookmarkEnd w:id="26"/>
      <w:bookmarkEnd w:id="27"/>
      <w:bookmarkStart w:id="244" w:name="_Toc511146529"/>
      <w:bookmarkStart w:id="245" w:name="_Toc504605093"/>
    </w:p>
    <w:p w14:paraId="1E9A0FD9">
      <w:pPr>
        <w:jc w:val="center"/>
        <w:outlineLvl w:val="9"/>
        <w:rPr>
          <w:rFonts w:hint="eastAsia" w:ascii="宋体" w:hAnsi="宋体"/>
          <w:b/>
          <w:color w:val="auto"/>
          <w:sz w:val="24"/>
          <w:szCs w:val="24"/>
        </w:rPr>
      </w:pPr>
      <w:bookmarkStart w:id="246" w:name="_Toc31487"/>
      <w:r>
        <w:rPr>
          <w:rFonts w:hint="eastAsia" w:ascii="宋体" w:hAnsi="宋体"/>
          <w:b/>
          <w:color w:val="auto"/>
          <w:sz w:val="24"/>
          <w:szCs w:val="24"/>
          <w:lang w:val="en-US" w:eastAsia="zh-CN"/>
        </w:rPr>
        <w:t>9</w:t>
      </w:r>
      <w:r>
        <w:rPr>
          <w:rFonts w:hint="eastAsia" w:ascii="宋体" w:hAnsi="宋体"/>
          <w:b/>
          <w:color w:val="auto"/>
          <w:sz w:val="24"/>
          <w:szCs w:val="24"/>
        </w:rPr>
        <w:t>．其它事项</w:t>
      </w:r>
    </w:p>
    <w:p w14:paraId="357859D3">
      <w:pPr>
        <w:pStyle w:val="11"/>
        <w:outlineLvl w:val="9"/>
        <w:rPr>
          <w:rFonts w:hint="eastAsia"/>
          <w:color w:val="auto"/>
          <w:sz w:val="24"/>
          <w:szCs w:val="24"/>
        </w:rPr>
      </w:pPr>
    </w:p>
    <w:p w14:paraId="0A4B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w:t>
      </w:r>
      <w:r>
        <w:rPr>
          <w:rFonts w:hint="eastAsia" w:ascii="宋体" w:hAnsi="宋体" w:cs="宋体"/>
          <w:color w:val="auto"/>
          <w:sz w:val="24"/>
          <w:szCs w:val="24"/>
          <w:lang w:val="en-US" w:eastAsia="zh-CN"/>
        </w:rPr>
        <w:t>根据投标信用承诺书有关规定执行</w:t>
      </w:r>
      <w:r>
        <w:rPr>
          <w:rFonts w:hint="eastAsia" w:ascii="宋体" w:hAnsi="宋体" w:eastAsia="宋体" w:cs="宋体"/>
          <w:color w:val="auto"/>
          <w:sz w:val="24"/>
          <w:szCs w:val="24"/>
        </w:rPr>
        <w:t>。给采购人造成损失，还应当对予以赔偿，并依法承担相应法律责任。</w:t>
      </w:r>
    </w:p>
    <w:p w14:paraId="0840C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36</w:t>
      </w:r>
      <w:r>
        <w:rPr>
          <w:rFonts w:hint="eastAsia" w:ascii="宋体" w:hAnsi="宋体" w:eastAsia="宋体" w:cs="宋体"/>
          <w:color w:val="auto"/>
          <w:sz w:val="24"/>
          <w:szCs w:val="24"/>
        </w:rPr>
        <w:t>、其他未尽事宜，按照《中华人民共和国政府采购法》、《中华人民共和国政府采购法实施条例》等法律法规的有关条款执行。</w:t>
      </w:r>
    </w:p>
    <w:p w14:paraId="0FDDAB89">
      <w:pPr>
        <w:pStyle w:val="11"/>
        <w:ind w:firstLine="48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37、政采贷业务</w:t>
      </w:r>
    </w:p>
    <w:p w14:paraId="252F0D2B">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国办《关于促进中小企业健康发展的指导意见》、财政部</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工信部《政府采购促进中小企业发展</w:t>
      </w:r>
      <w:r>
        <w:rPr>
          <w:rFonts w:hint="eastAsia" w:ascii="宋体" w:hAnsi="宋体" w:eastAsia="宋体" w:cs="宋体"/>
          <w:b w:val="0"/>
          <w:bCs w:val="0"/>
          <w:color w:val="auto"/>
          <w:sz w:val="24"/>
          <w:szCs w:val="24"/>
          <w:lang w:val="en-US" w:eastAsia="zh-CN"/>
        </w:rPr>
        <w:t>管理</w:t>
      </w:r>
      <w:r>
        <w:rPr>
          <w:rFonts w:hint="eastAsia" w:ascii="宋体" w:hAnsi="宋体" w:eastAsia="宋体" w:cs="宋体"/>
          <w:b w:val="0"/>
          <w:bCs w:val="0"/>
          <w:color w:val="auto"/>
          <w:sz w:val="24"/>
          <w:szCs w:val="24"/>
        </w:rPr>
        <w:t>办法》（财库〔20</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《陕西省财政厅 中国人民银行西安分行关于深入推进政府采购信用融资业务的通知》</w:t>
      </w:r>
      <w:r>
        <w:rPr>
          <w:rFonts w:hint="eastAsia" w:ascii="宋体" w:hAnsi="宋体" w:eastAsia="宋体" w:cs="宋体"/>
          <w:b w:val="0"/>
          <w:bCs w:val="0"/>
          <w:color w:val="auto"/>
          <w:sz w:val="24"/>
          <w:szCs w:val="24"/>
        </w:rPr>
        <w:t>（陕财办采〔202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〕5号）等有关规定，按照</w:t>
      </w:r>
      <w:r>
        <w:rPr>
          <w:rFonts w:hint="eastAsia" w:ascii="宋体" w:hAnsi="宋体" w:eastAsia="宋体" w:cs="宋体"/>
          <w:b w:val="0"/>
          <w:bCs w:val="0"/>
          <w:color w:val="auto"/>
          <w:sz w:val="24"/>
          <w:szCs w:val="24"/>
          <w:lang w:val="en-US" w:eastAsia="zh-CN"/>
        </w:rPr>
        <w:t>政府</w:t>
      </w:r>
      <w:r>
        <w:rPr>
          <w:rFonts w:hint="eastAsia" w:ascii="宋体" w:hAnsi="宋体" w:eastAsia="宋体" w:cs="宋体"/>
          <w:b w:val="0"/>
          <w:bCs w:val="0"/>
          <w:color w:val="auto"/>
          <w:sz w:val="24"/>
          <w:szCs w:val="24"/>
        </w:rPr>
        <w:t>引导、</w:t>
      </w:r>
      <w:r>
        <w:rPr>
          <w:rFonts w:hint="eastAsia" w:ascii="宋体" w:hAnsi="宋体" w:eastAsia="宋体" w:cs="宋体"/>
          <w:b w:val="0"/>
          <w:bCs w:val="0"/>
          <w:color w:val="auto"/>
          <w:sz w:val="24"/>
          <w:szCs w:val="24"/>
          <w:lang w:val="en-US" w:eastAsia="zh-CN"/>
        </w:rPr>
        <w:t>市场运作、银企</w:t>
      </w:r>
      <w:r>
        <w:rPr>
          <w:rFonts w:hint="eastAsia" w:ascii="宋体" w:hAnsi="宋体" w:eastAsia="宋体" w:cs="宋体"/>
          <w:b w:val="0"/>
          <w:bCs w:val="0"/>
          <w:color w:val="auto"/>
          <w:sz w:val="24"/>
          <w:szCs w:val="24"/>
        </w:rPr>
        <w:t>自愿、风险自担的原则，中标（成交）供应商可根据自身资金需求，登录陕西省政府采购信用融资平台</w:t>
      </w:r>
      <w:r>
        <w:rPr>
          <w:rFonts w:hint="eastAsia" w:ascii="宋体" w:hAnsi="宋体" w:eastAsia="宋体" w:cs="宋体"/>
          <w:b w:val="0"/>
          <w:bCs w:val="0"/>
          <w:color w:val="auto"/>
          <w:spacing w:val="-6"/>
          <w:sz w:val="24"/>
          <w:szCs w:val="24"/>
        </w:rPr>
        <w:t>（http://www.ccgp-shaanxi.gov.cn/zcdservice/zcd/shanxi/）</w:t>
      </w:r>
      <w:r>
        <w:rPr>
          <w:rFonts w:hint="eastAsia" w:ascii="宋体" w:hAnsi="宋体" w:eastAsia="宋体" w:cs="宋体"/>
          <w:b w:val="0"/>
          <w:bCs w:val="0"/>
          <w:color w:val="auto"/>
          <w:sz w:val="24"/>
          <w:szCs w:val="24"/>
          <w:lang w:val="en-US" w:eastAsia="zh-CN"/>
        </w:rPr>
        <w:t>或中征平台（https://www.crcrfsp.com）</w:t>
      </w:r>
      <w:r>
        <w:rPr>
          <w:rFonts w:hint="eastAsia" w:ascii="宋体" w:hAnsi="宋体" w:eastAsia="宋体" w:cs="宋体"/>
          <w:b w:val="0"/>
          <w:bCs w:val="0"/>
          <w:color w:val="auto"/>
          <w:sz w:val="24"/>
          <w:szCs w:val="24"/>
        </w:rPr>
        <w:t>在线申请，依法参加政府采购信用融资活动。</w:t>
      </w:r>
    </w:p>
    <w:tbl>
      <w:tblPr>
        <w:tblStyle w:val="26"/>
        <w:tblpPr w:leftFromText="180" w:rightFromText="180" w:vertAnchor="page" w:horzAnchor="page" w:tblpX="1471" w:tblpY="4277"/>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14:paraId="190B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14:paraId="417DB593">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1"/>
                <w:szCs w:val="21"/>
                <w:u w:val="none"/>
                <w:lang w:val="en-US" w:eastAsia="zh-CN" w:bidi="ar"/>
              </w:rPr>
            </w:pPr>
          </w:p>
        </w:tc>
        <w:tc>
          <w:tcPr>
            <w:tcW w:w="8892" w:type="dxa"/>
            <w:gridSpan w:val="7"/>
            <w:tcBorders>
              <w:top w:val="nil"/>
              <w:left w:val="nil"/>
              <w:bottom w:val="nil"/>
              <w:right w:val="nil"/>
            </w:tcBorders>
            <w:noWrap/>
            <w:vAlign w:val="center"/>
          </w:tcPr>
          <w:p w14:paraId="3869306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榆林市“政采贷”业务办理银行联系表</w:t>
            </w:r>
          </w:p>
        </w:tc>
      </w:tr>
      <w:tr w14:paraId="768A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CD30DE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FC61A5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36026E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8E94F3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ED3AE4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1C4AA0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FF2A33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CF9ACA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联系人</w:t>
            </w:r>
          </w:p>
        </w:tc>
      </w:tr>
      <w:tr w14:paraId="1BA7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3250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7971C3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BE0360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3F5B83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8ADB4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EC49C9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E2F581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ABC198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魏  众15109123951</w:t>
            </w:r>
          </w:p>
        </w:tc>
      </w:tr>
      <w:tr w14:paraId="08CF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D5EC8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8F7847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3426E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A44E4A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DED163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C0F568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324238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1A72EE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  明18992218795</w:t>
            </w:r>
          </w:p>
        </w:tc>
      </w:tr>
      <w:tr w14:paraId="3510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C6C51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938DF2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B0B369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D96AFE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BD94E0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98B299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1B7129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1C1CC9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艾思宇13509127997</w:t>
            </w:r>
          </w:p>
        </w:tc>
      </w:tr>
      <w:tr w14:paraId="0EBD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7BE05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8FAF8F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5BDF10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2FDB19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733F36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9C947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E0140D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443EAB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  飞15291296886</w:t>
            </w:r>
          </w:p>
        </w:tc>
      </w:tr>
      <w:tr w14:paraId="74A8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748267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E744F7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063ECD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C99CD3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7C8AA7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6192CE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02CA0B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263B221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浩18691230007</w:t>
            </w:r>
          </w:p>
        </w:tc>
      </w:tr>
      <w:tr w14:paraId="73A9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0BA6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1E67C4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2B6834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0336FE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112EBC3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1787DF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4C2469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FE9FC3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  烨15596100007</w:t>
            </w:r>
          </w:p>
        </w:tc>
      </w:tr>
      <w:tr w14:paraId="7751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FB373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6F5E77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BFF167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E11225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B9664E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6FD447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653B22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53FD1A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  君15629169158</w:t>
            </w:r>
          </w:p>
        </w:tc>
      </w:tr>
      <w:tr w14:paraId="3EC4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47C33A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E89289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C0AB1E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1D3963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BCA8EA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E59331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4531E0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6C0A51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璐15529875056</w:t>
            </w:r>
          </w:p>
        </w:tc>
      </w:tr>
      <w:tr w14:paraId="4142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A8D940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496F66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77D16B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5BDCC5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B3ABFE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8AB84C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9C36AE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A14615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米璐洁18966997666</w:t>
            </w:r>
          </w:p>
        </w:tc>
      </w:tr>
      <w:tr w14:paraId="44C5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B4A969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F91F6E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B8713C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E1B36A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478CB7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BA8107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5DA534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4627DD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郝双双15991225850</w:t>
            </w:r>
          </w:p>
        </w:tc>
      </w:tr>
      <w:tr w14:paraId="0353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39FD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646D93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F65A5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C879AF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A97252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5BB093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CA570E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3E87C8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薛万隆18709258523</w:t>
            </w:r>
          </w:p>
        </w:tc>
      </w:tr>
      <w:tr w14:paraId="1E39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C1DDE8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2D09EF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468B32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9106AC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FF8824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4D316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EDBABB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492637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李思嘉15191820101</w:t>
            </w:r>
          </w:p>
        </w:tc>
      </w:tr>
      <w:tr w14:paraId="5CE6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7EF7B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A0382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B7083E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D23DCD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36DD22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E771E6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5857CA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64BB03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 宇 15929397838</w:t>
            </w:r>
          </w:p>
        </w:tc>
      </w:tr>
    </w:tbl>
    <w:p w14:paraId="0A62E881">
      <w:pPr>
        <w:rPr>
          <w:rFonts w:hint="eastAsia" w:ascii="宋体" w:hAnsi="宋体" w:cs="宋体"/>
          <w:color w:val="auto"/>
          <w:sz w:val="24"/>
          <w:szCs w:val="24"/>
          <w:highlight w:val="none"/>
        </w:rPr>
      </w:pPr>
    </w:p>
    <w:p w14:paraId="51C12DF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备注：银行排名不分先后。如产品额度、期限、利率等内容发生改变，以银行解释为准。</w:t>
      </w:r>
    </w:p>
    <w:p w14:paraId="37BC7096">
      <w:pPr>
        <w:rPr>
          <w:rFonts w:hint="eastAsia" w:ascii="宋体" w:hAnsi="宋体" w:cs="宋体"/>
          <w:color w:val="auto"/>
          <w:sz w:val="24"/>
          <w:szCs w:val="24"/>
          <w:highlight w:val="none"/>
        </w:rPr>
        <w:sectPr>
          <w:pgSz w:w="11900" w:h="16838"/>
          <w:pgMar w:top="1429" w:right="1417" w:bottom="1417" w:left="1417" w:header="850" w:footer="850" w:gutter="0"/>
          <w:cols w:space="720" w:num="1"/>
          <w:docGrid w:linePitch="326" w:charSpace="0"/>
        </w:sectPr>
      </w:pPr>
    </w:p>
    <w:p w14:paraId="5C5B5A7A">
      <w:pPr>
        <w:bidi w:val="0"/>
        <w:jc w:val="center"/>
        <w:outlineLvl w:val="0"/>
        <w:rPr>
          <w:b/>
          <w:bCs/>
          <w:color w:val="auto"/>
        </w:rPr>
      </w:pPr>
      <w:bookmarkStart w:id="247" w:name="_Toc608"/>
      <w:bookmarkStart w:id="248" w:name="_Toc26332"/>
      <w:bookmarkStart w:id="249" w:name="_Toc24439"/>
      <w:r>
        <w:rPr>
          <w:rFonts w:hint="eastAsia"/>
          <w:b/>
          <w:bCs/>
          <w:color w:val="auto"/>
          <w:sz w:val="36"/>
          <w:szCs w:val="36"/>
        </w:rPr>
        <w:t>第三章  评标方法</w:t>
      </w:r>
      <w:bookmarkEnd w:id="247"/>
      <w:bookmarkEnd w:id="248"/>
      <w:bookmarkEnd w:id="249"/>
    </w:p>
    <w:bookmarkEnd w:id="244"/>
    <w:bookmarkEnd w:id="246"/>
    <w:p w14:paraId="2E7E1989">
      <w:pPr>
        <w:widowControl/>
        <w:jc w:val="left"/>
        <w:outlineLvl w:val="9"/>
        <w:rPr>
          <w:rFonts w:hint="eastAsia"/>
          <w:color w:val="auto"/>
        </w:rPr>
      </w:pPr>
      <w:bookmarkStart w:id="250" w:name="_Toc6685"/>
      <w:r>
        <w:rPr>
          <w:rFonts w:hint="eastAsia" w:ascii="宋体" w:hAnsi="宋体" w:cs="宋体"/>
          <w:b/>
          <w:bCs/>
          <w:color w:val="auto"/>
          <w:kern w:val="0"/>
          <w:sz w:val="28"/>
          <w:szCs w:val="28"/>
          <w:lang w:bidi="ar"/>
        </w:rPr>
        <w:t>一、评审方法</w:t>
      </w:r>
      <w:bookmarkEnd w:id="250"/>
      <w:r>
        <w:rPr>
          <w:rFonts w:hint="eastAsia" w:ascii="宋体" w:hAnsi="宋体" w:cs="宋体"/>
          <w:b/>
          <w:bCs/>
          <w:color w:val="auto"/>
          <w:kern w:val="0"/>
          <w:sz w:val="28"/>
          <w:szCs w:val="28"/>
          <w:lang w:bidi="ar"/>
        </w:rPr>
        <w:t xml:space="preserve"> </w:t>
      </w:r>
    </w:p>
    <w:p w14:paraId="6B8A5676">
      <w:pPr>
        <w:numPr>
          <w:ilvl w:val="0"/>
          <w:numId w:val="4"/>
        </w:numPr>
        <w:adjustRightInd w:val="0"/>
        <w:snapToGrid w:val="0"/>
        <w:spacing w:line="360" w:lineRule="auto"/>
        <w:ind w:firstLine="480" w:firstLineChars="200"/>
        <w:jc w:val="left"/>
        <w:outlineLvl w:val="9"/>
        <w:rPr>
          <w:rFonts w:hint="eastAsia" w:ascii="宋体" w:hAnsi="宋体" w:cs="宋体"/>
          <w:color w:val="auto"/>
          <w:sz w:val="24"/>
        </w:rPr>
      </w:pPr>
      <w:r>
        <w:rPr>
          <w:rFonts w:hint="eastAsia" w:ascii="宋体" w:hAnsi="宋体" w:cs="宋体"/>
          <w:color w:val="auto"/>
          <w:sz w:val="24"/>
        </w:rPr>
        <w:t>本项目采用</w:t>
      </w:r>
      <w:r>
        <w:rPr>
          <w:rFonts w:hint="eastAsia" w:ascii="宋体" w:hAnsi="宋体" w:cs="宋体"/>
          <w:b/>
          <w:color w:val="auto"/>
          <w:sz w:val="24"/>
        </w:rPr>
        <w:t>综合评分</w:t>
      </w:r>
      <w:r>
        <w:rPr>
          <w:rFonts w:hint="eastAsia" w:ascii="宋体" w:hAnsi="宋体" w:cs="宋体"/>
          <w:color w:val="auto"/>
          <w:sz w:val="24"/>
        </w:rPr>
        <w:t>法进行评审，总分为</w:t>
      </w:r>
      <w:r>
        <w:rPr>
          <w:rFonts w:hint="eastAsia" w:ascii="宋体" w:hAnsi="宋体" w:cs="宋体"/>
          <w:color w:val="auto"/>
          <w:sz w:val="24"/>
          <w:u w:val="single"/>
        </w:rPr>
        <w:t>100</w:t>
      </w:r>
      <w:r>
        <w:rPr>
          <w:rFonts w:hint="eastAsia" w:ascii="宋体" w:hAnsi="宋体" w:cs="宋体"/>
          <w:color w:val="auto"/>
          <w:sz w:val="24"/>
        </w:rPr>
        <w:t>分。</w:t>
      </w:r>
    </w:p>
    <w:p w14:paraId="37C07B65">
      <w:pPr>
        <w:adjustRightInd w:val="0"/>
        <w:snapToGrid w:val="0"/>
        <w:spacing w:line="360" w:lineRule="auto"/>
        <w:ind w:firstLine="480" w:firstLineChars="200"/>
        <w:jc w:val="left"/>
        <w:outlineLvl w:val="9"/>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szCs w:val="24"/>
          <w:lang w:val="en-US" w:eastAsia="zh-CN"/>
        </w:rPr>
        <w:t>磋商小组</w:t>
      </w:r>
      <w:r>
        <w:rPr>
          <w:rFonts w:hint="eastAsia" w:ascii="宋体" w:hAnsi="宋体" w:cs="宋体"/>
          <w:color w:val="auto"/>
          <w:sz w:val="24"/>
        </w:rPr>
        <w:t>应当按照</w:t>
      </w:r>
      <w:r>
        <w:rPr>
          <w:rFonts w:hint="eastAsia" w:ascii="宋体" w:hAnsi="宋体" w:cs="宋体"/>
          <w:bCs/>
          <w:color w:val="auto"/>
          <w:sz w:val="24"/>
          <w:szCs w:val="24"/>
          <w:lang w:val="en-US" w:eastAsia="zh-CN"/>
        </w:rPr>
        <w:t>竞争性磋商</w:t>
      </w:r>
      <w:r>
        <w:rPr>
          <w:rFonts w:hint="eastAsia" w:ascii="宋体" w:hAnsi="宋体" w:cs="宋体"/>
          <w:bCs/>
          <w:color w:val="auto"/>
          <w:sz w:val="24"/>
          <w:szCs w:val="24"/>
        </w:rPr>
        <w:t>文件</w:t>
      </w:r>
      <w:r>
        <w:rPr>
          <w:rFonts w:hint="eastAsia" w:ascii="宋体" w:hAnsi="宋体" w:cs="宋体"/>
          <w:color w:val="auto"/>
          <w:sz w:val="24"/>
        </w:rPr>
        <w:t>中规定的要求，对</w:t>
      </w:r>
      <w:r>
        <w:rPr>
          <w:rFonts w:hint="eastAsia" w:ascii="宋体" w:hAnsi="宋体" w:cs="宋体"/>
          <w:bCs/>
          <w:color w:val="auto"/>
          <w:sz w:val="24"/>
          <w:szCs w:val="24"/>
          <w:lang w:val="en-US" w:eastAsia="zh-CN"/>
        </w:rPr>
        <w:t>竞争性磋商</w:t>
      </w:r>
      <w:r>
        <w:rPr>
          <w:rFonts w:hint="eastAsia" w:ascii="宋体" w:hAnsi="宋体" w:cs="宋体"/>
          <w:bCs/>
          <w:color w:val="auto"/>
          <w:sz w:val="24"/>
          <w:szCs w:val="24"/>
        </w:rPr>
        <w:t>文件</w:t>
      </w:r>
      <w:r>
        <w:rPr>
          <w:rFonts w:hint="eastAsia" w:ascii="宋体" w:hAnsi="宋体" w:cs="宋体"/>
          <w:color w:val="auto"/>
          <w:sz w:val="24"/>
        </w:rPr>
        <w:t>进行资格性和符合性审查，</w:t>
      </w:r>
      <w:r>
        <w:rPr>
          <w:rFonts w:hint="eastAsia" w:ascii="宋体" w:hAnsi="宋体" w:cs="宋体"/>
          <w:color w:val="auto"/>
          <w:sz w:val="24"/>
          <w:lang w:val="en-US" w:eastAsia="zh-CN"/>
        </w:rPr>
        <w:t>通过审查的供应商</w:t>
      </w:r>
      <w:r>
        <w:rPr>
          <w:rFonts w:hint="eastAsia" w:ascii="宋体" w:hAnsi="宋体" w:cs="宋体"/>
          <w:color w:val="auto"/>
          <w:sz w:val="24"/>
        </w:rPr>
        <w:t>进行二次报价（所有报价在公示前均不公开宣布）、综合比较与评价、推荐成交候选供应商名单的工作程序进行评审。在上一步评审中被认定为无效磋商者，不进入下一步的评审。</w:t>
      </w:r>
    </w:p>
    <w:p w14:paraId="520E2374">
      <w:pPr>
        <w:adjustRightInd w:val="0"/>
        <w:snapToGrid w:val="0"/>
        <w:spacing w:line="360" w:lineRule="auto"/>
        <w:ind w:firstLine="480" w:firstLineChars="200"/>
        <w:jc w:val="left"/>
        <w:outlineLvl w:val="9"/>
        <w:rPr>
          <w:rFonts w:hint="eastAsia" w:ascii="宋体" w:hAnsi="宋体" w:cs="宋体"/>
          <w:b/>
          <w:bCs/>
          <w:color w:val="auto"/>
          <w:sz w:val="24"/>
          <w:szCs w:val="24"/>
        </w:rPr>
      </w:pPr>
      <w:r>
        <w:rPr>
          <w:rFonts w:hint="eastAsia" w:ascii="宋体" w:hAnsi="宋体" w:cs="宋体"/>
          <w:bCs/>
          <w:color w:val="auto"/>
          <w:sz w:val="24"/>
        </w:rPr>
        <w:t>3、评审分值：</w:t>
      </w:r>
      <w:r>
        <w:rPr>
          <w:rFonts w:hint="eastAsia" w:ascii="宋体" w:hAnsi="宋体" w:cs="宋体"/>
          <w:b/>
          <w:bCs/>
          <w:color w:val="auto"/>
          <w:sz w:val="24"/>
          <w:szCs w:val="24"/>
        </w:rPr>
        <w:t>评审分值结构表如下</w:t>
      </w:r>
    </w:p>
    <w:p w14:paraId="423856B0">
      <w:pPr>
        <w:adjustRightInd w:val="0"/>
        <w:snapToGrid w:val="0"/>
        <w:spacing w:line="360" w:lineRule="auto"/>
        <w:ind w:firstLine="424" w:firstLineChars="177"/>
        <w:outlineLvl w:val="9"/>
        <w:rPr>
          <w:rFonts w:hint="eastAsia" w:ascii="宋体" w:hAnsi="宋体" w:cs="宋体"/>
          <w:bCs/>
          <w:color w:val="auto"/>
          <w:sz w:val="24"/>
          <w:szCs w:val="24"/>
        </w:rPr>
      </w:pPr>
      <w:r>
        <w:rPr>
          <w:rFonts w:hint="eastAsia" w:ascii="宋体" w:hAnsi="宋体" w:cs="宋体"/>
          <w:bCs/>
          <w:color w:val="auto"/>
          <w:sz w:val="24"/>
          <w:szCs w:val="24"/>
        </w:rPr>
        <w:t>4、</w:t>
      </w:r>
      <w:r>
        <w:rPr>
          <w:rFonts w:hint="eastAsia" w:ascii="宋体" w:hAnsi="宋体" w:cs="宋体"/>
          <w:bCs/>
          <w:color w:val="auto"/>
          <w:sz w:val="24"/>
          <w:szCs w:val="24"/>
          <w:lang w:val="en-US" w:eastAsia="zh-CN"/>
        </w:rPr>
        <w:t>竞争性磋商</w:t>
      </w:r>
      <w:r>
        <w:rPr>
          <w:rFonts w:hint="eastAsia" w:ascii="宋体" w:hAnsi="宋体" w:cs="宋体"/>
          <w:bCs/>
          <w:color w:val="auto"/>
          <w:sz w:val="24"/>
          <w:szCs w:val="24"/>
        </w:rPr>
        <w:t>文件打分表要求提供的证明资料需在投标文件中附响应的复印件或扫描件，以备</w:t>
      </w:r>
      <w:r>
        <w:rPr>
          <w:rFonts w:hint="eastAsia" w:ascii="宋体" w:hAnsi="宋体" w:cs="宋体"/>
          <w:color w:val="auto"/>
          <w:sz w:val="24"/>
          <w:szCs w:val="24"/>
          <w:lang w:val="en-US" w:eastAsia="zh-CN"/>
        </w:rPr>
        <w:t>磋商小组成员</w:t>
      </w:r>
      <w:r>
        <w:rPr>
          <w:rFonts w:hint="eastAsia" w:ascii="宋体" w:hAnsi="宋体" w:cs="宋体"/>
          <w:bCs/>
          <w:color w:val="auto"/>
          <w:sz w:val="24"/>
          <w:szCs w:val="24"/>
        </w:rPr>
        <w:t>审查。</w:t>
      </w:r>
    </w:p>
    <w:p w14:paraId="7A0297C7">
      <w:pPr>
        <w:adjustRightInd w:val="0"/>
        <w:snapToGrid w:val="0"/>
        <w:spacing w:line="360" w:lineRule="auto"/>
        <w:ind w:left="289"/>
        <w:jc w:val="left"/>
        <w:outlineLvl w:val="9"/>
        <w:rPr>
          <w:rFonts w:hint="eastAsia" w:ascii="宋体" w:hAnsi="宋体" w:cs="宋体"/>
          <w:color w:val="auto"/>
          <w:sz w:val="24"/>
        </w:rPr>
      </w:pPr>
      <w:r>
        <w:rPr>
          <w:rFonts w:hint="eastAsia" w:ascii="宋体" w:hAnsi="宋体" w:cs="宋体"/>
          <w:color w:val="auto"/>
          <w:sz w:val="24"/>
        </w:rPr>
        <w:t xml:space="preserve">  5、特殊情况：</w:t>
      </w:r>
    </w:p>
    <w:p w14:paraId="5DDE4E38">
      <w:pPr>
        <w:adjustRightInd w:val="0"/>
        <w:snapToGrid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szCs w:val="24"/>
          <w:lang w:val="en-US" w:eastAsia="zh-CN"/>
        </w:rPr>
        <w:t>磋商小组</w:t>
      </w:r>
      <w:r>
        <w:rPr>
          <w:rFonts w:hint="eastAsia" w:ascii="宋体" w:hAnsi="宋体" w:cs="宋体"/>
          <w:color w:val="auto"/>
          <w:sz w:val="24"/>
        </w:rPr>
        <w:t>认为投标人的报价明显低于其他通过符合性审查投标人的报价，有可能影响服务质量或者不能诚信履约的，应当要求其在评标现场合理的时间内提供书面说明，必要时提交相关证明材料；投标人不能证明其报价合理性的，</w:t>
      </w:r>
      <w:r>
        <w:rPr>
          <w:rFonts w:hint="eastAsia" w:ascii="宋体" w:hAnsi="宋体" w:cs="宋体"/>
          <w:color w:val="auto"/>
          <w:sz w:val="24"/>
          <w:szCs w:val="24"/>
          <w:lang w:val="en-US" w:eastAsia="zh-CN"/>
        </w:rPr>
        <w:t>磋商小组成员</w:t>
      </w:r>
      <w:r>
        <w:rPr>
          <w:rFonts w:hint="eastAsia" w:ascii="宋体" w:hAnsi="宋体" w:cs="宋体"/>
          <w:color w:val="auto"/>
          <w:sz w:val="24"/>
        </w:rPr>
        <w:t>应当将其作为无效投标处理。</w:t>
      </w:r>
    </w:p>
    <w:p w14:paraId="3EBD1952">
      <w:pPr>
        <w:adjustRightInd w:val="0"/>
        <w:snapToGrid w:val="0"/>
        <w:spacing w:line="360" w:lineRule="auto"/>
        <w:ind w:firstLine="480" w:firstLineChars="200"/>
        <w:outlineLvl w:val="9"/>
        <w:rPr>
          <w:rFonts w:hint="eastAsia" w:ascii="宋体" w:hAnsi="宋体" w:cs="宋体"/>
          <w:color w:val="auto"/>
          <w:sz w:val="24"/>
          <w:szCs w:val="22"/>
        </w:rPr>
      </w:pPr>
      <w:r>
        <w:rPr>
          <w:rFonts w:hint="eastAsia" w:ascii="宋体" w:hAnsi="宋体" w:cs="宋体"/>
          <w:color w:val="auto"/>
          <w:sz w:val="24"/>
        </w:rPr>
        <w:t>2）得分相同的，按投标报价由低到高顺序排</w:t>
      </w:r>
      <w:r>
        <w:rPr>
          <w:rFonts w:hint="eastAsia" w:ascii="宋体" w:hAnsi="宋体" w:cs="宋体"/>
          <w:color w:val="auto"/>
          <w:sz w:val="24"/>
          <w:szCs w:val="22"/>
        </w:rPr>
        <w:t>列。</w:t>
      </w:r>
    </w:p>
    <w:p w14:paraId="1500408D">
      <w:pPr>
        <w:adjustRightInd w:val="0"/>
        <w:snapToGrid w:val="0"/>
        <w:spacing w:line="360" w:lineRule="auto"/>
        <w:ind w:firstLine="480" w:firstLineChars="200"/>
        <w:outlineLvl w:val="9"/>
        <w:rPr>
          <w:rFonts w:hint="eastAsia" w:ascii="宋体" w:hAnsi="宋体" w:cs="宋体"/>
          <w:color w:val="auto"/>
          <w:sz w:val="24"/>
          <w:szCs w:val="22"/>
        </w:rPr>
      </w:pPr>
      <w:r>
        <w:rPr>
          <w:rFonts w:hint="eastAsia" w:ascii="宋体" w:hAnsi="宋体" w:cs="宋体"/>
          <w:color w:val="auto"/>
          <w:sz w:val="24"/>
          <w:szCs w:val="22"/>
        </w:rPr>
        <w:t>3）得分且投标报价相同的，比较技术得分，此技术得分高者排在前。</w:t>
      </w:r>
    </w:p>
    <w:p w14:paraId="2CAD826C">
      <w:pPr>
        <w:adjustRightInd w:val="0"/>
        <w:snapToGrid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szCs w:val="22"/>
        </w:rPr>
        <w:t>4）</w:t>
      </w:r>
      <w:r>
        <w:rPr>
          <w:rFonts w:hint="eastAsia" w:ascii="宋体" w:hAnsi="宋体" w:cs="宋体"/>
          <w:color w:val="auto"/>
          <w:sz w:val="24"/>
          <w:szCs w:val="24"/>
          <w:lang w:val="en-US" w:eastAsia="zh-CN"/>
        </w:rPr>
        <w:t>磋商小组</w:t>
      </w:r>
      <w:r>
        <w:rPr>
          <w:rFonts w:hint="eastAsia" w:ascii="宋体" w:hAnsi="宋体" w:cs="宋体"/>
          <w:color w:val="auto"/>
          <w:sz w:val="24"/>
          <w:szCs w:val="22"/>
        </w:rPr>
        <w:t>评分超出评分标准范围的、各</w:t>
      </w:r>
      <w:r>
        <w:rPr>
          <w:rFonts w:hint="eastAsia" w:ascii="宋体" w:hAnsi="宋体" w:cs="宋体"/>
          <w:color w:val="auto"/>
          <w:sz w:val="24"/>
          <w:szCs w:val="24"/>
          <w:lang w:val="en-US" w:eastAsia="zh-CN"/>
        </w:rPr>
        <w:t>磋商小组</w:t>
      </w:r>
      <w:r>
        <w:rPr>
          <w:rFonts w:hint="eastAsia" w:ascii="宋体" w:hAnsi="宋体" w:cs="宋体"/>
          <w:color w:val="auto"/>
          <w:sz w:val="24"/>
          <w:szCs w:val="22"/>
        </w:rPr>
        <w:t>对客观评审得分不一致的和</w:t>
      </w:r>
      <w:r>
        <w:rPr>
          <w:rFonts w:hint="eastAsia" w:ascii="宋体" w:hAnsi="宋体" w:cs="宋体"/>
          <w:color w:val="auto"/>
          <w:sz w:val="24"/>
          <w:szCs w:val="24"/>
          <w:lang w:val="en-US" w:eastAsia="zh-CN"/>
        </w:rPr>
        <w:t>磋商小组</w:t>
      </w:r>
      <w:r>
        <w:rPr>
          <w:rFonts w:hint="eastAsia" w:ascii="宋体" w:hAnsi="宋体" w:cs="宋体"/>
          <w:color w:val="auto"/>
          <w:sz w:val="24"/>
          <w:szCs w:val="22"/>
        </w:rPr>
        <w:t>认定评分畸高畸低的，</w:t>
      </w:r>
      <w:r>
        <w:rPr>
          <w:rFonts w:hint="eastAsia" w:ascii="宋体" w:hAnsi="宋体" w:cs="宋体"/>
          <w:color w:val="auto"/>
          <w:sz w:val="24"/>
          <w:szCs w:val="24"/>
          <w:lang w:val="en-US" w:eastAsia="zh-CN"/>
        </w:rPr>
        <w:t>磋商小组</w:t>
      </w:r>
      <w:r>
        <w:rPr>
          <w:rFonts w:hint="eastAsia" w:ascii="宋体" w:hAnsi="宋体" w:cs="宋体"/>
          <w:color w:val="auto"/>
          <w:sz w:val="24"/>
          <w:szCs w:val="22"/>
        </w:rPr>
        <w:t>应当当场修改</w:t>
      </w:r>
      <w:r>
        <w:rPr>
          <w:rFonts w:hint="eastAsia" w:ascii="宋体" w:hAnsi="宋体" w:cs="宋体"/>
          <w:color w:val="auto"/>
          <w:sz w:val="24"/>
        </w:rPr>
        <w:t>。</w:t>
      </w:r>
    </w:p>
    <w:p w14:paraId="51BB84DA">
      <w:pPr>
        <w:tabs>
          <w:tab w:val="left" w:pos="1080"/>
        </w:tabs>
        <w:adjustRightInd w:val="0"/>
        <w:snapToGrid w:val="0"/>
        <w:spacing w:line="360" w:lineRule="auto"/>
        <w:ind w:left="465"/>
        <w:outlineLvl w:val="9"/>
        <w:rPr>
          <w:rFonts w:hint="eastAsia" w:ascii="宋体" w:hAnsi="宋体" w:cs="宋体"/>
          <w:color w:val="auto"/>
          <w:sz w:val="24"/>
        </w:rPr>
      </w:pPr>
      <w:r>
        <w:rPr>
          <w:rFonts w:hint="eastAsia" w:ascii="宋体" w:hAnsi="宋体" w:cs="宋体"/>
          <w:color w:val="auto"/>
          <w:sz w:val="24"/>
        </w:rPr>
        <w:t>6、定标</w:t>
      </w:r>
    </w:p>
    <w:p w14:paraId="3CA854F0">
      <w:pPr>
        <w:adjustRightInd w:val="0"/>
        <w:snapToGrid w:val="0"/>
        <w:spacing w:line="360" w:lineRule="auto"/>
        <w:ind w:left="288" w:leftChars="137" w:firstLine="240" w:firstLineChars="100"/>
        <w:jc w:val="left"/>
        <w:outlineLvl w:val="9"/>
        <w:rPr>
          <w:rFonts w:hint="eastAsia" w:ascii="宋体" w:hAnsi="宋体" w:cs="宋体"/>
          <w:color w:val="auto"/>
          <w:sz w:val="24"/>
        </w:rPr>
      </w:pPr>
      <w:r>
        <w:rPr>
          <w:rFonts w:hint="eastAsia" w:ascii="宋体" w:hAnsi="宋体" w:cs="宋体"/>
          <w:color w:val="auto"/>
          <w:sz w:val="24"/>
        </w:rPr>
        <w:t>1）最终得分=取其</w:t>
      </w:r>
      <w:r>
        <w:rPr>
          <w:rFonts w:hint="eastAsia" w:ascii="宋体" w:hAnsi="宋体" w:cs="宋体"/>
          <w:color w:val="auto"/>
          <w:sz w:val="24"/>
          <w:szCs w:val="24"/>
          <w:lang w:val="en-US" w:eastAsia="zh-CN"/>
        </w:rPr>
        <w:t>磋商小组成员</w:t>
      </w:r>
      <w:r>
        <w:rPr>
          <w:rFonts w:hint="eastAsia" w:ascii="宋体" w:hAnsi="宋体" w:cs="宋体"/>
          <w:color w:val="auto"/>
          <w:sz w:val="24"/>
        </w:rPr>
        <w:t>的平均分；按得分由高到低顺序排列，推荐</w:t>
      </w:r>
      <w:r>
        <w:rPr>
          <w:rFonts w:hint="eastAsia" w:ascii="宋体" w:hAnsi="宋体" w:cs="宋体"/>
          <w:color w:val="auto"/>
          <w:sz w:val="24"/>
          <w:lang w:val="en-US" w:eastAsia="zh-CN"/>
        </w:rPr>
        <w:t>不少于3名成交候选供应商，并编制评审报告，</w:t>
      </w:r>
      <w:r>
        <w:rPr>
          <w:rFonts w:hint="eastAsia" w:ascii="宋体" w:hAnsi="宋体" w:cs="宋体"/>
          <w:color w:val="auto"/>
          <w:spacing w:val="4"/>
          <w:sz w:val="24"/>
          <w:szCs w:val="24"/>
        </w:rPr>
        <w:t>评标结果由全体</w:t>
      </w:r>
      <w:r>
        <w:rPr>
          <w:rFonts w:hint="eastAsia" w:ascii="宋体" w:hAnsi="宋体" w:cs="宋体"/>
          <w:color w:val="auto"/>
          <w:sz w:val="24"/>
          <w:szCs w:val="24"/>
          <w:lang w:val="en-US" w:eastAsia="zh-CN"/>
        </w:rPr>
        <w:t>磋商小组成员</w:t>
      </w:r>
      <w:r>
        <w:rPr>
          <w:rFonts w:hint="eastAsia" w:ascii="宋体" w:hAnsi="宋体" w:cs="宋体"/>
          <w:color w:val="auto"/>
          <w:sz w:val="24"/>
        </w:rPr>
        <w:t>签字确认。</w:t>
      </w:r>
    </w:p>
    <w:p w14:paraId="2306540C">
      <w:pPr>
        <w:keepNext w:val="0"/>
        <w:keepLines w:val="0"/>
        <w:pageBreakBefore w:val="0"/>
        <w:widowControl w:val="0"/>
        <w:kinsoku/>
        <w:wordWrap/>
        <w:overflowPunct/>
        <w:topLinePunct w:val="0"/>
        <w:autoSpaceDE/>
        <w:autoSpaceDN/>
        <w:bidi w:val="0"/>
        <w:adjustRightInd/>
        <w:snapToGrid/>
        <w:spacing w:line="360" w:lineRule="auto"/>
        <w:ind w:left="0" w:leftChars="0" w:firstLine="360" w:firstLineChars="150"/>
        <w:jc w:val="left"/>
        <w:textAlignment w:val="auto"/>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2）符合</w:t>
      </w:r>
      <w:r>
        <w:rPr>
          <w:rFonts w:hint="default" w:ascii="宋体" w:hAnsi="宋体" w:cs="宋体"/>
          <w:color w:val="auto"/>
          <w:sz w:val="24"/>
          <w:lang w:val="en-US" w:eastAsia="zh-CN"/>
        </w:rPr>
        <w:t>①</w:t>
      </w:r>
      <w:r>
        <w:rPr>
          <w:rFonts w:hint="eastAsia" w:ascii="宋体" w:hAnsi="宋体" w:cs="宋体"/>
          <w:color w:val="auto"/>
          <w:sz w:val="24"/>
          <w:lang w:val="en-US" w:eastAsia="zh-CN"/>
        </w:rPr>
        <w:t>市场竞争不</w:t>
      </w:r>
      <w:r>
        <w:rPr>
          <w:rFonts w:hint="eastAsia" w:ascii="宋体" w:hAnsi="宋体" w:eastAsia="宋体" w:cs="宋体"/>
          <w:color w:val="auto"/>
          <w:sz w:val="24"/>
          <w:szCs w:val="24"/>
        </w:rPr>
        <w:t>充分的科研项目，以及需要扶持的科技成果转化项目；</w:t>
      </w:r>
      <w:r>
        <w:rPr>
          <w:rFonts w:hint="default" w:ascii="宋体" w:hAnsi="宋体" w:cs="宋体"/>
          <w:color w:val="auto"/>
          <w:sz w:val="24"/>
          <w:lang w:val="en-US" w:eastAsia="zh-CN"/>
        </w:rPr>
        <w:t>②</w:t>
      </w:r>
      <w:r>
        <w:rPr>
          <w:rFonts w:hint="eastAsia" w:ascii="宋体" w:hAnsi="宋体" w:cs="宋体"/>
          <w:color w:val="auto"/>
          <w:sz w:val="24"/>
          <w:lang w:val="en-US" w:eastAsia="zh-CN"/>
        </w:rPr>
        <w:t>政府购</w:t>
      </w:r>
      <w:r>
        <w:rPr>
          <w:rFonts w:hint="eastAsia" w:ascii="宋体" w:hAnsi="宋体" w:eastAsia="宋体" w:cs="宋体"/>
          <w:color w:val="auto"/>
          <w:sz w:val="24"/>
          <w:szCs w:val="24"/>
        </w:rPr>
        <w:t>买服务项目（含政府和社会资本项目）</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情形，可以推荐2家成交候选供应商</w:t>
      </w:r>
      <w:r>
        <w:rPr>
          <w:rFonts w:hint="eastAsia" w:ascii="宋体" w:hAnsi="宋体" w:eastAsia="宋体" w:cs="宋体"/>
          <w:color w:val="auto"/>
          <w:sz w:val="24"/>
          <w:szCs w:val="24"/>
        </w:rPr>
        <w:t>。</w:t>
      </w:r>
    </w:p>
    <w:p w14:paraId="731DC88E">
      <w:pPr>
        <w:pStyle w:val="14"/>
        <w:ind w:left="0" w:leftChars="0" w:firstLine="480" w:firstLineChars="200"/>
        <w:outlineLvl w:val="9"/>
        <w:rPr>
          <w:rFonts w:hint="eastAsia" w:cs="宋体"/>
          <w:color w:val="auto"/>
        </w:rPr>
        <w:sectPr>
          <w:footerReference r:id="rId11" w:type="default"/>
          <w:pgSz w:w="11906" w:h="16838"/>
          <w:pgMar w:top="1219" w:right="1800" w:bottom="1219" w:left="1800" w:header="851" w:footer="992" w:gutter="0"/>
          <w:pgNumType w:fmt="decimal"/>
          <w:cols w:space="720" w:num="1"/>
          <w:docGrid w:type="lines" w:linePitch="312" w:charSpace="0"/>
        </w:sectPr>
      </w:pPr>
      <w:r>
        <w:rPr>
          <w:rFonts w:hint="eastAsia" w:cs="宋体"/>
          <w:color w:val="auto"/>
          <w:lang w:val="en-US" w:eastAsia="zh-CN"/>
        </w:rPr>
        <w:t>3</w:t>
      </w:r>
      <w:r>
        <w:rPr>
          <w:rFonts w:hint="eastAsia" w:cs="宋体"/>
          <w:color w:val="auto"/>
        </w:rPr>
        <w:t>）采购人根据评标报告中推荐的</w:t>
      </w:r>
      <w:r>
        <w:rPr>
          <w:rFonts w:hint="eastAsia" w:cs="宋体"/>
          <w:color w:val="auto"/>
          <w:lang w:val="en-US" w:eastAsia="zh-CN"/>
        </w:rPr>
        <w:t>成交</w:t>
      </w:r>
      <w:r>
        <w:rPr>
          <w:rFonts w:hint="eastAsia" w:cs="宋体"/>
          <w:color w:val="auto"/>
        </w:rPr>
        <w:t>候选人排列顺序确定</w:t>
      </w:r>
      <w:r>
        <w:rPr>
          <w:rFonts w:hint="eastAsia" w:cs="宋体"/>
          <w:color w:val="auto"/>
          <w:lang w:val="en-US" w:eastAsia="zh-CN"/>
        </w:rPr>
        <w:t>成交供应商</w:t>
      </w:r>
      <w:r>
        <w:rPr>
          <w:rFonts w:hint="eastAsia" w:cs="宋体"/>
          <w:color w:val="auto"/>
        </w:rPr>
        <w:t>，以</w:t>
      </w:r>
      <w:r>
        <w:rPr>
          <w:rFonts w:hint="eastAsia" w:cs="宋体"/>
          <w:color w:val="auto"/>
          <w:lang w:val="en-US" w:eastAsia="zh-CN"/>
        </w:rPr>
        <w:t>成交</w:t>
      </w:r>
      <w:r>
        <w:rPr>
          <w:rFonts w:hint="eastAsia" w:cs="宋体"/>
          <w:color w:val="auto"/>
        </w:rPr>
        <w:t>复函通知采购代理机构。</w:t>
      </w:r>
    </w:p>
    <w:p w14:paraId="50171BBD">
      <w:pPr>
        <w:widowControl/>
        <w:spacing w:line="360" w:lineRule="auto"/>
        <w:jc w:val="left"/>
        <w:outlineLvl w:val="9"/>
        <w:rPr>
          <w:rFonts w:hint="eastAsia" w:ascii="宋体" w:hAnsi="宋体" w:cs="宋体"/>
          <w:b/>
          <w:bCs/>
          <w:color w:val="auto"/>
          <w:kern w:val="0"/>
          <w:sz w:val="28"/>
          <w:szCs w:val="28"/>
          <w:lang w:bidi="ar"/>
        </w:rPr>
      </w:pPr>
      <w:bookmarkStart w:id="251" w:name="_Toc8989"/>
      <w:r>
        <w:rPr>
          <w:rFonts w:hint="eastAsia" w:ascii="宋体" w:hAnsi="宋体" w:cs="宋体"/>
          <w:b/>
          <w:bCs/>
          <w:color w:val="auto"/>
          <w:kern w:val="0"/>
          <w:sz w:val="28"/>
          <w:szCs w:val="28"/>
          <w:lang w:bidi="ar"/>
        </w:rPr>
        <w:t>二、评审程序</w:t>
      </w:r>
      <w:bookmarkEnd w:id="251"/>
      <w:r>
        <w:rPr>
          <w:rFonts w:hint="eastAsia" w:ascii="宋体" w:hAnsi="宋体" w:cs="宋体"/>
          <w:b/>
          <w:bCs/>
          <w:color w:val="auto"/>
          <w:kern w:val="0"/>
          <w:sz w:val="28"/>
          <w:szCs w:val="28"/>
          <w:lang w:bidi="ar"/>
        </w:rPr>
        <w:t xml:space="preserve"> </w:t>
      </w:r>
    </w:p>
    <w:p w14:paraId="457D3600">
      <w:pPr>
        <w:widowControl/>
        <w:spacing w:line="360" w:lineRule="auto"/>
        <w:jc w:val="left"/>
        <w:outlineLvl w:val="9"/>
        <w:rPr>
          <w:rFonts w:hint="eastAsia" w:ascii="宋体" w:hAnsi="宋体" w:cs="宋体"/>
          <w:b/>
          <w:bCs/>
          <w:color w:val="auto"/>
          <w:kern w:val="0"/>
          <w:sz w:val="28"/>
          <w:szCs w:val="28"/>
          <w:lang w:bidi="ar"/>
        </w:rPr>
      </w:pPr>
      <w:r>
        <w:rPr>
          <w:rFonts w:hint="eastAsia" w:ascii="宋体" w:hAnsi="宋体" w:cs="宋体"/>
          <w:b/>
          <w:bCs/>
          <w:color w:val="auto"/>
          <w:kern w:val="0"/>
          <w:sz w:val="28"/>
          <w:szCs w:val="28"/>
          <w:lang w:bidi="ar"/>
        </w:rPr>
        <w:t>1、初步评审</w:t>
      </w:r>
    </w:p>
    <w:p w14:paraId="511E44E4">
      <w:pPr>
        <w:widowControl/>
        <w:jc w:val="left"/>
        <w:outlineLvl w:val="9"/>
        <w:rPr>
          <w:rFonts w:hint="eastAsia" w:ascii="????" w:hAnsi="????" w:eastAsia="????" w:cs="????"/>
          <w:b/>
          <w:bCs/>
          <w:color w:val="auto"/>
          <w:kern w:val="0"/>
          <w:sz w:val="28"/>
          <w:szCs w:val="28"/>
          <w:lang w:bidi="ar"/>
        </w:rPr>
      </w:pPr>
      <w:r>
        <w:rPr>
          <w:rFonts w:hint="eastAsia" w:ascii="宋体" w:hAnsi="宋体" w:cs="宋体"/>
          <w:b/>
          <w:bCs/>
          <w:color w:val="auto"/>
          <w:kern w:val="0"/>
          <w:sz w:val="28"/>
          <w:szCs w:val="28"/>
          <w:lang w:bidi="ar"/>
        </w:rPr>
        <w:t>1）</w:t>
      </w:r>
      <w:r>
        <w:rPr>
          <w:rFonts w:hint="eastAsia" w:ascii="????" w:hAnsi="????" w:eastAsia="????" w:cs="????"/>
          <w:b/>
          <w:bCs/>
          <w:color w:val="auto"/>
          <w:kern w:val="0"/>
          <w:sz w:val="28"/>
          <w:szCs w:val="28"/>
          <w:lang w:bidi="ar"/>
        </w:rPr>
        <w:t>资格性审查</w:t>
      </w:r>
    </w:p>
    <w:tbl>
      <w:tblPr>
        <w:tblStyle w:val="26"/>
        <w:tblW w:w="9797" w:type="dxa"/>
        <w:jc w:val="center"/>
        <w:tblLayout w:type="fixed"/>
        <w:tblCellMar>
          <w:top w:w="0" w:type="dxa"/>
          <w:left w:w="108" w:type="dxa"/>
          <w:bottom w:w="0" w:type="dxa"/>
          <w:right w:w="108" w:type="dxa"/>
        </w:tblCellMar>
      </w:tblPr>
      <w:tblGrid>
        <w:gridCol w:w="705"/>
        <w:gridCol w:w="2734"/>
        <w:gridCol w:w="6358"/>
      </w:tblGrid>
      <w:tr w14:paraId="58657988">
        <w:tblPrEx>
          <w:tblCellMar>
            <w:top w:w="0" w:type="dxa"/>
            <w:left w:w="108" w:type="dxa"/>
            <w:bottom w:w="0" w:type="dxa"/>
            <w:right w:w="108" w:type="dxa"/>
          </w:tblCellMar>
        </w:tblPrEx>
        <w:trPr>
          <w:trHeight w:val="7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6CC19249">
            <w:pPr>
              <w:spacing w:line="42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07C6B50">
            <w:pPr>
              <w:spacing w:line="42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213195CE">
            <w:pPr>
              <w:widowControl/>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评审标准</w:t>
            </w:r>
          </w:p>
        </w:tc>
      </w:tr>
      <w:tr w14:paraId="7CC1EF00">
        <w:tblPrEx>
          <w:tblCellMar>
            <w:top w:w="0" w:type="dxa"/>
            <w:left w:w="108" w:type="dxa"/>
            <w:bottom w:w="0" w:type="dxa"/>
            <w:right w:w="108" w:type="dxa"/>
          </w:tblCellMar>
        </w:tblPrEx>
        <w:trPr>
          <w:trHeight w:val="7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379C68F">
            <w:pPr>
              <w:spacing w:line="42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4F72E4">
            <w:pPr>
              <w:spacing w:line="42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有效的主体资格</w:t>
            </w:r>
          </w:p>
          <w:p w14:paraId="240D3847">
            <w:pPr>
              <w:spacing w:line="420" w:lineRule="exact"/>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证明</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5F96A14C">
            <w:pPr>
              <w:pStyle w:val="11"/>
              <w:spacing w:line="360" w:lineRule="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tc>
      </w:tr>
      <w:tr w14:paraId="4F0A5FFF">
        <w:tblPrEx>
          <w:tblCellMar>
            <w:top w:w="0" w:type="dxa"/>
            <w:left w:w="108" w:type="dxa"/>
            <w:bottom w:w="0" w:type="dxa"/>
            <w:right w:w="108" w:type="dxa"/>
          </w:tblCellMar>
        </w:tblPrEx>
        <w:trPr>
          <w:trHeight w:val="7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7E983CA">
            <w:pPr>
              <w:spacing w:line="420" w:lineRule="exact"/>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797E58B">
            <w:pPr>
              <w:spacing w:line="420" w:lineRule="exact"/>
              <w:jc w:val="center"/>
              <w:outlineLvl w:val="9"/>
              <w:rPr>
                <w:rFonts w:hint="eastAsia" w:ascii="宋体" w:hAnsi="宋体" w:eastAsia="宋体" w:cs="宋体"/>
                <w:color w:val="auto"/>
                <w:kern w:val="2"/>
                <w:sz w:val="24"/>
                <w:szCs w:val="24"/>
                <w:shd w:val="clear" w:color="auto" w:fill="auto"/>
                <w:lang w:val="en-US" w:eastAsia="zh-CN" w:bidi="ar-SA"/>
              </w:rPr>
            </w:pPr>
            <w:r>
              <w:rPr>
                <w:rFonts w:hint="eastAsia" w:ascii="宋体" w:hAnsi="宋体" w:cs="宋体"/>
                <w:color w:val="auto"/>
                <w:sz w:val="24"/>
                <w:szCs w:val="24"/>
                <w:lang w:val="en-US" w:eastAsia="zh-CN"/>
              </w:rPr>
              <w:t>资质</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18EFDCE5">
            <w:pPr>
              <w:widowControl/>
              <w:tabs>
                <w:tab w:val="left" w:pos="1620"/>
              </w:tabs>
              <w:adjustRightInd w:val="0"/>
              <w:snapToGrid w:val="0"/>
              <w:spacing w:line="360" w:lineRule="auto"/>
              <w:jc w:val="left"/>
              <w:outlineLvl w:val="9"/>
              <w:rPr>
                <w:rFonts w:hint="eastAsia" w:ascii="宋体" w:hAnsi="宋体" w:eastAsia="宋体" w:cs="宋体"/>
                <w:color w:val="auto"/>
                <w:kern w:val="2"/>
                <w:sz w:val="24"/>
                <w:szCs w:val="24"/>
                <w:shd w:val="clear" w:color="auto" w:fill="auto"/>
                <w:lang w:val="en-US" w:eastAsia="zh-CN" w:bidi="ar-SA"/>
              </w:rPr>
            </w:pPr>
            <w:r>
              <w:rPr>
                <w:rFonts w:hint="eastAsia" w:ascii="宋体" w:hAnsi="宋体" w:cs="宋体"/>
                <w:color w:val="auto"/>
                <w:kern w:val="2"/>
                <w:sz w:val="24"/>
                <w:szCs w:val="24"/>
                <w:shd w:val="clear" w:color="auto" w:fill="auto"/>
                <w:lang w:val="en-US" w:eastAsia="zh-CN" w:bidi="ar-SA"/>
              </w:rPr>
              <w:t>具备建筑工程施工总承包三级（含三级）以上资质，具备有效的安全生产许可证；</w:t>
            </w:r>
          </w:p>
        </w:tc>
      </w:tr>
      <w:tr w14:paraId="04F6C15F">
        <w:tblPrEx>
          <w:tblCellMar>
            <w:top w:w="0" w:type="dxa"/>
            <w:left w:w="108" w:type="dxa"/>
            <w:bottom w:w="0" w:type="dxa"/>
            <w:right w:w="108" w:type="dxa"/>
          </w:tblCellMar>
        </w:tblPrEx>
        <w:trPr>
          <w:trHeight w:val="7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FF1C4FA">
            <w:pPr>
              <w:spacing w:line="420" w:lineRule="exact"/>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651D0FD">
            <w:pPr>
              <w:spacing w:line="420" w:lineRule="exact"/>
              <w:jc w:val="center"/>
              <w:outlineLvl w:val="9"/>
              <w:rPr>
                <w:rFonts w:hint="eastAsia" w:ascii="宋体" w:hAnsi="宋体" w:eastAsia="宋体" w:cs="宋体"/>
                <w:color w:val="auto"/>
                <w:kern w:val="0"/>
                <w:sz w:val="24"/>
                <w:szCs w:val="24"/>
              </w:rPr>
            </w:pPr>
            <w:r>
              <w:rPr>
                <w:rFonts w:hint="eastAsia" w:ascii="宋体" w:hAnsi="宋体" w:eastAsia="宋体" w:cs="宋体"/>
                <w:color w:val="auto"/>
                <w:sz w:val="24"/>
                <w:lang w:val="en-US" w:eastAsia="zh-CN"/>
              </w:rPr>
              <w:t>项目经理</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4136BAAE">
            <w:pPr>
              <w:widowControl/>
              <w:tabs>
                <w:tab w:val="left" w:pos="1620"/>
              </w:tabs>
              <w:adjustRightInd w:val="0"/>
              <w:snapToGrid w:val="0"/>
              <w:spacing w:line="360" w:lineRule="auto"/>
              <w:jc w:val="left"/>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拟派往本项目的建造师必须为本企业注册的建造师，具备建筑工程专业二级及以上注册建造师执业资格和有效的安全生产考核合格证书(B证)，且未担任其它在建工程的建造师（提供无在建工程声明）；</w:t>
            </w:r>
          </w:p>
        </w:tc>
      </w:tr>
      <w:tr w14:paraId="21FDA1A9">
        <w:tblPrEx>
          <w:tblCellMar>
            <w:top w:w="0" w:type="dxa"/>
            <w:left w:w="108" w:type="dxa"/>
            <w:bottom w:w="0" w:type="dxa"/>
            <w:right w:w="108" w:type="dxa"/>
          </w:tblCellMar>
        </w:tblPrEx>
        <w:trPr>
          <w:trHeight w:val="7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CF69D95">
            <w:pPr>
              <w:spacing w:line="420" w:lineRule="exact"/>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9383B88">
            <w:pPr>
              <w:spacing w:line="420" w:lineRule="exact"/>
              <w:jc w:val="center"/>
              <w:outlineLvl w:val="9"/>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rPr>
              <w:t>税收缴纳证明</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136DB974">
            <w:pPr>
              <w:widowControl/>
              <w:tabs>
                <w:tab w:val="left" w:pos="1620"/>
              </w:tabs>
              <w:adjustRightInd w:val="0"/>
              <w:snapToGrid w:val="0"/>
              <w:spacing w:line="360" w:lineRule="auto"/>
              <w:jc w:val="left"/>
              <w:outlineLvl w:val="9"/>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sz w:val="24"/>
                <w:szCs w:val="24"/>
              </w:rPr>
              <w:t>提供</w:t>
            </w:r>
            <w:r>
              <w:rPr>
                <w:rFonts w:hint="eastAsia" w:ascii="宋体" w:hAnsi="宋体" w:cs="宋体"/>
                <w:color w:val="auto"/>
                <w:sz w:val="24"/>
                <w:szCs w:val="24"/>
                <w:lang w:eastAsia="zh-CN"/>
              </w:rPr>
              <w:t>2025年1月至今</w:t>
            </w:r>
            <w:r>
              <w:rPr>
                <w:rFonts w:hint="eastAsia" w:ascii="宋体" w:hAnsi="宋体" w:eastAsia="宋体" w:cs="宋体"/>
                <w:color w:val="auto"/>
                <w:sz w:val="24"/>
                <w:szCs w:val="24"/>
              </w:rPr>
              <w:t>至少1个月的纳税证明（银行缴费凭证）或完税证明，依法免税的单位应提供相关证明材料；  </w:t>
            </w:r>
          </w:p>
        </w:tc>
      </w:tr>
      <w:tr w14:paraId="0F750BF8">
        <w:tblPrEx>
          <w:tblCellMar>
            <w:top w:w="0" w:type="dxa"/>
            <w:left w:w="108" w:type="dxa"/>
            <w:bottom w:w="0" w:type="dxa"/>
            <w:right w:w="108" w:type="dxa"/>
          </w:tblCellMar>
        </w:tblPrEx>
        <w:trPr>
          <w:trHeight w:val="95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5C55765">
            <w:pPr>
              <w:spacing w:line="400" w:lineRule="exact"/>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5EB10A6">
            <w:pPr>
              <w:spacing w:line="4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社会保障资金缴纳证明</w:t>
            </w:r>
          </w:p>
        </w:tc>
        <w:tc>
          <w:tcPr>
            <w:tcW w:w="6358" w:type="dxa"/>
            <w:tcBorders>
              <w:top w:val="single" w:color="auto" w:sz="4" w:space="0"/>
              <w:left w:val="single" w:color="auto" w:sz="4" w:space="0"/>
              <w:bottom w:val="single" w:color="auto" w:sz="4" w:space="0"/>
              <w:right w:val="single" w:color="auto" w:sz="4" w:space="0"/>
            </w:tcBorders>
            <w:noWrap w:val="0"/>
            <w:vAlign w:val="top"/>
          </w:tcPr>
          <w:p w14:paraId="5F9A9270">
            <w:pPr>
              <w:spacing w:line="400" w:lineRule="exact"/>
              <w:jc w:val="left"/>
              <w:outlineLvl w:val="9"/>
              <w:rPr>
                <w:rFonts w:hint="eastAsia" w:ascii="宋体" w:hAnsi="宋体" w:eastAsia="宋体" w:cs="宋体"/>
                <w:snapToGrid w:val="0"/>
                <w:color w:val="auto"/>
                <w:kern w:val="0"/>
                <w:sz w:val="24"/>
                <w:szCs w:val="24"/>
                <w:lang w:eastAsia="zh-CN"/>
              </w:rPr>
            </w:pPr>
            <w:r>
              <w:rPr>
                <w:rFonts w:hint="eastAsia" w:ascii="宋体" w:hAnsi="宋体" w:eastAsia="宋体" w:cs="宋体"/>
                <w:color w:val="auto"/>
                <w:sz w:val="24"/>
                <w:szCs w:val="24"/>
              </w:rPr>
              <w:t>提供2025年1月至今至少1个月的社会保障资金（任一险种）缴费单据或社保机构开具的社会保险参保缴费情况证明，依法不需要缴纳社会保障资金的单位应提供相关证明材料；  </w:t>
            </w:r>
          </w:p>
        </w:tc>
      </w:tr>
      <w:tr w14:paraId="4A6AF91A">
        <w:tblPrEx>
          <w:tblCellMar>
            <w:top w:w="0" w:type="dxa"/>
            <w:left w:w="108" w:type="dxa"/>
            <w:bottom w:w="0" w:type="dxa"/>
            <w:right w:w="108" w:type="dxa"/>
          </w:tblCellMar>
        </w:tblPrEx>
        <w:trPr>
          <w:trHeight w:val="95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1B875DC">
            <w:pPr>
              <w:spacing w:line="400" w:lineRule="exact"/>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177C58">
            <w:pPr>
              <w:spacing w:line="4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财务要求</w:t>
            </w:r>
          </w:p>
        </w:tc>
        <w:tc>
          <w:tcPr>
            <w:tcW w:w="6358" w:type="dxa"/>
            <w:tcBorders>
              <w:top w:val="single" w:color="auto" w:sz="4" w:space="0"/>
              <w:left w:val="single" w:color="auto" w:sz="4" w:space="0"/>
              <w:bottom w:val="single" w:color="auto" w:sz="4" w:space="0"/>
              <w:right w:val="single" w:color="auto" w:sz="4" w:space="0"/>
            </w:tcBorders>
            <w:noWrap w:val="0"/>
            <w:vAlign w:val="top"/>
          </w:tcPr>
          <w:p w14:paraId="2D054807">
            <w:pPr>
              <w:spacing w:line="400" w:lineRule="exact"/>
              <w:jc w:val="left"/>
              <w:outlineLvl w:val="9"/>
              <w:rPr>
                <w:rFonts w:hint="eastAsia" w:ascii="宋体" w:hAnsi="宋体" w:cs="宋体"/>
                <w:color w:val="auto"/>
                <w:sz w:val="24"/>
                <w:szCs w:val="24"/>
                <w:shd w:val="clear" w:color="auto" w:fill="auto"/>
                <w:lang w:eastAsia="zh-CN"/>
              </w:rPr>
            </w:pPr>
            <w:r>
              <w:rPr>
                <w:rFonts w:hint="eastAsia" w:ascii="宋体" w:hAnsi="宋体" w:eastAsia="宋体" w:cs="宋体"/>
                <w:i w:val="0"/>
                <w:iCs w:val="0"/>
                <w:caps w:val="0"/>
                <w:color w:val="auto"/>
                <w:spacing w:val="0"/>
                <w:sz w:val="24"/>
                <w:szCs w:val="24"/>
                <w:shd w:val="clear" w:fill="FFFFFF"/>
              </w:rPr>
              <w:t>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p>
        </w:tc>
      </w:tr>
      <w:tr w14:paraId="30D13A52">
        <w:tblPrEx>
          <w:tblCellMar>
            <w:top w:w="0" w:type="dxa"/>
            <w:left w:w="108" w:type="dxa"/>
            <w:bottom w:w="0" w:type="dxa"/>
            <w:right w:w="108" w:type="dxa"/>
          </w:tblCellMar>
        </w:tblPrEx>
        <w:trPr>
          <w:trHeight w:val="499"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0A77B2DB">
            <w:pPr>
              <w:spacing w:line="420" w:lineRule="exact"/>
              <w:jc w:val="center"/>
              <w:outlineLvl w:val="9"/>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901CC4F">
            <w:pPr>
              <w:spacing w:line="42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t>重大违法记录的书面声明</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1419D06F">
            <w:pPr>
              <w:spacing w:line="360" w:lineRule="auto"/>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参加政府采购活动前三年内，在经营活动中没有重大违法记录的书面声明；</w:t>
            </w:r>
          </w:p>
        </w:tc>
      </w:tr>
      <w:tr w14:paraId="53BC51F2">
        <w:tblPrEx>
          <w:tblCellMar>
            <w:top w:w="0" w:type="dxa"/>
            <w:left w:w="108" w:type="dxa"/>
            <w:bottom w:w="0" w:type="dxa"/>
            <w:right w:w="108" w:type="dxa"/>
          </w:tblCellMar>
        </w:tblPrEx>
        <w:trPr>
          <w:trHeight w:val="499"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A946CD9">
            <w:pPr>
              <w:spacing w:line="420" w:lineRule="exact"/>
              <w:jc w:val="center"/>
              <w:outlineLvl w:val="9"/>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7EA066B">
            <w:pPr>
              <w:spacing w:line="420" w:lineRule="exact"/>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设备和专业技术能力</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39454BAE">
            <w:pPr>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提供具有履行合同所必需的设备和专业技术能力的证明资料或承诺书；</w:t>
            </w:r>
          </w:p>
        </w:tc>
      </w:tr>
      <w:tr w14:paraId="17C8B85E">
        <w:tblPrEx>
          <w:tblCellMar>
            <w:top w:w="0" w:type="dxa"/>
            <w:left w:w="108" w:type="dxa"/>
            <w:bottom w:w="0" w:type="dxa"/>
            <w:right w:w="108" w:type="dxa"/>
          </w:tblCellMar>
        </w:tblPrEx>
        <w:trPr>
          <w:trHeight w:val="499"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392D9DD">
            <w:pPr>
              <w:spacing w:line="400" w:lineRule="exact"/>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E2957BE">
            <w:pPr>
              <w:spacing w:line="420" w:lineRule="exact"/>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信誉</w:t>
            </w:r>
            <w:r>
              <w:rPr>
                <w:rFonts w:hint="eastAsia" w:ascii="宋体" w:hAnsi="宋体" w:eastAsia="宋体" w:cs="宋体"/>
                <w:color w:val="auto"/>
                <w:sz w:val="24"/>
                <w:szCs w:val="24"/>
                <w:lang w:val="en-US" w:eastAsia="zh-CN"/>
              </w:rPr>
              <w:t>截图</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50F91CE0">
            <w:pPr>
              <w:pStyle w:val="36"/>
              <w:spacing w:line="360" w:lineRule="auto"/>
              <w:ind w:firstLine="0" w:firstLineChars="0"/>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列入“信用中国”网站(www.creditchina.gov.cn)“失信被执行人、严重失信主体名单、异常经营名录”记录名单；中国政府采购网(www.ccgp.gov.cn)“政府采购严重违法失信行为信息记录”的单位，应当拒绝参与政府采购活动（附投标截止日前的查询结果但以投标截止日当天查询结果为准）。</w:t>
            </w:r>
          </w:p>
        </w:tc>
      </w:tr>
      <w:tr w14:paraId="285360D9">
        <w:tblPrEx>
          <w:tblCellMar>
            <w:top w:w="0" w:type="dxa"/>
            <w:left w:w="108" w:type="dxa"/>
            <w:bottom w:w="0" w:type="dxa"/>
            <w:right w:w="108" w:type="dxa"/>
          </w:tblCellMar>
        </w:tblPrEx>
        <w:trPr>
          <w:trHeight w:val="499"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7C64412">
            <w:pPr>
              <w:spacing w:line="420" w:lineRule="exact"/>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E468EE">
            <w:pPr>
              <w:spacing w:line="400" w:lineRule="exact"/>
              <w:jc w:val="center"/>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自主上报信用承诺书</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6D6B42C0">
            <w:pPr>
              <w:keepNext w:val="0"/>
              <w:keepLines w:val="0"/>
              <w:pageBreakBefore w:val="0"/>
              <w:widowControl w:val="0"/>
              <w:kinsoku w:val="0"/>
              <w:wordWrap/>
              <w:overflowPunct w:val="0"/>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投标人及其授权委托人应在“信用中国（陕西榆林）”网站(www.ylcredit.gov.cn)进行注册、登录、自主上报信用承诺书，包括：《</w:t>
            </w:r>
            <w:r>
              <w:rPr>
                <w:rFonts w:hint="eastAsia" w:ascii="宋体" w:hAnsi="宋体" w:eastAsia="宋体" w:cs="宋体"/>
                <w:i w:val="0"/>
                <w:iCs w:val="0"/>
                <w:caps w:val="0"/>
                <w:color w:val="auto"/>
                <w:spacing w:val="0"/>
                <w:sz w:val="24"/>
                <w:szCs w:val="24"/>
                <w:shd w:val="clear" w:color="auto" w:fill="FFFFFF"/>
                <w:lang w:eastAsia="zh-CN"/>
              </w:rPr>
              <w:t>榆林市政府采购</w:t>
            </w:r>
            <w:r>
              <w:rPr>
                <w:rFonts w:hint="eastAsia" w:ascii="宋体" w:hAnsi="宋体" w:eastAsia="宋体" w:cs="宋体"/>
                <w:i w:val="0"/>
                <w:iCs w:val="0"/>
                <w:caps w:val="0"/>
                <w:color w:val="auto"/>
                <w:spacing w:val="0"/>
                <w:sz w:val="24"/>
                <w:szCs w:val="24"/>
                <w:shd w:val="clear" w:color="auto" w:fill="FFFFFF"/>
                <w:lang w:val="en-US" w:eastAsia="zh-CN"/>
              </w:rPr>
              <w:t>工程</w:t>
            </w:r>
            <w:r>
              <w:rPr>
                <w:rFonts w:hint="eastAsia" w:ascii="宋体" w:hAnsi="宋体" w:eastAsia="宋体" w:cs="宋体"/>
                <w:i w:val="0"/>
                <w:iCs w:val="0"/>
                <w:caps w:val="0"/>
                <w:color w:val="auto"/>
                <w:spacing w:val="0"/>
                <w:sz w:val="24"/>
                <w:szCs w:val="24"/>
                <w:shd w:val="clear" w:color="auto" w:fill="FFFFFF"/>
                <w:lang w:eastAsia="zh-CN"/>
              </w:rPr>
              <w:t>类项目供应商信用承诺书</w:t>
            </w:r>
            <w:r>
              <w:rPr>
                <w:rFonts w:hint="eastAsia" w:ascii="宋体" w:hAnsi="宋体" w:eastAsia="宋体" w:cs="宋体"/>
                <w:i w:val="0"/>
                <w:iCs w:val="0"/>
                <w:caps w:val="0"/>
                <w:color w:val="auto"/>
                <w:spacing w:val="0"/>
                <w:sz w:val="24"/>
                <w:szCs w:val="24"/>
                <w:shd w:val="clear" w:color="auto" w:fill="FFFFFF"/>
              </w:rPr>
              <w:t>》、《投标人信用承诺》、《投标人委托代理人员信用承诺书》(如有)、《投标信用承诺书》。</w:t>
            </w:r>
          </w:p>
        </w:tc>
      </w:tr>
      <w:tr w14:paraId="7DE1A38F">
        <w:tblPrEx>
          <w:tblCellMar>
            <w:top w:w="0" w:type="dxa"/>
            <w:left w:w="108" w:type="dxa"/>
            <w:bottom w:w="0" w:type="dxa"/>
            <w:right w:w="108" w:type="dxa"/>
          </w:tblCellMar>
        </w:tblPrEx>
        <w:trPr>
          <w:trHeight w:val="57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B2BF5A1">
            <w:pPr>
              <w:snapToGrid w:val="0"/>
              <w:spacing w:line="276" w:lineRule="auto"/>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7FF6F73">
            <w:pPr>
              <w:snapToGrid w:val="0"/>
              <w:spacing w:line="276" w:lineRule="auto"/>
              <w:jc w:val="center"/>
              <w:outlineLvl w:val="9"/>
              <w:rPr>
                <w:rFonts w:hint="eastAsia" w:ascii="宋体" w:hAnsi="宋体" w:eastAsia="宋体" w:cs="宋体"/>
                <w:color w:val="auto"/>
                <w:sz w:val="24"/>
                <w:szCs w:val="24"/>
              </w:rPr>
            </w:pPr>
            <w:r>
              <w:rPr>
                <w:rFonts w:hint="eastAsia" w:ascii="宋体" w:hAnsi="宋体" w:cs="宋体"/>
                <w:color w:val="auto"/>
                <w:sz w:val="24"/>
                <w:szCs w:val="24"/>
              </w:rPr>
              <w:t>中小企业声明函</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7B19B284">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本项目专门面向</w:t>
            </w:r>
            <w:r>
              <w:rPr>
                <w:rFonts w:hint="eastAsia" w:ascii="宋体" w:hAnsi="宋体" w:cs="宋体"/>
                <w:color w:val="auto"/>
                <w:sz w:val="24"/>
                <w:szCs w:val="24"/>
                <w:lang w:val="en-US" w:eastAsia="zh-CN"/>
              </w:rPr>
              <w:t>中小</w:t>
            </w:r>
            <w:r>
              <w:rPr>
                <w:rFonts w:hint="eastAsia" w:ascii="宋体" w:hAnsi="宋体" w:eastAsia="宋体" w:cs="宋体"/>
                <w:color w:val="auto"/>
                <w:sz w:val="24"/>
                <w:szCs w:val="24"/>
              </w:rPr>
              <w:t>企业（提供中小企业声明函）；</w:t>
            </w:r>
          </w:p>
        </w:tc>
      </w:tr>
      <w:tr w14:paraId="3F8E13EA">
        <w:tblPrEx>
          <w:tblCellMar>
            <w:top w:w="0" w:type="dxa"/>
            <w:left w:w="108" w:type="dxa"/>
            <w:bottom w:w="0" w:type="dxa"/>
            <w:right w:w="108" w:type="dxa"/>
          </w:tblCellMar>
        </w:tblPrEx>
        <w:trPr>
          <w:trHeight w:val="8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2E3FB8E">
            <w:pPr>
              <w:snapToGrid w:val="0"/>
              <w:spacing w:line="276" w:lineRule="auto"/>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DF30F14">
            <w:pPr>
              <w:snapToGrid w:val="0"/>
              <w:spacing w:line="276"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非联合体投标声明</w:t>
            </w:r>
          </w:p>
        </w:tc>
        <w:tc>
          <w:tcPr>
            <w:tcW w:w="6358" w:type="dxa"/>
            <w:tcBorders>
              <w:top w:val="single" w:color="auto" w:sz="4" w:space="0"/>
              <w:left w:val="single" w:color="auto" w:sz="4" w:space="0"/>
              <w:bottom w:val="single" w:color="auto" w:sz="4" w:space="0"/>
              <w:right w:val="single" w:color="auto" w:sz="4" w:space="0"/>
            </w:tcBorders>
            <w:noWrap w:val="0"/>
            <w:vAlign w:val="center"/>
          </w:tcPr>
          <w:p w14:paraId="789DAFB9">
            <w:pPr>
              <w:pStyle w:val="11"/>
              <w:tabs>
                <w:tab w:val="left" w:pos="6060"/>
              </w:tabs>
              <w:adjustRightInd w:val="0"/>
              <w:snapToGrid w:val="0"/>
              <w:spacing w:line="360" w:lineRule="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本项目不接受联合体投标，单位负责人为同一人或者存在直接控股、管理关系的不同投标人，不得参加同一合同项下的政府采购活动</w:t>
            </w:r>
            <w:r>
              <w:rPr>
                <w:rFonts w:hint="eastAsia" w:ascii="宋体" w:hAnsi="宋体" w:cs="宋体"/>
                <w:color w:val="auto"/>
                <w:sz w:val="24"/>
                <w:szCs w:val="24"/>
                <w:lang w:eastAsia="zh-CN"/>
              </w:rPr>
              <w:t>（</w:t>
            </w:r>
            <w:r>
              <w:rPr>
                <w:rFonts w:hint="eastAsia" w:ascii="宋体" w:hAnsi="宋体" w:cs="宋体"/>
                <w:color w:val="auto"/>
                <w:sz w:val="24"/>
                <w:szCs w:val="24"/>
                <w:shd w:val="clear" w:color="auto" w:fill="auto"/>
                <w:lang w:val="en-US" w:eastAsia="zh-CN"/>
              </w:rPr>
              <w:t>提供非联合体投标声明）</w:t>
            </w:r>
            <w:r>
              <w:rPr>
                <w:rFonts w:hint="eastAsia" w:ascii="宋体" w:hAnsi="宋体" w:eastAsia="宋体" w:cs="宋体"/>
                <w:color w:val="auto"/>
                <w:sz w:val="24"/>
                <w:szCs w:val="24"/>
              </w:rPr>
              <w:t>。</w:t>
            </w:r>
          </w:p>
        </w:tc>
      </w:tr>
    </w:tbl>
    <w:p w14:paraId="6E0FD372">
      <w:pPr>
        <w:widowControl/>
        <w:jc w:val="left"/>
        <w:outlineLvl w:val="9"/>
        <w:rPr>
          <w:color w:val="auto"/>
          <w:sz w:val="28"/>
          <w:szCs w:val="28"/>
        </w:rPr>
      </w:pPr>
      <w:r>
        <w:rPr>
          <w:rFonts w:hint="eastAsia" w:ascii="宋体" w:hAnsi="宋体" w:cs="宋体"/>
          <w:b/>
          <w:bCs/>
          <w:color w:val="auto"/>
          <w:kern w:val="0"/>
          <w:sz w:val="28"/>
          <w:szCs w:val="28"/>
          <w:lang w:bidi="ar"/>
        </w:rPr>
        <w:t>2）投标文件有效性、完整性检查（符合性审查）</w:t>
      </w:r>
    </w:p>
    <w:p w14:paraId="260E9BE0">
      <w:pPr>
        <w:adjustRightInd w:val="0"/>
        <w:snapToGrid w:val="0"/>
        <w:spacing w:line="240" w:lineRule="auto"/>
        <w:jc w:val="left"/>
        <w:outlineLvl w:val="9"/>
        <w:rPr>
          <w:rFonts w:hint="eastAsia" w:ascii="宋体" w:hAnsi="宋体" w:cs="宋体"/>
          <w:color w:val="auto"/>
          <w:sz w:val="24"/>
        </w:rPr>
      </w:pPr>
      <w:r>
        <w:rPr>
          <w:rFonts w:hint="eastAsia" w:ascii="宋体" w:hAnsi="宋体" w:cs="宋体"/>
          <w:color w:val="auto"/>
          <w:sz w:val="24"/>
        </w:rPr>
        <w:t>按照以下内容对投标文件进行符合性审查，一项不合格其投标即为无效投标。</w:t>
      </w:r>
    </w:p>
    <w:tbl>
      <w:tblPr>
        <w:tblStyle w:val="26"/>
        <w:tblpPr w:leftFromText="180" w:rightFromText="180" w:vertAnchor="text" w:horzAnchor="page" w:tblpX="1396" w:tblpY="265"/>
        <w:tblOverlap w:val="never"/>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3"/>
        <w:gridCol w:w="6593"/>
      </w:tblGrid>
      <w:tr w14:paraId="42D8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noWrap w:val="0"/>
            <w:vAlign w:val="center"/>
          </w:tcPr>
          <w:p w14:paraId="55FE3733">
            <w:pPr>
              <w:widowControl/>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2123" w:type="dxa"/>
            <w:noWrap w:val="0"/>
            <w:vAlign w:val="center"/>
          </w:tcPr>
          <w:p w14:paraId="06847BC3">
            <w:pPr>
              <w:widowControl/>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6593" w:type="dxa"/>
            <w:noWrap w:val="0"/>
            <w:vAlign w:val="center"/>
          </w:tcPr>
          <w:p w14:paraId="66A6D01B">
            <w:pPr>
              <w:widowControl/>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评审标准</w:t>
            </w:r>
          </w:p>
        </w:tc>
      </w:tr>
      <w:tr w14:paraId="3720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noWrap w:val="0"/>
            <w:vAlign w:val="center"/>
          </w:tcPr>
          <w:p w14:paraId="180EFDFD">
            <w:pPr>
              <w:pStyle w:val="24"/>
              <w:ind w:firstLine="0"/>
              <w:jc w:val="center"/>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2123" w:type="dxa"/>
            <w:noWrap w:val="0"/>
            <w:vAlign w:val="center"/>
          </w:tcPr>
          <w:p w14:paraId="32033023">
            <w:pPr>
              <w:keepNext w:val="0"/>
              <w:keepLines w:val="0"/>
              <w:suppressLineNumbers w:val="0"/>
              <w:spacing w:before="0" w:beforeAutospacing="0" w:after="0" w:afterAutospacing="0"/>
              <w:ind w:left="0" w:leftChars="0" w:right="0" w:rightChars="0"/>
              <w:jc w:val="left"/>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响应文件项目名称、项目编号</w:t>
            </w:r>
          </w:p>
        </w:tc>
        <w:tc>
          <w:tcPr>
            <w:tcW w:w="6593" w:type="dxa"/>
            <w:noWrap w:val="0"/>
            <w:vAlign w:val="center"/>
          </w:tcPr>
          <w:p w14:paraId="20BAFE25">
            <w:pPr>
              <w:spacing w:line="360" w:lineRule="auto"/>
              <w:jc w:val="left"/>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响应</w:t>
            </w:r>
            <w:r>
              <w:rPr>
                <w:rFonts w:hint="eastAsia" w:ascii="宋体" w:hAnsi="宋体" w:cs="宋体"/>
                <w:color w:val="auto"/>
                <w:sz w:val="24"/>
                <w:szCs w:val="24"/>
              </w:rPr>
              <w:t>文件的项目名称、项目编号与本项目完全一致，且无遗漏。</w:t>
            </w:r>
          </w:p>
        </w:tc>
      </w:tr>
      <w:tr w14:paraId="06B6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7" w:type="dxa"/>
            <w:noWrap w:val="0"/>
            <w:vAlign w:val="center"/>
          </w:tcPr>
          <w:p w14:paraId="08175087">
            <w:pPr>
              <w:pStyle w:val="24"/>
              <w:ind w:firstLine="0"/>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2123" w:type="dxa"/>
            <w:noWrap w:val="0"/>
            <w:vAlign w:val="center"/>
          </w:tcPr>
          <w:p w14:paraId="2DDFB1B3">
            <w:pPr>
              <w:widowControl/>
              <w:jc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投标函</w:t>
            </w:r>
          </w:p>
        </w:tc>
        <w:tc>
          <w:tcPr>
            <w:tcW w:w="6593" w:type="dxa"/>
            <w:noWrap w:val="0"/>
            <w:vAlign w:val="center"/>
          </w:tcPr>
          <w:p w14:paraId="48273226">
            <w:pPr>
              <w:adjustRightInd w:val="0"/>
              <w:snapToGrid w:val="0"/>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加盖投标人公章，且经法定代表人或其授权代表签字或盖章。</w:t>
            </w:r>
          </w:p>
        </w:tc>
      </w:tr>
      <w:tr w14:paraId="4643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17" w:type="dxa"/>
            <w:noWrap w:val="0"/>
            <w:vAlign w:val="center"/>
          </w:tcPr>
          <w:p w14:paraId="1DF21DC9">
            <w:pPr>
              <w:pStyle w:val="24"/>
              <w:ind w:firstLine="0"/>
              <w:jc w:val="center"/>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2123" w:type="dxa"/>
            <w:noWrap w:val="0"/>
            <w:vAlign w:val="center"/>
          </w:tcPr>
          <w:p w14:paraId="28B40969">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法定代表人授权书</w:t>
            </w:r>
          </w:p>
        </w:tc>
        <w:tc>
          <w:tcPr>
            <w:tcW w:w="6593" w:type="dxa"/>
            <w:noWrap w:val="0"/>
            <w:vAlign w:val="center"/>
          </w:tcPr>
          <w:p w14:paraId="147CF5AA">
            <w:pPr>
              <w:keepNext w:val="0"/>
              <w:keepLines w:val="0"/>
              <w:suppressLineNumbers w:val="0"/>
              <w:spacing w:before="0" w:beforeAutospacing="0" w:after="0" w:afterAutospacing="0"/>
              <w:ind w:left="0" w:leftChars="0" w:right="0" w:rightChars="0"/>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响应</w:t>
            </w:r>
            <w:r>
              <w:rPr>
                <w:rFonts w:hint="eastAsia" w:ascii="宋体" w:hAnsi="宋体" w:cs="宋体"/>
                <w:color w:val="auto"/>
                <w:sz w:val="24"/>
                <w:szCs w:val="24"/>
              </w:rPr>
              <w:t>文件有法定代表人授权书（法人直接投标除外）且授权书的合法性和有效性符合竞争性</w:t>
            </w:r>
            <w:r>
              <w:rPr>
                <w:rFonts w:hint="eastAsia" w:ascii="宋体" w:hAnsi="宋体" w:cs="宋体"/>
                <w:color w:val="auto"/>
                <w:sz w:val="24"/>
                <w:szCs w:val="24"/>
                <w:lang w:val="en-US" w:eastAsia="zh-CN"/>
              </w:rPr>
              <w:t>磋商</w:t>
            </w:r>
            <w:r>
              <w:rPr>
                <w:rFonts w:hint="eastAsia" w:ascii="宋体" w:hAnsi="宋体" w:cs="宋体"/>
                <w:color w:val="auto"/>
                <w:sz w:val="24"/>
                <w:szCs w:val="24"/>
              </w:rPr>
              <w:t>文件规定的。</w:t>
            </w:r>
          </w:p>
        </w:tc>
      </w:tr>
      <w:tr w14:paraId="4546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noWrap w:val="0"/>
            <w:vAlign w:val="center"/>
          </w:tcPr>
          <w:p w14:paraId="48AC731B">
            <w:pPr>
              <w:pStyle w:val="24"/>
              <w:ind w:firstLine="0"/>
              <w:jc w:val="center"/>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2123" w:type="dxa"/>
            <w:noWrap w:val="0"/>
            <w:vAlign w:val="center"/>
          </w:tcPr>
          <w:p w14:paraId="7706CC79">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响应文件签署、盖章</w:t>
            </w:r>
          </w:p>
        </w:tc>
        <w:tc>
          <w:tcPr>
            <w:tcW w:w="6593" w:type="dxa"/>
            <w:noWrap w:val="0"/>
            <w:vAlign w:val="center"/>
          </w:tcPr>
          <w:p w14:paraId="63FC1B95">
            <w:pPr>
              <w:keepNext w:val="0"/>
              <w:keepLines w:val="0"/>
              <w:suppressLineNumbers w:val="0"/>
              <w:spacing w:before="0" w:beforeAutospacing="0" w:after="0" w:afterAutospacing="0"/>
              <w:ind w:left="0" w:leftChars="0" w:right="0" w:rightChars="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签署、盖章符合</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文件要求，且无遗漏</w:t>
            </w:r>
            <w:r>
              <w:rPr>
                <w:rFonts w:hint="eastAsia" w:ascii="宋体" w:hAnsi="宋体" w:eastAsia="宋体" w:cs="宋体"/>
                <w:color w:val="auto"/>
                <w:sz w:val="24"/>
                <w:szCs w:val="24"/>
                <w:lang w:eastAsia="zh-CN"/>
              </w:rPr>
              <w:t>。</w:t>
            </w:r>
          </w:p>
        </w:tc>
      </w:tr>
      <w:tr w14:paraId="0751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14:paraId="3F6DD811">
            <w:pPr>
              <w:pStyle w:val="24"/>
              <w:ind w:firstLine="0"/>
              <w:jc w:val="center"/>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2123" w:type="dxa"/>
            <w:noWrap w:val="0"/>
            <w:vAlign w:val="center"/>
          </w:tcPr>
          <w:p w14:paraId="148D6817">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w:t>
            </w:r>
          </w:p>
        </w:tc>
        <w:tc>
          <w:tcPr>
            <w:tcW w:w="6593" w:type="dxa"/>
            <w:noWrap w:val="0"/>
            <w:vAlign w:val="center"/>
          </w:tcPr>
          <w:p w14:paraId="430F6A3F">
            <w:pPr>
              <w:keepNext w:val="0"/>
              <w:keepLines w:val="0"/>
              <w:suppressLineNumbers w:val="0"/>
              <w:spacing w:before="0" w:beforeAutospacing="0" w:after="0" w:afterAutospacing="0"/>
              <w:ind w:left="0" w:leftChars="0" w:right="0" w:rightChars="0"/>
              <w:jc w:val="both"/>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文件的要求。</w:t>
            </w:r>
          </w:p>
        </w:tc>
      </w:tr>
      <w:tr w14:paraId="61AD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817" w:type="dxa"/>
            <w:noWrap w:val="0"/>
            <w:vAlign w:val="center"/>
          </w:tcPr>
          <w:p w14:paraId="3597F489">
            <w:pPr>
              <w:pStyle w:val="24"/>
              <w:ind w:firstLine="0"/>
              <w:jc w:val="center"/>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2123" w:type="dxa"/>
            <w:noWrap w:val="0"/>
            <w:vAlign w:val="center"/>
          </w:tcPr>
          <w:p w14:paraId="027A9DCB">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报价</w:t>
            </w:r>
          </w:p>
        </w:tc>
        <w:tc>
          <w:tcPr>
            <w:tcW w:w="6593" w:type="dxa"/>
            <w:noWrap w:val="0"/>
            <w:vAlign w:val="center"/>
          </w:tcPr>
          <w:p w14:paraId="67463B21">
            <w:pPr>
              <w:keepNext w:val="0"/>
              <w:keepLines w:val="0"/>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同时满足以下条款：</w:t>
            </w:r>
          </w:p>
          <w:p w14:paraId="33A7A4B5">
            <w:pPr>
              <w:keepNext w:val="0"/>
              <w:keepLines w:val="0"/>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报价符合唯一性要求；</w:t>
            </w:r>
          </w:p>
          <w:p w14:paraId="63175D8F">
            <w:pPr>
              <w:keepNext w:val="0"/>
              <w:keepLines w:val="0"/>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（2）第一次</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报价表填写符合要求；</w:t>
            </w:r>
          </w:p>
          <w:p w14:paraId="2A6C0B26">
            <w:pPr>
              <w:keepNext w:val="0"/>
              <w:keepLines w:val="0"/>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（3）报价货币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w:t>
            </w:r>
          </w:p>
          <w:p w14:paraId="56F311A3">
            <w:pPr>
              <w:keepNext w:val="0"/>
              <w:keepLines w:val="0"/>
              <w:suppressLineNumbers w:val="0"/>
              <w:spacing w:before="0" w:beforeAutospacing="0" w:after="0" w:afterAutospacing="0" w:line="360" w:lineRule="auto"/>
              <w:ind w:left="0" w:leftChars="0" w:right="0" w:rightChars="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（4）未超出采购预算或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文件规定的最高限价；</w:t>
            </w:r>
          </w:p>
        </w:tc>
      </w:tr>
      <w:tr w14:paraId="2F5F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7" w:type="dxa"/>
            <w:noWrap w:val="0"/>
            <w:vAlign w:val="center"/>
          </w:tcPr>
          <w:p w14:paraId="3DCDF240">
            <w:pPr>
              <w:pStyle w:val="24"/>
              <w:ind w:firstLine="0"/>
              <w:jc w:val="center"/>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2123" w:type="dxa"/>
            <w:noWrap w:val="0"/>
            <w:vAlign w:val="center"/>
          </w:tcPr>
          <w:p w14:paraId="17F063E9">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响应文件编写</w:t>
            </w:r>
          </w:p>
        </w:tc>
        <w:tc>
          <w:tcPr>
            <w:tcW w:w="6593" w:type="dxa"/>
            <w:noWrap w:val="0"/>
            <w:vAlign w:val="center"/>
          </w:tcPr>
          <w:p w14:paraId="172B623F">
            <w:pPr>
              <w:keepNext w:val="0"/>
              <w:keepLines w:val="0"/>
              <w:suppressLineNumbers w:val="0"/>
              <w:spacing w:before="0" w:beforeAutospacing="0" w:after="0" w:afterAutospacing="0"/>
              <w:ind w:left="0" w:leftChars="0" w:right="0" w:rightChars="0"/>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响应文件按照竞争性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文件要求的格式编写及</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响应文件的关键内容字迹清晰、可辨认的。</w:t>
            </w:r>
          </w:p>
        </w:tc>
      </w:tr>
      <w:tr w14:paraId="1972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17" w:type="dxa"/>
            <w:noWrap w:val="0"/>
            <w:vAlign w:val="center"/>
          </w:tcPr>
          <w:p w14:paraId="22A8E461">
            <w:pPr>
              <w:pStyle w:val="24"/>
              <w:ind w:firstLine="0"/>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2123" w:type="dxa"/>
            <w:noWrap w:val="0"/>
            <w:vAlign w:val="center"/>
          </w:tcPr>
          <w:p w14:paraId="63C56D24">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rPr>
            </w:pPr>
            <w:r>
              <w:rPr>
                <w:rFonts w:hint="eastAsia" w:ascii="宋体" w:hAnsi="宋体" w:cs="宋体"/>
                <w:color w:val="auto"/>
                <w:sz w:val="24"/>
                <w:szCs w:val="24"/>
              </w:rPr>
              <w:t>商务要求</w:t>
            </w:r>
          </w:p>
        </w:tc>
        <w:tc>
          <w:tcPr>
            <w:tcW w:w="6593" w:type="dxa"/>
            <w:noWrap w:val="0"/>
            <w:vAlign w:val="center"/>
          </w:tcPr>
          <w:p w14:paraId="1D0A4DA5">
            <w:pPr>
              <w:keepNext w:val="0"/>
              <w:keepLines w:val="0"/>
              <w:suppressLineNumbers w:val="0"/>
              <w:spacing w:before="0" w:beforeAutospacing="0" w:after="0" w:afterAutospacing="0"/>
              <w:ind w:left="0" w:leftChars="0" w:right="0" w:rightChars="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商务要求逐条响应并满足竞争性</w:t>
            </w:r>
            <w:r>
              <w:rPr>
                <w:rFonts w:hint="eastAsia" w:ascii="宋体" w:hAnsi="宋体" w:cs="宋体"/>
                <w:color w:val="auto"/>
                <w:sz w:val="24"/>
                <w:szCs w:val="24"/>
                <w:lang w:val="en-US" w:eastAsia="zh-CN"/>
              </w:rPr>
              <w:t>磋商</w:t>
            </w:r>
            <w:r>
              <w:rPr>
                <w:rFonts w:hint="eastAsia" w:ascii="宋体" w:hAnsi="宋体" w:cs="宋体"/>
                <w:color w:val="auto"/>
                <w:sz w:val="24"/>
                <w:szCs w:val="24"/>
              </w:rPr>
              <w:t>文件要求</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投标文件在商务响应方面未附加采购单位难以接受的条件</w:t>
            </w:r>
            <w:r>
              <w:rPr>
                <w:rFonts w:hint="eastAsia" w:ascii="宋体" w:hAnsi="宋体" w:eastAsia="宋体" w:cs="宋体"/>
                <w:color w:val="auto"/>
                <w:sz w:val="24"/>
                <w:szCs w:val="24"/>
                <w:lang w:eastAsia="zh-CN"/>
              </w:rPr>
              <w:t>。</w:t>
            </w:r>
          </w:p>
        </w:tc>
      </w:tr>
      <w:tr w14:paraId="67E7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noWrap w:val="0"/>
            <w:vAlign w:val="center"/>
          </w:tcPr>
          <w:p w14:paraId="250BED5F">
            <w:pPr>
              <w:pStyle w:val="24"/>
              <w:ind w:firstLine="0"/>
              <w:jc w:val="center"/>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123" w:type="dxa"/>
            <w:noWrap w:val="0"/>
            <w:vAlign w:val="center"/>
          </w:tcPr>
          <w:p w14:paraId="19E460A3">
            <w:pPr>
              <w:keepNext w:val="0"/>
              <w:keepLines w:val="0"/>
              <w:suppressLineNumbers w:val="0"/>
              <w:spacing w:before="0" w:beforeAutospacing="0" w:after="0" w:afterAutospacing="0"/>
              <w:ind w:left="0" w:leftChars="0" w:right="0" w:rightChars="0"/>
              <w:jc w:val="center"/>
              <w:outlineLvl w:val="9"/>
              <w:rPr>
                <w:rFonts w:hint="eastAsia" w:ascii="宋体" w:hAnsi="宋体" w:eastAsia="宋体" w:cs="宋体"/>
                <w:color w:val="auto"/>
                <w:sz w:val="24"/>
                <w:szCs w:val="24"/>
              </w:rPr>
            </w:pPr>
            <w:r>
              <w:rPr>
                <w:rFonts w:hint="eastAsia" w:ascii="宋体" w:hAnsi="宋体" w:cs="宋体"/>
                <w:color w:val="auto"/>
                <w:sz w:val="24"/>
                <w:szCs w:val="24"/>
              </w:rPr>
              <w:t>其他要求</w:t>
            </w:r>
          </w:p>
        </w:tc>
        <w:tc>
          <w:tcPr>
            <w:tcW w:w="6593" w:type="dxa"/>
            <w:noWrap w:val="0"/>
            <w:vAlign w:val="center"/>
          </w:tcPr>
          <w:p w14:paraId="78EAAE0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 w:val="24"/>
                <w:szCs w:val="24"/>
              </w:rPr>
            </w:pPr>
            <w:r>
              <w:rPr>
                <w:rFonts w:hint="eastAsia" w:ascii="宋体" w:hAnsi="宋体" w:cs="宋体"/>
                <w:color w:val="auto"/>
                <w:sz w:val="24"/>
                <w:szCs w:val="24"/>
              </w:rPr>
              <w:t>完全理解并接受法律法规和</w:t>
            </w:r>
            <w:r>
              <w:rPr>
                <w:rFonts w:hint="eastAsia" w:ascii="宋体" w:hAnsi="宋体" w:cs="宋体"/>
                <w:color w:val="auto"/>
                <w:sz w:val="24"/>
                <w:szCs w:val="24"/>
                <w:lang w:val="en-US" w:eastAsia="zh-CN"/>
              </w:rPr>
              <w:t>磋商</w:t>
            </w:r>
            <w:r>
              <w:rPr>
                <w:rFonts w:hint="eastAsia" w:ascii="宋体" w:hAnsi="宋体" w:cs="宋体"/>
                <w:color w:val="auto"/>
                <w:sz w:val="24"/>
                <w:szCs w:val="24"/>
              </w:rPr>
              <w:t>文件对供应商的各项须知、规约要求和责任义务，没有出现法律法规或</w:t>
            </w:r>
            <w:r>
              <w:rPr>
                <w:rFonts w:hint="eastAsia" w:ascii="宋体" w:hAnsi="宋体" w:cs="宋体"/>
                <w:color w:val="auto"/>
                <w:sz w:val="24"/>
                <w:szCs w:val="24"/>
                <w:lang w:val="en-US" w:eastAsia="zh-CN"/>
              </w:rPr>
              <w:t>磋商</w:t>
            </w:r>
            <w:r>
              <w:rPr>
                <w:rFonts w:hint="eastAsia" w:ascii="宋体" w:hAnsi="宋体" w:cs="宋体"/>
                <w:color w:val="auto"/>
                <w:sz w:val="24"/>
                <w:szCs w:val="24"/>
              </w:rPr>
              <w:t>文件明确规定的其他被视为“无效响应”的情形。</w:t>
            </w:r>
          </w:p>
        </w:tc>
      </w:tr>
    </w:tbl>
    <w:p w14:paraId="592295B2">
      <w:pPr>
        <w:widowControl/>
        <w:numPr>
          <w:ilvl w:val="0"/>
          <w:numId w:val="4"/>
        </w:numPr>
        <w:ind w:left="0" w:leftChars="0" w:firstLine="562" w:firstLineChars="200"/>
        <w:jc w:val="left"/>
        <w:outlineLvl w:val="9"/>
        <w:rPr>
          <w:rFonts w:hint="eastAsia"/>
          <w:color w:val="auto"/>
        </w:rPr>
      </w:pPr>
      <w:r>
        <w:rPr>
          <w:rFonts w:hint="eastAsia" w:ascii="宋体" w:hAnsi="宋体" w:cs="宋体"/>
          <w:b/>
          <w:bCs/>
          <w:color w:val="auto"/>
          <w:kern w:val="0"/>
          <w:sz w:val="28"/>
          <w:szCs w:val="28"/>
          <w:lang w:bidi="ar"/>
        </w:rPr>
        <w:t>详细评审</w:t>
      </w:r>
    </w:p>
    <w:tbl>
      <w:tblPr>
        <w:tblStyle w:val="2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241"/>
        <w:gridCol w:w="6767"/>
      </w:tblGrid>
      <w:tr w14:paraId="1B5C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781" w:type="dxa"/>
            <w:gridSpan w:val="3"/>
            <w:noWrap w:val="0"/>
            <w:vAlign w:val="center"/>
          </w:tcPr>
          <w:p w14:paraId="70FDFF53">
            <w:pPr>
              <w:spacing w:line="360" w:lineRule="auto"/>
              <w:ind w:firstLine="480" w:firstLineChars="200"/>
              <w:jc w:val="center"/>
              <w:outlineLvl w:val="9"/>
              <w:rPr>
                <w:rFonts w:hint="eastAsia"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4"/>
                <w:szCs w:val="24"/>
                <w:lang w:val="en-US" w:eastAsia="zh-CN" w:bidi="ar"/>
              </w:rPr>
              <w:t>评审分值结构表</w:t>
            </w:r>
          </w:p>
        </w:tc>
      </w:tr>
      <w:tr w14:paraId="1E3F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73" w:type="dxa"/>
            <w:noWrap w:val="0"/>
            <w:vAlign w:val="center"/>
          </w:tcPr>
          <w:p w14:paraId="0F2F3BB7">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default" w:ascii="宋体" w:hAnsi="宋体" w:eastAsia="宋体" w:cs="宋体"/>
                <w:b w:val="0"/>
                <w:bCs/>
                <w:color w:val="auto"/>
                <w:kern w:val="2"/>
                <w:sz w:val="24"/>
                <w:szCs w:val="24"/>
                <w:lang w:val="en-US" w:eastAsia="zh-CN" w:bidi="ar-SA"/>
              </w:rPr>
            </w:pPr>
            <w:r>
              <w:rPr>
                <w:rFonts w:hint="eastAsia" w:ascii="宋体" w:hAnsi="宋体" w:cs="宋体"/>
                <w:b w:val="0"/>
                <w:bCs/>
                <w:color w:val="auto"/>
                <w:kern w:val="2"/>
                <w:sz w:val="24"/>
                <w:szCs w:val="24"/>
                <w:lang w:val="en-US" w:eastAsia="zh-CN" w:bidi="ar-SA"/>
              </w:rPr>
              <w:t>序号</w:t>
            </w:r>
          </w:p>
        </w:tc>
        <w:tc>
          <w:tcPr>
            <w:tcW w:w="2241" w:type="dxa"/>
            <w:noWrap w:val="0"/>
            <w:vAlign w:val="center"/>
          </w:tcPr>
          <w:p w14:paraId="72C04EA9">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评分项</w:t>
            </w:r>
          </w:p>
        </w:tc>
        <w:tc>
          <w:tcPr>
            <w:tcW w:w="6767" w:type="dxa"/>
            <w:noWrap w:val="0"/>
            <w:vAlign w:val="center"/>
          </w:tcPr>
          <w:p w14:paraId="05CFEAF8">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评分标准</w:t>
            </w:r>
          </w:p>
        </w:tc>
      </w:tr>
      <w:tr w14:paraId="18C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773" w:type="dxa"/>
            <w:noWrap w:val="0"/>
            <w:vAlign w:val="center"/>
          </w:tcPr>
          <w:p w14:paraId="3D312384">
            <w:pPr>
              <w:spacing w:line="360" w:lineRule="auto"/>
              <w:ind w:left="-118" w:leftChars="-56" w:right="-94" w:rightChars="-45"/>
              <w:jc w:val="center"/>
              <w:outlineLvl w:val="9"/>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w:t>
            </w:r>
          </w:p>
        </w:tc>
        <w:tc>
          <w:tcPr>
            <w:tcW w:w="2241" w:type="dxa"/>
            <w:noWrap w:val="0"/>
            <w:vAlign w:val="center"/>
          </w:tcPr>
          <w:p w14:paraId="2A854FB5">
            <w:pPr>
              <w:spacing w:line="440" w:lineRule="exact"/>
              <w:jc w:val="center"/>
              <w:outlineLvl w:val="9"/>
              <w:rPr>
                <w:rFonts w:hint="eastAsia" w:ascii="Times New Roman" w:hAnsi="Times New Roman" w:eastAsia="宋体"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投标报价</w:t>
            </w:r>
          </w:p>
          <w:p w14:paraId="4471E78E">
            <w:pPr>
              <w:spacing w:line="440" w:lineRule="exact"/>
              <w:jc w:val="center"/>
              <w:outlineLvl w:val="9"/>
              <w:rPr>
                <w:rFonts w:hint="eastAsia" w:ascii="宋体" w:hAnsi="宋体" w:eastAsia="宋体" w:cs="宋体"/>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4"/>
                <w:szCs w:val="22"/>
                <w:lang w:val="en-US" w:eastAsia="zh-CN"/>
              </w:rPr>
              <w:t>（30分）</w:t>
            </w:r>
          </w:p>
        </w:tc>
        <w:tc>
          <w:tcPr>
            <w:tcW w:w="6767" w:type="dxa"/>
            <w:noWrap w:val="0"/>
            <w:tcMar>
              <w:top w:w="0" w:type="dxa"/>
              <w:left w:w="113" w:type="dxa"/>
              <w:bottom w:w="0" w:type="dxa"/>
              <w:right w:w="113" w:type="dxa"/>
            </w:tcMar>
            <w:vAlign w:val="center"/>
          </w:tcPr>
          <w:p w14:paraId="4F2185A1">
            <w:pPr>
              <w:spacing w:line="360" w:lineRule="auto"/>
              <w:outlineLvl w:val="9"/>
              <w:rPr>
                <w:rFonts w:ascii="宋体" w:hAnsi="宋体" w:cs="宋体"/>
                <w:b w:val="0"/>
                <w:bCs/>
                <w:color w:val="auto"/>
                <w:sz w:val="24"/>
                <w:szCs w:val="24"/>
              </w:rPr>
            </w:pPr>
            <w:r>
              <w:rPr>
                <w:rFonts w:hint="eastAsia" w:ascii="宋体" w:hAnsi="宋体" w:cs="宋体"/>
                <w:b w:val="0"/>
                <w:bCs/>
                <w:color w:val="auto"/>
                <w:sz w:val="24"/>
                <w:szCs w:val="24"/>
              </w:rPr>
              <w:t>按照财政部《关于加强政府采购货物和服务项目价格评审管理的通知》（财库[2007]2号）的有关规定：价格分采用低价优先法计算，即满足招标文件要求且投标报价最低的投标报价为评标基准价，其价格分为满分。其他投标单位的价格分统一按照下列公式计算：投标报价=（评标基准价/投标报价）×价格权值×100</w:t>
            </w:r>
          </w:p>
          <w:p w14:paraId="6EC7316E">
            <w:pPr>
              <w:adjustRightInd w:val="0"/>
              <w:snapToGrid w:val="0"/>
              <w:spacing w:line="360" w:lineRule="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4"/>
                <w:lang w:val="en-US" w:eastAsia="zh-CN"/>
              </w:rPr>
              <w:t>本项目专门面向中小企业采购，故不再执行价格评审优惠；</w:t>
            </w:r>
          </w:p>
        </w:tc>
      </w:tr>
      <w:tr w14:paraId="4804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41051D1B">
            <w:pPr>
              <w:spacing w:line="360" w:lineRule="auto"/>
              <w:ind w:right="-94" w:rightChars="-45"/>
              <w:jc w:val="center"/>
              <w:outlineLvl w:val="9"/>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2241" w:type="dxa"/>
            <w:noWrap w:val="0"/>
            <w:tcMar>
              <w:top w:w="0" w:type="dxa"/>
              <w:left w:w="113" w:type="dxa"/>
              <w:bottom w:w="0" w:type="dxa"/>
              <w:right w:w="113" w:type="dxa"/>
            </w:tcMar>
            <w:vAlign w:val="center"/>
          </w:tcPr>
          <w:p w14:paraId="7EB6DFB1">
            <w:pPr>
              <w:spacing w:line="440" w:lineRule="exact"/>
              <w:jc w:val="center"/>
              <w:outlineLvl w:val="9"/>
              <w:rPr>
                <w:rFonts w:hint="default" w:ascii="Times New Roman" w:hAnsi="Times New Roman" w:eastAsia="宋体" w:cs="Times New Roman"/>
                <w:b w:val="0"/>
                <w:bCs/>
                <w:color w:val="auto"/>
                <w:sz w:val="24"/>
                <w:szCs w:val="22"/>
                <w:lang w:val="en-US" w:eastAsia="zh-CN"/>
              </w:rPr>
            </w:pPr>
            <w:r>
              <w:rPr>
                <w:rFonts w:hint="eastAsia" w:ascii="宋体" w:hAnsi="宋体" w:cs="宋体"/>
                <w:color w:val="auto"/>
                <w:sz w:val="24"/>
                <w:lang w:val="en-US" w:eastAsia="zh-CN"/>
              </w:rPr>
              <w:t>主要施工方案与技术措施</w:t>
            </w:r>
            <w:r>
              <w:rPr>
                <w:rFonts w:hint="eastAsia" w:cs="Times New Roman"/>
                <w:b w:val="0"/>
                <w:bCs/>
                <w:color w:val="auto"/>
                <w:sz w:val="24"/>
                <w:szCs w:val="22"/>
                <w:lang w:val="en-US" w:eastAsia="zh-CN"/>
              </w:rPr>
              <w:t>（10分）</w:t>
            </w:r>
          </w:p>
        </w:tc>
        <w:tc>
          <w:tcPr>
            <w:tcW w:w="6767" w:type="dxa"/>
            <w:noWrap w:val="0"/>
            <w:tcMar>
              <w:top w:w="0" w:type="dxa"/>
              <w:left w:w="113" w:type="dxa"/>
              <w:bottom w:w="0" w:type="dxa"/>
              <w:right w:w="113" w:type="dxa"/>
            </w:tcMar>
            <w:vAlign w:val="center"/>
          </w:tcPr>
          <w:p w14:paraId="5BAB8AA4">
            <w:pPr>
              <w:spacing w:line="360" w:lineRule="auto"/>
              <w:rPr>
                <w:rFonts w:hint="eastAsia" w:ascii="宋体" w:hAnsi="宋体" w:eastAsia="宋体" w:cs="宋体"/>
                <w:b w:val="0"/>
                <w:bCs/>
                <w:color w:val="auto"/>
                <w:kern w:val="2"/>
                <w:sz w:val="24"/>
                <w:szCs w:val="24"/>
                <w:lang w:val="en-US" w:eastAsia="zh-CN" w:bidi="ar-SA"/>
              </w:rPr>
            </w:pPr>
            <w:r>
              <w:rPr>
                <w:rFonts w:ascii="宋体" w:hAnsi="宋体" w:cs="宋体"/>
                <w:color w:val="auto"/>
                <w:sz w:val="24"/>
              </w:rPr>
              <w:t>根据供应商提供的</w:t>
            </w:r>
            <w:r>
              <w:rPr>
                <w:rFonts w:hint="eastAsia" w:ascii="宋体" w:hAnsi="宋体" w:cs="宋体"/>
                <w:color w:val="auto"/>
                <w:sz w:val="24"/>
                <w:lang w:val="en-US" w:eastAsia="zh-CN"/>
              </w:rPr>
              <w:t>主要施工方案与技术措施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w:t>
            </w:r>
            <w:r>
              <w:rPr>
                <w:rFonts w:hint="eastAsia" w:cs="Times New Roman"/>
                <w:b w:val="0"/>
                <w:bCs/>
                <w:color w:val="auto"/>
                <w:sz w:val="24"/>
                <w:szCs w:val="22"/>
                <w:lang w:val="en-US" w:eastAsia="zh-CN"/>
              </w:rPr>
              <w:t>10</w:t>
            </w:r>
            <w:r>
              <w:rPr>
                <w:rFonts w:hint="eastAsia" w:ascii="Times New Roman" w:hAnsi="Times New Roman" w:eastAsia="宋体" w:cs="Times New Roman"/>
                <w:b w:val="0"/>
                <w:bCs/>
                <w:color w:val="auto"/>
                <w:sz w:val="24"/>
                <w:szCs w:val="22"/>
                <w:lang w:val="en-US" w:eastAsia="zh-CN"/>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4EA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4E173C44">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2241" w:type="dxa"/>
            <w:noWrap w:val="0"/>
            <w:tcMar>
              <w:top w:w="0" w:type="dxa"/>
              <w:left w:w="113" w:type="dxa"/>
              <w:bottom w:w="0" w:type="dxa"/>
              <w:right w:w="113" w:type="dxa"/>
            </w:tcMar>
            <w:vAlign w:val="center"/>
          </w:tcPr>
          <w:p w14:paraId="4B24C2C0">
            <w:pPr>
              <w:spacing w:line="440" w:lineRule="exact"/>
              <w:jc w:val="center"/>
              <w:outlineLvl w:val="9"/>
              <w:rPr>
                <w:rFonts w:hint="eastAsia" w:cs="Times New Roman"/>
                <w:b w:val="0"/>
                <w:bCs/>
                <w:color w:val="auto"/>
                <w:sz w:val="24"/>
                <w:szCs w:val="22"/>
                <w:lang w:val="en-US" w:eastAsia="zh-CN"/>
              </w:rPr>
            </w:pPr>
            <w:r>
              <w:rPr>
                <w:rFonts w:hint="eastAsia" w:cs="Times New Roman"/>
                <w:b w:val="0"/>
                <w:bCs/>
                <w:color w:val="auto"/>
                <w:sz w:val="24"/>
                <w:szCs w:val="22"/>
                <w:lang w:val="en-US" w:eastAsia="zh-CN"/>
              </w:rPr>
              <w:t>质量保证体系及措施（6分）</w:t>
            </w:r>
          </w:p>
        </w:tc>
        <w:tc>
          <w:tcPr>
            <w:tcW w:w="6767" w:type="dxa"/>
            <w:noWrap w:val="0"/>
            <w:tcMar>
              <w:top w:w="0" w:type="dxa"/>
              <w:left w:w="113" w:type="dxa"/>
              <w:bottom w:w="0" w:type="dxa"/>
              <w:right w:w="113" w:type="dxa"/>
            </w:tcMar>
            <w:vAlign w:val="center"/>
          </w:tcPr>
          <w:p w14:paraId="026113FF">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cs="Times New Roman"/>
                <w:b w:val="0"/>
                <w:bCs/>
                <w:color w:val="auto"/>
                <w:sz w:val="24"/>
                <w:szCs w:val="22"/>
                <w:lang w:val="en-US" w:eastAsia="zh-CN"/>
              </w:rPr>
              <w:t>质量保证体系及措施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639E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68745843">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2241" w:type="dxa"/>
            <w:noWrap w:val="0"/>
            <w:tcMar>
              <w:top w:w="0" w:type="dxa"/>
              <w:left w:w="113" w:type="dxa"/>
              <w:bottom w:w="0" w:type="dxa"/>
              <w:right w:w="113" w:type="dxa"/>
            </w:tcMar>
            <w:vAlign w:val="center"/>
          </w:tcPr>
          <w:p w14:paraId="08B4124A">
            <w:pPr>
              <w:spacing w:line="440" w:lineRule="exact"/>
              <w:jc w:val="center"/>
              <w:outlineLvl w:val="9"/>
              <w:rPr>
                <w:rFonts w:hint="eastAsia" w:cs="Times New Roman"/>
                <w:b w:val="0"/>
                <w:bCs/>
                <w:color w:val="auto"/>
                <w:sz w:val="24"/>
                <w:szCs w:val="22"/>
                <w:lang w:val="en-US" w:eastAsia="zh-CN"/>
              </w:rPr>
            </w:pPr>
            <w:r>
              <w:rPr>
                <w:rFonts w:hint="eastAsia" w:cs="Times New Roman"/>
                <w:b w:val="0"/>
                <w:bCs/>
                <w:color w:val="auto"/>
                <w:sz w:val="24"/>
                <w:szCs w:val="22"/>
                <w:lang w:val="en-US" w:eastAsia="zh-CN"/>
              </w:rPr>
              <w:t>安全生产保证措施（6分）</w:t>
            </w:r>
          </w:p>
        </w:tc>
        <w:tc>
          <w:tcPr>
            <w:tcW w:w="6767" w:type="dxa"/>
            <w:noWrap w:val="0"/>
            <w:tcMar>
              <w:top w:w="0" w:type="dxa"/>
              <w:left w:w="113" w:type="dxa"/>
              <w:bottom w:w="0" w:type="dxa"/>
              <w:right w:w="113" w:type="dxa"/>
            </w:tcMar>
            <w:vAlign w:val="center"/>
          </w:tcPr>
          <w:p w14:paraId="19F59B61">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cs="Times New Roman"/>
                <w:b w:val="0"/>
                <w:bCs/>
                <w:color w:val="auto"/>
                <w:sz w:val="24"/>
                <w:szCs w:val="22"/>
                <w:lang w:val="en-US" w:eastAsia="zh-CN"/>
              </w:rPr>
              <w:t>安全生产保证措施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5586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12A28ED6">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p>
        </w:tc>
        <w:tc>
          <w:tcPr>
            <w:tcW w:w="2241" w:type="dxa"/>
            <w:noWrap w:val="0"/>
            <w:tcMar>
              <w:top w:w="0" w:type="dxa"/>
              <w:left w:w="113" w:type="dxa"/>
              <w:bottom w:w="0" w:type="dxa"/>
              <w:right w:w="113" w:type="dxa"/>
            </w:tcMar>
            <w:vAlign w:val="center"/>
          </w:tcPr>
          <w:p w14:paraId="2B4D0140">
            <w:pPr>
              <w:spacing w:line="440" w:lineRule="exact"/>
              <w:jc w:val="center"/>
              <w:outlineLvl w:val="9"/>
              <w:rPr>
                <w:rFonts w:hint="eastAsia" w:cs="Times New Roman"/>
                <w:b w:val="0"/>
                <w:bCs/>
                <w:color w:val="auto"/>
                <w:sz w:val="24"/>
                <w:szCs w:val="22"/>
                <w:lang w:val="en-US" w:eastAsia="zh-CN"/>
              </w:rPr>
            </w:pPr>
            <w:r>
              <w:rPr>
                <w:rFonts w:hint="eastAsia" w:cs="Times New Roman"/>
                <w:b w:val="0"/>
                <w:bCs/>
                <w:color w:val="auto"/>
                <w:sz w:val="24"/>
                <w:szCs w:val="22"/>
                <w:lang w:val="en-US" w:eastAsia="zh-CN"/>
              </w:rPr>
              <w:t>确保文明</w:t>
            </w:r>
            <w:r>
              <w:rPr>
                <w:rFonts w:hint="eastAsia" w:ascii="Times New Roman" w:hAnsi="Times New Roman" w:eastAsia="宋体" w:cs="Times New Roman"/>
                <w:b w:val="0"/>
                <w:bCs/>
                <w:color w:val="auto"/>
                <w:sz w:val="24"/>
                <w:szCs w:val="22"/>
                <w:lang w:val="en-US" w:eastAsia="zh-CN"/>
              </w:rPr>
              <w:t>施工、环境保护的组织措施</w:t>
            </w: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6DC5DA9E">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cs="Times New Roman"/>
                <w:b w:val="0"/>
                <w:bCs/>
                <w:color w:val="auto"/>
                <w:sz w:val="24"/>
                <w:szCs w:val="22"/>
                <w:lang w:val="en-US" w:eastAsia="zh-CN"/>
              </w:rPr>
              <w:t>确保文明</w:t>
            </w:r>
            <w:r>
              <w:rPr>
                <w:rFonts w:hint="eastAsia" w:ascii="Times New Roman" w:hAnsi="Times New Roman" w:eastAsia="宋体" w:cs="Times New Roman"/>
                <w:b w:val="0"/>
                <w:bCs/>
                <w:color w:val="auto"/>
                <w:sz w:val="24"/>
                <w:szCs w:val="22"/>
                <w:lang w:val="en-US" w:eastAsia="zh-CN"/>
              </w:rPr>
              <w:t>施工、环境保护的组织措施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272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3814EA0D">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2241" w:type="dxa"/>
            <w:noWrap w:val="0"/>
            <w:tcMar>
              <w:top w:w="0" w:type="dxa"/>
              <w:left w:w="113" w:type="dxa"/>
              <w:bottom w:w="0" w:type="dxa"/>
              <w:right w:w="113" w:type="dxa"/>
            </w:tcMar>
            <w:vAlign w:val="center"/>
          </w:tcPr>
          <w:p w14:paraId="434667BF">
            <w:pPr>
              <w:spacing w:line="440" w:lineRule="exact"/>
              <w:jc w:val="center"/>
              <w:outlineLvl w:val="9"/>
              <w:rPr>
                <w:rFonts w:hint="eastAsia"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施工进度计划及保证措施</w:t>
            </w: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05ED5B99">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ascii="Times New Roman" w:hAnsi="Times New Roman" w:eastAsia="宋体" w:cs="Times New Roman"/>
                <w:b w:val="0"/>
                <w:bCs/>
                <w:color w:val="auto"/>
                <w:sz w:val="24"/>
                <w:szCs w:val="22"/>
                <w:lang w:val="en-US" w:eastAsia="zh-CN"/>
              </w:rPr>
              <w:t>施工进度计划及保证措施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481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1CED7100">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2241" w:type="dxa"/>
            <w:noWrap w:val="0"/>
            <w:tcMar>
              <w:top w:w="0" w:type="dxa"/>
              <w:left w:w="113" w:type="dxa"/>
              <w:bottom w:w="0" w:type="dxa"/>
              <w:right w:w="113" w:type="dxa"/>
            </w:tcMar>
            <w:vAlign w:val="center"/>
          </w:tcPr>
          <w:p w14:paraId="0D1A12DF">
            <w:pPr>
              <w:spacing w:line="440" w:lineRule="exact"/>
              <w:jc w:val="center"/>
              <w:outlineLvl w:val="9"/>
              <w:rPr>
                <w:rFonts w:hint="eastAsia"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劳动力计划、设备配备情况</w:t>
            </w:r>
            <w:r>
              <w:rPr>
                <w:rFonts w:hint="eastAsia" w:cs="Times New Roman"/>
                <w:b w:val="0"/>
                <w:bCs/>
                <w:color w:val="auto"/>
                <w:sz w:val="24"/>
                <w:szCs w:val="22"/>
                <w:lang w:val="en-US" w:eastAsia="zh-CN"/>
              </w:rPr>
              <w:t>（8分）</w:t>
            </w:r>
          </w:p>
        </w:tc>
        <w:tc>
          <w:tcPr>
            <w:tcW w:w="6767" w:type="dxa"/>
            <w:noWrap w:val="0"/>
            <w:tcMar>
              <w:top w:w="0" w:type="dxa"/>
              <w:left w:w="113" w:type="dxa"/>
              <w:bottom w:w="0" w:type="dxa"/>
              <w:right w:w="113" w:type="dxa"/>
            </w:tcMar>
            <w:vAlign w:val="center"/>
          </w:tcPr>
          <w:p w14:paraId="3AA08890">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ascii="Times New Roman" w:hAnsi="Times New Roman" w:eastAsia="宋体" w:cs="Times New Roman"/>
                <w:b w:val="0"/>
                <w:bCs/>
                <w:color w:val="auto"/>
                <w:sz w:val="24"/>
                <w:szCs w:val="22"/>
                <w:lang w:val="en-US" w:eastAsia="zh-CN"/>
              </w:rPr>
              <w:t>劳动力计划、设备配备情况</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w:t>
            </w:r>
            <w:r>
              <w:rPr>
                <w:rFonts w:hint="eastAsia" w:cs="Times New Roman"/>
                <w:b w:val="0"/>
                <w:bCs/>
                <w:color w:val="auto"/>
                <w:sz w:val="24"/>
                <w:szCs w:val="22"/>
                <w:lang w:val="en-US" w:eastAsia="zh-CN"/>
              </w:rPr>
              <w:t>8</w:t>
            </w:r>
            <w:r>
              <w:rPr>
                <w:rFonts w:hint="eastAsia" w:ascii="Times New Roman" w:hAnsi="Times New Roman" w:eastAsia="宋体" w:cs="Times New Roman"/>
                <w:b w:val="0"/>
                <w:bCs/>
                <w:color w:val="auto"/>
                <w:sz w:val="24"/>
                <w:szCs w:val="22"/>
                <w:lang w:val="en-US" w:eastAsia="zh-CN"/>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4BD0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50D3FB75">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2241" w:type="dxa"/>
            <w:noWrap w:val="0"/>
            <w:tcMar>
              <w:top w:w="0" w:type="dxa"/>
              <w:left w:w="113" w:type="dxa"/>
              <w:bottom w:w="0" w:type="dxa"/>
              <w:right w:w="113" w:type="dxa"/>
            </w:tcMar>
            <w:vAlign w:val="center"/>
          </w:tcPr>
          <w:p w14:paraId="0BBC69AA">
            <w:pPr>
              <w:spacing w:line="440" w:lineRule="exact"/>
              <w:jc w:val="center"/>
              <w:outlineLvl w:val="9"/>
              <w:rPr>
                <w:rFonts w:hint="eastAsia"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紧急情况应对措施</w:t>
            </w: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3AFA5604">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ascii="Times New Roman" w:hAnsi="Times New Roman" w:eastAsia="宋体" w:cs="Times New Roman"/>
                <w:b w:val="0"/>
                <w:bCs/>
                <w:color w:val="auto"/>
                <w:sz w:val="24"/>
                <w:szCs w:val="22"/>
                <w:lang w:val="en-US" w:eastAsia="zh-CN"/>
              </w:rPr>
              <w:t>紧急情况应对措施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4E8D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2E5AD0E4">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9</w:t>
            </w:r>
          </w:p>
        </w:tc>
        <w:tc>
          <w:tcPr>
            <w:tcW w:w="2241" w:type="dxa"/>
            <w:noWrap w:val="0"/>
            <w:tcMar>
              <w:top w:w="0" w:type="dxa"/>
              <w:left w:w="113" w:type="dxa"/>
              <w:bottom w:w="0" w:type="dxa"/>
              <w:right w:w="113" w:type="dxa"/>
            </w:tcMar>
            <w:vAlign w:val="center"/>
          </w:tcPr>
          <w:p w14:paraId="76C81B0F">
            <w:pPr>
              <w:spacing w:line="440" w:lineRule="exact"/>
              <w:jc w:val="center"/>
              <w:outlineLvl w:val="9"/>
              <w:rPr>
                <w:rFonts w:hint="eastAsia"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成品保护和工程保修管理措施</w:t>
            </w: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5DFACEBB">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ascii="Times New Roman" w:hAnsi="Times New Roman" w:eastAsia="宋体" w:cs="Times New Roman"/>
                <w:b w:val="0"/>
                <w:bCs/>
                <w:color w:val="auto"/>
                <w:sz w:val="24"/>
                <w:szCs w:val="22"/>
                <w:lang w:val="en-US" w:eastAsia="zh-CN"/>
              </w:rPr>
              <w:t>成品保护和工程保修管理措施</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179B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6F6D25A7">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10</w:t>
            </w:r>
          </w:p>
        </w:tc>
        <w:tc>
          <w:tcPr>
            <w:tcW w:w="2241" w:type="dxa"/>
            <w:noWrap w:val="0"/>
            <w:tcMar>
              <w:top w:w="0" w:type="dxa"/>
              <w:left w:w="113" w:type="dxa"/>
              <w:bottom w:w="0" w:type="dxa"/>
              <w:right w:w="113" w:type="dxa"/>
            </w:tcMar>
            <w:vAlign w:val="center"/>
          </w:tcPr>
          <w:p w14:paraId="080501B6">
            <w:pPr>
              <w:spacing w:line="440" w:lineRule="exact"/>
              <w:jc w:val="center"/>
              <w:outlineLvl w:val="9"/>
              <w:rPr>
                <w:rFonts w:hint="eastAsia"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对本工程的重点难点分析及对策</w:t>
            </w: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57D61463">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ascii="Times New Roman" w:hAnsi="Times New Roman" w:eastAsia="宋体" w:cs="Times New Roman"/>
                <w:b w:val="0"/>
                <w:bCs/>
                <w:color w:val="auto"/>
                <w:sz w:val="24"/>
                <w:szCs w:val="22"/>
                <w:lang w:val="en-US" w:eastAsia="zh-CN"/>
              </w:rPr>
              <w:t>对本工程的重点难点分析及对策</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6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0609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773" w:type="dxa"/>
            <w:noWrap w:val="0"/>
            <w:vAlign w:val="center"/>
          </w:tcPr>
          <w:p w14:paraId="6C0185A5">
            <w:pPr>
              <w:spacing w:line="360" w:lineRule="auto"/>
              <w:ind w:right="-94" w:rightChars="-45"/>
              <w:jc w:val="center"/>
              <w:outlineLvl w:val="9"/>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11</w:t>
            </w:r>
          </w:p>
        </w:tc>
        <w:tc>
          <w:tcPr>
            <w:tcW w:w="2241" w:type="dxa"/>
            <w:noWrap w:val="0"/>
            <w:tcMar>
              <w:top w:w="0" w:type="dxa"/>
              <w:left w:w="113" w:type="dxa"/>
              <w:bottom w:w="0" w:type="dxa"/>
              <w:right w:w="113" w:type="dxa"/>
            </w:tcMar>
            <w:vAlign w:val="center"/>
          </w:tcPr>
          <w:p w14:paraId="2E66B3F7">
            <w:pPr>
              <w:spacing w:line="440" w:lineRule="exact"/>
              <w:jc w:val="center"/>
              <w:outlineLvl w:val="9"/>
              <w:rPr>
                <w:rFonts w:hint="eastAsia" w:cs="Times New Roman"/>
                <w:b w:val="0"/>
                <w:bCs/>
                <w:color w:val="auto"/>
                <w:sz w:val="24"/>
                <w:szCs w:val="22"/>
                <w:lang w:val="en-US" w:eastAsia="zh-CN"/>
              </w:rPr>
            </w:pPr>
            <w:r>
              <w:rPr>
                <w:rFonts w:hint="eastAsia" w:cs="宋体"/>
                <w:b w:val="0"/>
                <w:bCs/>
                <w:color w:val="auto"/>
                <w:kern w:val="2"/>
                <w:sz w:val="24"/>
                <w:szCs w:val="24"/>
                <w:lang w:val="en-US" w:eastAsia="zh-CN" w:bidi="ar-SA"/>
              </w:rPr>
              <w:t>新技术、新产品、新工艺、新材料应用</w:t>
            </w:r>
            <w:r>
              <w:rPr>
                <w:rFonts w:hint="eastAsia" w:cs="Times New Roman"/>
                <w:b w:val="0"/>
                <w:bCs/>
                <w:color w:val="auto"/>
                <w:sz w:val="24"/>
                <w:szCs w:val="22"/>
                <w:lang w:val="en-US" w:eastAsia="zh-CN"/>
              </w:rPr>
              <w:t>（4分）</w:t>
            </w:r>
          </w:p>
        </w:tc>
        <w:tc>
          <w:tcPr>
            <w:tcW w:w="6767" w:type="dxa"/>
            <w:noWrap w:val="0"/>
            <w:tcMar>
              <w:top w:w="0" w:type="dxa"/>
              <w:left w:w="113" w:type="dxa"/>
              <w:bottom w:w="0" w:type="dxa"/>
              <w:right w:w="113" w:type="dxa"/>
            </w:tcMar>
            <w:vAlign w:val="center"/>
          </w:tcPr>
          <w:p w14:paraId="666AF3AB">
            <w:pPr>
              <w:spacing w:line="360" w:lineRule="auto"/>
              <w:rPr>
                <w:rFonts w:hint="eastAsia" w:ascii="Times New Roman" w:hAnsi="Times New Roman" w:eastAsia="宋体" w:cs="Times New Roman"/>
                <w:b w:val="0"/>
                <w:bCs/>
                <w:color w:val="auto"/>
                <w:sz w:val="24"/>
                <w:szCs w:val="22"/>
                <w:lang w:val="en-US" w:eastAsia="zh-CN"/>
              </w:rPr>
            </w:pPr>
            <w:r>
              <w:rPr>
                <w:rFonts w:ascii="宋体" w:hAnsi="宋体" w:cs="宋体"/>
                <w:color w:val="auto"/>
                <w:sz w:val="24"/>
              </w:rPr>
              <w:t>根据供应商提供的</w:t>
            </w:r>
            <w:r>
              <w:rPr>
                <w:rFonts w:hint="eastAsia" w:cs="宋体"/>
                <w:b w:val="0"/>
                <w:bCs/>
                <w:color w:val="auto"/>
                <w:kern w:val="2"/>
                <w:sz w:val="24"/>
                <w:szCs w:val="24"/>
                <w:lang w:val="en-US" w:eastAsia="zh-CN" w:bidi="ar-SA"/>
              </w:rPr>
              <w:t>新技术、新产品、新工艺、新材料应用</w:t>
            </w:r>
            <w:r>
              <w:rPr>
                <w:rFonts w:hint="eastAsia" w:ascii="宋体" w:hAnsi="宋体" w:cs="宋体"/>
                <w:color w:val="auto"/>
                <w:sz w:val="24"/>
              </w:rPr>
              <w:t>进行评审</w:t>
            </w:r>
            <w:r>
              <w:rPr>
                <w:rFonts w:hint="eastAsia" w:ascii="宋体" w:hAnsi="宋体" w:cs="宋体"/>
                <w:color w:val="auto"/>
                <w:sz w:val="24"/>
                <w:lang w:eastAsia="zh-CN"/>
              </w:rPr>
              <w:t>，</w:t>
            </w:r>
            <w:r>
              <w:rPr>
                <w:rFonts w:hint="eastAsia" w:ascii="Times New Roman" w:hAnsi="Times New Roman" w:eastAsia="宋体" w:cs="Times New Roman"/>
                <w:b w:val="0"/>
                <w:bCs/>
                <w:color w:val="auto"/>
                <w:sz w:val="24"/>
                <w:szCs w:val="22"/>
                <w:lang w:val="en-US" w:eastAsia="zh-CN"/>
              </w:rPr>
              <w:t>方案中存在缺陷的，每有1处扣1分，每项最多扣</w:t>
            </w:r>
            <w:r>
              <w:rPr>
                <w:rFonts w:hint="eastAsia" w:cs="Times New Roman"/>
                <w:b w:val="0"/>
                <w:bCs/>
                <w:color w:val="auto"/>
                <w:sz w:val="24"/>
                <w:szCs w:val="22"/>
                <w:lang w:val="en-US" w:eastAsia="zh-CN"/>
              </w:rPr>
              <w:t>4</w:t>
            </w:r>
            <w:r>
              <w:rPr>
                <w:rFonts w:hint="eastAsia" w:ascii="Times New Roman" w:hAnsi="Times New Roman" w:eastAsia="宋体" w:cs="Times New Roman"/>
                <w:b w:val="0"/>
                <w:bCs/>
                <w:color w:val="auto"/>
                <w:sz w:val="24"/>
                <w:szCs w:val="22"/>
                <w:lang w:val="en-US" w:eastAsia="zh-CN"/>
              </w:rPr>
              <w:t>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116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14:paraId="732676AE">
            <w:pPr>
              <w:spacing w:line="360" w:lineRule="auto"/>
              <w:ind w:right="-94" w:rightChars="-45"/>
              <w:jc w:val="center"/>
              <w:outlineLvl w:val="9"/>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12</w:t>
            </w:r>
          </w:p>
        </w:tc>
        <w:tc>
          <w:tcPr>
            <w:tcW w:w="2241" w:type="dxa"/>
            <w:noWrap w:val="0"/>
            <w:tcMar>
              <w:top w:w="0" w:type="dxa"/>
              <w:left w:w="113" w:type="dxa"/>
              <w:bottom w:w="0" w:type="dxa"/>
              <w:right w:w="113" w:type="dxa"/>
            </w:tcMar>
            <w:vAlign w:val="center"/>
          </w:tcPr>
          <w:p w14:paraId="22DE93C7">
            <w:pPr>
              <w:pStyle w:val="23"/>
              <w:keepNext w:val="0"/>
              <w:keepLines w:val="0"/>
              <w:widowControl/>
              <w:suppressLineNumbers w:val="0"/>
              <w:spacing w:before="0" w:beforeAutospacing="0" w:after="0" w:afterAutospacing="0"/>
              <w:ind w:left="0" w:right="0" w:firstLine="0"/>
              <w:jc w:val="center"/>
              <w:outlineLvl w:val="9"/>
              <w:rPr>
                <w:rFonts w:hint="eastAsia" w:ascii="Times New Roman" w:hAnsi="Times New Roman" w:cs="Times New Roman"/>
                <w:b w:val="0"/>
                <w:bCs/>
                <w:color w:val="auto"/>
                <w:kern w:val="2"/>
                <w:sz w:val="24"/>
                <w:szCs w:val="22"/>
                <w:lang w:val="en-US" w:eastAsia="zh-CN" w:bidi="ar-SA"/>
              </w:rPr>
            </w:pPr>
            <w:r>
              <w:rPr>
                <w:rFonts w:hint="eastAsia" w:ascii="Times New Roman" w:hAnsi="Times New Roman" w:cs="Times New Roman"/>
                <w:b w:val="0"/>
                <w:bCs/>
                <w:color w:val="auto"/>
                <w:kern w:val="2"/>
                <w:sz w:val="24"/>
                <w:szCs w:val="22"/>
                <w:lang w:val="en-US" w:eastAsia="zh-CN" w:bidi="ar-SA"/>
              </w:rPr>
              <w:t>类似业绩</w:t>
            </w:r>
          </w:p>
          <w:p w14:paraId="645DC1DA">
            <w:pPr>
              <w:pStyle w:val="23"/>
              <w:keepNext w:val="0"/>
              <w:keepLines w:val="0"/>
              <w:widowControl/>
              <w:suppressLineNumbers w:val="0"/>
              <w:spacing w:before="0" w:beforeAutospacing="0" w:after="0" w:afterAutospacing="0"/>
              <w:ind w:left="0" w:right="0" w:firstLine="0"/>
              <w:jc w:val="center"/>
              <w:outlineLvl w:val="9"/>
              <w:rPr>
                <w:rFonts w:hint="default" w:ascii="Times New Roman" w:hAnsi="Times New Roman" w:eastAsia="宋体" w:cs="Times New Roman"/>
                <w:b w:val="0"/>
                <w:bCs/>
                <w:color w:val="auto"/>
                <w:kern w:val="2"/>
                <w:sz w:val="24"/>
                <w:szCs w:val="22"/>
                <w:lang w:val="en-US" w:eastAsia="zh-CN" w:bidi="ar-SA"/>
              </w:rPr>
            </w:pPr>
            <w:r>
              <w:rPr>
                <w:rFonts w:hint="eastAsia" w:cs="Times New Roman"/>
                <w:b w:val="0"/>
                <w:bCs/>
                <w:color w:val="auto"/>
                <w:sz w:val="24"/>
                <w:szCs w:val="22"/>
                <w:lang w:val="en-US" w:eastAsia="zh-CN"/>
              </w:rPr>
              <w:t>（6分）</w:t>
            </w:r>
          </w:p>
        </w:tc>
        <w:tc>
          <w:tcPr>
            <w:tcW w:w="6767" w:type="dxa"/>
            <w:noWrap w:val="0"/>
            <w:tcMar>
              <w:top w:w="0" w:type="dxa"/>
              <w:left w:w="113" w:type="dxa"/>
              <w:bottom w:w="0" w:type="dxa"/>
              <w:right w:w="113" w:type="dxa"/>
            </w:tcMar>
            <w:vAlign w:val="center"/>
          </w:tcPr>
          <w:p w14:paraId="3E8106C1">
            <w:pPr>
              <w:pStyle w:val="23"/>
              <w:keepNext w:val="0"/>
              <w:keepLines w:val="0"/>
              <w:widowControl/>
              <w:suppressLineNumbers w:val="0"/>
              <w:spacing w:before="0" w:beforeAutospacing="0" w:after="0" w:afterAutospacing="0" w:line="360" w:lineRule="auto"/>
              <w:ind w:left="0" w:right="0" w:firstLine="0"/>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近</w:t>
            </w:r>
            <w:r>
              <w:rPr>
                <w:rFonts w:hint="eastAsia" w:cs="宋体"/>
                <w:b w:val="0"/>
                <w:bCs/>
                <w:color w:val="auto"/>
                <w:kern w:val="2"/>
                <w:sz w:val="24"/>
                <w:szCs w:val="24"/>
                <w:lang w:val="en-US" w:eastAsia="zh-CN" w:bidi="ar-SA"/>
              </w:rPr>
              <w:t>三</w:t>
            </w:r>
            <w:r>
              <w:rPr>
                <w:rFonts w:hint="eastAsia" w:ascii="宋体" w:hAnsi="宋体" w:eastAsia="宋体" w:cs="宋体"/>
                <w:b w:val="0"/>
                <w:bCs/>
                <w:color w:val="auto"/>
                <w:kern w:val="2"/>
                <w:sz w:val="24"/>
                <w:szCs w:val="24"/>
                <w:lang w:val="en-US" w:eastAsia="zh-CN" w:bidi="ar-SA"/>
              </w:rPr>
              <w:t>年（20</w:t>
            </w:r>
            <w:r>
              <w:rPr>
                <w:rFonts w:hint="eastAsia" w:cs="宋体"/>
                <w:b w:val="0"/>
                <w:bCs/>
                <w:color w:val="auto"/>
                <w:kern w:val="2"/>
                <w:sz w:val="24"/>
                <w:szCs w:val="24"/>
                <w:lang w:val="en-US" w:eastAsia="zh-CN" w:bidi="ar-SA"/>
              </w:rPr>
              <w:t>22</w:t>
            </w:r>
            <w:r>
              <w:rPr>
                <w:rFonts w:hint="eastAsia" w:ascii="宋体" w:hAnsi="宋体" w:eastAsia="宋体" w:cs="宋体"/>
                <w:b w:val="0"/>
                <w:bCs/>
                <w:color w:val="auto"/>
                <w:kern w:val="2"/>
                <w:sz w:val="24"/>
                <w:szCs w:val="24"/>
                <w:lang w:val="en-US" w:eastAsia="zh-CN" w:bidi="ar-SA"/>
              </w:rPr>
              <w:t>年0</w:t>
            </w:r>
            <w:r>
              <w:rPr>
                <w:rFonts w:hint="eastAsia" w:cs="宋体"/>
                <w:b w:val="0"/>
                <w:bCs/>
                <w:color w:val="auto"/>
                <w:kern w:val="2"/>
                <w:sz w:val="24"/>
                <w:szCs w:val="24"/>
                <w:lang w:val="en-US" w:eastAsia="zh-CN" w:bidi="ar-SA"/>
              </w:rPr>
              <w:t>1</w:t>
            </w:r>
            <w:r>
              <w:rPr>
                <w:rFonts w:hint="eastAsia" w:ascii="宋体" w:hAnsi="宋体" w:eastAsia="宋体" w:cs="宋体"/>
                <w:b w:val="0"/>
                <w:bCs/>
                <w:color w:val="auto"/>
                <w:kern w:val="2"/>
                <w:sz w:val="24"/>
                <w:szCs w:val="24"/>
                <w:lang w:val="en-US" w:eastAsia="zh-CN" w:bidi="ar-SA"/>
              </w:rPr>
              <w:t>月01日至今）已完成的类似业绩。每提供一个得</w:t>
            </w:r>
            <w:r>
              <w:rPr>
                <w:rFonts w:hint="eastAsia" w:cs="宋体"/>
                <w:b w:val="0"/>
                <w:bCs/>
                <w:color w:val="auto"/>
                <w:kern w:val="2"/>
                <w:sz w:val="24"/>
                <w:szCs w:val="24"/>
                <w:lang w:val="en-US" w:eastAsia="zh-CN" w:bidi="ar-SA"/>
              </w:rPr>
              <w:t>3</w:t>
            </w:r>
            <w:r>
              <w:rPr>
                <w:rFonts w:hint="eastAsia" w:ascii="宋体" w:hAnsi="宋体" w:eastAsia="宋体" w:cs="宋体"/>
                <w:b w:val="0"/>
                <w:bCs/>
                <w:color w:val="auto"/>
                <w:kern w:val="2"/>
                <w:sz w:val="24"/>
                <w:szCs w:val="24"/>
                <w:lang w:val="en-US" w:eastAsia="zh-CN" w:bidi="ar-SA"/>
              </w:rPr>
              <w:t xml:space="preserve"> 分，最高不超过</w:t>
            </w:r>
            <w:r>
              <w:rPr>
                <w:rFonts w:hint="eastAsia" w:cs="宋体"/>
                <w:b w:val="0"/>
                <w:bCs/>
                <w:color w:val="auto"/>
                <w:kern w:val="2"/>
                <w:sz w:val="24"/>
                <w:szCs w:val="24"/>
                <w:lang w:val="en-US" w:eastAsia="zh-CN" w:bidi="ar-SA"/>
              </w:rPr>
              <w:t>6</w:t>
            </w:r>
            <w:r>
              <w:rPr>
                <w:rFonts w:hint="eastAsia" w:ascii="宋体" w:hAnsi="宋体" w:eastAsia="宋体" w:cs="宋体"/>
                <w:b w:val="0"/>
                <w:bCs/>
                <w:color w:val="auto"/>
                <w:kern w:val="2"/>
                <w:sz w:val="24"/>
                <w:szCs w:val="24"/>
                <w:lang w:val="en-US" w:eastAsia="zh-CN" w:bidi="ar-SA"/>
              </w:rPr>
              <w:t>分。需提供合同签订的首页、合同 金额所在页、合同内容页、签字盖章页作为证明。</w:t>
            </w:r>
          </w:p>
        </w:tc>
      </w:tr>
    </w:tbl>
    <w:p w14:paraId="2CD89F8C">
      <w:pPr>
        <w:pStyle w:val="11"/>
        <w:outlineLvl w:val="9"/>
        <w:rPr>
          <w:rFonts w:hint="eastAsia" w:ascii="宋体" w:hAnsi="宋体" w:cs="宋体"/>
          <w:color w:val="auto"/>
        </w:rPr>
      </w:pPr>
    </w:p>
    <w:p w14:paraId="4D86719C">
      <w:pPr>
        <w:outlineLvl w:val="9"/>
        <w:rPr>
          <w:rFonts w:hint="eastAsia" w:ascii="宋体" w:hAnsi="宋体" w:cs="宋体"/>
          <w:color w:val="auto"/>
        </w:rPr>
        <w:sectPr>
          <w:pgSz w:w="11906" w:h="16838"/>
          <w:pgMar w:top="1219" w:right="1800" w:bottom="1219" w:left="1800" w:header="851" w:footer="992" w:gutter="0"/>
          <w:pgNumType w:fmt="decimal"/>
          <w:cols w:space="720" w:num="1"/>
          <w:docGrid w:type="lines" w:linePitch="312" w:charSpace="0"/>
        </w:sectPr>
      </w:pPr>
    </w:p>
    <w:bookmarkEnd w:id="245"/>
    <w:p w14:paraId="77680836">
      <w:pPr>
        <w:bidi w:val="0"/>
        <w:jc w:val="center"/>
        <w:outlineLvl w:val="0"/>
        <w:rPr>
          <w:rFonts w:hint="eastAsia"/>
          <w:b/>
          <w:bCs/>
          <w:color w:val="auto"/>
          <w:sz w:val="36"/>
          <w:szCs w:val="36"/>
        </w:rPr>
      </w:pPr>
      <w:bookmarkStart w:id="252" w:name="_Toc9345"/>
      <w:bookmarkStart w:id="253" w:name="_Toc29384"/>
      <w:bookmarkStart w:id="254" w:name="_Toc10531"/>
      <w:bookmarkStart w:id="255" w:name="_Toc2619"/>
      <w:bookmarkStart w:id="256" w:name="_Toc14711"/>
      <w:bookmarkStart w:id="257" w:name="_Toc557"/>
      <w:r>
        <w:rPr>
          <w:rFonts w:hint="eastAsia"/>
          <w:b/>
          <w:bCs/>
          <w:color w:val="auto"/>
          <w:sz w:val="36"/>
          <w:szCs w:val="36"/>
          <w:lang w:val="en-US" w:eastAsia="zh-CN"/>
        </w:rPr>
        <w:t>第四章  商务要求</w:t>
      </w:r>
      <w:bookmarkEnd w:id="252"/>
      <w:bookmarkEnd w:id="253"/>
      <w:bookmarkEnd w:id="254"/>
    </w:p>
    <w:p w14:paraId="1B2CB1D7">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cs="宋体"/>
          <w:b/>
          <w:color w:val="auto"/>
          <w:szCs w:val="24"/>
          <w:highlight w:val="none"/>
        </w:rPr>
      </w:pPr>
      <w:bookmarkStart w:id="258" w:name="_Toc2003"/>
      <w:r>
        <w:rPr>
          <w:rFonts w:hint="eastAsia" w:ascii="宋体" w:hAnsi="宋体" w:cs="宋体"/>
          <w:b/>
          <w:color w:val="auto"/>
          <w:szCs w:val="24"/>
          <w:highlight w:val="none"/>
        </w:rPr>
        <w:t>1、</w:t>
      </w:r>
      <w:r>
        <w:rPr>
          <w:rFonts w:hint="eastAsia" w:ascii="宋体" w:hAnsi="宋体" w:cs="宋体"/>
          <w:b/>
          <w:color w:val="auto"/>
          <w:szCs w:val="24"/>
          <w:highlight w:val="none"/>
          <w:lang w:val="en-US" w:eastAsia="zh-CN"/>
        </w:rPr>
        <w:t>工期</w:t>
      </w:r>
      <w:r>
        <w:rPr>
          <w:rFonts w:hint="eastAsia" w:ascii="宋体" w:hAnsi="宋体" w:cs="宋体"/>
          <w:b/>
          <w:color w:val="auto"/>
          <w:szCs w:val="24"/>
          <w:highlight w:val="none"/>
        </w:rPr>
        <w:t>及地点</w:t>
      </w:r>
      <w:bookmarkEnd w:id="258"/>
    </w:p>
    <w:p w14:paraId="43F44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color w:val="auto"/>
          <w:sz w:val="24"/>
          <w:szCs w:val="24"/>
          <w:highlight w:val="none"/>
          <w:lang w:val="en-US" w:eastAsia="zh-CN"/>
        </w:rPr>
        <w:t>工期：</w:t>
      </w:r>
      <w:r>
        <w:rPr>
          <w:rFonts w:hint="eastAsia" w:ascii="宋体" w:hAnsi="宋体" w:eastAsia="宋体" w:cs="宋体"/>
          <w:i w:val="0"/>
          <w:iCs w:val="0"/>
          <w:caps w:val="0"/>
          <w:smallCaps w:val="0"/>
          <w:color w:val="auto"/>
          <w:spacing w:val="0"/>
          <w:sz w:val="24"/>
          <w:szCs w:val="24"/>
          <w:highlight w:val="none"/>
          <w:shd w:val="clear" w:color="auto" w:fill="FFFFFF"/>
          <w:vertAlign w:val="baseline"/>
          <w:lang w:val="en-US" w:eastAsia="zh-CN"/>
        </w:rPr>
        <w:t>360天</w:t>
      </w:r>
      <w:r>
        <w:rPr>
          <w:rFonts w:hint="eastAsia" w:ascii="宋体" w:hAnsi="宋体" w:cs="宋体"/>
          <w:i w:val="0"/>
          <w:iCs w:val="0"/>
          <w:caps w:val="0"/>
          <w:smallCaps w:val="0"/>
          <w:color w:val="auto"/>
          <w:spacing w:val="0"/>
          <w:sz w:val="24"/>
          <w:szCs w:val="24"/>
          <w:highlight w:val="none"/>
          <w:shd w:val="clear" w:color="auto" w:fill="FFFFFF"/>
          <w:vertAlign w:val="baseline"/>
          <w:lang w:val="en-US" w:eastAsia="zh-CN"/>
        </w:rPr>
        <w:t>。</w:t>
      </w:r>
    </w:p>
    <w:p w14:paraId="019C2E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1-2、地点：采购方指定地点。</w:t>
      </w:r>
    </w:p>
    <w:p w14:paraId="2F483510">
      <w:pPr>
        <w:keepNext w:val="0"/>
        <w:keepLines w:val="0"/>
        <w:pageBreakBefore w:val="0"/>
        <w:kinsoku/>
        <w:wordWrap/>
        <w:overflowPunct/>
        <w:topLinePunct w:val="0"/>
        <w:autoSpaceDE/>
        <w:autoSpaceDN/>
        <w:bidi w:val="0"/>
        <w:spacing w:line="360" w:lineRule="auto"/>
        <w:textAlignment w:val="auto"/>
        <w:outlineLvl w:val="9"/>
        <w:rPr>
          <w:rFonts w:ascii="宋体" w:hAnsi="宋体" w:cs="宋体"/>
          <w:b/>
          <w:bCs/>
          <w:color w:val="auto"/>
          <w:szCs w:val="24"/>
          <w:highlight w:val="none"/>
        </w:rPr>
      </w:pPr>
      <w:bookmarkStart w:id="259" w:name="_Toc26503"/>
      <w:r>
        <w:rPr>
          <w:rFonts w:hint="eastAsia" w:ascii="宋体" w:hAnsi="宋体" w:cs="宋体"/>
          <w:b/>
          <w:bCs/>
          <w:color w:val="auto"/>
          <w:szCs w:val="24"/>
          <w:highlight w:val="none"/>
        </w:rPr>
        <w:t>2、付款方式</w:t>
      </w:r>
      <w:bookmarkEnd w:id="259"/>
    </w:p>
    <w:p w14:paraId="7F9402FC">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default" w:asciiTheme="minorEastAsia" w:hAnsiTheme="minorEastAsia" w:eastAsiaTheme="minorEastAsia" w:cstheme="minorEastAsia"/>
          <w:bCs/>
          <w:color w:val="auto"/>
          <w:sz w:val="24"/>
          <w:szCs w:val="24"/>
          <w:lang w:val="en-US" w:eastAsia="zh-CN"/>
        </w:rPr>
      </w:pPr>
      <w:bookmarkStart w:id="260" w:name="_Toc32083"/>
      <w:r>
        <w:rPr>
          <w:rFonts w:hint="default" w:asciiTheme="minorEastAsia" w:hAnsiTheme="minorEastAsia" w:eastAsiaTheme="minorEastAsia" w:cstheme="minorEastAsia"/>
          <w:bCs/>
          <w:color w:val="auto"/>
          <w:sz w:val="24"/>
          <w:szCs w:val="24"/>
          <w:lang w:val="en-US" w:eastAsia="zh-CN"/>
        </w:rPr>
        <w:t>合同签订后支付合同价款的40％，根据实际完成工程量支付工程进度款，不超过总价款的75%，剩余价款决算审计后付清。</w:t>
      </w:r>
    </w:p>
    <w:p w14:paraId="170FE11C">
      <w:pPr>
        <w:keepNext w:val="0"/>
        <w:keepLines w:val="0"/>
        <w:pageBreakBefore w:val="0"/>
        <w:kinsoku/>
        <w:wordWrap/>
        <w:overflowPunct/>
        <w:topLinePunct w:val="0"/>
        <w:autoSpaceDE/>
        <w:autoSpaceDN/>
        <w:bidi w:val="0"/>
        <w:spacing w:line="360" w:lineRule="auto"/>
        <w:textAlignment w:val="auto"/>
        <w:outlineLvl w:val="9"/>
        <w:rPr>
          <w:rFonts w:ascii="宋体" w:hAnsi="宋体" w:cs="宋体"/>
          <w:b/>
          <w:bCs/>
          <w:color w:val="auto"/>
          <w:szCs w:val="24"/>
          <w:highlight w:val="none"/>
        </w:rPr>
      </w:pPr>
      <w:r>
        <w:rPr>
          <w:rFonts w:hint="eastAsia" w:ascii="宋体" w:hAnsi="宋体" w:cs="宋体"/>
          <w:b/>
          <w:color w:val="auto"/>
          <w:szCs w:val="24"/>
          <w:highlight w:val="none"/>
        </w:rPr>
        <w:t>3、质量保证</w:t>
      </w:r>
      <w:bookmarkEnd w:id="260"/>
    </w:p>
    <w:p w14:paraId="0064B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bookmarkStart w:id="261" w:name="_Toc16357"/>
      <w:r>
        <w:rPr>
          <w:rFonts w:hint="eastAsia" w:ascii="宋体" w:hAnsi="宋体" w:eastAsia="宋体" w:cs="宋体"/>
          <w:sz w:val="24"/>
          <w:szCs w:val="24"/>
          <w:highlight w:val="none"/>
          <w:lang w:val="en-US" w:eastAsia="zh-CN"/>
        </w:rPr>
        <w:t>3-1</w:t>
      </w:r>
      <w:r>
        <w:rPr>
          <w:rFonts w:hint="eastAsia" w:ascii="宋体" w:hAnsi="宋体" w:cs="宋体"/>
          <w:sz w:val="24"/>
          <w:szCs w:val="24"/>
          <w:highlight w:val="none"/>
          <w:lang w:val="en-US" w:eastAsia="zh-CN"/>
        </w:rPr>
        <w:t>、缺陷责任期</w:t>
      </w:r>
      <w:r>
        <w:rPr>
          <w:rFonts w:hint="eastAsia" w:ascii="宋体" w:hAnsi="宋体" w:eastAsia="宋体" w:cs="宋体"/>
          <w:sz w:val="24"/>
          <w:szCs w:val="24"/>
          <w:highlight w:val="none"/>
          <w:lang w:val="zh-CN"/>
        </w:rPr>
        <w:t>为:</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zh-CN"/>
        </w:rPr>
        <w:t>个月</w:t>
      </w:r>
      <w:r>
        <w:rPr>
          <w:rFonts w:hint="eastAsia" w:ascii="宋体" w:hAnsi="宋体" w:cs="宋体"/>
          <w:color w:val="auto"/>
          <w:sz w:val="24"/>
          <w:szCs w:val="24"/>
          <w:highlight w:val="none"/>
          <w:lang w:val="zh-CN"/>
        </w:rPr>
        <w:t>，</w:t>
      </w:r>
      <w:r>
        <w:rPr>
          <w:rFonts w:hint="eastAsia" w:ascii="宋体" w:hAnsi="宋体" w:eastAsia="宋体" w:cs="宋体"/>
          <w:sz w:val="24"/>
          <w:szCs w:val="24"/>
          <w:highlight w:val="none"/>
          <w:lang w:val="zh-CN"/>
        </w:rPr>
        <w:t>若</w:t>
      </w:r>
      <w:r>
        <w:rPr>
          <w:rFonts w:hint="eastAsia" w:ascii="宋体" w:hAnsi="宋体" w:cs="宋体"/>
          <w:bCs/>
          <w:sz w:val="24"/>
          <w:szCs w:val="24"/>
          <w:highlight w:val="none"/>
          <w:lang w:eastAsia="zh-CN"/>
        </w:rPr>
        <w:t>供应商</w:t>
      </w:r>
      <w:r>
        <w:rPr>
          <w:rFonts w:hint="eastAsia" w:ascii="宋体" w:hAnsi="宋体" w:eastAsia="宋体" w:cs="宋体"/>
          <w:sz w:val="24"/>
          <w:szCs w:val="24"/>
          <w:highlight w:val="none"/>
          <w:lang w:val="zh-CN"/>
        </w:rPr>
        <w:t>承诺</w:t>
      </w:r>
      <w:r>
        <w:rPr>
          <w:rFonts w:hint="eastAsia" w:ascii="宋体" w:hAnsi="宋体" w:cs="宋体"/>
          <w:sz w:val="24"/>
          <w:szCs w:val="24"/>
          <w:highlight w:val="none"/>
          <w:lang w:val="zh-CN"/>
        </w:rPr>
        <w:t>保修</w:t>
      </w:r>
      <w:r>
        <w:rPr>
          <w:rFonts w:hint="eastAsia" w:ascii="宋体" w:hAnsi="宋体" w:eastAsia="宋体" w:cs="宋体"/>
          <w:sz w:val="24"/>
          <w:szCs w:val="24"/>
          <w:highlight w:val="none"/>
          <w:lang w:val="zh-CN"/>
        </w:rPr>
        <w:t>期限超过</w:t>
      </w:r>
      <w:r>
        <w:rPr>
          <w:rFonts w:hint="eastAsia" w:ascii="宋体" w:hAnsi="宋体" w:cs="宋体"/>
          <w:sz w:val="24"/>
          <w:szCs w:val="24"/>
          <w:highlight w:val="none"/>
          <w:lang w:val="zh-CN"/>
        </w:rPr>
        <w:t>竞争性磋商文件</w:t>
      </w:r>
      <w:r>
        <w:rPr>
          <w:rFonts w:hint="eastAsia" w:ascii="宋体" w:hAnsi="宋体" w:eastAsia="宋体" w:cs="宋体"/>
          <w:sz w:val="24"/>
          <w:szCs w:val="24"/>
          <w:highlight w:val="none"/>
          <w:lang w:val="zh-CN"/>
        </w:rPr>
        <w:t>要求，按其承诺执行。</w:t>
      </w:r>
    </w:p>
    <w:p w14:paraId="74D00175">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3-2、缺陷责任期自工程通过竣工验收之日起计算。单位工程先于全部工程进行验收，单位工程缺陷责任期自单位工程验收合格之日起算</w:t>
      </w:r>
      <w:r>
        <w:rPr>
          <w:rFonts w:hint="eastAsia" w:ascii="宋体" w:hAnsi="宋体" w:cs="宋体"/>
          <w:sz w:val="24"/>
          <w:szCs w:val="24"/>
          <w:highlight w:val="none"/>
          <w:lang w:val="en-US" w:eastAsia="zh-CN"/>
        </w:rPr>
        <w:t>；</w:t>
      </w:r>
    </w:p>
    <w:p w14:paraId="641D6B24">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lang w:val="en-US" w:eastAsia="zh-CN"/>
        </w:rPr>
      </w:pPr>
      <w:r>
        <w:rPr>
          <w:rFonts w:hint="eastAsia" w:ascii="宋体" w:hAnsi="宋体" w:eastAsia="宋体" w:cs="宋体"/>
          <w:kern w:val="2"/>
          <w:sz w:val="24"/>
          <w:szCs w:val="24"/>
          <w:highlight w:val="none"/>
          <w:lang w:val="en-US" w:eastAsia="zh-CN" w:bidi="ar-SA"/>
        </w:rPr>
        <w:t>3-3、工程质量保修期为：24个月，自竣工验收合格之日起计算。本保修期约定是指除《建设工程质量管理条例》中已规定最低保修期限外的其他项目的保修期</w:t>
      </w:r>
      <w:r>
        <w:rPr>
          <w:rFonts w:hint="eastAsia" w:ascii="宋体" w:hAnsi="宋体" w:eastAsia="宋体" w:cs="宋体"/>
          <w:kern w:val="2"/>
          <w:sz w:val="24"/>
          <w:szCs w:val="24"/>
          <w:highlight w:val="none"/>
          <w:lang w:val="zh-CN" w:eastAsia="zh-CN" w:bidi="ar-SA"/>
        </w:rPr>
        <w:t>。</w:t>
      </w:r>
    </w:p>
    <w:p w14:paraId="64B675F2">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、工程质</w:t>
      </w:r>
      <w:r>
        <w:rPr>
          <w:rFonts w:hint="eastAsia" w:ascii="宋体" w:hAnsi="宋体" w:eastAsia="宋体" w:cs="宋体"/>
          <w:color w:val="auto"/>
          <w:sz w:val="24"/>
          <w:szCs w:val="24"/>
          <w:highlight w:val="none"/>
          <w:lang w:val="en-US" w:eastAsia="zh-CN"/>
        </w:rPr>
        <w:t>量必须</w:t>
      </w:r>
      <w:r>
        <w:rPr>
          <w:rFonts w:hint="eastAsia" w:ascii="宋体" w:hAnsi="宋体" w:cs="宋体"/>
          <w:color w:val="auto"/>
          <w:sz w:val="24"/>
          <w:szCs w:val="24"/>
          <w:highlight w:val="none"/>
          <w:lang w:val="en-US" w:eastAsia="zh-CN"/>
        </w:rPr>
        <w:t>达到</w:t>
      </w:r>
      <w:r>
        <w:rPr>
          <w:rFonts w:hint="eastAsia" w:ascii="宋体" w:hAnsi="宋体" w:cs="宋体"/>
          <w:caps w:val="0"/>
          <w:smallCaps w:val="0"/>
          <w:color w:val="auto"/>
          <w:spacing w:val="0"/>
          <w:sz w:val="24"/>
          <w:szCs w:val="24"/>
          <w:highlight w:val="none"/>
          <w:lang w:val="en-US" w:eastAsia="zh-CN"/>
        </w:rPr>
        <w:t>国家和地方现行施工验收规范和质量检验“合格”标准。</w:t>
      </w:r>
    </w:p>
    <w:p w14:paraId="5EAF1BFE">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、安全施工：应遵守国家、陕西省</w:t>
      </w:r>
      <w:r>
        <w:rPr>
          <w:rFonts w:hint="eastAsia" w:ascii="宋体" w:hAnsi="宋体" w:cs="宋体"/>
          <w:color w:val="auto"/>
          <w:sz w:val="24"/>
          <w:szCs w:val="24"/>
          <w:highlight w:val="none"/>
          <w:lang w:val="en-US" w:eastAsia="zh-CN"/>
        </w:rPr>
        <w:t>及项目所在地市县（区）</w:t>
      </w:r>
      <w:r>
        <w:rPr>
          <w:rFonts w:hint="eastAsia" w:ascii="宋体" w:hAnsi="宋体" w:eastAsia="宋体" w:cs="宋体"/>
          <w:color w:val="auto"/>
          <w:sz w:val="24"/>
          <w:szCs w:val="24"/>
          <w:highlight w:val="none"/>
          <w:lang w:val="en-US" w:eastAsia="zh-CN"/>
        </w:rPr>
        <w:t>主管部门颁</w:t>
      </w:r>
      <w:r>
        <w:rPr>
          <w:rFonts w:hint="eastAsia" w:ascii="宋体" w:hAnsi="宋体" w:eastAsia="宋体" w:cs="宋体"/>
          <w:sz w:val="24"/>
          <w:szCs w:val="24"/>
          <w:highlight w:val="none"/>
          <w:lang w:val="en-US" w:eastAsia="zh-CN"/>
        </w:rPr>
        <w:t>发的安全生产规定，遵守现场安全文明管理规定，遵守采购人的相关规章制度，在施工中加强职工安全教育，并对施工中发生的一切安全事故承担全部责任。并做到现场文明施工、工完场清。在施工现场中引发的人身安全、机械事故、治安事件等均由供应商承担全部责任</w:t>
      </w:r>
      <w:r>
        <w:rPr>
          <w:rFonts w:hint="eastAsia" w:ascii="宋体" w:hAnsi="宋体" w:cs="宋体"/>
          <w:sz w:val="24"/>
          <w:szCs w:val="24"/>
          <w:highlight w:val="none"/>
          <w:lang w:val="en-US" w:eastAsia="zh-CN"/>
        </w:rPr>
        <w:t>；</w:t>
      </w:r>
    </w:p>
    <w:p w14:paraId="77E0CFFA">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lang w:val="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、安全责任：供应商须遵守工程施工安全生产有关规定，科学制定方案，精心组织施工，采取必要的安全防护措施，消除事故隐患，确保施工人员安全，否则由此引发的安全事故由供应商承担全部责任。</w:t>
      </w:r>
    </w:p>
    <w:p w14:paraId="72061B1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ascii="宋体" w:hAnsi="宋体" w:cs="宋体"/>
          <w:b/>
          <w:szCs w:val="24"/>
        </w:rPr>
      </w:pPr>
      <w:r>
        <w:rPr>
          <w:rFonts w:hint="eastAsia" w:ascii="宋体" w:hAnsi="宋体" w:cs="宋体"/>
          <w:b/>
          <w:bCs/>
          <w:szCs w:val="24"/>
        </w:rPr>
        <w:t>4、</w:t>
      </w:r>
      <w:bookmarkStart w:id="400" w:name="_GoBack"/>
      <w:r>
        <w:rPr>
          <w:rFonts w:hint="eastAsia" w:ascii="宋体" w:hAnsi="宋体" w:cs="宋体"/>
          <w:b/>
          <w:bCs/>
          <w:szCs w:val="24"/>
        </w:rPr>
        <w:t>验收</w:t>
      </w:r>
      <w:bookmarkEnd w:id="261"/>
    </w:p>
    <w:p w14:paraId="08AD79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cs="宋体"/>
          <w:szCs w:val="24"/>
        </w:rPr>
        <w:t>4-1、</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人与采购人应严格</w:t>
      </w:r>
      <w:r>
        <w:rPr>
          <w:rFonts w:hint="eastAsia" w:ascii="宋体" w:hAnsi="宋体" w:eastAsia="宋体" w:cs="宋体"/>
          <w:color w:val="auto"/>
          <w:sz w:val="24"/>
          <w:szCs w:val="24"/>
          <w:highlight w:val="none"/>
          <w:lang w:val="en-US" w:eastAsia="zh-CN"/>
        </w:rPr>
        <w:t>按照政府采购相关法律法规以及《财政部关于进一步加强政府采购需求和履约验收管理的指导意见》（财库〔2016〕205号）、《政府采购需求管理办法》（财库〔2021〕22号）、</w:t>
      </w:r>
      <w:r>
        <w:rPr>
          <w:rFonts w:hint="eastAsia" w:ascii="宋体" w:hAnsi="宋体" w:eastAsia="宋体" w:cs="宋体"/>
          <w:color w:val="auto"/>
          <w:sz w:val="24"/>
          <w:szCs w:val="24"/>
          <w:highlight w:val="none"/>
          <w:lang w:val="zh-CN"/>
        </w:rPr>
        <w:t>《建筑工程施工质量</w:t>
      </w:r>
      <w:r>
        <w:rPr>
          <w:rFonts w:hint="eastAsia" w:ascii="宋体" w:hAnsi="宋体" w:eastAsia="宋体" w:cs="宋体"/>
          <w:sz w:val="24"/>
          <w:szCs w:val="24"/>
          <w:highlight w:val="none"/>
          <w:lang w:val="zh-CN"/>
        </w:rPr>
        <w:t>验收统一标准》GB50300-2013</w:t>
      </w:r>
      <w:r>
        <w:rPr>
          <w:rFonts w:hint="eastAsia" w:ascii="宋体" w:hAnsi="宋体" w:eastAsia="宋体" w:cs="宋体"/>
          <w:sz w:val="24"/>
          <w:szCs w:val="24"/>
          <w:highlight w:val="none"/>
          <w:lang w:val="en-US" w:eastAsia="zh-CN"/>
        </w:rPr>
        <w:t>的要求进行验收。</w:t>
      </w:r>
    </w:p>
    <w:p w14:paraId="102B4CC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4"/>
          <w:szCs w:val="24"/>
          <w:highlight w:val="none"/>
          <w:lang w:val="zh-CN"/>
        </w:rPr>
      </w:pPr>
      <w:r>
        <w:rPr>
          <w:rFonts w:hint="eastAsia" w:ascii="宋体" w:hAnsi="宋体" w:cs="宋体"/>
          <w:szCs w:val="24"/>
          <w:lang w:val="zh-CN"/>
        </w:rPr>
        <w:t>4</w:t>
      </w:r>
      <w:r>
        <w:rPr>
          <w:rFonts w:hint="eastAsia" w:ascii="宋体" w:hAnsi="宋体" w:cs="宋体"/>
          <w:szCs w:val="24"/>
        </w:rPr>
        <w:t>-2、</w:t>
      </w:r>
      <w:r>
        <w:rPr>
          <w:rFonts w:hint="eastAsia" w:ascii="宋体" w:hAnsi="宋体" w:eastAsia="宋体" w:cs="宋体"/>
          <w:sz w:val="24"/>
          <w:szCs w:val="24"/>
          <w:highlight w:val="none"/>
          <w:lang w:val="zh-CN"/>
        </w:rPr>
        <w:t>验收依据包括但不限于工程质量达到国家建设工程验收合格标准</w:t>
      </w:r>
      <w:r>
        <w:rPr>
          <w:rFonts w:hint="eastAsia" w:ascii="宋体" w:hAnsi="宋体" w:cs="宋体"/>
          <w:sz w:val="24"/>
          <w:szCs w:val="24"/>
          <w:highlight w:val="none"/>
          <w:lang w:val="zh-CN"/>
        </w:rPr>
        <w:t>、</w:t>
      </w:r>
      <w:r>
        <w:rPr>
          <w:rFonts w:hint="eastAsia" w:ascii="宋体" w:hAnsi="宋体" w:eastAsia="宋体" w:cs="宋体"/>
          <w:sz w:val="24"/>
          <w:szCs w:val="24"/>
          <w:highlight w:val="none"/>
          <w:lang w:val="zh-CN"/>
        </w:rPr>
        <w:t>合同文本、</w:t>
      </w:r>
      <w:r>
        <w:rPr>
          <w:rFonts w:hint="eastAsia" w:ascii="宋体" w:hAnsi="宋体" w:cs="宋体"/>
          <w:sz w:val="24"/>
          <w:szCs w:val="24"/>
          <w:highlight w:val="none"/>
          <w:lang w:val="zh-CN"/>
        </w:rPr>
        <w:t>竞争性磋商文件</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zh-CN"/>
        </w:rPr>
        <w:t>响应文件</w:t>
      </w:r>
      <w:r>
        <w:rPr>
          <w:rFonts w:hint="eastAsia" w:ascii="宋体" w:hAnsi="宋体" w:eastAsia="宋体" w:cs="宋体"/>
          <w:sz w:val="24"/>
          <w:szCs w:val="24"/>
          <w:highlight w:val="none"/>
          <w:lang w:val="zh-CN"/>
        </w:rPr>
        <w:t>。</w:t>
      </w:r>
    </w:p>
    <w:p w14:paraId="78C7F3E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r>
        <w:rPr>
          <w:rFonts w:hint="eastAsia" w:ascii="宋体" w:hAnsi="宋体" w:eastAsia="宋体" w:cs="宋体"/>
          <w:sz w:val="24"/>
          <w:szCs w:val="24"/>
          <w:highlight w:val="none"/>
          <w:lang w:val="zh-CN" w:eastAsia="zh-CN"/>
        </w:rPr>
        <w:t>。</w:t>
      </w:r>
    </w:p>
    <w:bookmarkEnd w:id="400"/>
    <w:p w14:paraId="70F85805">
      <w:pPr>
        <w:keepNext w:val="0"/>
        <w:keepLines w:val="0"/>
        <w:pageBreakBefore w:val="0"/>
        <w:kinsoku/>
        <w:wordWrap/>
        <w:overflowPunct/>
        <w:topLinePunct w:val="0"/>
        <w:autoSpaceDE/>
        <w:autoSpaceDN/>
        <w:bidi w:val="0"/>
        <w:textAlignment w:val="auto"/>
        <w:outlineLvl w:val="9"/>
        <w:rPr>
          <w:rFonts w:hint="default"/>
          <w:lang w:val="en-US" w:eastAsia="zh-CN"/>
        </w:rPr>
      </w:pPr>
    </w:p>
    <w:p w14:paraId="3EB510B2">
      <w:pPr>
        <w:keepNext w:val="0"/>
        <w:keepLines w:val="0"/>
        <w:pageBreakBefore w:val="0"/>
        <w:kinsoku/>
        <w:wordWrap/>
        <w:overflowPunct/>
        <w:topLinePunct w:val="0"/>
        <w:autoSpaceDE/>
        <w:autoSpaceDN/>
        <w:bidi w:val="0"/>
        <w:ind w:firstLine="482" w:firstLineChars="200"/>
        <w:textAlignment w:val="auto"/>
        <w:outlineLvl w:val="9"/>
        <w:rPr>
          <w:rFonts w:hint="default"/>
          <w:lang w:val="en-US" w:eastAsia="zh-CN"/>
        </w:rPr>
      </w:pPr>
      <w:r>
        <w:rPr>
          <w:rFonts w:hint="eastAsia" w:ascii="宋体" w:hAnsi="宋体" w:eastAsia="宋体" w:cs="宋体"/>
          <w:b/>
          <w:bCs/>
          <w:sz w:val="24"/>
          <w:szCs w:val="24"/>
          <w:highlight w:val="none"/>
          <w:u w:val="single"/>
        </w:rPr>
        <w:t>注：商务要求不允许负偏离，否则视为无效</w:t>
      </w:r>
      <w:r>
        <w:rPr>
          <w:rFonts w:hint="eastAsia" w:ascii="宋体" w:hAnsi="宋体" w:cs="宋体"/>
          <w:b/>
          <w:bCs/>
          <w:sz w:val="24"/>
          <w:szCs w:val="24"/>
          <w:highlight w:val="none"/>
          <w:u w:val="single"/>
          <w:lang w:eastAsia="zh-CN"/>
        </w:rPr>
        <w:t>磋商</w:t>
      </w:r>
      <w:r>
        <w:rPr>
          <w:rFonts w:hint="eastAsia" w:ascii="宋体" w:hAnsi="宋体" w:eastAsia="宋体" w:cs="宋体"/>
          <w:b/>
          <w:bCs/>
          <w:sz w:val="24"/>
          <w:szCs w:val="24"/>
          <w:highlight w:val="none"/>
          <w:u w:val="single"/>
        </w:rPr>
        <w:t>处理。</w:t>
      </w:r>
    </w:p>
    <w:p w14:paraId="0240937C">
      <w:pPr>
        <w:bidi w:val="0"/>
        <w:spacing w:line="360" w:lineRule="auto"/>
        <w:ind w:firstLine="480" w:firstLineChars="200"/>
        <w:outlineLvl w:val="9"/>
        <w:rPr>
          <w:rFonts w:hint="eastAsia" w:ascii="宋体" w:hAnsi="宋体" w:eastAsia="宋体" w:cs="宋体"/>
          <w:color w:val="auto"/>
          <w:sz w:val="24"/>
          <w:szCs w:val="24"/>
        </w:rPr>
        <w:sectPr>
          <w:pgSz w:w="11906" w:h="16838"/>
          <w:pgMar w:top="1219" w:right="1800" w:bottom="1219" w:left="1800" w:header="851" w:footer="992" w:gutter="0"/>
          <w:pgNumType w:fmt="decimal"/>
          <w:cols w:space="720" w:num="1"/>
          <w:docGrid w:type="lines" w:linePitch="312" w:charSpace="0"/>
        </w:sectPr>
      </w:pPr>
    </w:p>
    <w:bookmarkEnd w:id="255"/>
    <w:bookmarkEnd w:id="256"/>
    <w:bookmarkEnd w:id="257"/>
    <w:p w14:paraId="70BA0A69">
      <w:pPr>
        <w:bidi w:val="0"/>
        <w:jc w:val="center"/>
        <w:outlineLvl w:val="0"/>
        <w:rPr>
          <w:rFonts w:hint="eastAsia"/>
          <w:b/>
          <w:bCs/>
          <w:color w:val="auto"/>
          <w:sz w:val="36"/>
          <w:szCs w:val="36"/>
          <w:lang w:eastAsia="zh-CN"/>
        </w:rPr>
      </w:pPr>
      <w:bookmarkStart w:id="262" w:name="_Toc31409"/>
      <w:bookmarkStart w:id="263" w:name="_Toc21535"/>
      <w:bookmarkStart w:id="264" w:name="_Toc28604"/>
      <w:bookmarkStart w:id="265" w:name="_Toc25814"/>
      <w:bookmarkStart w:id="266" w:name="_Toc26171"/>
      <w:bookmarkStart w:id="267" w:name="_Toc6363"/>
      <w:bookmarkStart w:id="268" w:name="_Toc3157"/>
      <w:bookmarkStart w:id="269" w:name="_Toc14444"/>
      <w:bookmarkStart w:id="270" w:name="_Toc24168"/>
      <w:bookmarkStart w:id="271" w:name="_Toc1581"/>
      <w:bookmarkStart w:id="272" w:name="_Toc30843"/>
      <w:bookmarkStart w:id="273" w:name="_Toc28897"/>
      <w:bookmarkStart w:id="274" w:name="_Toc17980"/>
      <w:bookmarkStart w:id="275" w:name="_Toc13059"/>
      <w:bookmarkStart w:id="276" w:name="_Toc3752"/>
      <w:bookmarkStart w:id="277" w:name="_Toc6072"/>
      <w:bookmarkStart w:id="278" w:name="_Toc474770760"/>
      <w:bookmarkStart w:id="279" w:name="_Toc510859905"/>
      <w:bookmarkStart w:id="280" w:name="_Toc504605199"/>
      <w:r>
        <w:rPr>
          <w:rFonts w:hint="eastAsia"/>
          <w:b/>
          <w:bCs/>
          <w:color w:val="auto"/>
          <w:sz w:val="36"/>
          <w:szCs w:val="36"/>
          <w:lang w:val="en-US" w:eastAsia="zh-CN"/>
        </w:rPr>
        <w:t>第五章</w:t>
      </w:r>
      <w:r>
        <w:rPr>
          <w:rFonts w:hint="eastAsia"/>
          <w:b/>
          <w:bCs/>
          <w:color w:val="auto"/>
          <w:sz w:val="36"/>
          <w:szCs w:val="36"/>
        </w:rPr>
        <w:t xml:space="preserve"> </w:t>
      </w:r>
      <w:r>
        <w:rPr>
          <w:rFonts w:hint="eastAsia"/>
          <w:b/>
          <w:bCs/>
          <w:color w:val="auto"/>
          <w:sz w:val="36"/>
          <w:szCs w:val="36"/>
          <w:lang w:val="en-US" w:eastAsia="zh-CN"/>
        </w:rPr>
        <w:t xml:space="preserve"> </w:t>
      </w:r>
      <w:bookmarkEnd w:id="262"/>
      <w:r>
        <w:rPr>
          <w:rFonts w:hint="eastAsia"/>
          <w:b/>
          <w:bCs/>
          <w:color w:val="auto"/>
          <w:sz w:val="36"/>
          <w:szCs w:val="36"/>
        </w:rPr>
        <w:t>政府采购合同</w:t>
      </w:r>
      <w:bookmarkEnd w:id="263"/>
      <w:bookmarkEnd w:id="264"/>
      <w:bookmarkEnd w:id="265"/>
    </w:p>
    <w:bookmarkEnd w:id="266"/>
    <w:bookmarkEnd w:id="267"/>
    <w:bookmarkEnd w:id="268"/>
    <w:bookmarkEnd w:id="269"/>
    <w:bookmarkEnd w:id="270"/>
    <w:bookmarkEnd w:id="271"/>
    <w:bookmarkEnd w:id="272"/>
    <w:bookmarkEnd w:id="273"/>
    <w:bookmarkEnd w:id="274"/>
    <w:bookmarkEnd w:id="275"/>
    <w:bookmarkEnd w:id="276"/>
    <w:p w14:paraId="1A94AF3A">
      <w:pPr>
        <w:spacing w:before="120" w:line="360" w:lineRule="auto"/>
        <w:ind w:firstLine="3064" w:firstLineChars="1090"/>
        <w:outlineLvl w:val="9"/>
        <w:rPr>
          <w:rFonts w:hint="eastAsia" w:ascii="宋体" w:hAnsi="宋体" w:cs="宋体"/>
          <w:b/>
          <w:bCs/>
          <w:color w:val="auto"/>
          <w:sz w:val="28"/>
          <w:szCs w:val="28"/>
        </w:rPr>
      </w:pPr>
      <w:bookmarkStart w:id="281" w:name="_Toc20301"/>
      <w:bookmarkStart w:id="282" w:name="_Toc15910"/>
    </w:p>
    <w:p w14:paraId="61251A85">
      <w:pPr>
        <w:spacing w:before="120" w:line="360" w:lineRule="auto"/>
        <w:ind w:firstLine="3064" w:firstLineChars="1090"/>
        <w:outlineLvl w:val="9"/>
        <w:rPr>
          <w:rFonts w:hint="eastAsia" w:ascii="宋体" w:hAnsi="宋体" w:cs="宋体"/>
          <w:b/>
          <w:bCs/>
          <w:color w:val="auto"/>
          <w:sz w:val="28"/>
          <w:szCs w:val="28"/>
        </w:rPr>
      </w:pPr>
    </w:p>
    <w:p w14:paraId="365F01B4">
      <w:pPr>
        <w:spacing w:before="120" w:line="360" w:lineRule="auto"/>
        <w:ind w:firstLine="3064" w:firstLineChars="1090"/>
        <w:outlineLvl w:val="9"/>
        <w:rPr>
          <w:rFonts w:hint="eastAsia" w:ascii="宋体" w:hAnsi="宋体" w:cs="宋体"/>
          <w:color w:val="auto"/>
          <w:sz w:val="28"/>
          <w:szCs w:val="28"/>
        </w:rPr>
      </w:pPr>
      <w:r>
        <w:rPr>
          <w:rFonts w:hint="eastAsia" w:ascii="宋体" w:hAnsi="宋体" w:cs="宋体"/>
          <w:b/>
          <w:bCs/>
          <w:color w:val="auto"/>
          <w:sz w:val="28"/>
          <w:szCs w:val="28"/>
        </w:rPr>
        <w:t>合同编号：</w:t>
      </w:r>
      <w:r>
        <w:rPr>
          <w:rFonts w:hint="eastAsia" w:ascii="宋体" w:hAnsi="宋体" w:cs="宋体"/>
          <w:b/>
          <w:bCs/>
          <w:color w:val="auto"/>
          <w:sz w:val="28"/>
          <w:szCs w:val="28"/>
          <w:u w:val="single"/>
        </w:rPr>
        <w:t xml:space="preserve">            </w:t>
      </w:r>
      <w:r>
        <w:rPr>
          <w:rFonts w:hint="eastAsia" w:ascii="宋体" w:hAnsi="宋体" w:cs="宋体"/>
          <w:color w:val="auto"/>
          <w:sz w:val="28"/>
          <w:szCs w:val="28"/>
        </w:rPr>
        <w:t xml:space="preserve">        </w:t>
      </w:r>
    </w:p>
    <w:p w14:paraId="59D445A5">
      <w:pPr>
        <w:spacing w:before="120" w:line="360" w:lineRule="auto"/>
        <w:outlineLvl w:val="9"/>
        <w:rPr>
          <w:rFonts w:hint="eastAsia" w:ascii="宋体" w:hAnsi="宋体" w:cs="宋体"/>
          <w:color w:val="auto"/>
          <w:sz w:val="28"/>
          <w:szCs w:val="28"/>
        </w:rPr>
      </w:pPr>
    </w:p>
    <w:p w14:paraId="41E3143B">
      <w:pPr>
        <w:spacing w:before="120" w:line="360" w:lineRule="auto"/>
        <w:outlineLvl w:val="9"/>
        <w:rPr>
          <w:rFonts w:hint="eastAsia" w:ascii="宋体" w:hAnsi="宋体" w:cs="宋体"/>
          <w:color w:val="auto"/>
          <w:sz w:val="28"/>
          <w:szCs w:val="28"/>
        </w:rPr>
      </w:pPr>
    </w:p>
    <w:p w14:paraId="75F9CCEA">
      <w:pPr>
        <w:spacing w:before="120" w:line="360" w:lineRule="auto"/>
        <w:outlineLvl w:val="9"/>
        <w:rPr>
          <w:rFonts w:hint="eastAsia" w:ascii="宋体" w:hAnsi="宋体" w:cs="宋体"/>
          <w:color w:val="auto"/>
          <w:sz w:val="28"/>
          <w:szCs w:val="28"/>
        </w:rPr>
      </w:pPr>
    </w:p>
    <w:p w14:paraId="24B0F503">
      <w:pPr>
        <w:spacing w:before="120" w:line="360" w:lineRule="auto"/>
        <w:outlineLvl w:val="9"/>
        <w:rPr>
          <w:rFonts w:hint="eastAsia" w:ascii="宋体" w:hAnsi="宋体" w:cs="宋体"/>
          <w:color w:val="auto"/>
          <w:sz w:val="28"/>
          <w:szCs w:val="28"/>
        </w:rPr>
      </w:pPr>
    </w:p>
    <w:p w14:paraId="7811853F">
      <w:pPr>
        <w:pStyle w:val="11"/>
        <w:outlineLvl w:val="9"/>
        <w:rPr>
          <w:rFonts w:hint="eastAsia" w:ascii="宋体" w:hAnsi="宋体" w:cs="宋体"/>
          <w:color w:val="auto"/>
          <w:sz w:val="28"/>
          <w:szCs w:val="28"/>
        </w:rPr>
      </w:pPr>
    </w:p>
    <w:p w14:paraId="6AB13806">
      <w:pPr>
        <w:outlineLvl w:val="9"/>
        <w:rPr>
          <w:rFonts w:hint="eastAsia" w:ascii="宋体" w:hAnsi="宋体" w:cs="宋体"/>
          <w:color w:val="auto"/>
          <w:sz w:val="28"/>
          <w:szCs w:val="28"/>
        </w:rPr>
      </w:pPr>
    </w:p>
    <w:p w14:paraId="63398FB8">
      <w:pPr>
        <w:pStyle w:val="11"/>
        <w:outlineLvl w:val="9"/>
        <w:rPr>
          <w:rFonts w:hint="eastAsia" w:ascii="宋体" w:hAnsi="宋体" w:cs="宋体"/>
          <w:color w:val="auto"/>
          <w:sz w:val="28"/>
          <w:szCs w:val="28"/>
        </w:rPr>
      </w:pPr>
    </w:p>
    <w:p w14:paraId="039AC9FE">
      <w:pPr>
        <w:outlineLvl w:val="9"/>
        <w:rPr>
          <w:rFonts w:hint="eastAsia" w:ascii="宋体" w:hAnsi="宋体" w:cs="宋体"/>
          <w:color w:val="auto"/>
          <w:sz w:val="28"/>
          <w:szCs w:val="28"/>
        </w:rPr>
      </w:pPr>
    </w:p>
    <w:p w14:paraId="1B74C3EA">
      <w:pPr>
        <w:pStyle w:val="11"/>
        <w:outlineLvl w:val="9"/>
        <w:rPr>
          <w:rFonts w:hint="eastAsia"/>
          <w:color w:val="auto"/>
        </w:rPr>
      </w:pPr>
    </w:p>
    <w:p w14:paraId="23BBA06A">
      <w:pPr>
        <w:spacing w:before="120" w:line="360" w:lineRule="auto"/>
        <w:outlineLvl w:val="9"/>
        <w:rPr>
          <w:rFonts w:hint="eastAsia" w:ascii="宋体" w:hAnsi="宋体" w:cs="宋体"/>
          <w:color w:val="auto"/>
          <w:sz w:val="28"/>
          <w:szCs w:val="28"/>
        </w:rPr>
      </w:pPr>
    </w:p>
    <w:p w14:paraId="717AFE49">
      <w:pPr>
        <w:spacing w:before="120" w:line="360" w:lineRule="auto"/>
        <w:outlineLvl w:val="9"/>
        <w:rPr>
          <w:rFonts w:hint="eastAsia" w:ascii="宋体" w:hAnsi="宋体" w:cs="宋体"/>
          <w:color w:val="auto"/>
          <w:sz w:val="28"/>
          <w:szCs w:val="28"/>
        </w:rPr>
      </w:pPr>
    </w:p>
    <w:p w14:paraId="4C3006EF">
      <w:pPr>
        <w:pStyle w:val="11"/>
        <w:outlineLvl w:val="9"/>
        <w:rPr>
          <w:rFonts w:hint="eastAsia" w:ascii="宋体" w:hAnsi="宋体" w:cs="宋体"/>
          <w:color w:val="auto"/>
          <w:szCs w:val="28"/>
        </w:rPr>
      </w:pPr>
    </w:p>
    <w:p w14:paraId="589F2257">
      <w:pPr>
        <w:spacing w:before="120" w:line="360" w:lineRule="auto"/>
        <w:outlineLvl w:val="9"/>
        <w:rPr>
          <w:rFonts w:hint="eastAsia" w:ascii="宋体" w:hAnsi="宋体" w:cs="宋体"/>
          <w:color w:val="auto"/>
          <w:sz w:val="28"/>
          <w:szCs w:val="28"/>
        </w:rPr>
      </w:pPr>
    </w:p>
    <w:p w14:paraId="1B383383">
      <w:pPr>
        <w:pStyle w:val="7"/>
        <w:ind w:firstLine="0" w:firstLineChars="0"/>
        <w:outlineLvl w:val="9"/>
        <w:rPr>
          <w:rFonts w:hint="eastAsia" w:ascii="宋体" w:hAnsi="宋体" w:cs="宋体"/>
          <w:b/>
          <w:bCs/>
          <w:color w:val="auto"/>
          <w:sz w:val="28"/>
          <w:szCs w:val="28"/>
        </w:rPr>
      </w:pPr>
    </w:p>
    <w:p w14:paraId="5E73BDC0">
      <w:pPr>
        <w:pStyle w:val="7"/>
        <w:ind w:firstLine="562"/>
        <w:outlineLvl w:val="9"/>
        <w:rPr>
          <w:rFonts w:hint="eastAsia" w:ascii="宋体" w:hAnsi="宋体" w:cs="宋体"/>
          <w:b/>
          <w:bCs/>
          <w:color w:val="auto"/>
          <w:sz w:val="28"/>
          <w:szCs w:val="28"/>
        </w:rPr>
      </w:pPr>
    </w:p>
    <w:p w14:paraId="39C06DB5">
      <w:pPr>
        <w:spacing w:before="120" w:line="360" w:lineRule="auto"/>
        <w:ind w:left="960"/>
        <w:outlineLvl w:val="9"/>
        <w:rPr>
          <w:rFonts w:hint="eastAsia" w:ascii="宋体" w:hAnsi="宋体" w:cs="宋体"/>
          <w:b/>
          <w:bCs/>
          <w:color w:val="auto"/>
          <w:sz w:val="28"/>
          <w:szCs w:val="28"/>
        </w:rPr>
      </w:pPr>
      <w:r>
        <w:rPr>
          <w:rFonts w:hint="eastAsia" w:ascii="宋体" w:hAnsi="宋体" w:cs="宋体"/>
          <w:b/>
          <w:bCs/>
          <w:color w:val="auto"/>
          <w:sz w:val="28"/>
          <w:szCs w:val="28"/>
        </w:rPr>
        <w:t>采购项目名称：</w:t>
      </w:r>
      <w:r>
        <w:rPr>
          <w:rFonts w:hint="eastAsia" w:ascii="宋体" w:hAnsi="宋体" w:cs="宋体"/>
          <w:b/>
          <w:bCs/>
          <w:color w:val="auto"/>
          <w:sz w:val="28"/>
          <w:szCs w:val="28"/>
          <w:u w:val="single"/>
        </w:rPr>
        <w:t xml:space="preserve">                                 </w:t>
      </w:r>
    </w:p>
    <w:p w14:paraId="2DDD1D82">
      <w:pPr>
        <w:spacing w:before="120" w:line="360" w:lineRule="auto"/>
        <w:ind w:left="960"/>
        <w:outlineLvl w:val="9"/>
        <w:rPr>
          <w:rFonts w:hint="eastAsia" w:ascii="宋体" w:hAnsi="宋体" w:cs="宋体"/>
          <w:b/>
          <w:bCs/>
          <w:color w:val="auto"/>
          <w:sz w:val="28"/>
          <w:szCs w:val="28"/>
        </w:rPr>
      </w:pPr>
      <w:r>
        <w:rPr>
          <w:rFonts w:hint="eastAsia" w:ascii="宋体" w:hAnsi="宋体" w:cs="宋体"/>
          <w:b/>
          <w:bCs/>
          <w:color w:val="auto"/>
          <w:sz w:val="28"/>
          <w:szCs w:val="28"/>
        </w:rPr>
        <w:t>采  购  人：</w:t>
      </w:r>
      <w:r>
        <w:rPr>
          <w:rFonts w:hint="eastAsia" w:ascii="宋体" w:hAnsi="宋体" w:cs="宋体"/>
          <w:b/>
          <w:bCs/>
          <w:color w:val="auto"/>
          <w:sz w:val="28"/>
          <w:szCs w:val="28"/>
          <w:u w:val="single"/>
        </w:rPr>
        <w:t xml:space="preserve">                                    </w:t>
      </w:r>
    </w:p>
    <w:p w14:paraId="7CD92E1B">
      <w:pPr>
        <w:spacing w:before="120" w:line="360" w:lineRule="auto"/>
        <w:ind w:left="960"/>
        <w:outlineLvl w:val="9"/>
        <w:rPr>
          <w:rFonts w:hint="eastAsia" w:ascii="宋体" w:hAnsi="宋体" w:cs="宋体"/>
          <w:b/>
          <w:bCs/>
          <w:color w:val="auto"/>
          <w:sz w:val="28"/>
          <w:szCs w:val="28"/>
          <w:u w:val="single"/>
        </w:rPr>
      </w:pPr>
      <w:r>
        <w:rPr>
          <w:rFonts w:hint="eastAsia" w:ascii="宋体" w:hAnsi="宋体" w:cs="宋体"/>
          <w:b/>
          <w:bCs/>
          <w:color w:val="auto"/>
          <w:sz w:val="28"/>
          <w:szCs w:val="28"/>
        </w:rPr>
        <w:t>供  应  商：</w:t>
      </w:r>
      <w:r>
        <w:rPr>
          <w:rFonts w:hint="eastAsia" w:ascii="宋体" w:hAnsi="宋体" w:cs="宋体"/>
          <w:b/>
          <w:bCs/>
          <w:color w:val="auto"/>
          <w:sz w:val="28"/>
          <w:szCs w:val="28"/>
          <w:u w:val="single"/>
        </w:rPr>
        <w:t xml:space="preserve">                                   </w:t>
      </w:r>
    </w:p>
    <w:p w14:paraId="07FE0667">
      <w:pPr>
        <w:spacing w:line="360" w:lineRule="auto"/>
        <w:ind w:firstLine="981" w:firstLineChars="349"/>
        <w:outlineLvl w:val="9"/>
        <w:rPr>
          <w:rFonts w:hint="eastAsia" w:ascii="宋体" w:hAnsi="宋体" w:cs="宋体"/>
          <w:b/>
          <w:bCs/>
          <w:color w:val="auto"/>
          <w:sz w:val="24"/>
          <w:szCs w:val="24"/>
          <w:u w:val="single"/>
        </w:rPr>
      </w:pPr>
      <w:r>
        <w:rPr>
          <w:rFonts w:hint="eastAsia" w:ascii="宋体" w:hAnsi="宋体" w:cs="宋体"/>
          <w:b/>
          <w:bCs/>
          <w:color w:val="auto"/>
          <w:sz w:val="28"/>
          <w:szCs w:val="28"/>
        </w:rPr>
        <w:t>签署日期：</w:t>
      </w:r>
      <w:r>
        <w:rPr>
          <w:rFonts w:hint="eastAsia" w:ascii="宋体" w:hAnsi="宋体" w:cs="宋体"/>
          <w:b/>
          <w:bCs/>
          <w:color w:val="auto"/>
          <w:sz w:val="24"/>
          <w:szCs w:val="24"/>
          <w:u w:val="single"/>
        </w:rPr>
        <w:t>　　　　　　　　　　　　　             　　</w:t>
      </w:r>
    </w:p>
    <w:p w14:paraId="370B6581">
      <w:pPr>
        <w:spacing w:line="360" w:lineRule="auto"/>
        <w:ind w:firstLine="643" w:firstLineChars="200"/>
        <w:jc w:val="center"/>
        <w:outlineLvl w:val="9"/>
        <w:rPr>
          <w:rFonts w:hint="eastAsia" w:ascii="宋体" w:hAnsi="宋体"/>
          <w:b/>
          <w:bCs/>
          <w:color w:val="auto"/>
          <w:sz w:val="32"/>
          <w:szCs w:val="32"/>
        </w:rPr>
        <w:sectPr>
          <w:headerReference r:id="rId12" w:type="default"/>
          <w:footerReference r:id="rId13" w:type="default"/>
          <w:pgSz w:w="11906" w:h="16838"/>
          <w:pgMar w:top="1383" w:right="1383" w:bottom="1383" w:left="1383" w:header="851" w:footer="992" w:gutter="0"/>
          <w:pgNumType w:fmt="decimal"/>
          <w:cols w:space="720" w:num="1"/>
          <w:docGrid w:linePitch="312" w:charSpace="0"/>
        </w:sectPr>
      </w:pPr>
    </w:p>
    <w:bookmarkEnd w:id="281"/>
    <w:bookmarkEnd w:id="282"/>
    <w:p w14:paraId="19534DAC">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val="0"/>
          <w:sz w:val="30"/>
          <w:szCs w:val="30"/>
          <w:highlight w:val="none"/>
        </w:rPr>
      </w:pPr>
      <w:bookmarkStart w:id="283" w:name="_Toc4171"/>
      <w:bookmarkStart w:id="284" w:name="_Toc22451"/>
      <w:bookmarkStart w:id="285" w:name="_Toc15951"/>
      <w:bookmarkStart w:id="286" w:name="_Toc30686"/>
      <w:r>
        <w:rPr>
          <w:rFonts w:hint="eastAsia" w:ascii="宋体" w:hAnsi="宋体" w:eastAsia="宋体" w:cs="宋体"/>
          <w:b/>
          <w:bCs w:val="0"/>
          <w:sz w:val="30"/>
          <w:szCs w:val="30"/>
          <w:highlight w:val="none"/>
        </w:rPr>
        <w:t>第一节 合同协议书</w:t>
      </w:r>
      <w:bookmarkEnd w:id="283"/>
      <w:bookmarkEnd w:id="284"/>
      <w:bookmarkEnd w:id="285"/>
      <w:bookmarkEnd w:id="286"/>
    </w:p>
    <w:p w14:paraId="2209C088">
      <w:pPr>
        <w:pageBreakBefore w:val="0"/>
        <w:kinsoku/>
        <w:wordWrap/>
        <w:overflowPunct/>
        <w:topLinePunct w:val="0"/>
        <w:autoSpaceDE/>
        <w:autoSpaceDN/>
        <w:bidi w:val="0"/>
        <w:spacing w:line="360" w:lineRule="auto"/>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（甲方）</w:t>
      </w:r>
    </w:p>
    <w:p w14:paraId="704C86B0">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（乙方）</w:t>
      </w:r>
    </w:p>
    <w:p w14:paraId="772CCDDD">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Cs/>
          <w:sz w:val="24"/>
          <w:szCs w:val="24"/>
          <w:highlight w:val="none"/>
        </w:rPr>
        <w:t>一、工程概况</w:t>
      </w:r>
    </w:p>
    <w:p w14:paraId="54CE5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1.工程名称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rPr>
        <w:t>。</w:t>
      </w:r>
    </w:p>
    <w:p w14:paraId="3B236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rPr>
        <w:t>。</w:t>
      </w:r>
    </w:p>
    <w:p w14:paraId="7030D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3.项目编号</w:t>
      </w:r>
      <w:r>
        <w:rPr>
          <w:rFonts w:hint="eastAsia" w:ascii="宋体" w:hAnsi="宋体" w:eastAsia="宋体" w:cs="宋体"/>
          <w:bCs/>
          <w:sz w:val="24"/>
          <w:szCs w:val="24"/>
          <w:highlight w:val="none"/>
          <w:lang w:val="en-US" w:eastAsia="zh-CN"/>
        </w:rPr>
        <w:t>/包号</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bCs/>
          <w:sz w:val="24"/>
          <w:szCs w:val="24"/>
          <w:highlight w:val="none"/>
        </w:rPr>
        <w:t>。</w:t>
      </w:r>
    </w:p>
    <w:p w14:paraId="7410D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4.工程内容：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bCs/>
          <w:sz w:val="24"/>
          <w:szCs w:val="24"/>
          <w:highlight w:val="none"/>
        </w:rPr>
        <w:t>。</w:t>
      </w:r>
    </w:p>
    <w:p w14:paraId="0EFBF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5.工程承包范围：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rPr>
        <w:t>。</w:t>
      </w:r>
    </w:p>
    <w:p w14:paraId="48400F23">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二、合同工期</w:t>
      </w:r>
    </w:p>
    <w:p w14:paraId="22972690">
      <w:pPr>
        <w:pageBreakBefore w:val="0"/>
        <w:kinsoku/>
        <w:wordWrap/>
        <w:overflowPunct/>
        <w:topLinePunct w:val="0"/>
        <w:autoSpaceDE/>
        <w:autoSpaceDN/>
        <w:bidi w:val="0"/>
        <w:spacing w:line="360" w:lineRule="auto"/>
        <w:ind w:firstLine="45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0DCE6355">
      <w:pPr>
        <w:pageBreakBefore w:val="0"/>
        <w:kinsoku/>
        <w:wordWrap/>
        <w:overflowPunct/>
        <w:topLinePunct w:val="0"/>
        <w:autoSpaceDE/>
        <w:autoSpaceDN/>
        <w:bidi w:val="0"/>
        <w:spacing w:line="360" w:lineRule="auto"/>
        <w:ind w:firstLine="45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3A474FBD">
      <w:pPr>
        <w:pageBreakBefore w:val="0"/>
        <w:kinsoku/>
        <w:wordWrap/>
        <w:overflowPunct/>
        <w:topLinePunct w:val="0"/>
        <w:autoSpaceDE/>
        <w:autoSpaceDN/>
        <w:bidi w:val="0"/>
        <w:spacing w:line="360" w:lineRule="auto"/>
        <w:ind w:firstLine="45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工期总日历天数：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天。工期总日历天数与根据前述计划开竣工日期计算的工期天数不一致的，以工期总日历天数为准。</w:t>
      </w:r>
    </w:p>
    <w:p w14:paraId="4D7964E0">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Cs/>
          <w:sz w:val="24"/>
          <w:szCs w:val="24"/>
          <w:highlight w:val="none"/>
        </w:rPr>
        <w:t>三、质量标准</w:t>
      </w:r>
    </w:p>
    <w:p w14:paraId="471104CC">
      <w:pPr>
        <w:pageBreakBefore w:val="0"/>
        <w:kinsoku/>
        <w:wordWrap/>
        <w:overflowPunct/>
        <w:topLinePunct w:val="0"/>
        <w:autoSpaceDE/>
        <w:autoSpaceDN/>
        <w:bidi w:val="0"/>
        <w:spacing w:line="360" w:lineRule="auto"/>
        <w:ind w:firstLine="45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r>
        <w:rPr>
          <w:rFonts w:hint="eastAsia" w:ascii="宋体" w:hAnsi="宋体" w:cs="宋体"/>
          <w:sz w:val="24"/>
          <w:szCs w:val="24"/>
          <w:highlight w:val="none"/>
          <w:lang w:eastAsia="zh-CN"/>
        </w:rPr>
        <w:t>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标准。</w:t>
      </w:r>
    </w:p>
    <w:p w14:paraId="5553FBC3">
      <w:pPr>
        <w:pageBreakBefore w:val="0"/>
        <w:kinsoku/>
        <w:wordWrap/>
        <w:overflowPunct/>
        <w:topLinePunct w:val="0"/>
        <w:autoSpaceDE/>
        <w:autoSpaceDN/>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四、签约合同价与合同价格形式</w:t>
      </w:r>
      <w:r>
        <w:rPr>
          <w:rFonts w:hint="eastAsia" w:ascii="宋体" w:hAnsi="宋体" w:eastAsia="宋体" w:cs="宋体"/>
          <w:bCs/>
          <w:sz w:val="24"/>
          <w:szCs w:val="24"/>
          <w:highlight w:val="none"/>
        </w:rPr>
        <w:tab/>
      </w:r>
    </w:p>
    <w:p w14:paraId="30CD5EC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1089B36F">
      <w:pPr>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42EAAD0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291F481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5624BA34">
      <w:pPr>
        <w:pageBreakBefore w:val="0"/>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D19AF8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（2）材料和工程设备暂估价金额：</w:t>
      </w:r>
    </w:p>
    <w:p w14:paraId="14ECEC14">
      <w:pPr>
        <w:pageBreakBefore w:val="0"/>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69931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3F08EBA3">
      <w:pPr>
        <w:pageBreakBefore w:val="0"/>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A8C5CE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（4）暂列金额：</w:t>
      </w:r>
    </w:p>
    <w:p w14:paraId="3774C706">
      <w:pPr>
        <w:pageBreakBefore w:val="0"/>
        <w:kinsoku/>
        <w:wordWrap/>
        <w:overflowPunct/>
        <w:topLinePunct w:val="0"/>
        <w:autoSpaceDE/>
        <w:autoSpaceDN/>
        <w:bidi w:val="0"/>
        <w:spacing w:line="360" w:lineRule="auto"/>
        <w:ind w:firstLine="1080" w:firstLineChars="4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6DF5507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D0B7E53">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五、项目经理</w:t>
      </w:r>
    </w:p>
    <w:p w14:paraId="0D1F1E6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承包人项目经理：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810C80B">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Cs/>
          <w:sz w:val="24"/>
          <w:szCs w:val="24"/>
          <w:highlight w:val="none"/>
        </w:rPr>
        <w:t>六、合同文件构成</w:t>
      </w:r>
    </w:p>
    <w:p w14:paraId="65F1DF2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5EB21074">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（1）成交通知书；</w:t>
      </w:r>
    </w:p>
    <w:p w14:paraId="59CE1B4F">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（2）专用合同条款及其附件；</w:t>
      </w:r>
    </w:p>
    <w:p w14:paraId="7A1A45AD">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（3）通用合同条款</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"https://www.gov.cn/xinwen/2017-10/30/5235483/files/ea9e81a397594997b8adf1ba7c6821ac.doc" \t "https://www.gov.cn/xinwen/2017-10/30/_blank"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《建设工程施工合同（示范文本）》（GF-2017-0201）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7DD7B1D3">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（4）评审报告；</w:t>
      </w:r>
    </w:p>
    <w:p w14:paraId="44E102FF">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3C678521">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（6）已标价工程量清单或预算书；</w:t>
      </w:r>
    </w:p>
    <w:p w14:paraId="675A8CA6">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（7）其他合同文件。</w:t>
      </w:r>
    </w:p>
    <w:p w14:paraId="47D742C5">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2E10DE3E">
      <w:pPr>
        <w:pageBreakBefore w:val="0"/>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7F91C48">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sz w:val="24"/>
          <w:szCs w:val="24"/>
          <w:highlight w:val="none"/>
        </w:rPr>
      </w:pPr>
      <w:r>
        <w:rPr>
          <w:rFonts w:hint="eastAsia" w:ascii="宋体" w:hAnsi="宋体" w:eastAsia="宋体" w:cs="宋体"/>
          <w:bCs/>
          <w:sz w:val="24"/>
          <w:szCs w:val="24"/>
          <w:highlight w:val="none"/>
        </w:rPr>
        <w:t>七、承诺</w:t>
      </w:r>
    </w:p>
    <w:p w14:paraId="2CC15F1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08392DD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5BA776E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3.发包人和承包人通过</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形式签订合同的，双方理解并承诺不再就同一工程另行签订与合同实质性内容相背离的协议。</w:t>
      </w:r>
    </w:p>
    <w:p w14:paraId="3533B6FF">
      <w:pPr>
        <w:pageBreakBefore w:val="0"/>
        <w:kinsoku/>
        <w:wordWrap/>
        <w:overflowPunct/>
        <w:topLinePunct w:val="0"/>
        <w:autoSpaceDE/>
        <w:autoSpaceDN/>
        <w:bidi w:val="0"/>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八、词语含义</w:t>
      </w:r>
    </w:p>
    <w:p w14:paraId="199095E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1B0ED76E">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九、签订时间</w:t>
      </w:r>
    </w:p>
    <w:p w14:paraId="277D856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76CA904E">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十、签订地点</w:t>
      </w:r>
    </w:p>
    <w:p w14:paraId="14833AC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签订。</w:t>
      </w:r>
    </w:p>
    <w:p w14:paraId="728F65A5">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十一、补充协议</w:t>
      </w:r>
    </w:p>
    <w:p w14:paraId="7796857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40C293F6">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十二、合同生效</w:t>
      </w:r>
    </w:p>
    <w:p w14:paraId="7C5FC85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生效。</w:t>
      </w:r>
    </w:p>
    <w:p w14:paraId="2C1D8947">
      <w:pPr>
        <w:keepNext/>
        <w:keepLines/>
        <w:pageBreakBefore w:val="0"/>
        <w:kinsoku/>
        <w:wordWrap/>
        <w:overflowPunct/>
        <w:topLinePunct w:val="0"/>
        <w:autoSpaceDE/>
        <w:autoSpaceDN/>
        <w:bidi w:val="0"/>
        <w:spacing w:line="360" w:lineRule="auto"/>
        <w:textAlignment w:val="auto"/>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十三、合同份数</w:t>
      </w:r>
    </w:p>
    <w:p w14:paraId="64D2300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656D73BA">
      <w:pPr>
        <w:pageBreakBefore w:val="0"/>
        <w:kinsoku/>
        <w:wordWrap/>
        <w:overflowPunct/>
        <w:topLinePunct w:val="0"/>
        <w:autoSpaceDE/>
        <w:autoSpaceDN/>
        <w:bidi w:val="0"/>
        <w:spacing w:line="360" w:lineRule="auto"/>
        <w:textAlignment w:val="auto"/>
        <w:rPr>
          <w:rFonts w:hint="eastAsia" w:ascii="宋体" w:hAnsi="宋体" w:eastAsia="宋体" w:cs="宋体"/>
          <w:bCs/>
          <w:sz w:val="24"/>
          <w:szCs w:val="24"/>
          <w:highlight w:val="none"/>
        </w:rPr>
      </w:pPr>
    </w:p>
    <w:p w14:paraId="31163EDF">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p w14:paraId="5D6DBA30">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发包人：  (公章)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承包人：  (公章                             </w:t>
      </w:r>
    </w:p>
    <w:p w14:paraId="19A746EC">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p>
    <w:p w14:paraId="6406BCE0">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地  址：</w:t>
      </w:r>
    </w:p>
    <w:p w14:paraId="2CAA098D">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邮政编码：</w:t>
      </w:r>
    </w:p>
    <w:p w14:paraId="49B4FE03">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  话：</w:t>
      </w:r>
    </w:p>
    <w:p w14:paraId="31847665">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传  真：</w:t>
      </w:r>
    </w:p>
    <w:p w14:paraId="13C69532">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电子信箱：</w:t>
      </w:r>
    </w:p>
    <w:p w14:paraId="3D17F10D">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开户银行：</w:t>
      </w:r>
    </w:p>
    <w:p w14:paraId="4BEAE120">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  账  号：</w:t>
      </w:r>
    </w:p>
    <w:p w14:paraId="74E5181B">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p w14:paraId="65FD1BF2">
      <w:pPr>
        <w:rPr>
          <w:rFonts w:hint="eastAsia" w:ascii="宋体" w:hAnsi="宋体" w:eastAsia="宋体" w:cs="宋体"/>
          <w:b/>
          <w:bCs w:val="0"/>
          <w:sz w:val="30"/>
          <w:szCs w:val="30"/>
          <w:highlight w:val="none"/>
          <w:lang w:eastAsia="zh-CN"/>
        </w:rPr>
      </w:pPr>
      <w:bookmarkStart w:id="287" w:name="_Toc3986"/>
      <w:bookmarkStart w:id="288" w:name="_Toc23672"/>
      <w:bookmarkStart w:id="289" w:name="_Toc3782"/>
      <w:r>
        <w:rPr>
          <w:rFonts w:hint="eastAsia" w:ascii="宋体" w:hAnsi="宋体" w:eastAsia="宋体" w:cs="宋体"/>
          <w:b/>
          <w:bCs w:val="0"/>
          <w:sz w:val="30"/>
          <w:szCs w:val="30"/>
          <w:highlight w:val="none"/>
          <w:lang w:eastAsia="zh-CN"/>
        </w:rPr>
        <w:br w:type="page"/>
      </w:r>
    </w:p>
    <w:p w14:paraId="515BAB7D">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val="0"/>
          <w:sz w:val="30"/>
          <w:szCs w:val="30"/>
          <w:highlight w:val="none"/>
        </w:rPr>
      </w:pPr>
      <w:bookmarkStart w:id="290" w:name="_Toc15508"/>
      <w:r>
        <w:rPr>
          <w:rFonts w:hint="eastAsia" w:ascii="宋体" w:hAnsi="宋体" w:eastAsia="宋体" w:cs="宋体"/>
          <w:b/>
          <w:bCs w:val="0"/>
          <w:sz w:val="30"/>
          <w:szCs w:val="30"/>
          <w:highlight w:val="none"/>
          <w:lang w:eastAsia="zh-CN"/>
        </w:rPr>
        <w:t>第二节</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通用合同条款</w:t>
      </w:r>
      <w:bookmarkEnd w:id="287"/>
      <w:bookmarkEnd w:id="290"/>
    </w:p>
    <w:p w14:paraId="5ECC767C">
      <w:pPr>
        <w:keepNext/>
        <w:keepLines/>
        <w:pageBreakBefore w:val="0"/>
        <w:kinsoku/>
        <w:wordWrap/>
        <w:overflowPunct/>
        <w:topLinePunct w:val="0"/>
        <w:autoSpaceDE/>
        <w:autoSpaceDN/>
        <w:bidi w:val="0"/>
        <w:spacing w:line="360" w:lineRule="auto"/>
        <w:jc w:val="both"/>
        <w:textAlignment w:val="auto"/>
        <w:outlineLvl w:val="1"/>
        <w:rPr>
          <w:rFonts w:hint="eastAsia" w:ascii="宋体" w:hAnsi="宋体" w:eastAsia="宋体"/>
          <w:b w:val="0"/>
          <w:bCs w:val="0"/>
          <w:color w:val="auto"/>
          <w:szCs w:val="30"/>
          <w:highlight w:val="none"/>
          <w:u w:val="none"/>
          <w:lang w:val="zh-CN"/>
        </w:rPr>
      </w:pPr>
      <w:bookmarkStart w:id="291" w:name="_Toc23703"/>
      <w:bookmarkStart w:id="292" w:name="_Toc21368"/>
      <w:r>
        <w:rPr>
          <w:rFonts w:hint="eastAsia" w:ascii="宋体" w:hAnsi="宋体" w:eastAsia="宋体" w:cs="宋体"/>
          <w:b w:val="0"/>
          <w:bCs w:val="0"/>
          <w:i w:val="0"/>
          <w:iCs w:val="0"/>
          <w:caps w:val="0"/>
          <w:color w:val="auto"/>
          <w:spacing w:val="0"/>
          <w:sz w:val="24"/>
          <w:szCs w:val="24"/>
          <w:highlight w:val="none"/>
          <w:u w:val="none"/>
          <w:shd w:val="clear" w:fill="FFFFFF"/>
          <w:lang w:eastAsia="zh-CN"/>
        </w:rPr>
        <w:t>通用合同条款引用</w:t>
      </w:r>
      <w:r>
        <w:rPr>
          <w:rFonts w:hint="eastAsia" w:ascii="宋体" w:hAnsi="宋体" w:eastAsia="宋体" w:cs="宋体"/>
          <w:b w:val="0"/>
          <w:bCs w:val="0"/>
          <w:i w:val="0"/>
          <w:iCs w:val="0"/>
          <w:caps w:val="0"/>
          <w:color w:val="auto"/>
          <w:spacing w:val="0"/>
          <w:sz w:val="24"/>
          <w:szCs w:val="24"/>
          <w:highlight w:val="none"/>
          <w:u w:val="none"/>
          <w:shd w:val="clear" w:fill="FFFFFF"/>
        </w:rPr>
        <w:fldChar w:fldCharType="begin"/>
      </w:r>
      <w:r>
        <w:rPr>
          <w:rFonts w:hint="eastAsia" w:ascii="宋体" w:hAnsi="宋体" w:eastAsia="宋体" w:cs="宋体"/>
          <w:b w:val="0"/>
          <w:bCs w:val="0"/>
          <w:i w:val="0"/>
          <w:iCs w:val="0"/>
          <w:caps w:val="0"/>
          <w:color w:val="auto"/>
          <w:spacing w:val="0"/>
          <w:sz w:val="24"/>
          <w:szCs w:val="24"/>
          <w:highlight w:val="none"/>
          <w:u w:val="none"/>
          <w:shd w:val="clear" w:fill="FFFFFF"/>
        </w:rPr>
        <w:instrText xml:space="preserve"> HYPERLINK "https://www.gov.cn/xinwen/2017-10/30/5235483/files/ea9e81a397594997b8adf1ba7c6821ac.doc" \t "https://www.gov.cn/xinwen/2017-10/30/_blank" </w:instrText>
      </w:r>
      <w:r>
        <w:rPr>
          <w:rFonts w:hint="eastAsia" w:ascii="宋体" w:hAnsi="宋体" w:eastAsia="宋体" w:cs="宋体"/>
          <w:b w:val="0"/>
          <w:bCs w:val="0"/>
          <w:i w:val="0"/>
          <w:iCs w:val="0"/>
          <w:caps w:val="0"/>
          <w:color w:val="auto"/>
          <w:spacing w:val="0"/>
          <w:sz w:val="24"/>
          <w:szCs w:val="24"/>
          <w:highlight w:val="none"/>
          <w:u w:val="none"/>
          <w:shd w:val="clear" w:fill="FFFFFF"/>
        </w:rPr>
        <w:fldChar w:fldCharType="separate"/>
      </w:r>
      <w:r>
        <w:rPr>
          <w:rFonts w:hint="eastAsia" w:ascii="宋体" w:hAnsi="宋体" w:eastAsia="宋体" w:cs="宋体"/>
          <w:b w:val="0"/>
          <w:bCs w:val="0"/>
          <w:i w:val="0"/>
          <w:iCs w:val="0"/>
          <w:caps w:val="0"/>
          <w:color w:val="auto"/>
          <w:spacing w:val="0"/>
          <w:sz w:val="24"/>
          <w:szCs w:val="24"/>
          <w:highlight w:val="none"/>
          <w:u w:val="none"/>
          <w:shd w:val="clear" w:fill="FFFFFF"/>
        </w:rPr>
        <w:t>《建设工程施工合同（示范文本）》（GF-2017-0201）</w:t>
      </w:r>
      <w:r>
        <w:rPr>
          <w:rFonts w:hint="eastAsia" w:ascii="宋体" w:hAnsi="宋体" w:eastAsia="宋体" w:cs="宋体"/>
          <w:b w:val="0"/>
          <w:bCs w:val="0"/>
          <w:i w:val="0"/>
          <w:iCs w:val="0"/>
          <w:caps w:val="0"/>
          <w:color w:val="auto"/>
          <w:spacing w:val="0"/>
          <w:sz w:val="24"/>
          <w:szCs w:val="24"/>
          <w:highlight w:val="none"/>
          <w:u w:val="none"/>
          <w:shd w:val="clear" w:fill="FFFFFF"/>
        </w:rPr>
        <w:fldChar w:fldCharType="end"/>
      </w:r>
      <w:bookmarkEnd w:id="291"/>
      <w:bookmarkEnd w:id="292"/>
    </w:p>
    <w:p w14:paraId="73278631">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val="0"/>
          <w:sz w:val="30"/>
          <w:szCs w:val="30"/>
          <w:highlight w:val="none"/>
          <w:lang w:eastAsia="zh-CN"/>
        </w:rPr>
      </w:pPr>
      <w:bookmarkStart w:id="293" w:name="_Toc18604"/>
      <w:bookmarkStart w:id="294" w:name="_Toc16676"/>
      <w:r>
        <w:rPr>
          <w:rFonts w:hint="eastAsia" w:ascii="宋体" w:hAnsi="宋体" w:eastAsia="宋体" w:cs="宋体"/>
          <w:b/>
          <w:bCs w:val="0"/>
          <w:sz w:val="30"/>
          <w:szCs w:val="30"/>
          <w:highlight w:val="none"/>
          <w:lang w:eastAsia="zh-CN"/>
        </w:rPr>
        <w:t>第三节</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lang w:eastAsia="zh-CN"/>
        </w:rPr>
        <w:t>合同专用条款</w:t>
      </w:r>
      <w:bookmarkEnd w:id="288"/>
      <w:bookmarkEnd w:id="289"/>
      <w:bookmarkEnd w:id="293"/>
      <w:bookmarkEnd w:id="294"/>
    </w:p>
    <w:p w14:paraId="0B959ED5">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专用合同条款中的各条款是补充和修改通用合同条款中条款号相同的条款或当需要时增加新的条款，两者应对照阅读，一旦出现矛盾或不一致，则以专用合同条款为准，通用合同条款中未补充和修改的部分仍有效。专用条款中未明确的部分在签订合同协议书时由发包人和承包人协商确定。</w:t>
      </w:r>
    </w:p>
    <w:p w14:paraId="69673C70">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1.一般约定</w:t>
      </w:r>
    </w:p>
    <w:p w14:paraId="74EFE900">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词语定义：</w:t>
      </w:r>
    </w:p>
    <w:p w14:paraId="44AF3012">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1.1.1合同当事人和人员</w:t>
      </w:r>
    </w:p>
    <w:p w14:paraId="2151E95B">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1.1.2发包人</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______________</w:t>
      </w:r>
      <w:r>
        <w:rPr>
          <w:rFonts w:hint="eastAsia" w:ascii="宋体" w:hAnsi="宋体" w:eastAsia="宋体" w:cs="宋体"/>
          <w:color w:val="000000"/>
          <w:sz w:val="24"/>
          <w:szCs w:val="24"/>
          <w:highlight w:val="none"/>
          <w:lang w:eastAsia="zh-CN"/>
        </w:rPr>
        <w:t xml:space="preserve">_____________ </w:t>
      </w:r>
    </w:p>
    <w:p w14:paraId="71A3C94C">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1.1.3承包人</w:t>
      </w:r>
      <w:r>
        <w:rPr>
          <w:rFonts w:hint="eastAsia" w:ascii="宋体" w:hAnsi="宋体" w:eastAsia="宋体" w:cs="宋体"/>
          <w:color w:val="000000"/>
          <w:sz w:val="24"/>
          <w:szCs w:val="24"/>
          <w:highlight w:val="none"/>
          <w:u w:val="single"/>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（签约后填入承包人的名称）</w:t>
      </w:r>
      <w:r>
        <w:rPr>
          <w:rFonts w:hint="eastAsia" w:ascii="宋体" w:hAnsi="宋体" w:eastAsia="宋体" w:cs="宋体"/>
          <w:sz w:val="24"/>
          <w:szCs w:val="24"/>
          <w:highlight w:val="none"/>
          <w:u w:val="single"/>
        </w:rPr>
        <w:t xml:space="preserve">  </w:t>
      </w:r>
    </w:p>
    <w:p w14:paraId="6B3AB38D">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1.1.4分包人</w:t>
      </w:r>
      <w:r>
        <w:rPr>
          <w:rFonts w:hint="eastAsia" w:ascii="宋体" w:hAnsi="宋体" w:eastAsia="宋体" w:cs="宋体"/>
          <w:color w:val="000000"/>
          <w:sz w:val="24"/>
          <w:szCs w:val="24"/>
          <w:highlight w:val="none"/>
          <w:u w:val="single"/>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不允许分包</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sz w:val="24"/>
          <w:szCs w:val="24"/>
          <w:highlight w:val="none"/>
          <w:u w:val="single"/>
        </w:rPr>
        <w:t xml:space="preserve">   </w:t>
      </w:r>
    </w:p>
    <w:p w14:paraId="1A46BA6E">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1.1.5监理人</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____________________</w:t>
      </w:r>
    </w:p>
    <w:p w14:paraId="1369489A">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2</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合同文件的优先顺序</w:t>
      </w:r>
    </w:p>
    <w:p w14:paraId="053DE539">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进入合同文件的各项文件及其优先顺序是：</w:t>
      </w:r>
    </w:p>
    <w:p w14:paraId="4CDB94E0">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⑴合同协议书（包括会议纪要、补充协议）</w:t>
      </w:r>
    </w:p>
    <w:p w14:paraId="68C9610D">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⑵</w:t>
      </w:r>
      <w:r>
        <w:rPr>
          <w:rFonts w:hint="eastAsia" w:ascii="宋体" w:hAnsi="宋体" w:eastAsia="宋体" w:cs="宋体"/>
          <w:color w:val="000000"/>
          <w:sz w:val="24"/>
          <w:szCs w:val="24"/>
          <w:highlight w:val="none"/>
          <w:lang w:eastAsia="zh-CN"/>
        </w:rPr>
        <w:t>成交</w:t>
      </w:r>
      <w:r>
        <w:rPr>
          <w:rFonts w:hint="eastAsia" w:ascii="宋体" w:hAnsi="宋体" w:eastAsia="宋体" w:cs="宋体"/>
          <w:color w:val="000000"/>
          <w:sz w:val="24"/>
          <w:szCs w:val="24"/>
          <w:highlight w:val="none"/>
        </w:rPr>
        <w:t>通知书</w:t>
      </w:r>
    </w:p>
    <w:p w14:paraId="19D29BBD">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⑶投标书及其附件</w:t>
      </w:r>
    </w:p>
    <w:p w14:paraId="3FE6D59A">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⑷通用合同条款</w:t>
      </w:r>
      <w:r>
        <w:rPr>
          <w:rFonts w:hint="eastAsia" w:ascii="宋体" w:hAnsi="宋体" w:eastAsia="宋体" w:cs="宋体"/>
          <w:b w:val="0"/>
          <w:bCs w:val="0"/>
          <w:i w:val="0"/>
          <w:iCs w:val="0"/>
          <w:caps w:val="0"/>
          <w:color w:val="auto"/>
          <w:spacing w:val="0"/>
          <w:sz w:val="24"/>
          <w:szCs w:val="24"/>
          <w:highlight w:val="none"/>
          <w:u w:val="none"/>
          <w:shd w:val="clear" w:fill="FFFFFF"/>
          <w:lang w:eastAsia="zh-CN"/>
        </w:rPr>
        <w:t>引用</w:t>
      </w:r>
      <w:r>
        <w:rPr>
          <w:rFonts w:hint="eastAsia" w:ascii="宋体" w:hAnsi="宋体" w:eastAsia="宋体" w:cs="宋体"/>
          <w:b w:val="0"/>
          <w:bCs w:val="0"/>
          <w:i w:val="0"/>
          <w:iCs w:val="0"/>
          <w:caps w:val="0"/>
          <w:color w:val="auto"/>
          <w:spacing w:val="0"/>
          <w:sz w:val="24"/>
          <w:szCs w:val="24"/>
          <w:highlight w:val="none"/>
          <w:u w:val="none"/>
          <w:shd w:val="clear" w:fill="FFFFFF"/>
        </w:rPr>
        <w:fldChar w:fldCharType="begin"/>
      </w:r>
      <w:r>
        <w:rPr>
          <w:rFonts w:hint="eastAsia" w:ascii="宋体" w:hAnsi="宋体" w:eastAsia="宋体" w:cs="宋体"/>
          <w:b w:val="0"/>
          <w:bCs w:val="0"/>
          <w:i w:val="0"/>
          <w:iCs w:val="0"/>
          <w:caps w:val="0"/>
          <w:color w:val="auto"/>
          <w:spacing w:val="0"/>
          <w:sz w:val="24"/>
          <w:szCs w:val="24"/>
          <w:highlight w:val="none"/>
          <w:u w:val="none"/>
          <w:shd w:val="clear" w:fill="FFFFFF"/>
        </w:rPr>
        <w:instrText xml:space="preserve"> HYPERLINK "https://www.gov.cn/xinwen/2017-10/30/5235483/files/ea9e81a397594997b8adf1ba7c6821ac.doc" \t "https://www.gov.cn/xinwen/2017-10/30/_blank" </w:instrText>
      </w:r>
      <w:r>
        <w:rPr>
          <w:rFonts w:hint="eastAsia" w:ascii="宋体" w:hAnsi="宋体" w:eastAsia="宋体" w:cs="宋体"/>
          <w:b w:val="0"/>
          <w:bCs w:val="0"/>
          <w:i w:val="0"/>
          <w:iCs w:val="0"/>
          <w:caps w:val="0"/>
          <w:color w:val="auto"/>
          <w:spacing w:val="0"/>
          <w:sz w:val="24"/>
          <w:szCs w:val="24"/>
          <w:highlight w:val="none"/>
          <w:u w:val="none"/>
          <w:shd w:val="clear" w:fill="FFFFFF"/>
        </w:rPr>
        <w:fldChar w:fldCharType="separate"/>
      </w:r>
      <w:r>
        <w:rPr>
          <w:rFonts w:hint="eastAsia" w:ascii="宋体" w:hAnsi="宋体" w:eastAsia="宋体" w:cs="宋体"/>
          <w:b w:val="0"/>
          <w:bCs w:val="0"/>
          <w:i w:val="0"/>
          <w:iCs w:val="0"/>
          <w:caps w:val="0"/>
          <w:color w:val="auto"/>
          <w:spacing w:val="0"/>
          <w:sz w:val="24"/>
          <w:szCs w:val="24"/>
          <w:highlight w:val="none"/>
          <w:u w:val="none"/>
          <w:shd w:val="clear" w:fill="FFFFFF"/>
        </w:rPr>
        <w:t>《建设工程施工合同（示范文本）》（GF-2017-0201）</w:t>
      </w:r>
      <w:r>
        <w:rPr>
          <w:rFonts w:hint="eastAsia" w:ascii="宋体" w:hAnsi="宋体" w:eastAsia="宋体" w:cs="宋体"/>
          <w:b w:val="0"/>
          <w:bCs w:val="0"/>
          <w:i w:val="0"/>
          <w:iCs w:val="0"/>
          <w:caps w:val="0"/>
          <w:color w:val="auto"/>
          <w:spacing w:val="0"/>
          <w:sz w:val="24"/>
          <w:szCs w:val="24"/>
          <w:highlight w:val="none"/>
          <w:u w:val="none"/>
          <w:shd w:val="clear" w:fill="FFFFFF"/>
        </w:rPr>
        <w:fldChar w:fldCharType="end"/>
      </w:r>
    </w:p>
    <w:p w14:paraId="4E337B99">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⑸技术条款和要求</w:t>
      </w:r>
    </w:p>
    <w:p w14:paraId="69C9B822">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⑹已标价的工程量清单图</w:t>
      </w:r>
    </w:p>
    <w:p w14:paraId="4843DFA1">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⑺经双方确认进入合同的其它文件（如</w:t>
      </w:r>
      <w:r>
        <w:rPr>
          <w:rFonts w:hint="eastAsia" w:ascii="宋体" w:hAnsi="宋体" w:eastAsia="宋体" w:cs="宋体"/>
          <w:color w:val="000000"/>
          <w:sz w:val="24"/>
          <w:szCs w:val="24"/>
          <w:highlight w:val="none"/>
          <w:lang w:eastAsia="zh-CN"/>
        </w:rPr>
        <w:t>响应</w:t>
      </w:r>
      <w:r>
        <w:rPr>
          <w:rFonts w:hint="eastAsia" w:ascii="宋体" w:hAnsi="宋体" w:eastAsia="宋体" w:cs="宋体"/>
          <w:color w:val="000000"/>
          <w:sz w:val="24"/>
          <w:szCs w:val="24"/>
          <w:highlight w:val="none"/>
        </w:rPr>
        <w:t>文件、发包人有关工程的洽谈、变更等书面协议，以及工程保修协议书、安全生产协议书、廉政协议书等）</w:t>
      </w:r>
    </w:p>
    <w:p w14:paraId="3AA3BD04">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联络</w:t>
      </w:r>
    </w:p>
    <w:p w14:paraId="4C978363">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来往函件均应按技术标准和要求(合同技术条款)约定的期限送达：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w:t>
      </w:r>
    </w:p>
    <w:p w14:paraId="1175CE0B">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2.发包人义务</w:t>
      </w:r>
    </w:p>
    <w:p w14:paraId="061B4C93">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提供施工场地</w:t>
      </w:r>
    </w:p>
    <w:p w14:paraId="467F5882">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发包人向承包人提供施工用地，提供的用地范围根据监理人指示划定，用地期限在本合同工程完工后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个月内。承包人只能在商定的用地范围内安排施工，超出商定的用地范围外的用地由承包人自行解决并承担由此发生的一切费用。发包人不提供砂、石料场。</w:t>
      </w:r>
    </w:p>
    <w:p w14:paraId="626CA0CF">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2</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其它义务</w:t>
      </w:r>
    </w:p>
    <w:p w14:paraId="538926B1">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(1)协调勘察、设计、施工承包人、监理人及其他与施工有关人员的关系；</w:t>
      </w:r>
    </w:p>
    <w:p w14:paraId="6D5B50D2">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(2)其他</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未尽事宜或疑问，由双方在说明会中进一步明确，并记入承包合同。</w:t>
      </w:r>
    </w:p>
    <w:p w14:paraId="15FB29D2">
      <w:pPr>
        <w:pageBreakBefore w:val="0"/>
        <w:kinsoku/>
        <w:wordWrap/>
        <w:overflowPunct/>
        <w:topLinePunct w:val="0"/>
        <w:autoSpaceDE/>
        <w:autoSpaceDN/>
        <w:bidi w:val="0"/>
        <w:spacing w:line="360" w:lineRule="auto"/>
        <w:ind w:right="-197" w:rightChars="-94"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（3）对于施工过程中的不可预见性问题，由甲乙双方协商解决。</w:t>
      </w:r>
    </w:p>
    <w:p w14:paraId="50FFB2E7">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3监理人</w:t>
      </w:r>
    </w:p>
    <w:p w14:paraId="0DC1F2AF">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3.1监理人的职责和权力</w:t>
      </w:r>
    </w:p>
    <w:p w14:paraId="0EBCA732">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本款补充如下内容：</w:t>
      </w:r>
    </w:p>
    <w:p w14:paraId="518485A7">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监理人在行使下列权利前，必须得到发包人的批准。</w:t>
      </w:r>
    </w:p>
    <w:p w14:paraId="7FAD72DC">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 确定延长完工期限；</w:t>
      </w:r>
    </w:p>
    <w:p w14:paraId="29FD55A4">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 作出变更决定；尽管有以上规定，但当监理人认为出现了危及生命、工程或毗邻财产安全等紧急事件时，在不免除合同规定的承包人责任的情况下，监理人可以指示承包人实施为消除或减少这种危险所必须进行的工作，即使没有发包人事先批准，承包人也应立即遵照执行。监理人应按第15条的规定增加相应的费用，并通知承包人。</w:t>
      </w:r>
    </w:p>
    <w:p w14:paraId="18FE2C50">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w:t>
      </w:r>
    </w:p>
    <w:p w14:paraId="70B25289">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承包人的一般义务</w:t>
      </w:r>
    </w:p>
    <w:p w14:paraId="7DB6D28F">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其它义务</w:t>
      </w:r>
    </w:p>
    <w:p w14:paraId="1E1A788F">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(1)承包人应在施工过程中采取有效措施，保护生活用水源免受施工活动造成的污染，否则将承担相应责任；</w:t>
      </w:r>
    </w:p>
    <w:p w14:paraId="4F0F8115">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(2)发包人提供的施工用地以外的承包人所需用地及其费用，由承包人自行解决；</w:t>
      </w:r>
    </w:p>
    <w:p w14:paraId="49B1EE77">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分包</w:t>
      </w:r>
    </w:p>
    <w:p w14:paraId="4A74336B">
      <w:pPr>
        <w:pageBreakBefore w:val="0"/>
        <w:kinsoku/>
        <w:wordWrap/>
        <w:overflowPunct/>
        <w:topLinePunct w:val="0"/>
        <w:autoSpaceDE/>
        <w:autoSpaceDN/>
        <w:bidi w:val="0"/>
        <w:spacing w:line="360" w:lineRule="auto"/>
        <w:ind w:left="10"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本工程不允许分包。若承包人分包，发包人有权终止合同，同时扣除其履约保证金，所造成的一切责任和损失均由承包人承担 </w:t>
      </w:r>
    </w:p>
    <w:p w14:paraId="6E9BDC78">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联合体</w:t>
      </w:r>
    </w:p>
    <w:p w14:paraId="4C1BB520">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本工程不允许联合体投标。</w:t>
      </w:r>
    </w:p>
    <w:p w14:paraId="2BD9D562">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承包人项目经理</w:t>
      </w:r>
    </w:p>
    <w:p w14:paraId="09800B48">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应按合同约定指派项目经理，并在约定的期限内到职，且项目经理驻工地的时间每月不得少于20天。若承包人更换项目经理应事先征得发包人同意，并应在更换14天前通知发包人和监理人。承包人项目经理短期离开施工场地，应事先征得监理人同意，并委派代表代行其职责。</w:t>
      </w:r>
    </w:p>
    <w:p w14:paraId="392C823B">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5．材料和工程设备</w:t>
      </w:r>
    </w:p>
    <w:p w14:paraId="10138564">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发包人提供的材料和工程设备</w:t>
      </w:r>
    </w:p>
    <w:p w14:paraId="5EAA858C">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本工程发包人不提供材料和工程设备。</w:t>
      </w:r>
    </w:p>
    <w:p w14:paraId="0FD1DB11">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6.施工设备和临时设施</w:t>
      </w:r>
    </w:p>
    <w:p w14:paraId="1CD1C69A">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6.1.发包人不提供施工设备和临时设施</w:t>
      </w:r>
    </w:p>
    <w:p w14:paraId="5FA28A3B">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7.交通运输</w:t>
      </w:r>
    </w:p>
    <w:p w14:paraId="6984D5BE">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道路通行权和场外设施</w:t>
      </w:r>
    </w:p>
    <w:p w14:paraId="2902DC43">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本款补充如下：</w:t>
      </w:r>
    </w:p>
    <w:p w14:paraId="53FD6051">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道路通行权和场外设施的约定：道路通行权由承包人办理并承担费用；场外施工道路由承包人办理相关手续。</w:t>
      </w:r>
    </w:p>
    <w:p w14:paraId="226A40B7">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8</w:t>
      </w:r>
      <w:r>
        <w:rPr>
          <w:rFonts w:hint="eastAsia" w:ascii="宋体" w:hAnsi="宋体" w:eastAsia="宋体" w:cs="宋体"/>
          <w:color w:val="000000"/>
          <w:sz w:val="24"/>
          <w:szCs w:val="24"/>
          <w:highlight w:val="none"/>
        </w:rPr>
        <w:t>．施工安全、治安保卫和环境保护</w:t>
      </w:r>
    </w:p>
    <w:p w14:paraId="2AADC9A4">
      <w:pPr>
        <w:pageBreakBefore w:val="0"/>
        <w:kinsoku/>
        <w:wordWrap/>
        <w:overflowPunct/>
        <w:topLinePunct w:val="0"/>
        <w:autoSpaceDE/>
        <w:autoSpaceDN/>
        <w:bidi w:val="0"/>
        <w:spacing w:line="360" w:lineRule="auto"/>
        <w:ind w:left="11" w:right="-197" w:rightChars="-94"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本款作如下修改与补充：</w:t>
      </w:r>
    </w:p>
    <w:p w14:paraId="6F5BB807">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8</w:t>
      </w: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承包人应按合同约定履行安全职责，执行监理人有关安全工作的指示，并在收到《进场通知》后21天内，按合同约定的安全工作内容，编制施工安全措施计划报送监理人审批。</w:t>
      </w:r>
    </w:p>
    <w:p w14:paraId="28E59DBA">
      <w:pPr>
        <w:pageBreakBefore w:val="0"/>
        <w:kinsoku/>
        <w:wordWrap/>
        <w:overflowPunct/>
        <w:topLinePunct w:val="0"/>
        <w:autoSpaceDE/>
        <w:autoSpaceDN/>
        <w:bidi w:val="0"/>
        <w:spacing w:line="360" w:lineRule="auto"/>
        <w:ind w:right="-197" w:rightChars="-9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9.因承包人造成的安全保卫等责任事故由承包人自行承担一切责任和后果，与发包人无关。</w:t>
      </w:r>
    </w:p>
    <w:p w14:paraId="09343B7F">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.开工和竣工（完工）</w:t>
      </w:r>
    </w:p>
    <w:p w14:paraId="02948048">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竣工（完工）</w:t>
      </w:r>
    </w:p>
    <w:p w14:paraId="4ACC8AF6">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承包人应总监理工程师发出开工令后计划</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rPr>
        <w:t>日历天内完成合同工程。合同实际完工日期在合同工程完工证书中明确。</w:t>
      </w:r>
    </w:p>
    <w:p w14:paraId="201E8CA6">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承包人工期延误</w:t>
      </w:r>
    </w:p>
    <w:p w14:paraId="47FCA93B">
      <w:pPr>
        <w:pageBreakBefore w:val="0"/>
        <w:kinsoku/>
        <w:wordWrap/>
        <w:overflowPunct/>
        <w:topLinePunct w:val="0"/>
        <w:autoSpaceDE/>
        <w:autoSpaceDN/>
        <w:bidi w:val="0"/>
        <w:spacing w:line="360" w:lineRule="auto"/>
        <w:ind w:left="10" w:right="-199" w:rightChars="-95"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关于工期应在</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中明确并符合施工要求中要求。</w:t>
      </w:r>
      <w:r>
        <w:rPr>
          <w:rFonts w:hint="eastAsia" w:ascii="宋体" w:hAnsi="宋体" w:eastAsia="宋体" w:cs="宋体"/>
          <w:bCs/>
          <w:sz w:val="24"/>
          <w:szCs w:val="24"/>
          <w:highlight w:val="none"/>
        </w:rPr>
        <w:t>如供应商因自身原因导致工期延误，则每延误一天扣除总工程款的</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p>
    <w:p w14:paraId="0F68A3C8">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（1）逾期完工违约金表</w:t>
      </w:r>
    </w:p>
    <w:p w14:paraId="29EFCCDB">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（2）全部逾期完工违约金的总限额为不超过签约合同价的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%,不免除承包人完成工程及修补缺陷的义务。</w:t>
      </w:r>
    </w:p>
    <w:tbl>
      <w:tblPr>
        <w:tblStyle w:val="26"/>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3360"/>
        <w:gridCol w:w="1800"/>
        <w:gridCol w:w="1880"/>
      </w:tblGrid>
      <w:tr w14:paraId="6457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14:paraId="361A3EE3">
            <w:pPr>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360" w:type="dxa"/>
            <w:tcBorders>
              <w:top w:val="single" w:color="auto" w:sz="4" w:space="0"/>
              <w:left w:val="single" w:color="auto" w:sz="4" w:space="0"/>
              <w:bottom w:val="single" w:color="auto" w:sz="4" w:space="0"/>
              <w:right w:val="single" w:color="auto" w:sz="4" w:space="0"/>
            </w:tcBorders>
            <w:vAlign w:val="center"/>
          </w:tcPr>
          <w:p w14:paraId="60C5072D">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项目及其说明</w:t>
            </w:r>
          </w:p>
        </w:tc>
        <w:tc>
          <w:tcPr>
            <w:tcW w:w="1800" w:type="dxa"/>
            <w:tcBorders>
              <w:top w:val="single" w:color="auto" w:sz="4" w:space="0"/>
              <w:left w:val="single" w:color="auto" w:sz="4" w:space="0"/>
              <w:bottom w:val="single" w:color="auto" w:sz="4" w:space="0"/>
              <w:right w:val="single" w:color="auto" w:sz="4" w:space="0"/>
            </w:tcBorders>
            <w:vAlign w:val="center"/>
          </w:tcPr>
          <w:p w14:paraId="4160C63D">
            <w:pPr>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违约金（元/天）</w:t>
            </w:r>
          </w:p>
        </w:tc>
        <w:tc>
          <w:tcPr>
            <w:tcW w:w="1880" w:type="dxa"/>
            <w:tcBorders>
              <w:top w:val="single" w:color="auto" w:sz="4" w:space="0"/>
              <w:left w:val="single" w:color="auto" w:sz="4" w:space="0"/>
              <w:bottom w:val="single" w:color="auto" w:sz="4" w:space="0"/>
              <w:right w:val="single" w:color="auto" w:sz="4" w:space="0"/>
            </w:tcBorders>
            <w:vAlign w:val="center"/>
          </w:tcPr>
          <w:p w14:paraId="7E778371">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70F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14:paraId="3CAAD933">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3360" w:type="dxa"/>
            <w:tcBorders>
              <w:top w:val="single" w:color="auto" w:sz="4" w:space="0"/>
              <w:left w:val="single" w:color="auto" w:sz="4" w:space="0"/>
              <w:bottom w:val="single" w:color="auto" w:sz="4" w:space="0"/>
              <w:right w:val="single" w:color="auto" w:sz="4" w:space="0"/>
            </w:tcBorders>
            <w:vAlign w:val="center"/>
          </w:tcPr>
          <w:p w14:paraId="42A0C9B4">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70BFCE9">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1880" w:type="dxa"/>
            <w:tcBorders>
              <w:top w:val="single" w:color="auto" w:sz="4" w:space="0"/>
              <w:left w:val="single" w:color="auto" w:sz="4" w:space="0"/>
              <w:bottom w:val="single" w:color="auto" w:sz="4" w:space="0"/>
              <w:right w:val="single" w:color="auto" w:sz="4" w:space="0"/>
            </w:tcBorders>
            <w:vAlign w:val="center"/>
          </w:tcPr>
          <w:p w14:paraId="2CC2473F">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r>
      <w:tr w14:paraId="6903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880" w:type="dxa"/>
            <w:tcBorders>
              <w:top w:val="single" w:color="auto" w:sz="4" w:space="0"/>
              <w:left w:val="single" w:color="auto" w:sz="4" w:space="0"/>
              <w:bottom w:val="single" w:color="auto" w:sz="4" w:space="0"/>
              <w:right w:val="single" w:color="auto" w:sz="4" w:space="0"/>
            </w:tcBorders>
            <w:vAlign w:val="center"/>
          </w:tcPr>
          <w:p w14:paraId="03B59602">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3360" w:type="dxa"/>
            <w:tcBorders>
              <w:top w:val="single" w:color="auto" w:sz="4" w:space="0"/>
              <w:left w:val="single" w:color="auto" w:sz="4" w:space="0"/>
              <w:bottom w:val="single" w:color="auto" w:sz="4" w:space="0"/>
              <w:right w:val="single" w:color="auto" w:sz="4" w:space="0"/>
            </w:tcBorders>
            <w:vAlign w:val="center"/>
          </w:tcPr>
          <w:p w14:paraId="1B1EDBEA">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1FB2548">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c>
          <w:tcPr>
            <w:tcW w:w="1880" w:type="dxa"/>
            <w:tcBorders>
              <w:top w:val="single" w:color="auto" w:sz="4" w:space="0"/>
              <w:left w:val="single" w:color="auto" w:sz="4" w:space="0"/>
              <w:bottom w:val="single" w:color="auto" w:sz="4" w:space="0"/>
              <w:right w:val="single" w:color="auto" w:sz="4" w:space="0"/>
            </w:tcBorders>
            <w:vAlign w:val="center"/>
          </w:tcPr>
          <w:p w14:paraId="3624AC19">
            <w:pPr>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sz w:val="24"/>
                <w:szCs w:val="24"/>
                <w:highlight w:val="none"/>
              </w:rPr>
            </w:pPr>
          </w:p>
        </w:tc>
      </w:tr>
    </w:tbl>
    <w:p w14:paraId="22A5DFDC">
      <w:pPr>
        <w:pageBreakBefore w:val="0"/>
        <w:numPr>
          <w:ilvl w:val="0"/>
          <w:numId w:val="5"/>
        </w:numPr>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w:t>
      </w:r>
      <w:r>
        <w:rPr>
          <w:rFonts w:hint="eastAsia" w:ascii="宋体" w:hAnsi="宋体" w:eastAsia="宋体" w:cs="宋体"/>
          <w:sz w:val="24"/>
          <w:szCs w:val="24"/>
          <w:highlight w:val="none"/>
        </w:rPr>
        <w:t>包人工期延误超过</w:t>
      </w:r>
      <w:r>
        <w:rPr>
          <w:rFonts w:hint="eastAsia" w:ascii="宋体" w:hAnsi="宋体" w:eastAsia="宋体" w:cs="宋体"/>
          <w:sz w:val="24"/>
          <w:szCs w:val="24"/>
          <w:highlight w:val="none"/>
          <w:u w:val="single"/>
          <w:lang w:eastAsia="zh-CN"/>
        </w:rPr>
        <w:t>5</w:t>
      </w:r>
      <w:r>
        <w:rPr>
          <w:rFonts w:hint="eastAsia" w:ascii="宋体" w:hAnsi="宋体" w:eastAsia="宋体" w:cs="宋体"/>
          <w:sz w:val="24"/>
          <w:szCs w:val="24"/>
          <w:highlight w:val="none"/>
        </w:rPr>
        <w:t>天，除承包人应承担违约责任外，发包人有权解除合同并另行指定其它施工企业进场施工</w:t>
      </w:r>
      <w:r>
        <w:rPr>
          <w:rFonts w:hint="eastAsia" w:ascii="宋体" w:hAnsi="宋体" w:eastAsia="宋体" w:cs="宋体"/>
          <w:color w:val="000000"/>
          <w:sz w:val="24"/>
          <w:szCs w:val="24"/>
          <w:highlight w:val="none"/>
        </w:rPr>
        <w:t>。承包人应在接到发包人解除合同的通知后30天内，与发包人结清已完工程价款，否则视为承包人放弃此项权利。</w:t>
      </w:r>
    </w:p>
    <w:p w14:paraId="0708FD58">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12.</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暂停施工</w:t>
      </w:r>
    </w:p>
    <w:p w14:paraId="00B34F0A">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承包人暂停施工的责任</w:t>
      </w:r>
    </w:p>
    <w:p w14:paraId="07BEE2CD">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本款“专用合同条款约定由承包人承担的其他暂停施工”包括：</w:t>
      </w:r>
    </w:p>
    <w:p w14:paraId="5868B120">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①由于现场非异常恶劣气候条件引起的正常停工；</w:t>
      </w:r>
    </w:p>
    <w:p w14:paraId="1BB87DAC">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②承包人工会组织的和（或）承包人未履行或未全部履行规定的义务引起的工人罢工；</w:t>
      </w:r>
    </w:p>
    <w:p w14:paraId="5BC9641A">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③由于承包人未准备备用电源或备用电源不能满足施工需要，因项目区停电（3天以内）引起的暂停施工；</w:t>
      </w:r>
    </w:p>
    <w:p w14:paraId="58A7316C">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④承包人未按第7.1项约定，对发包人提供的道路和交通设施进行维修、养护和管理或管理不善导致交通中断而引起的暂停施工。</w:t>
      </w:r>
    </w:p>
    <w:p w14:paraId="620E8C76">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试验和检验</w:t>
      </w:r>
    </w:p>
    <w:p w14:paraId="0289288C">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现场材料试验</w:t>
      </w:r>
    </w:p>
    <w:p w14:paraId="5C6F92E3">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本条增加：</w:t>
      </w:r>
    </w:p>
    <w:p w14:paraId="4ED27F45">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监理人认为材料试验需送省、市级质检部门试验时，承包人应经监理人见证取样后送上述质检部门进行试验，费用由承包人承担。</w:t>
      </w:r>
    </w:p>
    <w:p w14:paraId="5B683C84">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4</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变更</w:t>
      </w:r>
    </w:p>
    <w:p w14:paraId="6149F6B9">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变更的范围和内容</w:t>
      </w:r>
    </w:p>
    <w:p w14:paraId="3874655F">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无论增加或减少工程量，其《工程量清单》中的单价均不作调整，对变更部分，承包人应无条件接受甲方要求。</w:t>
      </w:r>
    </w:p>
    <w:p w14:paraId="5EFE2839">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变更的估价原则：</w:t>
      </w:r>
    </w:p>
    <w:p w14:paraId="3D3048CD">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中有适用的按已有适用的综合单价确定，有类似的综合单价参照类似的综合单价确定（即换算执行）。已标价工程量清单中无适用或类似子目的单价，可按照成本加利润的原则，由监理人按第3.1款商定或确定变更工作的单价或参照国家相关部门颁发的定额子目按投标报价的编制水平编制补充单价并报发包人批准。</w:t>
      </w:r>
    </w:p>
    <w:p w14:paraId="7EB07D63">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 价格调整</w:t>
      </w:r>
    </w:p>
    <w:p w14:paraId="7A0ED669">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 物价波动引起的价格调整</w:t>
      </w:r>
    </w:p>
    <w:p w14:paraId="676F676B">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合同履行期间，均不考虑物价波动</w:t>
      </w:r>
    </w:p>
    <w:p w14:paraId="1DF2EB1E">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 计量与支付</w:t>
      </w:r>
    </w:p>
    <w:p w14:paraId="32176C88">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工程进度付款：</w:t>
      </w:r>
    </w:p>
    <w:p w14:paraId="5110681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bookmarkStart w:id="295" w:name="_Toc27339"/>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、合同签订后10个工作日内，预付合同价的40%；</w:t>
      </w:r>
      <w:bookmarkEnd w:id="295"/>
    </w:p>
    <w:p w14:paraId="240C5D3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bookmarkStart w:id="296" w:name="_Toc14530"/>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、工程进度款按照形象进度分阶段支付，工程款付至合同价的70%；</w:t>
      </w:r>
      <w:bookmarkEnd w:id="296"/>
    </w:p>
    <w:p w14:paraId="4DEA707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1"/>
        <w:rPr>
          <w:rFonts w:hint="eastAsia" w:ascii="宋体" w:hAnsi="宋体" w:eastAsia="宋体" w:cs="宋体"/>
          <w:kern w:val="2"/>
          <w:sz w:val="24"/>
          <w:szCs w:val="24"/>
          <w:highlight w:val="none"/>
          <w:lang w:val="en-US" w:eastAsia="zh-CN" w:bidi="ar-SA"/>
        </w:rPr>
      </w:pPr>
      <w:bookmarkStart w:id="297" w:name="_Toc17736"/>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、工程竣工、结算、审计、验收后，所余款30%依照结算办法一次结清。</w:t>
      </w:r>
      <w:bookmarkEnd w:id="297"/>
    </w:p>
    <w:p w14:paraId="08D4B635">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合同价款及调整：</w:t>
      </w:r>
    </w:p>
    <w:p w14:paraId="6F3BE0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bookmarkStart w:id="298" w:name="_Toc22111"/>
      <w:bookmarkStart w:id="299" w:name="_Toc30436"/>
      <w:r>
        <w:rPr>
          <w:rFonts w:hint="eastAsia" w:ascii="宋体" w:hAnsi="宋体" w:eastAsia="宋体" w:cs="宋体"/>
          <w:sz w:val="24"/>
          <w:szCs w:val="24"/>
          <w:highlight w:val="none"/>
        </w:rPr>
        <w:t>本合同价款采用固定总价方式确定，合同总价一次包死，除合同约定的情形外，固定不变。</w:t>
      </w:r>
      <w:bookmarkEnd w:id="298"/>
      <w:bookmarkEnd w:id="299"/>
    </w:p>
    <w:p w14:paraId="38006843">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18.工程检验和验收</w:t>
      </w:r>
    </w:p>
    <w:p w14:paraId="5B957B4C">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18.1承包人的主要材料必须严格按照设计要求进行采买，无条件接受甲方及监理方的检验和验收。并于竣工验收后10个工作日内，交竣工图及资料文件</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套。</w:t>
      </w:r>
    </w:p>
    <w:p w14:paraId="70D9E61B">
      <w:pPr>
        <w:pageBreakBefore w:val="0"/>
        <w:numPr>
          <w:ilvl w:val="0"/>
          <w:numId w:val="6"/>
        </w:numPr>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缺陷责任与保修责任</w:t>
      </w:r>
    </w:p>
    <w:p w14:paraId="3B136204">
      <w:pPr>
        <w:pageBreakBefore w:val="0"/>
        <w:kinsoku/>
        <w:wordWrap/>
        <w:overflowPunct/>
        <w:topLinePunct w:val="0"/>
        <w:autoSpaceDE/>
        <w:autoSpaceDN/>
        <w:bidi w:val="0"/>
        <w:spacing w:line="360" w:lineRule="auto"/>
        <w:ind w:right="-199" w:rightChars="-95" w:firstLine="480" w:firstLineChars="20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19.1</w:t>
      </w:r>
      <w:r>
        <w:rPr>
          <w:rFonts w:hint="eastAsia" w:ascii="宋体" w:hAnsi="宋体" w:eastAsia="宋体" w:cs="宋体"/>
          <w:color w:val="000000"/>
          <w:sz w:val="24"/>
          <w:szCs w:val="24"/>
          <w:highlight w:val="none"/>
          <w:lang w:val="en-US" w:eastAsia="zh-CN"/>
        </w:rPr>
        <w:t>缺陷责任期</w:t>
      </w:r>
      <w:r>
        <w:rPr>
          <w:rFonts w:hint="eastAsia" w:ascii="宋体" w:hAnsi="宋体" w:eastAsia="宋体" w:cs="宋体"/>
          <w:color w:val="000000"/>
          <w:sz w:val="24"/>
          <w:szCs w:val="24"/>
          <w:highlight w:val="none"/>
          <w:lang w:val="zh-CN"/>
        </w:rPr>
        <w:t>为:</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lang w:val="zh-CN"/>
        </w:rPr>
        <w:t>个月，若</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lang w:val="zh-CN"/>
        </w:rPr>
        <w:t>承诺保修期限超过竞争性磋商文件要求，按其承诺执行。</w:t>
      </w:r>
    </w:p>
    <w:p w14:paraId="3C56C343">
      <w:pPr>
        <w:pageBreakBefore w:val="0"/>
        <w:kinsoku/>
        <w:wordWrap/>
        <w:overflowPunct/>
        <w:topLinePunct w:val="0"/>
        <w:autoSpaceDE/>
        <w:autoSpaceDN/>
        <w:bidi w:val="0"/>
        <w:spacing w:line="360" w:lineRule="auto"/>
        <w:ind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rPr>
        <w:t>（工程质量保修期）的起算时间</w:t>
      </w:r>
    </w:p>
    <w:p w14:paraId="7FE11249">
      <w:pPr>
        <w:pageBreakBefore w:val="0"/>
        <w:kinsoku/>
        <w:wordWrap/>
        <w:overflowPunct/>
        <w:topLinePunct w:val="0"/>
        <w:autoSpaceDE/>
        <w:autoSpaceDN/>
        <w:bidi w:val="0"/>
        <w:spacing w:line="360" w:lineRule="auto"/>
        <w:ind w:left="17" w:leftChars="8" w:right="-199" w:rightChars="-9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本工程</w:t>
      </w:r>
      <w:r>
        <w:rPr>
          <w:rFonts w:hint="eastAsia" w:ascii="宋体" w:hAnsi="宋体" w:eastAsia="宋体" w:cs="宋体"/>
          <w:color w:val="000000"/>
          <w:sz w:val="24"/>
          <w:szCs w:val="24"/>
          <w:highlight w:val="none"/>
          <w:lang w:eastAsia="zh-CN"/>
        </w:rPr>
        <w:t>质保期</w:t>
      </w:r>
      <w:r>
        <w:rPr>
          <w:rFonts w:hint="eastAsia" w:ascii="宋体" w:hAnsi="宋体" w:eastAsia="宋体" w:cs="宋体"/>
          <w:color w:val="000000"/>
          <w:sz w:val="24"/>
          <w:szCs w:val="24"/>
          <w:highlight w:val="none"/>
        </w:rPr>
        <w:t>（工程质量保修期）如下：工程验收合格后</w:t>
      </w:r>
      <w:r>
        <w:rPr>
          <w:rFonts w:hint="eastAsia" w:ascii="宋体" w:hAnsi="宋体" w:eastAsia="宋体" w:cs="宋体"/>
          <w:color w:val="000000"/>
          <w:sz w:val="24"/>
          <w:szCs w:val="24"/>
          <w:highlight w:val="none"/>
          <w:lang w:val="en-US" w:eastAsia="zh-CN"/>
        </w:rPr>
        <w:t>24个月</w:t>
      </w:r>
      <w:r>
        <w:rPr>
          <w:rFonts w:hint="eastAsia" w:ascii="宋体" w:hAnsi="宋体" w:eastAsia="宋体" w:cs="宋体"/>
          <w:color w:val="000000"/>
          <w:sz w:val="24"/>
          <w:szCs w:val="24"/>
          <w:highlight w:val="none"/>
        </w:rPr>
        <w:t>。</w:t>
      </w:r>
    </w:p>
    <w:p w14:paraId="05E2F52B">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20 保险</w:t>
      </w:r>
    </w:p>
    <w:p w14:paraId="4CB4DF70">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(1)工程保险与第三者责任险</w:t>
      </w:r>
    </w:p>
    <w:p w14:paraId="60A6043F">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建筑安装工程一切险(包括材料和工程设备)费用及第三者责任险：承包人承担。</w:t>
      </w:r>
    </w:p>
    <w:p w14:paraId="7ABDB3C1">
      <w:pPr>
        <w:pageBreakBefore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(2)本工程所涉及安全问题及安全责任、保险等，一律由供应商承担，供应商应在标书中进行安全承诺书，保证施工期间的安全问题，并在签订合同的同时与</w:t>
      </w:r>
      <w:r>
        <w:rPr>
          <w:rFonts w:hint="eastAsia" w:ascii="宋体" w:hAnsi="宋体" w:cs="宋体"/>
          <w:b/>
          <w:bCs/>
          <w:sz w:val="24"/>
          <w:szCs w:val="24"/>
          <w:highlight w:val="none"/>
          <w:lang w:eastAsia="zh-CN"/>
        </w:rPr>
        <w:t>甲方</w:t>
      </w:r>
      <w:r>
        <w:rPr>
          <w:rFonts w:hint="eastAsia" w:ascii="宋体" w:hAnsi="宋体" w:eastAsia="宋体" w:cs="宋体"/>
          <w:b/>
          <w:bCs/>
          <w:sz w:val="24"/>
          <w:szCs w:val="24"/>
          <w:highlight w:val="none"/>
        </w:rPr>
        <w:t>签订安全协议书。</w:t>
      </w:r>
    </w:p>
    <w:p w14:paraId="28FE5532">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 xml:space="preserve"> 违约</w:t>
      </w:r>
    </w:p>
    <w:p w14:paraId="195D419B">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承包人违约</w:t>
      </w:r>
    </w:p>
    <w:p w14:paraId="74A8F129">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本款增加以下内容：承包人在接到开工通知后</w:t>
      </w:r>
      <w:r>
        <w:rPr>
          <w:rFonts w:hint="eastAsia" w:ascii="宋体" w:hAnsi="宋体" w:eastAsia="宋体" w:cs="宋体"/>
          <w:color w:val="000000"/>
          <w:sz w:val="24"/>
          <w:szCs w:val="24"/>
          <w:highlight w:val="none"/>
          <w:u w:val="single"/>
        </w:rPr>
        <w:t xml:space="preserve"> 10 </w:t>
      </w:r>
      <w:r>
        <w:rPr>
          <w:rFonts w:hint="eastAsia" w:ascii="宋体" w:hAnsi="宋体" w:eastAsia="宋体" w:cs="宋体"/>
          <w:color w:val="000000"/>
          <w:sz w:val="24"/>
          <w:szCs w:val="24"/>
          <w:highlight w:val="none"/>
        </w:rPr>
        <w:t>天内，未能按</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及合同条款中承诺的人员、施工设备按时、如数进入工地，承包人项目经理、专职安全员驻工地时间少于合同约定天数，致使本标段工程的进度、质量、安全造成严重影响。</w:t>
      </w:r>
    </w:p>
    <w:p w14:paraId="14897266">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争议的解决</w:t>
      </w:r>
    </w:p>
    <w:p w14:paraId="7997CFB9">
      <w:pPr>
        <w:pageBreakBefore w:val="0"/>
        <w:kinsoku/>
        <w:wordWrap/>
        <w:overflowPunct/>
        <w:topLinePunct w:val="0"/>
        <w:autoSpaceDE/>
        <w:autoSpaceDN/>
        <w:bidi w:val="0"/>
        <w:spacing w:line="360" w:lineRule="auto"/>
        <w:ind w:right="-199" w:rightChars="-95"/>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争议的解决方式</w:t>
      </w:r>
    </w:p>
    <w:p w14:paraId="7453B5F5">
      <w:pPr>
        <w:pageBreakBefore w:val="0"/>
        <w:kinsoku/>
        <w:wordWrap/>
        <w:overflowPunct/>
        <w:topLinePunct w:val="0"/>
        <w:autoSpaceDE/>
        <w:autoSpaceDN/>
        <w:bidi w:val="0"/>
        <w:spacing w:line="360" w:lineRule="auto"/>
        <w:ind w:left="10" w:right="-199" w:rightChars="-95"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要向发包人所在辖区人民法院</w:t>
      </w:r>
      <w:r>
        <w:rPr>
          <w:rFonts w:hint="eastAsia" w:ascii="宋体" w:hAnsi="宋体" w:eastAsia="宋体" w:cs="宋体"/>
          <w:color w:val="000000"/>
          <w:sz w:val="24"/>
          <w:szCs w:val="24"/>
          <w:highlight w:val="none"/>
          <w:lang w:val="en-US" w:eastAsia="zh-CN"/>
        </w:rPr>
        <w:t>提起诉讼</w:t>
      </w:r>
      <w:r>
        <w:rPr>
          <w:rFonts w:hint="eastAsia" w:ascii="宋体" w:hAnsi="宋体" w:eastAsia="宋体" w:cs="宋体"/>
          <w:color w:val="000000"/>
          <w:sz w:val="24"/>
          <w:szCs w:val="24"/>
          <w:highlight w:val="none"/>
        </w:rPr>
        <w:t>。</w:t>
      </w:r>
    </w:p>
    <w:p w14:paraId="2437DBDD">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60"/>
      </w:tblGrid>
      <w:tr w14:paraId="7207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3313EB6A">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发包人：</w:t>
            </w:r>
          </w:p>
        </w:tc>
        <w:tc>
          <w:tcPr>
            <w:tcW w:w="4560" w:type="dxa"/>
            <w:tcBorders>
              <w:top w:val="single" w:color="auto" w:sz="4" w:space="0"/>
              <w:left w:val="single" w:color="auto" w:sz="4" w:space="0"/>
              <w:bottom w:val="single" w:color="auto" w:sz="4" w:space="0"/>
              <w:right w:val="single" w:color="auto" w:sz="4" w:space="0"/>
            </w:tcBorders>
            <w:vAlign w:val="center"/>
          </w:tcPr>
          <w:p w14:paraId="5B2C3F0A">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承包人：</w:t>
            </w:r>
          </w:p>
        </w:tc>
      </w:tr>
      <w:tr w14:paraId="21A8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450D8AF4">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560" w:type="dxa"/>
            <w:tcBorders>
              <w:top w:val="single" w:color="auto" w:sz="4" w:space="0"/>
              <w:left w:val="single" w:color="auto" w:sz="4" w:space="0"/>
              <w:bottom w:val="single" w:color="auto" w:sz="4" w:space="0"/>
              <w:right w:val="single" w:color="auto" w:sz="4" w:space="0"/>
            </w:tcBorders>
            <w:vAlign w:val="center"/>
          </w:tcPr>
          <w:p w14:paraId="3ABEF5BF">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461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73FDC5E5">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　</w:t>
            </w:r>
          </w:p>
        </w:tc>
        <w:tc>
          <w:tcPr>
            <w:tcW w:w="4560" w:type="dxa"/>
            <w:tcBorders>
              <w:top w:val="single" w:color="auto" w:sz="4" w:space="0"/>
              <w:left w:val="single" w:color="auto" w:sz="4" w:space="0"/>
              <w:bottom w:val="single" w:color="auto" w:sz="4" w:space="0"/>
              <w:right w:val="single" w:color="auto" w:sz="4" w:space="0"/>
            </w:tcBorders>
            <w:vAlign w:val="center"/>
          </w:tcPr>
          <w:p w14:paraId="39FBAC7E">
            <w:pPr>
              <w:pageBreakBefore w:val="0"/>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w:t>
            </w:r>
          </w:p>
        </w:tc>
      </w:tr>
      <w:tr w14:paraId="2C45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20D2245B">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技术确认：        </w:t>
            </w:r>
          </w:p>
        </w:tc>
        <w:tc>
          <w:tcPr>
            <w:tcW w:w="4560" w:type="dxa"/>
            <w:tcBorders>
              <w:top w:val="single" w:color="auto" w:sz="4" w:space="0"/>
              <w:left w:val="single" w:color="auto" w:sz="4" w:space="0"/>
              <w:bottom w:val="single" w:color="auto" w:sz="4" w:space="0"/>
              <w:right w:val="single" w:color="auto" w:sz="4" w:space="0"/>
            </w:tcBorders>
            <w:vAlign w:val="center"/>
          </w:tcPr>
          <w:p w14:paraId="4D9A6058">
            <w:pPr>
              <w:pageBreakBefore w:val="0"/>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技术确认：</w:t>
            </w:r>
          </w:p>
        </w:tc>
      </w:tr>
      <w:tr w14:paraId="473A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0BF1686F">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4560" w:type="dxa"/>
            <w:tcBorders>
              <w:top w:val="single" w:color="auto" w:sz="4" w:space="0"/>
              <w:left w:val="single" w:color="auto" w:sz="4" w:space="0"/>
              <w:bottom w:val="single" w:color="auto" w:sz="4" w:space="0"/>
              <w:right w:val="single" w:color="auto" w:sz="4" w:space="0"/>
            </w:tcBorders>
            <w:vAlign w:val="center"/>
          </w:tcPr>
          <w:p w14:paraId="42C9EBAF">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3BE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6295237F">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tc>
        <w:tc>
          <w:tcPr>
            <w:tcW w:w="4560" w:type="dxa"/>
            <w:tcBorders>
              <w:top w:val="single" w:color="auto" w:sz="4" w:space="0"/>
              <w:left w:val="single" w:color="auto" w:sz="4" w:space="0"/>
              <w:bottom w:val="single" w:color="auto" w:sz="4" w:space="0"/>
              <w:right w:val="single" w:color="auto" w:sz="4" w:space="0"/>
            </w:tcBorders>
            <w:vAlign w:val="center"/>
          </w:tcPr>
          <w:p w14:paraId="1D7306C1">
            <w:pPr>
              <w:pageBreakBefore w:val="0"/>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tc>
      </w:tr>
      <w:tr w14:paraId="5E02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0A5B13C2">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560" w:type="dxa"/>
            <w:tcBorders>
              <w:top w:val="single" w:color="auto" w:sz="4" w:space="0"/>
              <w:left w:val="single" w:color="auto" w:sz="4" w:space="0"/>
              <w:bottom w:val="single" w:color="auto" w:sz="4" w:space="0"/>
              <w:right w:val="single" w:color="auto" w:sz="4" w:space="0"/>
            </w:tcBorders>
            <w:vAlign w:val="center"/>
          </w:tcPr>
          <w:p w14:paraId="47EAB7AD">
            <w:pPr>
              <w:pageBreakBefore w:val="0"/>
              <w:tabs>
                <w:tab w:val="left" w:pos="5355"/>
              </w:tabs>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r w14:paraId="423D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60" w:type="dxa"/>
            <w:tcBorders>
              <w:top w:val="single" w:color="auto" w:sz="4" w:space="0"/>
              <w:left w:val="single" w:color="auto" w:sz="4" w:space="0"/>
              <w:bottom w:val="single" w:color="auto" w:sz="4" w:space="0"/>
              <w:right w:val="single" w:color="auto" w:sz="4" w:space="0"/>
            </w:tcBorders>
            <w:vAlign w:val="center"/>
          </w:tcPr>
          <w:p w14:paraId="1926D2FE">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日期：年 月  日</w:t>
            </w:r>
          </w:p>
        </w:tc>
        <w:tc>
          <w:tcPr>
            <w:tcW w:w="4560" w:type="dxa"/>
            <w:tcBorders>
              <w:top w:val="single" w:color="auto" w:sz="4" w:space="0"/>
              <w:left w:val="single" w:color="auto" w:sz="4" w:space="0"/>
              <w:bottom w:val="single" w:color="auto" w:sz="4" w:space="0"/>
              <w:right w:val="single" w:color="auto" w:sz="4" w:space="0"/>
            </w:tcBorders>
            <w:vAlign w:val="center"/>
          </w:tcPr>
          <w:p w14:paraId="6981303F">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日期：年 月 日</w:t>
            </w:r>
          </w:p>
        </w:tc>
      </w:tr>
    </w:tbl>
    <w:p w14:paraId="30F4038E">
      <w:pPr>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sz w:val="24"/>
          <w:szCs w:val="24"/>
          <w:highlight w:val="none"/>
        </w:rPr>
      </w:pPr>
    </w:p>
    <w:p w14:paraId="6ECBFB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注：本合同仅为确定签约人后所签订合同的样本文件，具体合同内容将可能进一步调整。</w:t>
      </w:r>
    </w:p>
    <w:p w14:paraId="71DCAB4C">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p>
    <w:p w14:paraId="6C2CF425">
      <w:pPr>
        <w:rPr>
          <w:rFonts w:hint="eastAsia"/>
          <w:b/>
          <w:bCs/>
          <w:color w:val="auto"/>
          <w:sz w:val="36"/>
          <w:szCs w:val="36"/>
          <w:lang w:eastAsia="zh-CN"/>
        </w:rPr>
      </w:pPr>
      <w:r>
        <w:rPr>
          <w:rFonts w:hint="eastAsia"/>
          <w:b/>
          <w:bCs/>
          <w:color w:val="auto"/>
          <w:sz w:val="36"/>
          <w:szCs w:val="36"/>
          <w:lang w:eastAsia="zh-CN"/>
        </w:rPr>
        <w:br w:type="page"/>
      </w:r>
    </w:p>
    <w:p w14:paraId="682B9A0B">
      <w:pPr>
        <w:numPr>
          <w:ilvl w:val="0"/>
          <w:numId w:val="7"/>
        </w:numPr>
        <w:bidi w:val="0"/>
        <w:jc w:val="center"/>
        <w:outlineLvl w:val="0"/>
        <w:rPr>
          <w:rFonts w:hint="eastAsia"/>
          <w:b/>
          <w:bCs/>
          <w:color w:val="auto"/>
          <w:sz w:val="36"/>
          <w:szCs w:val="36"/>
          <w:lang w:eastAsia="zh-CN"/>
        </w:rPr>
      </w:pPr>
      <w:r>
        <w:rPr>
          <w:rFonts w:hint="eastAsia"/>
          <w:b/>
          <w:bCs/>
          <w:color w:val="auto"/>
          <w:sz w:val="36"/>
          <w:szCs w:val="36"/>
          <w:lang w:val="en-US" w:eastAsia="zh-CN"/>
        </w:rPr>
        <w:t xml:space="preserve"> </w:t>
      </w:r>
      <w:bookmarkStart w:id="300" w:name="_Toc27960"/>
      <w:r>
        <w:rPr>
          <w:rFonts w:hint="eastAsia"/>
          <w:b/>
          <w:bCs/>
          <w:color w:val="auto"/>
          <w:sz w:val="36"/>
          <w:szCs w:val="36"/>
          <w:lang w:eastAsia="zh-CN"/>
        </w:rPr>
        <w:t>工程量清单</w:t>
      </w:r>
      <w:bookmarkEnd w:id="300"/>
    </w:p>
    <w:p w14:paraId="6EF58B5C">
      <w:pPr>
        <w:numPr>
          <w:ilvl w:val="0"/>
          <w:numId w:val="0"/>
        </w:numPr>
        <w:outlineLvl w:val="9"/>
        <w:rPr>
          <w:rFonts w:hint="eastAsia"/>
          <w:color w:val="auto"/>
          <w:lang w:eastAsia="zh-CN"/>
        </w:rPr>
      </w:pPr>
    </w:p>
    <w:bookmarkEnd w:id="277"/>
    <w:bookmarkEnd w:id="278"/>
    <w:bookmarkEnd w:id="279"/>
    <w:p w14:paraId="4656E302">
      <w:pPr>
        <w:jc w:val="center"/>
        <w:rPr>
          <w:rFonts w:hint="eastAsia"/>
          <w:b/>
          <w:bCs/>
          <w:color w:val="auto"/>
          <w:sz w:val="36"/>
          <w:szCs w:val="36"/>
          <w:lang w:eastAsia="zh-CN"/>
        </w:rPr>
      </w:pPr>
      <w:bookmarkStart w:id="301" w:name="_Toc4993"/>
      <w:bookmarkStart w:id="302" w:name="_Toc14374"/>
      <w:bookmarkStart w:id="303" w:name="_Toc21629"/>
      <w:bookmarkStart w:id="304" w:name="_Toc513557045"/>
      <w:r>
        <w:rPr>
          <w:rFonts w:hint="eastAsia"/>
          <w:b w:val="0"/>
          <w:bCs w:val="0"/>
          <w:color w:val="auto"/>
          <w:sz w:val="24"/>
          <w:szCs w:val="24"/>
          <w:lang w:val="en-US" w:eastAsia="zh-CN"/>
        </w:rPr>
        <w:t>（另附）</w:t>
      </w:r>
      <w:r>
        <w:rPr>
          <w:rFonts w:hint="eastAsia"/>
          <w:b/>
          <w:bCs/>
          <w:color w:val="auto"/>
          <w:sz w:val="36"/>
          <w:szCs w:val="36"/>
          <w:lang w:eastAsia="zh-CN"/>
        </w:rPr>
        <w:br w:type="page"/>
      </w:r>
    </w:p>
    <w:p w14:paraId="518118FF">
      <w:pPr>
        <w:jc w:val="center"/>
        <w:outlineLvl w:val="0"/>
        <w:rPr>
          <w:rFonts w:hint="eastAsia" w:hAnsi="宋体"/>
          <w:b/>
          <w:bCs/>
          <w:color w:val="auto"/>
          <w:szCs w:val="44"/>
          <w:lang w:eastAsia="zh-CN"/>
        </w:rPr>
      </w:pPr>
      <w:bookmarkStart w:id="305" w:name="_Toc30381"/>
      <w:r>
        <w:rPr>
          <w:rFonts w:hint="eastAsia"/>
          <w:b/>
          <w:bCs/>
          <w:color w:val="auto"/>
          <w:sz w:val="36"/>
          <w:szCs w:val="36"/>
          <w:lang w:eastAsia="zh-CN"/>
        </w:rPr>
        <w:t>第</w:t>
      </w:r>
      <w:r>
        <w:rPr>
          <w:rFonts w:hint="eastAsia"/>
          <w:b/>
          <w:bCs/>
          <w:color w:val="auto"/>
          <w:sz w:val="36"/>
          <w:szCs w:val="36"/>
          <w:lang w:val="en-US" w:eastAsia="zh-CN"/>
        </w:rPr>
        <w:t>七</w:t>
      </w:r>
      <w:r>
        <w:rPr>
          <w:rFonts w:hint="eastAsia"/>
          <w:b/>
          <w:bCs/>
          <w:color w:val="auto"/>
          <w:sz w:val="36"/>
          <w:szCs w:val="36"/>
          <w:lang w:eastAsia="zh-CN"/>
        </w:rPr>
        <w:t>章  竞争性磋商响应文件格式</w:t>
      </w:r>
      <w:bookmarkEnd w:id="301"/>
      <w:bookmarkEnd w:id="302"/>
      <w:bookmarkEnd w:id="305"/>
    </w:p>
    <w:p w14:paraId="00E61825">
      <w:pPr>
        <w:spacing w:line="360" w:lineRule="auto"/>
        <w:jc w:val="both"/>
        <w:outlineLvl w:val="9"/>
        <w:rPr>
          <w:rFonts w:hint="eastAsia" w:hAnsi="宋体"/>
          <w:b/>
          <w:color w:val="auto"/>
          <w:sz w:val="44"/>
          <w:szCs w:val="44"/>
          <w:lang w:eastAsia="zh-CN"/>
        </w:rPr>
      </w:pPr>
    </w:p>
    <w:p w14:paraId="2BB6499A">
      <w:pPr>
        <w:spacing w:line="360" w:lineRule="auto"/>
        <w:jc w:val="left"/>
        <w:outlineLvl w:val="9"/>
        <w:rPr>
          <w:rFonts w:hint="eastAsia" w:ascii="宋体" w:hAnsi="宋体" w:cs="仿宋_GB2312"/>
          <w:b/>
          <w:color w:val="auto"/>
          <w:sz w:val="32"/>
          <w:szCs w:val="22"/>
          <w:lang w:eastAsia="zh-CN"/>
        </w:rPr>
      </w:pPr>
      <w:bookmarkStart w:id="306" w:name="_Toc1997"/>
      <w:bookmarkStart w:id="307" w:name="_Toc11120"/>
      <w:bookmarkStart w:id="308" w:name="_Toc20828"/>
      <w:bookmarkStart w:id="309" w:name="_Toc18625"/>
      <w:bookmarkStart w:id="310" w:name="_Toc31931"/>
      <w:r>
        <w:rPr>
          <w:rFonts w:hint="eastAsia" w:ascii="宋体" w:hAnsi="宋体" w:cs="仿宋_GB2312"/>
          <w:b/>
          <w:color w:val="auto"/>
          <w:sz w:val="32"/>
          <w:szCs w:val="22"/>
          <w:lang w:eastAsia="zh-CN"/>
        </w:rPr>
        <w:t>采购项目编号：</w:t>
      </w:r>
      <w:r>
        <w:rPr>
          <w:rFonts w:hint="eastAsia" w:ascii="宋体" w:hAnsi="宋体" w:cs="仿宋_GB2312"/>
          <w:b/>
          <w:color w:val="auto"/>
          <w:sz w:val="32"/>
          <w:szCs w:val="22"/>
          <w:lang w:val="en-US" w:eastAsia="zh-CN"/>
        </w:rPr>
        <w:t xml:space="preserve"> </w:t>
      </w:r>
      <w:r>
        <w:rPr>
          <w:rFonts w:hint="eastAsia" w:ascii="宋体" w:hAnsi="宋体" w:cs="仿宋_GB2312"/>
          <w:b/>
          <w:color w:val="auto"/>
          <w:sz w:val="32"/>
          <w:szCs w:val="22"/>
          <w:lang w:eastAsia="zh-CN"/>
        </w:rPr>
        <w:t xml:space="preserve">            </w:t>
      </w:r>
      <w:r>
        <w:rPr>
          <w:rFonts w:hint="eastAsia" w:ascii="宋体" w:hAnsi="宋体" w:cs="仿宋_GB2312"/>
          <w:b/>
          <w:color w:val="auto"/>
          <w:sz w:val="32"/>
          <w:szCs w:val="22"/>
          <w:lang w:val="en-US" w:eastAsia="zh-CN"/>
        </w:rPr>
        <w:t xml:space="preserve">                 </w:t>
      </w:r>
      <w:r>
        <w:rPr>
          <w:rFonts w:hint="eastAsia" w:ascii="宋体" w:hAnsi="宋体" w:cs="仿宋_GB2312"/>
          <w:b/>
          <w:color w:val="auto"/>
          <w:sz w:val="32"/>
          <w:szCs w:val="22"/>
          <w:lang w:eastAsia="zh-CN"/>
        </w:rPr>
        <w:t>（正/副本）</w:t>
      </w:r>
      <w:bookmarkEnd w:id="306"/>
      <w:bookmarkEnd w:id="307"/>
      <w:bookmarkEnd w:id="308"/>
      <w:bookmarkEnd w:id="309"/>
      <w:bookmarkEnd w:id="310"/>
    </w:p>
    <w:p w14:paraId="712217CA">
      <w:pPr>
        <w:spacing w:line="360" w:lineRule="auto"/>
        <w:jc w:val="left"/>
        <w:outlineLvl w:val="9"/>
        <w:rPr>
          <w:rFonts w:hint="eastAsia" w:hAnsi="宋体"/>
          <w:b/>
          <w:color w:val="auto"/>
          <w:sz w:val="32"/>
          <w:szCs w:val="32"/>
          <w:lang w:eastAsia="zh-CN"/>
        </w:rPr>
      </w:pPr>
    </w:p>
    <w:p w14:paraId="16DD0C91">
      <w:pPr>
        <w:spacing w:line="360" w:lineRule="auto"/>
        <w:jc w:val="left"/>
        <w:outlineLvl w:val="9"/>
        <w:rPr>
          <w:rFonts w:hint="eastAsia" w:hAnsi="宋体"/>
          <w:b/>
          <w:color w:val="auto"/>
          <w:sz w:val="32"/>
          <w:szCs w:val="32"/>
          <w:lang w:eastAsia="zh-CN"/>
        </w:rPr>
      </w:pPr>
    </w:p>
    <w:p w14:paraId="4416B259">
      <w:pPr>
        <w:spacing w:line="360" w:lineRule="auto"/>
        <w:jc w:val="center"/>
        <w:outlineLvl w:val="9"/>
        <w:rPr>
          <w:rFonts w:ascii="宋体" w:hAnsi="宋体" w:cs="宋体"/>
          <w:b/>
          <w:color w:val="auto"/>
          <w:spacing w:val="26"/>
          <w:sz w:val="44"/>
          <w:szCs w:val="44"/>
        </w:rPr>
      </w:pPr>
      <w:r>
        <w:rPr>
          <w:rFonts w:hint="eastAsia" w:ascii="宋体"/>
          <w:b/>
          <w:bCs/>
          <w:color w:val="auto"/>
          <w:sz w:val="44"/>
          <w:szCs w:val="44"/>
          <w:lang w:eastAsia="zh-CN"/>
        </w:rPr>
        <w:t>子洲县第二中学维修改造项目</w:t>
      </w:r>
    </w:p>
    <w:p w14:paraId="4C9F35D9">
      <w:pPr>
        <w:pStyle w:val="11"/>
        <w:outlineLvl w:val="9"/>
        <w:rPr>
          <w:color w:val="auto"/>
        </w:rPr>
      </w:pPr>
    </w:p>
    <w:p w14:paraId="4B324498">
      <w:pPr>
        <w:jc w:val="both"/>
        <w:outlineLvl w:val="9"/>
        <w:rPr>
          <w:rFonts w:hAnsi="宋体"/>
          <w:b/>
          <w:color w:val="auto"/>
          <w:sz w:val="52"/>
          <w:szCs w:val="52"/>
        </w:rPr>
      </w:pPr>
    </w:p>
    <w:p w14:paraId="2FAE45C6">
      <w:pPr>
        <w:jc w:val="center"/>
        <w:outlineLvl w:val="9"/>
        <w:rPr>
          <w:rFonts w:hint="eastAsia" w:hAnsi="宋体"/>
          <w:b/>
          <w:color w:val="auto"/>
          <w:sz w:val="52"/>
          <w:szCs w:val="52"/>
        </w:rPr>
      </w:pPr>
    </w:p>
    <w:p w14:paraId="094EA641">
      <w:pPr>
        <w:jc w:val="center"/>
        <w:outlineLvl w:val="9"/>
        <w:rPr>
          <w:rFonts w:hint="eastAsia" w:hAnsi="宋体"/>
          <w:b/>
          <w:color w:val="auto"/>
          <w:sz w:val="52"/>
          <w:szCs w:val="52"/>
        </w:rPr>
      </w:pPr>
    </w:p>
    <w:p w14:paraId="711A0D19">
      <w:pPr>
        <w:jc w:val="center"/>
        <w:outlineLvl w:val="9"/>
        <w:rPr>
          <w:rFonts w:hAnsi="宋体"/>
          <w:b/>
          <w:color w:val="auto"/>
          <w:sz w:val="72"/>
          <w:szCs w:val="72"/>
        </w:rPr>
      </w:pPr>
      <w:r>
        <w:rPr>
          <w:rFonts w:hint="eastAsia" w:hAnsi="宋体"/>
          <w:b/>
          <w:color w:val="auto"/>
          <w:sz w:val="72"/>
          <w:szCs w:val="72"/>
        </w:rPr>
        <w:t>竞争性磋商响应文件</w:t>
      </w:r>
    </w:p>
    <w:p w14:paraId="622E3223">
      <w:pPr>
        <w:outlineLvl w:val="9"/>
        <w:rPr>
          <w:rFonts w:hAnsi="宋体"/>
          <w:b/>
          <w:color w:val="auto"/>
          <w:sz w:val="36"/>
          <w:szCs w:val="36"/>
        </w:rPr>
      </w:pPr>
      <w:r>
        <w:rPr>
          <w:rFonts w:hint="eastAsia" w:hAnsi="宋体"/>
          <w:b/>
          <w:color w:val="auto"/>
          <w:sz w:val="36"/>
          <w:szCs w:val="36"/>
        </w:rPr>
        <w:t xml:space="preserve">               </w:t>
      </w:r>
    </w:p>
    <w:p w14:paraId="7973E840">
      <w:pPr>
        <w:jc w:val="center"/>
        <w:outlineLvl w:val="9"/>
        <w:rPr>
          <w:rFonts w:hAnsi="宋体"/>
          <w:b/>
          <w:color w:val="auto"/>
          <w:sz w:val="36"/>
          <w:szCs w:val="36"/>
        </w:rPr>
      </w:pPr>
    </w:p>
    <w:p w14:paraId="7196F148">
      <w:pPr>
        <w:jc w:val="center"/>
        <w:outlineLvl w:val="9"/>
        <w:rPr>
          <w:rFonts w:hAnsi="宋体"/>
          <w:b/>
          <w:color w:val="auto"/>
          <w:sz w:val="36"/>
          <w:szCs w:val="36"/>
        </w:rPr>
      </w:pPr>
    </w:p>
    <w:p w14:paraId="2FA29D80">
      <w:pPr>
        <w:pStyle w:val="11"/>
        <w:outlineLvl w:val="9"/>
        <w:rPr>
          <w:color w:val="auto"/>
        </w:rPr>
      </w:pPr>
    </w:p>
    <w:p w14:paraId="3B3A78F9">
      <w:pPr>
        <w:pStyle w:val="11"/>
        <w:outlineLvl w:val="9"/>
        <w:rPr>
          <w:color w:val="auto"/>
        </w:rPr>
      </w:pPr>
    </w:p>
    <w:p w14:paraId="2FA29129">
      <w:pPr>
        <w:pStyle w:val="11"/>
        <w:outlineLvl w:val="9"/>
        <w:rPr>
          <w:color w:val="auto"/>
        </w:rPr>
      </w:pPr>
    </w:p>
    <w:p w14:paraId="5EFEE5E7">
      <w:pPr>
        <w:outlineLvl w:val="9"/>
        <w:rPr>
          <w:rFonts w:hAnsi="宋体"/>
          <w:b/>
          <w:color w:val="auto"/>
          <w:sz w:val="36"/>
          <w:szCs w:val="36"/>
        </w:rPr>
      </w:pPr>
    </w:p>
    <w:p w14:paraId="2401B4E5">
      <w:pPr>
        <w:tabs>
          <w:tab w:val="center" w:pos="5346"/>
        </w:tabs>
        <w:spacing w:line="480" w:lineRule="auto"/>
        <w:ind w:firstLine="1928" w:firstLineChars="600"/>
        <w:outlineLvl w:val="9"/>
        <w:rPr>
          <w:rFonts w:hAnsi="宋体"/>
          <w:b/>
          <w:color w:val="auto"/>
          <w:sz w:val="32"/>
          <w:szCs w:val="32"/>
          <w:u w:val="single"/>
        </w:rPr>
      </w:pPr>
      <w:bookmarkStart w:id="311" w:name="_Toc6010"/>
      <w:bookmarkStart w:id="312" w:name="_Toc26671"/>
      <w:bookmarkStart w:id="313" w:name="_Toc17368"/>
      <w:bookmarkStart w:id="314" w:name="_Toc393"/>
      <w:bookmarkStart w:id="315" w:name="_Toc4952"/>
      <w:r>
        <w:rPr>
          <w:rFonts w:hint="eastAsia" w:hAnsi="宋体"/>
          <w:b/>
          <w:color w:val="auto"/>
          <w:sz w:val="32"/>
          <w:szCs w:val="32"/>
        </w:rPr>
        <w:t>供应商名称（公章）</w:t>
      </w:r>
      <w:bookmarkEnd w:id="311"/>
      <w:bookmarkEnd w:id="312"/>
      <w:bookmarkEnd w:id="313"/>
      <w:bookmarkEnd w:id="314"/>
      <w:bookmarkEnd w:id="315"/>
      <w:r>
        <w:rPr>
          <w:rFonts w:hint="eastAsia" w:hAnsi="宋体"/>
          <w:b/>
          <w:color w:val="auto"/>
          <w:sz w:val="32"/>
          <w:szCs w:val="32"/>
          <w:u w:val="single"/>
        </w:rPr>
        <w:t xml:space="preserve">                  </w:t>
      </w:r>
    </w:p>
    <w:p w14:paraId="1FF5BBFD">
      <w:pPr>
        <w:pStyle w:val="11"/>
        <w:outlineLvl w:val="9"/>
        <w:rPr>
          <w:color w:val="auto"/>
        </w:rPr>
      </w:pPr>
    </w:p>
    <w:p w14:paraId="428D6E5E">
      <w:pPr>
        <w:tabs>
          <w:tab w:val="center" w:pos="5346"/>
        </w:tabs>
        <w:spacing w:line="480" w:lineRule="auto"/>
        <w:ind w:firstLine="1928" w:firstLineChars="600"/>
        <w:outlineLvl w:val="9"/>
        <w:rPr>
          <w:rFonts w:hAnsi="宋体"/>
          <w:b/>
          <w:color w:val="auto"/>
          <w:sz w:val="32"/>
          <w:szCs w:val="32"/>
          <w:u w:val="single"/>
        </w:rPr>
      </w:pPr>
      <w:bookmarkStart w:id="316" w:name="_Toc18783"/>
      <w:bookmarkStart w:id="317" w:name="_Toc1193"/>
      <w:bookmarkStart w:id="318" w:name="_Toc22265"/>
      <w:bookmarkStart w:id="319" w:name="_Toc5300"/>
      <w:bookmarkStart w:id="320" w:name="_Toc20251"/>
      <w:bookmarkStart w:id="321" w:name="_Toc28374"/>
      <w:r>
        <w:rPr>
          <w:rFonts w:hint="eastAsia" w:hAnsi="宋体"/>
          <w:b/>
          <w:color w:val="auto"/>
          <w:sz w:val="32"/>
          <w:szCs w:val="32"/>
        </w:rPr>
        <w:t>法人或授权人签字或盖章：</w:t>
      </w:r>
      <w:bookmarkEnd w:id="316"/>
      <w:bookmarkEnd w:id="317"/>
      <w:bookmarkEnd w:id="318"/>
      <w:bookmarkEnd w:id="319"/>
      <w:bookmarkEnd w:id="320"/>
      <w:bookmarkEnd w:id="321"/>
      <w:r>
        <w:rPr>
          <w:rFonts w:hint="eastAsia" w:hAnsi="宋体"/>
          <w:b/>
          <w:color w:val="auto"/>
          <w:sz w:val="32"/>
          <w:szCs w:val="32"/>
          <w:u w:val="single"/>
        </w:rPr>
        <w:t xml:space="preserve">            </w:t>
      </w:r>
    </w:p>
    <w:p w14:paraId="1FFBE744">
      <w:pPr>
        <w:spacing w:line="360" w:lineRule="auto"/>
        <w:jc w:val="center"/>
        <w:outlineLvl w:val="9"/>
        <w:rPr>
          <w:rFonts w:hint="eastAsia" w:hAnsi="宋体"/>
          <w:b/>
          <w:color w:val="auto"/>
          <w:sz w:val="32"/>
          <w:szCs w:val="32"/>
          <w:lang w:val="en-US" w:eastAsia="zh-CN"/>
        </w:rPr>
      </w:pPr>
      <w:r>
        <w:rPr>
          <w:rFonts w:hint="eastAsia" w:hAnsi="宋体"/>
          <w:b/>
          <w:color w:val="auto"/>
          <w:sz w:val="32"/>
          <w:szCs w:val="32"/>
          <w:u w:val="single"/>
          <w:lang w:val="en-US" w:eastAsia="zh-CN"/>
        </w:rPr>
        <w:t xml:space="preserve">     </w:t>
      </w:r>
      <w:r>
        <w:rPr>
          <w:rFonts w:hint="eastAsia" w:hAnsi="宋体"/>
          <w:b/>
          <w:color w:val="auto"/>
          <w:sz w:val="32"/>
          <w:szCs w:val="32"/>
        </w:rPr>
        <w:t>年</w:t>
      </w:r>
      <w:r>
        <w:rPr>
          <w:rFonts w:hint="eastAsia" w:hAnsi="宋体"/>
          <w:b/>
          <w:color w:val="auto"/>
          <w:sz w:val="32"/>
          <w:szCs w:val="32"/>
          <w:u w:val="single"/>
        </w:rPr>
        <w:t xml:space="preserve">   </w:t>
      </w:r>
      <w:r>
        <w:rPr>
          <w:rFonts w:hint="eastAsia" w:hAnsi="宋体"/>
          <w:b/>
          <w:color w:val="auto"/>
          <w:sz w:val="32"/>
          <w:szCs w:val="32"/>
        </w:rPr>
        <w:t>月</w:t>
      </w:r>
      <w:r>
        <w:rPr>
          <w:rFonts w:hint="eastAsia" w:hAnsi="宋体"/>
          <w:b/>
          <w:color w:val="auto"/>
          <w:sz w:val="32"/>
          <w:szCs w:val="32"/>
          <w:u w:val="single"/>
        </w:rPr>
        <w:t xml:space="preserve">   </w:t>
      </w:r>
      <w:bookmarkStart w:id="322" w:name="_Toc344572156"/>
      <w:r>
        <w:rPr>
          <w:rFonts w:hint="eastAsia" w:hAnsi="宋体"/>
          <w:b/>
          <w:color w:val="auto"/>
          <w:sz w:val="32"/>
          <w:szCs w:val="32"/>
          <w:lang w:val="en-US" w:eastAsia="zh-CN"/>
        </w:rPr>
        <w:t>日</w:t>
      </w:r>
    </w:p>
    <w:p w14:paraId="3A704A82">
      <w:pPr>
        <w:spacing w:line="360" w:lineRule="auto"/>
        <w:jc w:val="center"/>
        <w:outlineLvl w:val="9"/>
        <w:rPr>
          <w:rFonts w:hint="eastAsia" w:hAnsi="宋体"/>
          <w:b/>
          <w:color w:val="auto"/>
          <w:sz w:val="32"/>
          <w:szCs w:val="32"/>
          <w:lang w:val="en-US" w:eastAsia="zh-CN"/>
        </w:rPr>
      </w:pPr>
    </w:p>
    <w:p w14:paraId="4AAA0236">
      <w:pPr>
        <w:spacing w:line="360" w:lineRule="auto"/>
        <w:jc w:val="center"/>
        <w:outlineLvl w:val="9"/>
        <w:rPr>
          <w:rFonts w:hint="eastAsia" w:hAnsi="宋体"/>
          <w:b/>
          <w:color w:val="auto"/>
          <w:sz w:val="32"/>
          <w:szCs w:val="32"/>
          <w:lang w:val="en-US" w:eastAsia="zh-CN"/>
        </w:rPr>
      </w:pPr>
    </w:p>
    <w:p w14:paraId="09500568">
      <w:pPr>
        <w:spacing w:line="360" w:lineRule="auto"/>
        <w:jc w:val="center"/>
        <w:outlineLvl w:val="9"/>
        <w:rPr>
          <w:rFonts w:hint="eastAsia" w:hAnsi="宋体"/>
          <w:b/>
          <w:color w:val="auto"/>
          <w:sz w:val="32"/>
          <w:szCs w:val="32"/>
          <w:lang w:val="en-US" w:eastAsia="zh-CN"/>
        </w:rPr>
      </w:pPr>
    </w:p>
    <w:p w14:paraId="2503A8BB">
      <w:pPr>
        <w:spacing w:line="360" w:lineRule="auto"/>
        <w:jc w:val="center"/>
        <w:outlineLvl w:val="9"/>
        <w:rPr>
          <w:b/>
          <w:color w:val="auto"/>
          <w:sz w:val="44"/>
        </w:rPr>
      </w:pPr>
      <w:r>
        <w:rPr>
          <w:rFonts w:hint="eastAsia"/>
          <w:b/>
          <w:color w:val="auto"/>
          <w:sz w:val="44"/>
        </w:rPr>
        <w:t>目  录</w:t>
      </w:r>
    </w:p>
    <w:p w14:paraId="38B7B6D4">
      <w:pPr>
        <w:spacing w:line="360" w:lineRule="auto"/>
        <w:ind w:firstLine="3520" w:firstLineChars="1100"/>
        <w:outlineLvl w:val="9"/>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须自动索引</w:t>
      </w:r>
      <w:r>
        <w:rPr>
          <w:rFonts w:hint="eastAsia" w:ascii="宋体" w:hAnsi="宋体" w:eastAsia="宋体" w:cs="宋体"/>
          <w:color w:val="auto"/>
          <w:sz w:val="32"/>
          <w:szCs w:val="32"/>
          <w:lang w:eastAsia="zh-CN"/>
        </w:rPr>
        <w:t>）</w:t>
      </w:r>
    </w:p>
    <w:p w14:paraId="7A097403">
      <w:pPr>
        <w:pStyle w:val="7"/>
        <w:spacing w:line="360" w:lineRule="auto"/>
        <w:ind w:firstLine="400"/>
        <w:jc w:val="center"/>
        <w:outlineLvl w:val="9"/>
        <w:rPr>
          <w:color w:val="auto"/>
        </w:rPr>
      </w:pPr>
      <w:r>
        <w:rPr>
          <w:rFonts w:hint="eastAsia" w:ascii="宋体" w:hAnsi="宋体" w:eastAsia="宋体" w:cs="宋体"/>
          <w:color w:val="auto"/>
        </w:rPr>
        <w:br w:type="page"/>
      </w:r>
    </w:p>
    <w:bookmarkEnd w:id="322"/>
    <w:p w14:paraId="66E91D9F">
      <w:pPr>
        <w:spacing w:line="360" w:lineRule="auto"/>
        <w:jc w:val="center"/>
        <w:outlineLvl w:val="1"/>
        <w:rPr>
          <w:rFonts w:hint="eastAsia" w:ascii="宋体" w:hAnsi="宋体" w:eastAsia="宋体" w:cs="宋体"/>
          <w:b/>
          <w:color w:val="auto"/>
          <w:sz w:val="32"/>
          <w:szCs w:val="32"/>
        </w:rPr>
      </w:pPr>
      <w:bookmarkStart w:id="323" w:name="_Toc403077648"/>
      <w:bookmarkStart w:id="324" w:name="_Toc363474027"/>
      <w:bookmarkStart w:id="325" w:name="_Toc24357"/>
      <w:bookmarkStart w:id="326" w:name="_Toc11057"/>
      <w:bookmarkStart w:id="327" w:name="_Toc20261"/>
      <w:bookmarkStart w:id="328" w:name="_Toc19670"/>
      <w:bookmarkStart w:id="329" w:name="_Toc15940"/>
      <w:bookmarkStart w:id="330" w:name="_Toc15830"/>
      <w:bookmarkStart w:id="331" w:name="_Toc204524343"/>
      <w:r>
        <w:rPr>
          <w:rFonts w:hint="eastAsia" w:ascii="宋体" w:hAnsi="宋体" w:cs="宋体"/>
          <w:b/>
          <w:color w:val="auto"/>
          <w:sz w:val="32"/>
          <w:szCs w:val="32"/>
          <w:lang w:val="en-US" w:eastAsia="zh-CN"/>
        </w:rPr>
        <w:t>一、</w:t>
      </w:r>
      <w:bookmarkEnd w:id="323"/>
      <w:bookmarkEnd w:id="324"/>
      <w:r>
        <w:rPr>
          <w:rFonts w:hint="eastAsia" w:ascii="宋体" w:hAnsi="宋体" w:eastAsia="宋体" w:cs="宋体"/>
          <w:b/>
          <w:color w:val="auto"/>
          <w:sz w:val="32"/>
          <w:szCs w:val="32"/>
        </w:rPr>
        <w:t>响应函</w:t>
      </w:r>
      <w:bookmarkEnd w:id="325"/>
      <w:bookmarkEnd w:id="326"/>
      <w:bookmarkEnd w:id="327"/>
      <w:bookmarkEnd w:id="328"/>
      <w:bookmarkEnd w:id="329"/>
      <w:bookmarkEnd w:id="330"/>
    </w:p>
    <w:p w14:paraId="12FBF7D4">
      <w:pPr>
        <w:spacing w:line="360" w:lineRule="auto"/>
        <w:jc w:val="left"/>
        <w:outlineLvl w:val="9"/>
        <w:rPr>
          <w:rFonts w:hint="eastAsia" w:hAnsi="宋体" w:eastAsia="宋体"/>
          <w:color w:val="auto"/>
          <w:spacing w:val="4"/>
          <w:sz w:val="24"/>
          <w:szCs w:val="24"/>
          <w:lang w:eastAsia="zh-CN"/>
        </w:rPr>
      </w:pPr>
      <w:r>
        <w:rPr>
          <w:rFonts w:hint="eastAsia" w:hAnsi="宋体"/>
          <w:color w:val="auto"/>
          <w:spacing w:val="4"/>
          <w:sz w:val="24"/>
          <w:szCs w:val="24"/>
        </w:rPr>
        <w:t>致：</w:t>
      </w:r>
      <w:r>
        <w:rPr>
          <w:rFonts w:hint="eastAsia" w:hAnsi="宋体"/>
          <w:color w:val="auto"/>
          <w:spacing w:val="4"/>
          <w:sz w:val="24"/>
          <w:szCs w:val="24"/>
          <w:lang w:eastAsia="zh-CN"/>
        </w:rPr>
        <w:t>陕西众信玖鼎项目管理有限责任公司</w:t>
      </w:r>
    </w:p>
    <w:p w14:paraId="376D7BDF">
      <w:pPr>
        <w:spacing w:line="360" w:lineRule="auto"/>
        <w:ind w:firstLine="496" w:firstLineChars="200"/>
        <w:outlineLvl w:val="9"/>
        <w:rPr>
          <w:rFonts w:hint="eastAsia" w:hAnsi="宋体" w:eastAsia="宋体"/>
          <w:color w:val="auto"/>
          <w:spacing w:val="4"/>
          <w:sz w:val="24"/>
          <w:szCs w:val="24"/>
          <w:u w:val="single"/>
          <w:lang w:eastAsia="zh-CN"/>
        </w:rPr>
      </w:pPr>
      <w:r>
        <w:rPr>
          <w:rFonts w:hint="eastAsia" w:hAnsi="宋体"/>
          <w:color w:val="auto"/>
          <w:spacing w:val="4"/>
          <w:sz w:val="24"/>
          <w:szCs w:val="24"/>
        </w:rPr>
        <w:t>根据贵方“</w:t>
      </w:r>
      <w:r>
        <w:rPr>
          <w:rFonts w:hint="eastAsia" w:hAnsi="宋体"/>
          <w:color w:val="auto"/>
          <w:spacing w:val="4"/>
          <w:sz w:val="24"/>
          <w:szCs w:val="24"/>
          <w:u w:val="single"/>
        </w:rPr>
        <w:t xml:space="preserve">          </w:t>
      </w:r>
      <w:r>
        <w:rPr>
          <w:rFonts w:hint="eastAsia" w:hAnsi="宋体"/>
          <w:color w:val="auto"/>
          <w:spacing w:val="4"/>
          <w:sz w:val="24"/>
          <w:szCs w:val="24"/>
        </w:rPr>
        <w:t>”项目的磋商文件</w:t>
      </w:r>
      <w:r>
        <w:rPr>
          <w:rFonts w:hint="eastAsia" w:hAnsi="宋体"/>
          <w:color w:val="auto"/>
          <w:spacing w:val="4"/>
          <w:sz w:val="24"/>
          <w:szCs w:val="24"/>
          <w:u w:val="single"/>
        </w:rPr>
        <w:t>(编号：      )</w:t>
      </w:r>
      <w:r>
        <w:rPr>
          <w:rFonts w:hint="eastAsia" w:hAnsi="宋体"/>
          <w:color w:val="auto"/>
          <w:spacing w:val="4"/>
          <w:sz w:val="24"/>
          <w:szCs w:val="24"/>
        </w:rPr>
        <w:t>，签字代表</w:t>
      </w:r>
      <w:r>
        <w:rPr>
          <w:rFonts w:hint="eastAsia" w:hAnsi="宋体"/>
          <w:color w:val="auto"/>
          <w:spacing w:val="4"/>
          <w:sz w:val="24"/>
          <w:szCs w:val="24"/>
          <w:u w:val="single"/>
        </w:rPr>
        <w:t>（全名、职务）</w:t>
      </w:r>
      <w:r>
        <w:rPr>
          <w:rFonts w:hint="eastAsia" w:hAnsi="宋体"/>
          <w:color w:val="auto"/>
          <w:spacing w:val="4"/>
          <w:sz w:val="24"/>
          <w:szCs w:val="24"/>
        </w:rPr>
        <w:t>经正式授权并代表供应商</w:t>
      </w:r>
      <w:r>
        <w:rPr>
          <w:rFonts w:hint="eastAsia" w:hAnsi="宋体"/>
          <w:color w:val="auto"/>
          <w:spacing w:val="4"/>
          <w:sz w:val="24"/>
          <w:szCs w:val="24"/>
          <w:u w:val="single"/>
        </w:rPr>
        <w:t>(供应商名称、地址、统一社会信用代码)</w:t>
      </w:r>
      <w:r>
        <w:rPr>
          <w:rFonts w:hint="eastAsia" w:hAnsi="宋体"/>
          <w:color w:val="auto"/>
          <w:spacing w:val="4"/>
          <w:sz w:val="24"/>
          <w:szCs w:val="24"/>
        </w:rPr>
        <w:t xml:space="preserve"> 提交竞争性磋商响应文件</w:t>
      </w:r>
      <w:r>
        <w:rPr>
          <w:rFonts w:hint="eastAsia" w:hAnsi="宋体"/>
          <w:color w:val="auto"/>
          <w:spacing w:val="4"/>
          <w:sz w:val="24"/>
          <w:szCs w:val="24"/>
          <w:lang w:eastAsia="zh-CN"/>
        </w:rPr>
        <w:t>。</w:t>
      </w:r>
    </w:p>
    <w:p w14:paraId="4B05754B">
      <w:pPr>
        <w:spacing w:line="360" w:lineRule="auto"/>
        <w:ind w:left="549" w:leftChars="251" w:hanging="22" w:hangingChars="9"/>
        <w:jc w:val="left"/>
        <w:outlineLvl w:val="9"/>
        <w:rPr>
          <w:rFonts w:hAnsi="宋体"/>
          <w:color w:val="auto"/>
          <w:spacing w:val="4"/>
          <w:sz w:val="24"/>
          <w:szCs w:val="24"/>
        </w:rPr>
      </w:pPr>
      <w:r>
        <w:rPr>
          <w:rFonts w:hint="eastAsia" w:hAnsi="宋体"/>
          <w:color w:val="auto"/>
          <w:spacing w:val="4"/>
          <w:sz w:val="24"/>
          <w:szCs w:val="24"/>
        </w:rPr>
        <w:t>我方承诺如下：</w:t>
      </w:r>
    </w:p>
    <w:p w14:paraId="74FAA577">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rPr>
        <w:t xml:space="preserve">1）磋商总价为 </w:t>
      </w:r>
      <w:r>
        <w:rPr>
          <w:rFonts w:hint="eastAsia" w:hAnsi="宋体"/>
          <w:color w:val="auto"/>
          <w:spacing w:val="4"/>
          <w:sz w:val="24"/>
          <w:szCs w:val="24"/>
          <w:u w:val="single"/>
        </w:rPr>
        <w:t xml:space="preserve">        </w:t>
      </w:r>
      <w:r>
        <w:rPr>
          <w:rFonts w:hint="eastAsia" w:hAnsi="宋体"/>
          <w:color w:val="auto"/>
          <w:spacing w:val="4"/>
          <w:sz w:val="24"/>
          <w:szCs w:val="24"/>
        </w:rPr>
        <w:t>（人民币）（用文字和数字表示的磋商总价）。</w:t>
      </w:r>
    </w:p>
    <w:p w14:paraId="48DA0DDE">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rPr>
        <w:t>2）如果成交，我们根据竞争性磋商文件的规定，履行合同的责任和义务。</w:t>
      </w:r>
    </w:p>
    <w:p w14:paraId="08A1EB7C">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rPr>
        <w:t>3）我们已详细阅读和审核全部竞争性磋商文件（含修改部分，如有的话），及有关附件，我们知道必须放弃提出含糊不清或误解的问题的权利。</w:t>
      </w:r>
    </w:p>
    <w:p w14:paraId="596B1FCF">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rPr>
        <w:t>4）我们同意在磋商有效期内（</w:t>
      </w:r>
      <w:r>
        <w:rPr>
          <w:rFonts w:hint="eastAsia" w:hAnsi="宋体"/>
          <w:color w:val="auto"/>
          <w:spacing w:val="4"/>
          <w:sz w:val="24"/>
          <w:szCs w:val="24"/>
          <w:u w:val="single"/>
        </w:rPr>
        <w:t xml:space="preserve">自磋商之日起 </w:t>
      </w:r>
      <w:r>
        <w:rPr>
          <w:rFonts w:hint="eastAsia" w:hAnsi="宋体"/>
          <w:color w:val="auto"/>
          <w:spacing w:val="4"/>
          <w:sz w:val="24"/>
          <w:szCs w:val="24"/>
          <w:u w:val="single"/>
          <w:lang w:val="en-US" w:eastAsia="zh-CN"/>
        </w:rPr>
        <w:t xml:space="preserve"> </w:t>
      </w:r>
      <w:r>
        <w:rPr>
          <w:rFonts w:hint="eastAsia" w:hAnsi="宋体"/>
          <w:color w:val="auto"/>
          <w:spacing w:val="4"/>
          <w:sz w:val="24"/>
          <w:szCs w:val="24"/>
          <w:u w:val="single"/>
        </w:rPr>
        <w:t>天内</w:t>
      </w:r>
      <w:r>
        <w:rPr>
          <w:rFonts w:hint="eastAsia" w:hAnsi="宋体"/>
          <w:color w:val="auto"/>
          <w:spacing w:val="4"/>
          <w:sz w:val="24"/>
          <w:szCs w:val="24"/>
        </w:rPr>
        <w:t>），本磋商响应函对我方具有约束力。</w:t>
      </w:r>
    </w:p>
    <w:p w14:paraId="4F4E797C">
      <w:pPr>
        <w:tabs>
          <w:tab w:val="left" w:pos="2160"/>
        </w:tabs>
        <w:spacing w:line="360" w:lineRule="auto"/>
        <w:ind w:firstLine="496" w:firstLineChars="200"/>
        <w:jc w:val="left"/>
        <w:outlineLvl w:val="9"/>
        <w:rPr>
          <w:rFonts w:hint="eastAsia" w:ascii="Times New Roman" w:hAnsi="宋体" w:eastAsia="宋体" w:cs="Times New Roman"/>
          <w:color w:val="auto"/>
          <w:spacing w:val="4"/>
          <w:sz w:val="24"/>
          <w:szCs w:val="24"/>
        </w:rPr>
      </w:pPr>
      <w:r>
        <w:rPr>
          <w:rFonts w:hint="eastAsia" w:hAnsi="宋体"/>
          <w:color w:val="auto"/>
          <w:spacing w:val="4"/>
          <w:sz w:val="24"/>
          <w:szCs w:val="24"/>
        </w:rPr>
        <w:t>5）如果在磋商后规定的磋商有效</w:t>
      </w:r>
      <w:r>
        <w:rPr>
          <w:rFonts w:hint="eastAsia" w:ascii="Times New Roman" w:hAnsi="宋体" w:eastAsia="宋体" w:cs="Times New Roman"/>
          <w:color w:val="auto"/>
          <w:spacing w:val="4"/>
          <w:sz w:val="24"/>
          <w:szCs w:val="24"/>
        </w:rPr>
        <w:t>期内撤销磋商文件，我们</w:t>
      </w:r>
      <w:r>
        <w:rPr>
          <w:rFonts w:hint="eastAsia" w:ascii="Times New Roman" w:hAnsi="宋体" w:eastAsia="宋体" w:cs="Times New Roman"/>
          <w:color w:val="auto"/>
          <w:spacing w:val="4"/>
          <w:sz w:val="24"/>
          <w:szCs w:val="24"/>
          <w:lang w:val="en-US" w:eastAsia="zh-CN"/>
        </w:rPr>
        <w:t>自愿根据投标信用承诺书有关规定执行。</w:t>
      </w:r>
    </w:p>
    <w:p w14:paraId="159C635C">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rPr>
        <w:t xml:space="preserve">6）同意提供贵方可能另外要求的与本磋商有关的任何证据和资料。 </w:t>
      </w:r>
    </w:p>
    <w:p w14:paraId="06CBCBF7">
      <w:pPr>
        <w:tabs>
          <w:tab w:val="left" w:pos="2160"/>
        </w:tabs>
        <w:spacing w:line="360" w:lineRule="auto"/>
        <w:ind w:firstLine="496" w:firstLineChars="200"/>
        <w:jc w:val="left"/>
        <w:outlineLvl w:val="9"/>
        <w:rPr>
          <w:rFonts w:hAnsi="宋体"/>
          <w:color w:val="auto"/>
          <w:spacing w:val="4"/>
          <w:sz w:val="24"/>
          <w:szCs w:val="24"/>
        </w:rPr>
      </w:pPr>
      <w:r>
        <w:rPr>
          <w:rFonts w:hint="eastAsia" w:hAnsi="宋体"/>
          <w:color w:val="auto"/>
          <w:spacing w:val="4"/>
          <w:sz w:val="24"/>
          <w:szCs w:val="24"/>
          <w:lang w:val="en-US" w:eastAsia="zh-CN"/>
        </w:rPr>
        <w:t>7</w:t>
      </w:r>
      <w:r>
        <w:rPr>
          <w:rFonts w:hint="eastAsia" w:hAnsi="宋体"/>
          <w:color w:val="auto"/>
          <w:spacing w:val="4"/>
          <w:sz w:val="24"/>
          <w:szCs w:val="24"/>
        </w:rPr>
        <w:t>）与本磋商有关的一切正式往来通讯为：</w:t>
      </w:r>
    </w:p>
    <w:p w14:paraId="234F8AE7">
      <w:pPr>
        <w:spacing w:line="360" w:lineRule="auto"/>
        <w:ind w:firstLine="1240" w:firstLineChars="500"/>
        <w:jc w:val="left"/>
        <w:outlineLvl w:val="9"/>
        <w:rPr>
          <w:rFonts w:hint="eastAsia" w:hAnsi="宋体"/>
          <w:color w:val="auto"/>
          <w:spacing w:val="4"/>
          <w:sz w:val="24"/>
          <w:szCs w:val="24"/>
        </w:rPr>
      </w:pPr>
    </w:p>
    <w:p w14:paraId="3BE3CA5F">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联系地址：</w:t>
      </w:r>
    </w:p>
    <w:p w14:paraId="6087DEB4">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邮政编码：</w:t>
      </w:r>
    </w:p>
    <w:p w14:paraId="562A2B78">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电    话：</w:t>
      </w:r>
    </w:p>
    <w:p w14:paraId="6580B9D9">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传    真：</w:t>
      </w:r>
    </w:p>
    <w:p w14:paraId="5D656695">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供应商名称（盖章）：</w:t>
      </w:r>
    </w:p>
    <w:p w14:paraId="0A8CA4E7">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供应商法定代表人签字</w:t>
      </w:r>
      <w:r>
        <w:rPr>
          <w:rFonts w:hint="eastAsia" w:hAnsi="宋体"/>
          <w:color w:val="auto"/>
          <w:spacing w:val="4"/>
          <w:sz w:val="24"/>
          <w:szCs w:val="24"/>
          <w:lang w:val="en-US" w:eastAsia="zh-CN"/>
        </w:rPr>
        <w:t>或盖章</w:t>
      </w:r>
      <w:r>
        <w:rPr>
          <w:rFonts w:hint="eastAsia" w:hAnsi="宋体"/>
          <w:color w:val="auto"/>
          <w:spacing w:val="4"/>
          <w:sz w:val="24"/>
          <w:szCs w:val="24"/>
        </w:rPr>
        <w:t>：</w:t>
      </w:r>
    </w:p>
    <w:p w14:paraId="38002010">
      <w:pPr>
        <w:spacing w:line="360" w:lineRule="auto"/>
        <w:ind w:firstLine="1240" w:firstLineChars="500"/>
        <w:jc w:val="left"/>
        <w:outlineLvl w:val="9"/>
        <w:rPr>
          <w:rFonts w:hAnsi="宋体"/>
          <w:color w:val="auto"/>
          <w:spacing w:val="4"/>
          <w:sz w:val="24"/>
          <w:szCs w:val="24"/>
        </w:rPr>
      </w:pPr>
      <w:r>
        <w:rPr>
          <w:rFonts w:hint="eastAsia" w:hAnsi="宋体"/>
          <w:color w:val="auto"/>
          <w:spacing w:val="4"/>
          <w:sz w:val="24"/>
          <w:szCs w:val="24"/>
        </w:rPr>
        <w:t>日    期：</w:t>
      </w:r>
    </w:p>
    <w:p w14:paraId="2E0CF6CF">
      <w:pPr>
        <w:spacing w:before="312" w:beforeLines="100"/>
        <w:jc w:val="center"/>
        <w:outlineLvl w:val="1"/>
        <w:rPr>
          <w:rFonts w:hint="eastAsia" w:eastAsia="宋体"/>
          <w:color w:val="auto"/>
          <w:sz w:val="30"/>
          <w:szCs w:val="30"/>
          <w:lang w:eastAsia="zh-CN"/>
        </w:rPr>
      </w:pPr>
      <w:r>
        <w:rPr>
          <w:rFonts w:hint="eastAsia"/>
          <w:color w:val="auto"/>
        </w:rPr>
        <w:br w:type="page"/>
      </w:r>
      <w:bookmarkStart w:id="332" w:name="_Toc31101"/>
      <w:bookmarkStart w:id="333" w:name="_Toc6258"/>
      <w:bookmarkStart w:id="334" w:name="_Toc403077649"/>
      <w:bookmarkStart w:id="335" w:name="_Toc18764"/>
      <w:bookmarkStart w:id="336" w:name="_Toc363474028"/>
      <w:r>
        <w:rPr>
          <w:rFonts w:hint="eastAsia" w:ascii="宋体" w:hAnsi="宋体" w:eastAsia="宋体" w:cs="宋体"/>
          <w:b/>
          <w:color w:val="auto"/>
          <w:sz w:val="32"/>
          <w:szCs w:val="32"/>
          <w:lang w:val="en-US" w:eastAsia="zh-CN"/>
        </w:rPr>
        <w:t>二、第一次</w:t>
      </w:r>
      <w:r>
        <w:rPr>
          <w:rFonts w:hint="eastAsia" w:ascii="宋体" w:hAnsi="宋体" w:eastAsia="宋体" w:cs="宋体"/>
          <w:b/>
          <w:color w:val="auto"/>
          <w:sz w:val="32"/>
          <w:szCs w:val="32"/>
          <w:lang w:eastAsia="zh-CN"/>
        </w:rPr>
        <w:t>磋商报价表</w:t>
      </w:r>
      <w:bookmarkEnd w:id="332"/>
      <w:bookmarkEnd w:id="333"/>
    </w:p>
    <w:p w14:paraId="5C3BA801">
      <w:pPr>
        <w:spacing w:line="360" w:lineRule="auto"/>
        <w:outlineLvl w:val="9"/>
        <w:rPr>
          <w:rFonts w:hint="eastAsia" w:ascii="宋体" w:hAnsi="宋体" w:cs="宋体"/>
          <w:b/>
          <w:bCs/>
          <w:color w:val="auto"/>
          <w:sz w:val="28"/>
          <w:szCs w:val="28"/>
        </w:rPr>
      </w:pPr>
      <w:r>
        <w:rPr>
          <w:rFonts w:hint="eastAsia" w:ascii="宋体" w:hAnsi="宋体" w:cs="宋体"/>
          <w:b/>
          <w:bCs/>
          <w:color w:val="auto"/>
          <w:sz w:val="28"/>
          <w:szCs w:val="28"/>
        </w:rPr>
        <w:t>项目编号：</w:t>
      </w:r>
    </w:p>
    <w:p w14:paraId="34959C01">
      <w:pPr>
        <w:pStyle w:val="11"/>
        <w:spacing w:line="360" w:lineRule="auto"/>
        <w:outlineLvl w:val="9"/>
        <w:rPr>
          <w:rFonts w:hint="eastAsia" w:ascii="宋体" w:hAnsi="宋体" w:cs="宋体"/>
          <w:color w:val="auto"/>
        </w:rPr>
      </w:pPr>
      <w:r>
        <w:rPr>
          <w:rFonts w:hint="eastAsia" w:ascii="宋体" w:hAnsi="宋体" w:eastAsia="宋体" w:cs="宋体"/>
          <w:b/>
          <w:bCs/>
          <w:color w:val="auto"/>
          <w:kern w:val="2"/>
          <w:sz w:val="28"/>
          <w:szCs w:val="28"/>
          <w:lang w:val="en-US" w:eastAsia="zh-CN" w:bidi="ar-SA"/>
        </w:rPr>
        <w:t>项目名称：</w:t>
      </w:r>
    </w:p>
    <w:tbl>
      <w:tblPr>
        <w:tblStyle w:val="26"/>
        <w:tblW w:w="92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9"/>
        <w:gridCol w:w="7560"/>
      </w:tblGrid>
      <w:tr w14:paraId="7999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61" w:hRule="atLeast"/>
          <w:jc w:val="center"/>
        </w:trPr>
        <w:tc>
          <w:tcPr>
            <w:tcW w:w="1679" w:type="dxa"/>
            <w:noWrap w:val="0"/>
            <w:vAlign w:val="center"/>
          </w:tcPr>
          <w:p w14:paraId="246C034F">
            <w:pPr>
              <w:spacing w:line="360" w:lineRule="auto"/>
              <w:jc w:val="center"/>
              <w:outlineLvl w:val="9"/>
              <w:rPr>
                <w:rFonts w:hint="eastAsia" w:ascii="宋体" w:hAnsi="宋体" w:cs="宋体"/>
                <w:b/>
                <w:bCs/>
                <w:color w:val="auto"/>
                <w:sz w:val="24"/>
                <w:szCs w:val="24"/>
              </w:rPr>
            </w:pPr>
            <w:r>
              <w:rPr>
                <w:rFonts w:hint="eastAsia" w:ascii="宋体" w:hAnsi="宋体" w:cs="宋体"/>
                <w:b/>
                <w:bCs/>
                <w:color w:val="auto"/>
                <w:sz w:val="24"/>
                <w:szCs w:val="24"/>
              </w:rPr>
              <w:t>投标总价</w:t>
            </w:r>
          </w:p>
          <w:p w14:paraId="06853F85">
            <w:pPr>
              <w:spacing w:line="360" w:lineRule="auto"/>
              <w:jc w:val="center"/>
              <w:outlineLvl w:val="9"/>
              <w:rPr>
                <w:rFonts w:hint="eastAsia" w:ascii="宋体" w:hAnsi="宋体" w:cs="宋体"/>
                <w:b/>
                <w:bCs/>
                <w:color w:val="auto"/>
                <w:sz w:val="24"/>
                <w:szCs w:val="24"/>
              </w:rPr>
            </w:pPr>
            <w:r>
              <w:rPr>
                <w:rFonts w:hint="eastAsia" w:ascii="宋体" w:hAnsi="宋体" w:cs="宋体"/>
                <w:b/>
                <w:bCs/>
                <w:color w:val="auto"/>
                <w:sz w:val="24"/>
                <w:szCs w:val="24"/>
              </w:rPr>
              <w:t>（人民币）</w:t>
            </w:r>
          </w:p>
        </w:tc>
        <w:tc>
          <w:tcPr>
            <w:tcW w:w="7560" w:type="dxa"/>
            <w:noWrap w:val="0"/>
            <w:vAlign w:val="center"/>
          </w:tcPr>
          <w:p w14:paraId="272A7CCF">
            <w:pPr>
              <w:spacing w:line="360" w:lineRule="auto"/>
              <w:outlineLvl w:val="9"/>
              <w:rPr>
                <w:rFonts w:hint="eastAsia" w:ascii="宋体" w:hAnsi="宋体" w:cs="宋体"/>
                <w:b/>
                <w:bCs/>
                <w:color w:val="auto"/>
                <w:sz w:val="24"/>
                <w:szCs w:val="24"/>
              </w:rPr>
            </w:pPr>
            <w:r>
              <w:rPr>
                <w:rFonts w:hint="eastAsia" w:ascii="宋体" w:hAnsi="宋体" w:cs="宋体"/>
                <w:b/>
                <w:bCs/>
                <w:color w:val="auto"/>
                <w:sz w:val="24"/>
                <w:szCs w:val="24"/>
              </w:rPr>
              <w:t>小写金额：</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 xml:space="preserve"> </w:t>
            </w:r>
          </w:p>
          <w:p w14:paraId="68F09646">
            <w:pPr>
              <w:spacing w:line="360" w:lineRule="auto"/>
              <w:outlineLvl w:val="9"/>
              <w:rPr>
                <w:rFonts w:hint="eastAsia" w:ascii="宋体" w:hAnsi="宋体" w:cs="宋体"/>
                <w:color w:val="auto"/>
                <w:sz w:val="24"/>
                <w:szCs w:val="24"/>
              </w:rPr>
            </w:pPr>
            <w:r>
              <w:rPr>
                <w:rFonts w:hint="eastAsia" w:ascii="宋体" w:hAnsi="宋体" w:cs="宋体"/>
                <w:b/>
                <w:bCs/>
                <w:color w:val="auto"/>
                <w:sz w:val="24"/>
                <w:szCs w:val="24"/>
              </w:rPr>
              <w:t>大写金额：</w:t>
            </w:r>
            <w:r>
              <w:rPr>
                <w:rFonts w:hint="eastAsia" w:ascii="宋体" w:hAnsi="宋体" w:cs="宋体"/>
                <w:b/>
                <w:bCs/>
                <w:color w:val="auto"/>
                <w:sz w:val="24"/>
                <w:szCs w:val="24"/>
                <w:u w:val="single"/>
              </w:rPr>
              <w:t xml:space="preserve">                        </w:t>
            </w:r>
          </w:p>
        </w:tc>
      </w:tr>
      <w:tr w14:paraId="2ED3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19" w:hRule="atLeast"/>
          <w:jc w:val="center"/>
        </w:trPr>
        <w:tc>
          <w:tcPr>
            <w:tcW w:w="1679" w:type="dxa"/>
            <w:noWrap w:val="0"/>
            <w:vAlign w:val="center"/>
          </w:tcPr>
          <w:p w14:paraId="7B237FA3">
            <w:pPr>
              <w:spacing w:line="360" w:lineRule="auto"/>
              <w:jc w:val="center"/>
              <w:outlineLvl w:val="9"/>
              <w:rPr>
                <w:rFonts w:hint="eastAsia" w:ascii="宋体" w:hAnsi="宋体" w:cs="宋体"/>
                <w:b/>
                <w:bCs/>
                <w:color w:val="auto"/>
                <w:sz w:val="24"/>
                <w:szCs w:val="24"/>
              </w:rPr>
            </w:pPr>
            <w:r>
              <w:rPr>
                <w:rFonts w:hint="eastAsia" w:ascii="宋体" w:hAnsi="宋体" w:cs="宋体"/>
                <w:b/>
                <w:bCs/>
                <w:color w:val="auto"/>
                <w:sz w:val="24"/>
                <w:szCs w:val="24"/>
              </w:rPr>
              <w:t>投标人</w:t>
            </w:r>
          </w:p>
          <w:p w14:paraId="6D6A4A5F">
            <w:pPr>
              <w:spacing w:line="360" w:lineRule="auto"/>
              <w:jc w:val="center"/>
              <w:outlineLvl w:val="9"/>
              <w:rPr>
                <w:rFonts w:hint="eastAsia" w:ascii="宋体" w:hAnsi="宋体" w:cs="宋体"/>
                <w:b/>
                <w:bCs/>
                <w:color w:val="auto"/>
                <w:sz w:val="24"/>
                <w:szCs w:val="24"/>
              </w:rPr>
            </w:pPr>
            <w:r>
              <w:rPr>
                <w:rFonts w:hint="eastAsia" w:ascii="宋体" w:hAnsi="宋体" w:cs="宋体"/>
                <w:b/>
                <w:bCs/>
                <w:color w:val="auto"/>
                <w:sz w:val="24"/>
                <w:szCs w:val="24"/>
              </w:rPr>
              <w:t>（公司名称）</w:t>
            </w:r>
          </w:p>
        </w:tc>
        <w:tc>
          <w:tcPr>
            <w:tcW w:w="7560" w:type="dxa"/>
            <w:noWrap w:val="0"/>
            <w:vAlign w:val="center"/>
          </w:tcPr>
          <w:p w14:paraId="5526CE71">
            <w:pPr>
              <w:spacing w:line="360" w:lineRule="auto"/>
              <w:outlineLvl w:val="9"/>
              <w:rPr>
                <w:rFonts w:hint="eastAsia" w:ascii="宋体" w:hAnsi="宋体" w:cs="宋体"/>
                <w:color w:val="auto"/>
                <w:sz w:val="24"/>
                <w:szCs w:val="24"/>
              </w:rPr>
            </w:pPr>
          </w:p>
        </w:tc>
      </w:tr>
      <w:tr w14:paraId="282BF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1" w:hRule="atLeast"/>
          <w:jc w:val="center"/>
        </w:trPr>
        <w:tc>
          <w:tcPr>
            <w:tcW w:w="1679" w:type="dxa"/>
            <w:noWrap w:val="0"/>
            <w:vAlign w:val="center"/>
          </w:tcPr>
          <w:p w14:paraId="7F629528">
            <w:pPr>
              <w:spacing w:line="360" w:lineRule="auto"/>
              <w:jc w:val="center"/>
              <w:outlineLvl w:val="9"/>
              <w:rPr>
                <w:rFonts w:hint="eastAsia" w:ascii="宋体" w:hAnsi="宋体" w:eastAsia="宋体"/>
                <w:b/>
                <w:color w:val="auto"/>
                <w:sz w:val="24"/>
                <w:szCs w:val="24"/>
                <w:lang w:eastAsia="zh-CN"/>
              </w:rPr>
            </w:pPr>
            <w:r>
              <w:rPr>
                <w:rFonts w:hint="eastAsia" w:ascii="宋体" w:hAnsi="宋体"/>
                <w:b/>
                <w:color w:val="auto"/>
                <w:sz w:val="24"/>
                <w:szCs w:val="24"/>
                <w:lang w:val="en-US" w:eastAsia="zh-CN"/>
              </w:rPr>
              <w:t>工期</w:t>
            </w:r>
          </w:p>
        </w:tc>
        <w:tc>
          <w:tcPr>
            <w:tcW w:w="7560" w:type="dxa"/>
            <w:noWrap w:val="0"/>
            <w:vAlign w:val="center"/>
          </w:tcPr>
          <w:p w14:paraId="4FDDEF09">
            <w:pPr>
              <w:spacing w:line="360" w:lineRule="auto"/>
              <w:outlineLvl w:val="9"/>
              <w:rPr>
                <w:rFonts w:hint="eastAsia" w:ascii="宋体" w:hAnsi="宋体" w:cs="宋体"/>
                <w:color w:val="auto"/>
                <w:sz w:val="24"/>
                <w:szCs w:val="24"/>
              </w:rPr>
            </w:pPr>
          </w:p>
        </w:tc>
      </w:tr>
      <w:tr w14:paraId="35E7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1" w:hRule="atLeast"/>
          <w:jc w:val="center"/>
        </w:trPr>
        <w:tc>
          <w:tcPr>
            <w:tcW w:w="1679" w:type="dxa"/>
            <w:noWrap w:val="0"/>
            <w:vAlign w:val="center"/>
          </w:tcPr>
          <w:p w14:paraId="719D2588">
            <w:pPr>
              <w:spacing w:line="360" w:lineRule="auto"/>
              <w:jc w:val="center"/>
              <w:outlineLvl w:val="9"/>
              <w:rPr>
                <w:rFonts w:hint="default" w:ascii="宋体" w:hAnsi="宋体"/>
                <w:b/>
                <w:color w:val="auto"/>
                <w:sz w:val="24"/>
                <w:szCs w:val="24"/>
                <w:lang w:val="en-US" w:eastAsia="zh-CN"/>
              </w:rPr>
            </w:pPr>
            <w:r>
              <w:rPr>
                <w:rFonts w:hint="eastAsia" w:ascii="宋体" w:hAnsi="宋体"/>
                <w:b/>
                <w:color w:val="auto"/>
                <w:sz w:val="24"/>
                <w:szCs w:val="24"/>
                <w:lang w:val="en-US" w:eastAsia="zh-CN"/>
              </w:rPr>
              <w:t>质保期</w:t>
            </w:r>
          </w:p>
        </w:tc>
        <w:tc>
          <w:tcPr>
            <w:tcW w:w="7560" w:type="dxa"/>
            <w:noWrap w:val="0"/>
            <w:vAlign w:val="center"/>
          </w:tcPr>
          <w:p w14:paraId="0BFA3ABD">
            <w:pPr>
              <w:spacing w:line="360" w:lineRule="auto"/>
              <w:outlineLvl w:val="9"/>
              <w:rPr>
                <w:rFonts w:hint="eastAsia" w:ascii="宋体" w:hAnsi="宋体" w:cs="宋体"/>
                <w:color w:val="auto"/>
                <w:sz w:val="24"/>
                <w:szCs w:val="24"/>
              </w:rPr>
            </w:pPr>
          </w:p>
        </w:tc>
      </w:tr>
      <w:tr w14:paraId="3621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1" w:hRule="atLeast"/>
          <w:jc w:val="center"/>
        </w:trPr>
        <w:tc>
          <w:tcPr>
            <w:tcW w:w="1679" w:type="dxa"/>
            <w:noWrap w:val="0"/>
            <w:vAlign w:val="center"/>
          </w:tcPr>
          <w:p w14:paraId="4E9B26A6">
            <w:pPr>
              <w:spacing w:line="360" w:lineRule="auto"/>
              <w:jc w:val="center"/>
              <w:outlineLvl w:val="9"/>
              <w:rPr>
                <w:rFonts w:hint="default" w:ascii="宋体" w:hAnsi="宋体"/>
                <w:b/>
                <w:color w:val="auto"/>
                <w:sz w:val="24"/>
                <w:szCs w:val="24"/>
                <w:lang w:val="en-US" w:eastAsia="zh-CN"/>
              </w:rPr>
            </w:pPr>
            <w:r>
              <w:rPr>
                <w:rFonts w:hint="eastAsia" w:ascii="宋体" w:hAnsi="宋体"/>
                <w:b/>
                <w:color w:val="auto"/>
                <w:sz w:val="24"/>
                <w:szCs w:val="24"/>
                <w:lang w:val="en-US" w:eastAsia="zh-CN"/>
              </w:rPr>
              <w:t>工程质量</w:t>
            </w:r>
          </w:p>
        </w:tc>
        <w:tc>
          <w:tcPr>
            <w:tcW w:w="7560" w:type="dxa"/>
            <w:noWrap w:val="0"/>
            <w:vAlign w:val="center"/>
          </w:tcPr>
          <w:p w14:paraId="06C24390">
            <w:pPr>
              <w:spacing w:line="360" w:lineRule="auto"/>
              <w:outlineLvl w:val="9"/>
              <w:rPr>
                <w:rFonts w:hint="eastAsia" w:ascii="宋体" w:hAnsi="宋体" w:cs="宋体"/>
                <w:color w:val="auto"/>
                <w:sz w:val="24"/>
                <w:szCs w:val="24"/>
              </w:rPr>
            </w:pPr>
          </w:p>
        </w:tc>
      </w:tr>
      <w:tr w14:paraId="01D4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5" w:hRule="atLeast"/>
          <w:jc w:val="center"/>
        </w:trPr>
        <w:tc>
          <w:tcPr>
            <w:tcW w:w="1679" w:type="dxa"/>
            <w:noWrap w:val="0"/>
            <w:vAlign w:val="center"/>
          </w:tcPr>
          <w:p w14:paraId="28711ACB">
            <w:pPr>
              <w:spacing w:line="360" w:lineRule="auto"/>
              <w:jc w:val="center"/>
              <w:outlineLvl w:val="9"/>
              <w:rPr>
                <w:rFonts w:hint="eastAsia" w:ascii="宋体" w:hAnsi="宋体" w:cs="宋体"/>
                <w:b/>
                <w:bCs/>
                <w:color w:val="auto"/>
                <w:sz w:val="24"/>
              </w:rPr>
            </w:pPr>
            <w:r>
              <w:rPr>
                <w:rFonts w:hint="eastAsia" w:ascii="宋体" w:hAnsi="宋体" w:cs="宋体"/>
                <w:b/>
                <w:bCs/>
                <w:color w:val="auto"/>
                <w:sz w:val="24"/>
              </w:rPr>
              <w:t>投标声明</w:t>
            </w:r>
          </w:p>
        </w:tc>
        <w:tc>
          <w:tcPr>
            <w:tcW w:w="7560" w:type="dxa"/>
            <w:noWrap w:val="0"/>
            <w:vAlign w:val="center"/>
          </w:tcPr>
          <w:p w14:paraId="5740848F">
            <w:pPr>
              <w:spacing w:line="360" w:lineRule="auto"/>
              <w:outlineLvl w:val="9"/>
              <w:rPr>
                <w:rFonts w:hint="eastAsia" w:ascii="宋体" w:hAnsi="宋体" w:cs="宋体"/>
                <w:color w:val="auto"/>
                <w:sz w:val="24"/>
                <w:szCs w:val="24"/>
              </w:rPr>
            </w:pPr>
          </w:p>
        </w:tc>
      </w:tr>
    </w:tbl>
    <w:p w14:paraId="638D83C0">
      <w:pPr>
        <w:outlineLvl w:val="9"/>
        <w:rPr>
          <w:rFonts w:hint="eastAsia" w:ascii="宋体" w:hAnsi="宋体" w:cs="宋体"/>
          <w:color w:val="auto"/>
        </w:rPr>
      </w:pPr>
    </w:p>
    <w:p w14:paraId="5D9D486C">
      <w:pPr>
        <w:spacing w:line="360" w:lineRule="auto"/>
        <w:outlineLvl w:val="9"/>
        <w:rPr>
          <w:rFonts w:hint="eastAsia" w:ascii="宋体" w:hAnsi="宋体" w:cs="宋体"/>
          <w:color w:val="auto"/>
          <w:sz w:val="24"/>
        </w:rPr>
      </w:pPr>
    </w:p>
    <w:p w14:paraId="0C9A2D4F">
      <w:pPr>
        <w:widowControl/>
        <w:jc w:val="right"/>
        <w:outlineLvl w:val="9"/>
        <w:rPr>
          <w:color w:val="auto"/>
        </w:rPr>
      </w:pPr>
      <w:r>
        <w:rPr>
          <w:rFonts w:hint="eastAsia" w:ascii="宋体" w:hAnsi="宋体" w:cs="宋体"/>
          <w:color w:val="auto"/>
          <w:sz w:val="24"/>
          <w:szCs w:val="24"/>
        </w:rPr>
        <w:t xml:space="preserve">  法人代表或被授权代表：</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（盖章或签字） </w:t>
      </w:r>
    </w:p>
    <w:p w14:paraId="2E9AEEFD">
      <w:pPr>
        <w:ind w:right="-161"/>
        <w:outlineLvl w:val="9"/>
        <w:rPr>
          <w:rFonts w:hint="eastAsia" w:ascii="宋体" w:hAnsi="宋体" w:cs="宋体"/>
          <w:color w:val="auto"/>
          <w:sz w:val="24"/>
          <w:szCs w:val="24"/>
          <w:u w:val="single"/>
        </w:rPr>
      </w:pPr>
    </w:p>
    <w:p w14:paraId="18EB947D">
      <w:pPr>
        <w:widowControl/>
        <w:spacing w:line="360" w:lineRule="auto"/>
        <w:jc w:val="center"/>
        <w:outlineLvl w:val="9"/>
        <w:rPr>
          <w:color w:val="auto"/>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投   标   人  ：</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（盖单位章） </w:t>
      </w:r>
    </w:p>
    <w:p w14:paraId="508421E7">
      <w:pPr>
        <w:ind w:right="-161" w:firstLine="2160" w:firstLineChars="900"/>
        <w:outlineLvl w:val="9"/>
        <w:rPr>
          <w:rFonts w:hint="eastAsia" w:ascii="宋体" w:hAnsi="宋体" w:cs="宋体"/>
          <w:color w:val="auto"/>
          <w:sz w:val="24"/>
          <w:szCs w:val="24"/>
          <w:u w:val="single"/>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p>
    <w:p w14:paraId="26A7DBDA">
      <w:pPr>
        <w:ind w:right="-161" w:firstLine="2640" w:firstLineChars="1100"/>
        <w:outlineLvl w:val="9"/>
        <w:rPr>
          <w:rFonts w:hint="eastAsia" w:ascii="宋体" w:hAnsi="宋体" w:cs="宋体"/>
          <w:color w:val="auto"/>
          <w:sz w:val="24"/>
          <w:szCs w:val="24"/>
          <w:u w:val="single"/>
        </w:rPr>
      </w:pPr>
    </w:p>
    <w:p w14:paraId="1287F009">
      <w:pPr>
        <w:spacing w:line="120" w:lineRule="exact"/>
        <w:outlineLvl w:val="9"/>
        <w:rPr>
          <w:rFonts w:ascii="宋体" w:hAnsi="宋体" w:cs="宋体"/>
          <w:color w:val="auto"/>
          <w:sz w:val="24"/>
          <w:szCs w:val="24"/>
        </w:rPr>
      </w:pPr>
    </w:p>
    <w:p w14:paraId="3F7E9C5F">
      <w:pPr>
        <w:pStyle w:val="11"/>
        <w:outlineLvl w:val="9"/>
        <w:rPr>
          <w:color w:val="auto"/>
        </w:rPr>
      </w:pPr>
    </w:p>
    <w:p w14:paraId="2251E5B9">
      <w:pPr>
        <w:spacing w:line="480" w:lineRule="auto"/>
        <w:ind w:right="-161"/>
        <w:jc w:val="center"/>
        <w:outlineLvl w:val="9"/>
        <w:rPr>
          <w:rFonts w:hint="eastAsia"/>
          <w:b/>
          <w:bCs/>
          <w:color w:val="auto"/>
          <w:sz w:val="36"/>
          <w:szCs w:val="16"/>
        </w:rPr>
        <w:sectPr>
          <w:pgSz w:w="11906" w:h="16838"/>
          <w:pgMar w:top="1383" w:right="1383" w:bottom="1383" w:left="1383" w:header="851" w:footer="992" w:gutter="0"/>
          <w:pgNumType w:fmt="decimal"/>
          <w:cols w:space="720" w:num="1"/>
          <w:docGrid w:linePitch="312" w:charSpace="0"/>
        </w:sectPr>
      </w:pPr>
      <w:bookmarkStart w:id="337" w:name="_Toc776"/>
      <w:bookmarkStart w:id="338" w:name="_Toc27665"/>
      <w:bookmarkStart w:id="339" w:name="_Toc8483"/>
      <w:bookmarkStart w:id="340" w:name="_Toc1408"/>
      <w:bookmarkStart w:id="341" w:name="_Toc5971"/>
      <w:bookmarkStart w:id="342" w:name="_Toc29346"/>
      <w:bookmarkStart w:id="343" w:name="_Toc16078"/>
      <w:bookmarkStart w:id="344" w:name="_Toc3758"/>
      <w:bookmarkStart w:id="345" w:name="_Toc859"/>
      <w:bookmarkStart w:id="346" w:name="_Toc26878"/>
      <w:bookmarkStart w:id="347" w:name="_Toc1083"/>
      <w:bookmarkStart w:id="348" w:name="_Toc9067"/>
      <w:bookmarkStart w:id="349" w:name="_Toc14005"/>
      <w:bookmarkStart w:id="350" w:name="_Toc21755"/>
      <w:bookmarkStart w:id="351" w:name="_Toc30603"/>
    </w:p>
    <w:p w14:paraId="52E69901">
      <w:pPr>
        <w:snapToGrid w:val="0"/>
        <w:spacing w:line="360" w:lineRule="auto"/>
        <w:jc w:val="center"/>
        <w:outlineLvl w:val="1"/>
        <w:rPr>
          <w:rFonts w:ascii="宋体" w:hAnsi="宋体" w:cs="宋体"/>
          <w:b/>
          <w:color w:val="auto"/>
          <w:sz w:val="32"/>
          <w:szCs w:val="32"/>
        </w:rPr>
      </w:pPr>
      <w:bookmarkStart w:id="352" w:name="_Toc30707"/>
      <w:r>
        <w:rPr>
          <w:rFonts w:hint="eastAsia" w:ascii="宋体" w:hAnsi="宋体" w:cs="宋体"/>
          <w:b/>
          <w:color w:val="auto"/>
          <w:sz w:val="32"/>
          <w:szCs w:val="32"/>
          <w:lang w:val="en-US" w:eastAsia="zh-CN"/>
        </w:rPr>
        <w:t>三、</w:t>
      </w:r>
      <w:r>
        <w:rPr>
          <w:rFonts w:hint="eastAsia" w:ascii="宋体" w:hAnsi="宋体" w:cs="宋体"/>
          <w:b/>
          <w:color w:val="auto"/>
          <w:sz w:val="32"/>
          <w:szCs w:val="32"/>
        </w:rPr>
        <w:t>磋商分项报价表</w:t>
      </w:r>
      <w:bookmarkEnd w:id="352"/>
    </w:p>
    <w:p w14:paraId="1CCD75C0">
      <w:pPr>
        <w:jc w:val="center"/>
        <w:outlineLvl w:val="9"/>
        <w:rPr>
          <w:color w:val="auto"/>
        </w:rPr>
      </w:pPr>
    </w:p>
    <w:p w14:paraId="63A24FAD">
      <w:pPr>
        <w:spacing w:line="480" w:lineRule="auto"/>
        <w:ind w:right="-161"/>
        <w:jc w:val="center"/>
        <w:outlineLvl w:val="9"/>
        <w:rPr>
          <w:rFonts w:hint="eastAsia" w:eastAsia="宋体"/>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以软件生成为准</w:t>
      </w:r>
      <w:r>
        <w:rPr>
          <w:rFonts w:hint="eastAsia"/>
          <w:b w:val="0"/>
          <w:bCs w:val="0"/>
          <w:color w:val="auto"/>
          <w:sz w:val="24"/>
          <w:szCs w:val="24"/>
          <w:lang w:eastAsia="zh-CN"/>
        </w:rPr>
        <w:t>）</w:t>
      </w:r>
    </w:p>
    <w:p w14:paraId="47BAACCC">
      <w:pPr>
        <w:outlineLvl w:val="9"/>
        <w:rPr>
          <w:rFonts w:hint="eastAsia"/>
          <w:color w:val="auto"/>
        </w:rPr>
      </w:pPr>
    </w:p>
    <w:p w14:paraId="4612EA0F">
      <w:pPr>
        <w:spacing w:line="480" w:lineRule="auto"/>
        <w:ind w:right="-161"/>
        <w:jc w:val="center"/>
        <w:outlineLvl w:val="9"/>
        <w:rPr>
          <w:rFonts w:hint="eastAsia"/>
          <w:b/>
          <w:bCs/>
          <w:color w:val="auto"/>
          <w:sz w:val="36"/>
          <w:szCs w:val="16"/>
          <w:lang w:val="en-US" w:eastAsia="zh-CN"/>
        </w:rPr>
        <w:sectPr>
          <w:pgSz w:w="11906" w:h="16838"/>
          <w:pgMar w:top="1383" w:right="1383" w:bottom="1383" w:left="1383" w:header="851" w:footer="992" w:gutter="0"/>
          <w:pgNumType w:fmt="decimal"/>
          <w:cols w:space="720" w:num="1"/>
          <w:docGrid w:linePitch="312" w:charSpace="0"/>
        </w:sectPr>
      </w:pPr>
    </w:p>
    <w:p w14:paraId="608B4DAA">
      <w:pPr>
        <w:spacing w:line="480" w:lineRule="auto"/>
        <w:ind w:right="-161"/>
        <w:jc w:val="center"/>
        <w:outlineLvl w:val="1"/>
        <w:rPr>
          <w:rFonts w:hint="eastAsia" w:ascii="宋体" w:hAnsi="宋体" w:cs="宋体"/>
          <w:b/>
          <w:bCs/>
          <w:color w:val="auto"/>
          <w:sz w:val="24"/>
          <w:szCs w:val="24"/>
          <w:u w:val="single"/>
        </w:rPr>
      </w:pPr>
      <w:bookmarkStart w:id="353" w:name="_Toc19601"/>
      <w:r>
        <w:rPr>
          <w:rFonts w:hint="eastAsia"/>
          <w:b/>
          <w:bCs/>
          <w:color w:val="auto"/>
          <w:sz w:val="36"/>
          <w:szCs w:val="16"/>
          <w:lang w:val="en-US" w:eastAsia="zh-CN"/>
        </w:rPr>
        <w:t>四</w:t>
      </w:r>
      <w:r>
        <w:rPr>
          <w:rFonts w:hint="eastAsia"/>
          <w:b/>
          <w:bCs/>
          <w:color w:val="auto"/>
          <w:sz w:val="36"/>
          <w:szCs w:val="16"/>
        </w:rPr>
        <w:t>、资格证明文件</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3"/>
    </w:p>
    <w:p w14:paraId="14495D7C">
      <w:pPr>
        <w:spacing w:before="120" w:beforeLines="50" w:line="400" w:lineRule="exact"/>
        <w:ind w:left="-14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按“第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榆林市政府采购工程类项目供应商信用承诺书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4E77A3A6">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榆林市政府采购工程类项目供应商信用承诺书</w:t>
      </w:r>
    </w:p>
    <w:p w14:paraId="0863F4C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CDBB99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市场主体名称：</w:t>
      </w:r>
    </w:p>
    <w:p w14:paraId="649159D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证件类型：统一社会信用代码</w:t>
      </w:r>
    </w:p>
    <w:p w14:paraId="1E185E2C">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p w14:paraId="27F5BB7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法人代表：</w:t>
      </w:r>
    </w:p>
    <w:p w14:paraId="0F0ADDBB">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承诺有效期限：    年    月    日—    年    月    日</w:t>
      </w:r>
    </w:p>
    <w:p w14:paraId="746EC80E">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承诺内容：</w:t>
      </w:r>
    </w:p>
    <w:p w14:paraId="537894A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为维护公开、公平、公正的政府采购市场秩序，树立诚实守信的政府采购供应商形象，本单位自愿做出以下承诺：</w:t>
      </w:r>
    </w:p>
    <w:p w14:paraId="0AFE4F3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一、承诺本单位严格遵守国家法律、法规和规章，全面履行应尽的责任和义务，全面做到履约守信，具备《政府采购法》第二十二条第一款规定的条件;</w:t>
      </w:r>
    </w:p>
    <w:p w14:paraId="2AAA0993">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6A1512C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三、承诺本单位严格依法开展生产经营活动，主动接受行业监管，自愿接受依法开展的日常检查；违法失信经营后将自愿接受约束和惩戒，并依法承担相应责任；</w:t>
      </w:r>
    </w:p>
    <w:p w14:paraId="462BF44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四、承诺本单位自觉接受行政管理部门、行业组织、社会公众、新闻舆论的监督；</w:t>
      </w:r>
    </w:p>
    <w:p w14:paraId="0A82123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五、承诺本单位自我约束、自我管理，重合同、守信用，不制假售假、商标侵权、虚假宣传、违约毁约、恶意逃债、偷税漏税、价格欺诈、垄断和不正当竞争，维护经营者、消费者的合法权益；</w:t>
      </w:r>
    </w:p>
    <w:p w14:paraId="28774C6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六、承诺本单位提出政府采购质疑和投诉坚持依法依规、诚实信用原则，在全国范围12个月内没有三次以上查无实据的政府采购投诉；</w:t>
      </w:r>
    </w:p>
    <w:p w14:paraId="42E5E80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七、根据政府采购相关法律法规的规定需要作出的其他诺：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6CC7854">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A67676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p>
    <w:p w14:paraId="0EABBA9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承诺单位（盖章）：</w:t>
      </w:r>
    </w:p>
    <w:p w14:paraId="0910C39A">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法定代表人（负责人）：</w:t>
      </w:r>
    </w:p>
    <w:p w14:paraId="58BEE73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法定代表人（负责人）身份证号：</w:t>
      </w:r>
    </w:p>
    <w:p w14:paraId="5D51CD22">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承诺日期：</w:t>
      </w:r>
    </w:p>
    <w:p w14:paraId="6E6D9005">
      <w:pPr>
        <w:pStyle w:val="54"/>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color w:val="auto"/>
          <w:sz w:val="24"/>
          <w:szCs w:val="24"/>
        </w:rPr>
      </w:pPr>
    </w:p>
    <w:p w14:paraId="7C6C0575">
      <w:pPr>
        <w:pStyle w:val="54"/>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color w:val="auto"/>
          <w:sz w:val="24"/>
          <w:szCs w:val="24"/>
        </w:rPr>
      </w:pPr>
    </w:p>
    <w:p w14:paraId="6949A9E7">
      <w:pPr>
        <w:pStyle w:val="5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color w:val="auto"/>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宋体" w:hAnsi="宋体" w:eastAsia="宋体" w:cs="宋体"/>
          <w:color w:val="auto"/>
          <w:kern w:val="2"/>
          <w:sz w:val="21"/>
          <w:szCs w:val="21"/>
          <w:lang w:val="en-US" w:eastAsia="zh-CN" w:bidi="ar-SA"/>
        </w:rPr>
        <w:br w:type="page"/>
      </w:r>
      <w:r>
        <w:rPr>
          <w:rFonts w:hint="eastAsia" w:ascii="宋体" w:hAnsi="宋体" w:eastAsia="宋体" w:cs="宋体"/>
          <w:b/>
          <w:bCs/>
          <w:color w:val="auto"/>
          <w:sz w:val="24"/>
          <w:szCs w:val="24"/>
        </w:rPr>
        <w:t>投标人信用承诺</w:t>
      </w:r>
    </w:p>
    <w:p w14:paraId="7D878ECA">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p>
    <w:p w14:paraId="0C2CBB42">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法人代表：</w:t>
      </w:r>
      <w:r>
        <w:rPr>
          <w:rFonts w:hint="eastAsia" w:ascii="宋体" w:hAnsi="宋体" w:eastAsia="宋体" w:cs="宋体"/>
          <w:color w:val="auto"/>
          <w:sz w:val="24"/>
          <w:szCs w:val="24"/>
          <w:u w:val="single"/>
        </w:rPr>
        <w:t xml:space="preserve">                  </w:t>
      </w:r>
    </w:p>
    <w:p w14:paraId="4AE38427">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承诺有效期限：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A7D3F8D">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项目招投标活动中，我公司（单位）郑重作出以下信用承诺：</w:t>
      </w:r>
    </w:p>
    <w:p w14:paraId="03CE69FF">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A77EB74">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和投标文件与招标人签订合同；在签订合同时向招标人提出附加条件、或者改变投标文件的实质性内容；放弃中标；不按照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的规定提交履约保证金。5.招投标法规定的其它违法违规行为。</w:t>
      </w:r>
    </w:p>
    <w:p w14:paraId="290B21DB">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（三）自愿接受招投标监督部门和有关行政监督部门的依法检查。</w:t>
      </w:r>
    </w:p>
    <w:p w14:paraId="356FBF94">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（四）同意将此信用承诺纳入陕西省公共信用信息平台和榆林市公共信用信息共享平台，并上网公示，接受社会监督。</w:t>
      </w:r>
    </w:p>
    <w:p w14:paraId="59E4ADC5">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1FD1AB6F">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法定代表人（签章）：                           投标人（盖章）：</w:t>
      </w:r>
    </w:p>
    <w:p w14:paraId="1FC2D0C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rPr>
      </w:pPr>
    </w:p>
    <w:p w14:paraId="0E274A56">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承诺时间：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B3D72C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宋体" w:hAnsi="宋体" w:eastAsia="宋体" w:cs="宋体"/>
          <w:color w:val="auto"/>
          <w:sz w:val="21"/>
          <w:szCs w:val="21"/>
        </w:rPr>
        <w:br w:type="page"/>
      </w:r>
      <w:r>
        <w:rPr>
          <w:rFonts w:hint="eastAsia" w:ascii="宋体" w:hAnsi="宋体" w:eastAsia="宋体" w:cs="宋体"/>
          <w:b/>
          <w:bCs/>
          <w:color w:val="auto"/>
          <w:sz w:val="24"/>
          <w:szCs w:val="24"/>
        </w:rPr>
        <w:t>投标信用承诺书</w:t>
      </w:r>
    </w:p>
    <w:p w14:paraId="2D941859">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p>
    <w:p w14:paraId="1AD65DD5">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项目标段：</w:t>
      </w:r>
      <w:r>
        <w:rPr>
          <w:rFonts w:hint="eastAsia" w:ascii="宋体" w:hAnsi="宋体" w:eastAsia="宋体" w:cs="宋体"/>
          <w:color w:val="auto"/>
          <w:sz w:val="24"/>
          <w:szCs w:val="24"/>
          <w:u w:val="single"/>
        </w:rPr>
        <w:t xml:space="preserve">                                                                  </w:t>
      </w:r>
    </w:p>
    <w:p w14:paraId="0A7EC440">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p>
    <w:p w14:paraId="51881639">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法人代表：</w:t>
      </w:r>
      <w:r>
        <w:rPr>
          <w:rFonts w:hint="eastAsia" w:ascii="宋体" w:hAnsi="宋体" w:eastAsia="宋体" w:cs="宋体"/>
          <w:color w:val="auto"/>
          <w:sz w:val="24"/>
          <w:szCs w:val="24"/>
          <w:u w:val="single"/>
        </w:rPr>
        <w:t xml:space="preserve">                 </w:t>
      </w:r>
    </w:p>
    <w:p w14:paraId="437E5A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在本项目标段招投标活动中，我公司（单位）自愿作出以下投标信用承诺：</w:t>
      </w:r>
    </w:p>
    <w:p w14:paraId="2C0F2F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（一）能严格遵守法律法规、职业道德和行业规范。</w:t>
      </w:r>
    </w:p>
    <w:p w14:paraId="7ACDFF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和投标文件与招标人签订合同；在签订合同时向招标人提出附加条件、或者改变投标文件的实质性内容；放弃中标；不按照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的规定提交履约保证金。5.招投标法规定的其它违法违规行为。</w:t>
      </w:r>
    </w:p>
    <w:p w14:paraId="425717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3177BE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color w:val="auto"/>
          <w:sz w:val="24"/>
          <w:szCs w:val="24"/>
        </w:rPr>
      </w:pPr>
    </w:p>
    <w:p w14:paraId="675E57E5">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法定代表人（签章）：                           投标人（盖章）：</w:t>
      </w:r>
    </w:p>
    <w:p w14:paraId="751AEAC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p>
    <w:p w14:paraId="2F3A17E1">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39A47B2">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color w:val="auto"/>
          <w:sz w:val="24"/>
          <w:szCs w:val="24"/>
        </w:rPr>
      </w:pPr>
    </w:p>
    <w:p w14:paraId="0B472DD4">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color w:val="auto"/>
          <w:sz w:val="24"/>
          <w:szCs w:val="24"/>
        </w:rPr>
      </w:pPr>
    </w:p>
    <w:p w14:paraId="46685BE4">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color w:val="auto"/>
          <w:sz w:val="24"/>
          <w:szCs w:val="24"/>
        </w:rPr>
      </w:pPr>
    </w:p>
    <w:p w14:paraId="7F7D79E9">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color w:val="auto"/>
          <w:sz w:val="24"/>
          <w:szCs w:val="24"/>
        </w:rPr>
      </w:pPr>
    </w:p>
    <w:p w14:paraId="39D62818">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1"/>
          <w:szCs w:val="21"/>
        </w:rPr>
      </w:pPr>
      <w:r>
        <w:rPr>
          <w:rFonts w:hint="eastAsia" w:ascii="宋体" w:hAnsi="宋体" w:eastAsia="宋体" w:cs="宋体"/>
          <w:b/>
          <w:color w:val="auto"/>
          <w:sz w:val="21"/>
          <w:szCs w:val="21"/>
        </w:rPr>
        <w:t>说明：本承诺书效力和作用等同投标保证金，其有效期与投标有效期一致。</w:t>
      </w:r>
      <w:r>
        <w:rPr>
          <w:rFonts w:hint="eastAsia" w:ascii="宋体" w:hAnsi="宋体" w:eastAsia="宋体" w:cs="宋体"/>
          <w:color w:val="auto"/>
          <w:sz w:val="21"/>
          <w:szCs w:val="21"/>
        </w:rPr>
        <w:t xml:space="preserve"> </w:t>
      </w:r>
    </w:p>
    <w:p w14:paraId="0B00B9CE">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1"/>
          <w:szCs w:val="21"/>
        </w:rPr>
      </w:pPr>
    </w:p>
    <w:p w14:paraId="12E85400">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1"/>
          <w:szCs w:val="21"/>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此承诺书除附在投标文件中外还须上传至“信用中国（陕西榆林）”网站投标人自主上报信用承诺书附件。（须后附截图）</w:t>
      </w:r>
    </w:p>
    <w:p w14:paraId="3D76092D">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投标人委托代理人员信用承诺书</w:t>
      </w:r>
    </w:p>
    <w:p w14:paraId="5AEA02F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p>
    <w:p w14:paraId="34EAFB86">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项目招投标活动中，我个人郑重作出以下信用承诺：</w:t>
      </w:r>
    </w:p>
    <w:p w14:paraId="0D118139">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54D27E51">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和投标文件与招标人签订合同；在签订合同时向招标人提出附加条件、或者改变投标文件的实质性内容；放弃中标；不按照</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的规定提交履约保证金。5.招投标法规定的其它违法违规行为。</w:t>
      </w:r>
    </w:p>
    <w:p w14:paraId="5624B8CC">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（三）自愿接受招投标监督部门和有关行政监督部门的依法检查。</w:t>
      </w:r>
    </w:p>
    <w:p w14:paraId="6217D2F4">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（四）同意将此信用承诺纳入陕西省公共信用信息平台和榆林市公共信用信息共享平台，并接受社会监督。</w:t>
      </w:r>
    </w:p>
    <w:p w14:paraId="74DA8061">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08F9884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p>
    <w:p w14:paraId="62A017E9">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承诺有效期限：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8CDCB3B">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p>
    <w:p w14:paraId="123CD1E7">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承诺人（签字）：</w:t>
      </w:r>
      <w:r>
        <w:rPr>
          <w:rFonts w:hint="eastAsia" w:ascii="宋体" w:hAnsi="宋体" w:eastAsia="宋体" w:cs="宋体"/>
          <w:color w:val="auto"/>
          <w:sz w:val="24"/>
          <w:szCs w:val="24"/>
          <w:u w:val="single"/>
        </w:rPr>
        <w:t xml:space="preserve">                 </w:t>
      </w:r>
    </w:p>
    <w:p w14:paraId="034A946A">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承诺时间：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2BDF8DA">
      <w:pPr>
        <w:pStyle w:val="24"/>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color w:val="auto"/>
          <w:sz w:val="24"/>
          <w:szCs w:val="24"/>
        </w:rPr>
      </w:pPr>
    </w:p>
    <w:p w14:paraId="30B41C80">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color w:val="auto"/>
          <w:sz w:val="24"/>
          <w:szCs w:val="24"/>
        </w:rPr>
      </w:pPr>
    </w:p>
    <w:p w14:paraId="2ADD55AF">
      <w:pPr>
        <w:pStyle w:val="11"/>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color w:val="auto"/>
          <w:lang w:eastAsia="zh-CN"/>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5D23642F">
      <w:pPr>
        <w:outlineLvl w:val="9"/>
        <w:rPr>
          <w:rFonts w:hint="eastAsia" w:ascii="宋体" w:hAnsi="宋体" w:eastAsia="宋体" w:cs="宋体"/>
          <w:color w:val="auto"/>
          <w:lang w:eastAsia="zh-CN"/>
        </w:rPr>
        <w:sectPr>
          <w:pgSz w:w="11906" w:h="16838"/>
          <w:pgMar w:top="1440" w:right="1287" w:bottom="1440" w:left="1440" w:header="850" w:footer="992" w:gutter="0"/>
          <w:pgNumType w:fmt="decimal"/>
          <w:cols w:space="720" w:num="1"/>
          <w:titlePg/>
          <w:docGrid w:linePitch="360" w:charSpace="0"/>
        </w:sectPr>
      </w:pPr>
    </w:p>
    <w:p w14:paraId="661FDA79">
      <w:pPr>
        <w:spacing w:line="360" w:lineRule="atLeast"/>
        <w:ind w:firstLine="723" w:firstLineChars="200"/>
        <w:jc w:val="center"/>
        <w:outlineLvl w:val="1"/>
        <w:rPr>
          <w:rFonts w:hint="eastAsia" w:ascii="宋体" w:hAnsi="宋体" w:cs="宋体"/>
          <w:b/>
          <w:bCs/>
          <w:color w:val="auto"/>
          <w:sz w:val="36"/>
          <w:szCs w:val="36"/>
        </w:rPr>
      </w:pPr>
      <w:bookmarkStart w:id="354" w:name="_Toc10654"/>
      <w:bookmarkStart w:id="355" w:name="_Toc31367"/>
      <w:r>
        <w:rPr>
          <w:rFonts w:hint="eastAsia" w:ascii="宋体" w:hAnsi="宋体" w:cs="宋体"/>
          <w:b/>
          <w:bCs/>
          <w:color w:val="auto"/>
          <w:sz w:val="36"/>
          <w:szCs w:val="36"/>
          <w:lang w:val="en-US" w:eastAsia="zh-CN"/>
        </w:rPr>
        <w:t>五</w:t>
      </w:r>
      <w:r>
        <w:rPr>
          <w:rFonts w:hint="eastAsia" w:ascii="宋体" w:hAnsi="宋体" w:cs="宋体"/>
          <w:b/>
          <w:bCs/>
          <w:color w:val="auto"/>
          <w:sz w:val="36"/>
          <w:szCs w:val="36"/>
        </w:rPr>
        <w:t>、供应商参加政府采购活动承诺书</w:t>
      </w:r>
      <w:bookmarkEnd w:id="354"/>
      <w:bookmarkEnd w:id="355"/>
    </w:p>
    <w:p w14:paraId="30DA6FB3">
      <w:pPr>
        <w:pStyle w:val="50"/>
        <w:outlineLvl w:val="9"/>
        <w:rPr>
          <w:rFonts w:hint="eastAsia" w:ascii="宋体" w:hAnsi="宋体" w:cs="宋体"/>
          <w:color w:val="auto"/>
        </w:rPr>
      </w:pPr>
    </w:p>
    <w:p w14:paraId="67FC904C">
      <w:pPr>
        <w:pStyle w:val="15"/>
        <w:spacing w:line="360" w:lineRule="auto"/>
        <w:jc w:val="center"/>
        <w:outlineLvl w:val="9"/>
        <w:rPr>
          <w:rFonts w:hAnsi="宋体" w:cs="宋体"/>
          <w:b/>
          <w:color w:val="auto"/>
          <w:sz w:val="32"/>
        </w:rPr>
      </w:pPr>
      <w:r>
        <w:rPr>
          <w:rFonts w:hAnsi="宋体" w:cs="宋体"/>
          <w:b/>
          <w:color w:val="auto"/>
          <w:sz w:val="32"/>
        </w:rPr>
        <w:t>承诺书</w:t>
      </w:r>
      <w:r>
        <w:rPr>
          <w:rFonts w:hAnsi="宋体" w:cs="宋体"/>
          <w:b/>
          <w:color w:val="auto"/>
          <w:sz w:val="32"/>
          <w:szCs w:val="32"/>
        </w:rPr>
        <w:t>Ⅰ</w:t>
      </w:r>
    </w:p>
    <w:p w14:paraId="6BE5BAED">
      <w:pPr>
        <w:outlineLvl w:val="9"/>
        <w:rPr>
          <w:rFonts w:hint="eastAsia" w:ascii="宋体" w:hAnsi="宋体" w:cs="宋体"/>
          <w:color w:val="auto"/>
        </w:rPr>
      </w:pPr>
    </w:p>
    <w:p w14:paraId="6E14F295">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为响应党中央、国务院关于治理政府采购领域商业贿赂行为的号召，我公司在此庄严承诺：</w:t>
      </w:r>
    </w:p>
    <w:p w14:paraId="75203757">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1、在参与政府采购活动中遵纪守法、诚信经营、公平竞标。</w:t>
      </w:r>
    </w:p>
    <w:p w14:paraId="400D392B">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2、不向政府采购人、采购代理机构和政府采购评审专家进行任何形式的商业贿赂以谋取交易机会。</w:t>
      </w:r>
    </w:p>
    <w:p w14:paraId="0ED6FDC2">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p>
    <w:p w14:paraId="305294BF">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4、不采取“围标、陪标”等商业欺诈手段获得政府采购定单。</w:t>
      </w:r>
    </w:p>
    <w:p w14:paraId="0A58D027">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5、不采取不正当手段诋毁、排挤其他供应商。</w:t>
      </w:r>
    </w:p>
    <w:p w14:paraId="6B918F19">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6、不在提供商品和服务时“偷梁换柱、以次充好”损害采购人的合法权益。</w:t>
      </w:r>
    </w:p>
    <w:p w14:paraId="40526BC8">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7、不与采购人、采购代理机构政府采购评审专家或其它供应商恶意串通，进行质疑和投诉，维护政府采购市场秩序。</w:t>
      </w:r>
    </w:p>
    <w:p w14:paraId="1C59902C">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p>
    <w:p w14:paraId="1FF78AEC">
      <w:pPr>
        <w:widowControl/>
        <w:spacing w:line="360" w:lineRule="auto"/>
        <w:ind w:left="239" w:leftChars="114" w:firstLine="470" w:firstLineChars="196"/>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9、不发生其他有悖于政府采购公开、公平、公正和诚信原则的行为。</w:t>
      </w:r>
    </w:p>
    <w:p w14:paraId="0EB3B9B5">
      <w:pPr>
        <w:pStyle w:val="11"/>
        <w:outlineLvl w:val="9"/>
        <w:rPr>
          <w:rFonts w:hint="eastAsia"/>
          <w:color w:val="auto"/>
          <w:lang w:eastAsia="zh-CN"/>
        </w:rPr>
      </w:pPr>
    </w:p>
    <w:p w14:paraId="573D49FC">
      <w:pPr>
        <w:widowControl/>
        <w:spacing w:line="360" w:lineRule="auto"/>
        <w:ind w:left="239" w:leftChars="114"/>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承诺单位名称：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（盖章）</w:t>
      </w:r>
    </w:p>
    <w:p w14:paraId="4B7A005A">
      <w:pPr>
        <w:widowControl/>
        <w:spacing w:line="360" w:lineRule="auto"/>
        <w:ind w:left="239" w:leftChars="114"/>
        <w:jc w:val="left"/>
        <w:outlineLvl w:val="9"/>
        <w:rPr>
          <w:rFonts w:hint="eastAsia" w:ascii="宋体" w:hAnsi="宋体" w:eastAsia="宋体" w:cs="宋体"/>
          <w:color w:val="auto"/>
          <w:kern w:val="0"/>
          <w:sz w:val="24"/>
          <w:lang w:eastAsia="zh-CN"/>
        </w:rPr>
      </w:pPr>
      <w:r>
        <w:rPr>
          <w:rFonts w:hint="eastAsia" w:ascii="宋体" w:hAnsi="宋体" w:eastAsia="宋体" w:cs="宋体"/>
          <w:color w:val="auto"/>
          <w:sz w:val="24"/>
          <w:szCs w:val="24"/>
        </w:rPr>
        <w:t>法定代表人/单位负责人/或被授权人签字：</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kern w:val="0"/>
          <w:sz w:val="24"/>
        </w:rPr>
        <w:t>（签字）</w:t>
      </w:r>
    </w:p>
    <w:p w14:paraId="65A03FBD">
      <w:pPr>
        <w:widowControl/>
        <w:spacing w:line="360" w:lineRule="auto"/>
        <w:ind w:left="239" w:leftChars="114"/>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rPr>
        <w:t>地  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w:t>
      </w:r>
    </w:p>
    <w:p w14:paraId="576C1FA0">
      <w:pPr>
        <w:widowControl/>
        <w:spacing w:line="360" w:lineRule="auto"/>
        <w:ind w:left="239" w:leftChars="114"/>
        <w:jc w:val="left"/>
        <w:outlineLvl w:val="9"/>
        <w:rPr>
          <w:rFonts w:hint="eastAsia" w:ascii="宋体" w:hAnsi="宋体" w:eastAsia="宋体" w:cs="宋体"/>
          <w:color w:val="auto"/>
          <w:kern w:val="0"/>
          <w:sz w:val="24"/>
          <w:lang w:eastAsia="zh-CN"/>
        </w:rPr>
      </w:pPr>
      <w:r>
        <w:rPr>
          <w:rFonts w:hint="eastAsia" w:ascii="宋体" w:hAnsi="宋体" w:eastAsia="宋体" w:cs="宋体"/>
          <w:color w:val="auto"/>
          <w:kern w:val="0"/>
          <w:sz w:val="24"/>
        </w:rPr>
        <w:t>邮  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p>
    <w:p w14:paraId="0C801D72">
      <w:pPr>
        <w:widowControl/>
        <w:spacing w:line="360" w:lineRule="auto"/>
        <w:ind w:left="239" w:leftChars="114"/>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rPr>
        <w:t>电  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w:t>
      </w:r>
    </w:p>
    <w:p w14:paraId="4E4FC130">
      <w:pPr>
        <w:spacing w:line="360" w:lineRule="atLeast"/>
        <w:ind w:firstLine="240" w:firstLineChars="100"/>
        <w:jc w:val="both"/>
        <w:outlineLvl w:val="9"/>
        <w:rPr>
          <w:rFonts w:hint="eastAsia" w:ascii="宋体" w:hAnsi="宋体" w:cs="宋体"/>
          <w:b/>
          <w:color w:val="auto"/>
          <w:sz w:val="32"/>
          <w:szCs w:val="32"/>
        </w:rPr>
      </w:pPr>
      <w:r>
        <w:rPr>
          <w:rFonts w:hint="eastAsia" w:ascii="宋体" w:hAnsi="宋体" w:cs="宋体"/>
          <w:color w:val="auto"/>
          <w:kern w:val="0"/>
          <w:sz w:val="24"/>
          <w:lang w:val="en-US" w:eastAsia="zh-CN"/>
        </w:rPr>
        <w:t>日    期：</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2C93939E">
      <w:pPr>
        <w:spacing w:line="360" w:lineRule="atLeast"/>
        <w:jc w:val="center"/>
        <w:outlineLvl w:val="9"/>
        <w:rPr>
          <w:rFonts w:hint="eastAsia" w:ascii="宋体" w:hAnsi="宋体" w:cs="宋体"/>
          <w:b/>
          <w:color w:val="auto"/>
          <w:sz w:val="32"/>
          <w:szCs w:val="32"/>
        </w:rPr>
      </w:pPr>
    </w:p>
    <w:p w14:paraId="63BDF567">
      <w:pPr>
        <w:spacing w:line="360" w:lineRule="atLeast"/>
        <w:jc w:val="center"/>
        <w:outlineLvl w:val="9"/>
        <w:rPr>
          <w:rFonts w:hint="eastAsia" w:ascii="宋体" w:hAnsi="宋体" w:cs="宋体"/>
          <w:b/>
          <w:color w:val="auto"/>
          <w:sz w:val="32"/>
          <w:szCs w:val="32"/>
        </w:rPr>
      </w:pPr>
    </w:p>
    <w:p w14:paraId="0259B318">
      <w:pPr>
        <w:spacing w:line="360" w:lineRule="atLeast"/>
        <w:jc w:val="center"/>
        <w:outlineLvl w:val="9"/>
        <w:rPr>
          <w:rFonts w:hint="eastAsia" w:ascii="宋体" w:hAnsi="宋体" w:cs="宋体"/>
          <w:b/>
          <w:color w:val="auto"/>
          <w:sz w:val="32"/>
          <w:szCs w:val="32"/>
        </w:rPr>
      </w:pPr>
    </w:p>
    <w:p w14:paraId="2A6F34A7">
      <w:pPr>
        <w:spacing w:line="360" w:lineRule="atLeast"/>
        <w:jc w:val="center"/>
        <w:outlineLvl w:val="9"/>
        <w:rPr>
          <w:rFonts w:hint="eastAsia" w:ascii="宋体" w:hAnsi="宋体" w:cs="宋体"/>
          <w:b/>
          <w:color w:val="auto"/>
          <w:sz w:val="32"/>
          <w:szCs w:val="32"/>
        </w:rPr>
      </w:pPr>
    </w:p>
    <w:p w14:paraId="35D13473">
      <w:pPr>
        <w:spacing w:line="360" w:lineRule="atLeast"/>
        <w:jc w:val="center"/>
        <w:outlineLvl w:val="9"/>
        <w:rPr>
          <w:rFonts w:hint="eastAsia" w:ascii="宋体" w:hAnsi="宋体" w:cs="宋体"/>
          <w:b/>
          <w:color w:val="auto"/>
          <w:sz w:val="32"/>
          <w:szCs w:val="32"/>
        </w:rPr>
      </w:pPr>
    </w:p>
    <w:p w14:paraId="4537597E">
      <w:pPr>
        <w:spacing w:line="360" w:lineRule="atLeast"/>
        <w:jc w:val="center"/>
        <w:outlineLvl w:val="9"/>
        <w:rPr>
          <w:rFonts w:hint="eastAsia" w:ascii="宋体" w:hAnsi="宋体" w:cs="宋体"/>
          <w:b/>
          <w:color w:val="auto"/>
          <w:sz w:val="32"/>
          <w:szCs w:val="32"/>
        </w:rPr>
      </w:pPr>
      <w:r>
        <w:rPr>
          <w:rFonts w:hint="eastAsia" w:ascii="宋体" w:hAnsi="宋体" w:cs="宋体"/>
          <w:b/>
          <w:color w:val="auto"/>
          <w:sz w:val="32"/>
          <w:szCs w:val="32"/>
        </w:rPr>
        <w:t>承诺书Ⅱ</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70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3F88795">
            <w:pPr>
              <w:spacing w:line="360" w:lineRule="atLeast"/>
              <w:outlineLvl w:val="9"/>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陕西众信玖鼎项目管理有限责任公司</w:t>
            </w:r>
          </w:p>
        </w:tc>
      </w:tr>
      <w:tr w14:paraId="12F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F094FCD">
            <w:pPr>
              <w:spacing w:line="360" w:lineRule="atLeast"/>
              <w:ind w:firstLine="480" w:firstLineChars="200"/>
              <w:outlineLvl w:val="9"/>
              <w:rPr>
                <w:rFonts w:hint="eastAsia" w:ascii="宋体" w:hAnsi="宋体" w:cs="宋体"/>
                <w:color w:val="auto"/>
                <w:sz w:val="24"/>
              </w:rPr>
            </w:pPr>
            <w:r>
              <w:rPr>
                <w:rFonts w:hint="eastAsia" w:ascii="宋体" w:hAnsi="宋体" w:cs="宋体"/>
                <w:color w:val="auto"/>
                <w:sz w:val="24"/>
              </w:rPr>
              <w:t>作为参加贵公司组织的招标采购项目的投标单位，本公司承诺：在参加本项目招标之前不存在被依法禁止经营行为、财产被接管或冻结的情况，如有隐瞒实情，愿承担一切责任及后果。</w:t>
            </w:r>
          </w:p>
        </w:tc>
      </w:tr>
      <w:tr w14:paraId="637A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67DFA1D7">
            <w:pPr>
              <w:spacing w:line="360" w:lineRule="atLeast"/>
              <w:jc w:val="center"/>
              <w:outlineLvl w:val="9"/>
              <w:rPr>
                <w:rFonts w:hint="eastAsia" w:ascii="宋体" w:hAnsi="宋体" w:cs="宋体"/>
                <w:color w:val="auto"/>
                <w:sz w:val="24"/>
              </w:rPr>
            </w:pPr>
            <w:r>
              <w:rPr>
                <w:rFonts w:hint="eastAsia" w:ascii="宋体" w:hAnsi="宋体" w:cs="宋体"/>
                <w:color w:val="auto"/>
                <w:sz w:val="24"/>
              </w:rPr>
              <w:t>投标单位</w:t>
            </w:r>
          </w:p>
        </w:tc>
        <w:tc>
          <w:tcPr>
            <w:tcW w:w="3420" w:type="dxa"/>
            <w:noWrap w:val="0"/>
            <w:vAlign w:val="center"/>
          </w:tcPr>
          <w:p w14:paraId="7ACC9C8C">
            <w:pPr>
              <w:spacing w:line="360" w:lineRule="atLeast"/>
              <w:jc w:val="center"/>
              <w:outlineLvl w:val="9"/>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1F3D7EE2">
            <w:pPr>
              <w:spacing w:line="360" w:lineRule="atLeast"/>
              <w:jc w:val="center"/>
              <w:outlineLvl w:val="9"/>
              <w:rPr>
                <w:rFonts w:hint="eastAsia" w:ascii="宋体" w:hAnsi="宋体" w:cs="宋体"/>
                <w:color w:val="auto"/>
                <w:sz w:val="24"/>
              </w:rPr>
            </w:pPr>
            <w:r>
              <w:rPr>
                <w:rFonts w:hint="eastAsia" w:ascii="宋体" w:hAnsi="宋体" w:cs="宋体"/>
                <w:color w:val="auto"/>
                <w:sz w:val="24"/>
              </w:rPr>
              <w:t>日  期</w:t>
            </w:r>
          </w:p>
        </w:tc>
      </w:tr>
      <w:tr w14:paraId="3BF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CB44576">
            <w:pPr>
              <w:spacing w:line="360" w:lineRule="atLeast"/>
              <w:jc w:val="center"/>
              <w:outlineLvl w:val="9"/>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5225E4F3">
            <w:pPr>
              <w:spacing w:line="360" w:lineRule="atLeast"/>
              <w:jc w:val="center"/>
              <w:outlineLvl w:val="9"/>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318C6897">
            <w:pPr>
              <w:spacing w:line="360" w:lineRule="atLeast"/>
              <w:ind w:firstLine="240" w:firstLineChars="100"/>
              <w:jc w:val="center"/>
              <w:outlineLvl w:val="9"/>
              <w:rPr>
                <w:rFonts w:hint="eastAsia" w:ascii="宋体" w:hAnsi="宋体" w:cs="宋体"/>
                <w:color w:val="auto"/>
                <w:sz w:val="24"/>
              </w:rPr>
            </w:pPr>
            <w:r>
              <w:rPr>
                <w:rFonts w:hint="eastAsia" w:ascii="宋体" w:hAnsi="宋体" w:cs="宋体"/>
                <w:color w:val="auto"/>
                <w:sz w:val="24"/>
              </w:rPr>
              <w:t>年  月  日</w:t>
            </w:r>
          </w:p>
        </w:tc>
      </w:tr>
    </w:tbl>
    <w:p w14:paraId="0AD00173">
      <w:pPr>
        <w:spacing w:line="360" w:lineRule="atLeast"/>
        <w:outlineLvl w:val="9"/>
        <w:rPr>
          <w:rFonts w:hint="eastAsia" w:ascii="宋体" w:hAnsi="宋体" w:cs="宋体"/>
          <w:b/>
          <w:color w:val="auto"/>
          <w:sz w:val="42"/>
          <w:szCs w:val="42"/>
        </w:rPr>
      </w:pPr>
    </w:p>
    <w:p w14:paraId="588D7820">
      <w:pPr>
        <w:outlineLvl w:val="9"/>
        <w:rPr>
          <w:rFonts w:hint="eastAsia" w:ascii="宋体" w:hAnsi="宋体" w:cs="宋体"/>
          <w:b/>
          <w:color w:val="auto"/>
          <w:sz w:val="42"/>
          <w:szCs w:val="42"/>
        </w:rPr>
      </w:pPr>
    </w:p>
    <w:p w14:paraId="5A0B2B76">
      <w:pPr>
        <w:spacing w:line="360" w:lineRule="atLeast"/>
        <w:jc w:val="center"/>
        <w:outlineLvl w:val="9"/>
        <w:rPr>
          <w:rFonts w:hint="eastAsia" w:ascii="宋体" w:hAnsi="宋体" w:cs="宋体"/>
          <w:b/>
          <w:color w:val="auto"/>
          <w:sz w:val="32"/>
          <w:szCs w:val="32"/>
        </w:rPr>
      </w:pPr>
      <w:r>
        <w:rPr>
          <w:rFonts w:hint="eastAsia" w:ascii="宋体" w:hAnsi="宋体" w:cs="宋体"/>
          <w:b/>
          <w:color w:val="auto"/>
          <w:sz w:val="32"/>
          <w:szCs w:val="32"/>
        </w:rPr>
        <w:t>承诺书Ⅲ</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3EE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71452F0">
            <w:pPr>
              <w:spacing w:line="360" w:lineRule="atLeast"/>
              <w:outlineLvl w:val="9"/>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陕西众信玖鼎项目管理有限责任公司</w:t>
            </w:r>
          </w:p>
        </w:tc>
      </w:tr>
      <w:tr w14:paraId="2714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360064D">
            <w:pPr>
              <w:spacing w:line="360" w:lineRule="atLeast"/>
              <w:ind w:firstLine="480" w:firstLineChars="200"/>
              <w:outlineLvl w:val="9"/>
              <w:rPr>
                <w:rFonts w:hint="eastAsia" w:ascii="宋体" w:hAnsi="宋体" w:cs="宋体"/>
                <w:color w:val="auto"/>
                <w:sz w:val="24"/>
              </w:rPr>
            </w:pPr>
            <w:r>
              <w:rPr>
                <w:rFonts w:hint="eastAsia" w:ascii="宋体" w:hAnsi="宋体" w:cs="宋体"/>
                <w:color w:val="auto"/>
                <w:sz w:val="24"/>
              </w:rPr>
              <w:t>作为参加贵公司组织的招标采购项目的投标单位，本公司郑重申告并承诺：近三年受到有关行政主管部门的行政处理、不良行为记录为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7AB6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ED164A0">
            <w:pPr>
              <w:spacing w:line="360" w:lineRule="atLeast"/>
              <w:jc w:val="center"/>
              <w:outlineLvl w:val="9"/>
              <w:rPr>
                <w:rFonts w:hint="eastAsia" w:ascii="宋体" w:hAnsi="宋体" w:cs="宋体"/>
                <w:color w:val="auto"/>
                <w:sz w:val="24"/>
              </w:rPr>
            </w:pPr>
            <w:r>
              <w:rPr>
                <w:rFonts w:hint="eastAsia" w:ascii="宋体" w:hAnsi="宋体" w:cs="宋体"/>
                <w:color w:val="auto"/>
                <w:sz w:val="24"/>
              </w:rPr>
              <w:t>投标单位</w:t>
            </w:r>
          </w:p>
        </w:tc>
        <w:tc>
          <w:tcPr>
            <w:tcW w:w="3420" w:type="dxa"/>
            <w:noWrap w:val="0"/>
            <w:vAlign w:val="center"/>
          </w:tcPr>
          <w:p w14:paraId="4C8ED727">
            <w:pPr>
              <w:spacing w:line="360" w:lineRule="atLeast"/>
              <w:jc w:val="center"/>
              <w:outlineLvl w:val="9"/>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7DEEA3DA">
            <w:pPr>
              <w:spacing w:line="360" w:lineRule="atLeast"/>
              <w:jc w:val="center"/>
              <w:outlineLvl w:val="9"/>
              <w:rPr>
                <w:rFonts w:hint="eastAsia" w:ascii="宋体" w:hAnsi="宋体" w:cs="宋体"/>
                <w:color w:val="auto"/>
                <w:sz w:val="24"/>
              </w:rPr>
            </w:pPr>
            <w:r>
              <w:rPr>
                <w:rFonts w:hint="eastAsia" w:ascii="宋体" w:hAnsi="宋体" w:cs="宋体"/>
                <w:color w:val="auto"/>
                <w:sz w:val="24"/>
              </w:rPr>
              <w:t>日  期</w:t>
            </w:r>
          </w:p>
        </w:tc>
      </w:tr>
      <w:tr w14:paraId="0A94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65BD515C">
            <w:pPr>
              <w:spacing w:line="360" w:lineRule="atLeast"/>
              <w:jc w:val="center"/>
              <w:outlineLvl w:val="9"/>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11F878F3">
            <w:pPr>
              <w:spacing w:line="360" w:lineRule="atLeast"/>
              <w:jc w:val="center"/>
              <w:outlineLvl w:val="9"/>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27F35987">
            <w:pPr>
              <w:spacing w:line="360" w:lineRule="atLeast"/>
              <w:ind w:firstLine="240" w:firstLineChars="100"/>
              <w:jc w:val="center"/>
              <w:outlineLvl w:val="9"/>
              <w:rPr>
                <w:rFonts w:hint="eastAsia" w:ascii="宋体" w:hAnsi="宋体" w:cs="宋体"/>
                <w:color w:val="auto"/>
                <w:sz w:val="24"/>
              </w:rPr>
            </w:pPr>
            <w:r>
              <w:rPr>
                <w:rFonts w:hint="eastAsia" w:ascii="宋体" w:hAnsi="宋体" w:cs="宋体"/>
                <w:color w:val="auto"/>
                <w:sz w:val="24"/>
              </w:rPr>
              <w:t>年  月  日</w:t>
            </w:r>
          </w:p>
        </w:tc>
      </w:tr>
    </w:tbl>
    <w:p w14:paraId="0BB7240E">
      <w:pPr>
        <w:spacing w:line="360" w:lineRule="atLeast"/>
        <w:outlineLvl w:val="9"/>
        <w:rPr>
          <w:rFonts w:hint="eastAsia" w:ascii="宋体" w:hAnsi="宋体" w:cs="宋体"/>
          <w:b/>
          <w:color w:val="auto"/>
          <w:sz w:val="32"/>
          <w:szCs w:val="32"/>
        </w:rPr>
      </w:pPr>
    </w:p>
    <w:p w14:paraId="0EAD2A7B">
      <w:pPr>
        <w:pStyle w:val="11"/>
        <w:outlineLvl w:val="9"/>
        <w:rPr>
          <w:rFonts w:hint="eastAsia" w:ascii="宋体" w:hAnsi="宋体" w:cs="宋体"/>
          <w:color w:val="auto"/>
          <w:sz w:val="32"/>
          <w:szCs w:val="32"/>
        </w:rPr>
      </w:pPr>
    </w:p>
    <w:p w14:paraId="3D81F204">
      <w:pPr>
        <w:spacing w:line="360" w:lineRule="atLeast"/>
        <w:jc w:val="center"/>
        <w:outlineLvl w:val="9"/>
        <w:rPr>
          <w:rFonts w:hint="eastAsia" w:ascii="宋体" w:hAnsi="宋体" w:cs="宋体"/>
          <w:b/>
          <w:color w:val="auto"/>
          <w:sz w:val="32"/>
          <w:szCs w:val="32"/>
        </w:rPr>
      </w:pPr>
    </w:p>
    <w:p w14:paraId="3DE94E35">
      <w:pPr>
        <w:spacing w:line="360" w:lineRule="atLeast"/>
        <w:jc w:val="center"/>
        <w:outlineLvl w:val="9"/>
        <w:rPr>
          <w:rFonts w:hint="eastAsia" w:ascii="宋体" w:hAnsi="宋体" w:cs="宋体"/>
          <w:b/>
          <w:color w:val="auto"/>
          <w:sz w:val="32"/>
          <w:szCs w:val="32"/>
        </w:rPr>
      </w:pPr>
    </w:p>
    <w:p w14:paraId="519492EC">
      <w:pPr>
        <w:spacing w:line="360" w:lineRule="atLeast"/>
        <w:jc w:val="center"/>
        <w:outlineLvl w:val="9"/>
        <w:rPr>
          <w:rFonts w:hint="eastAsia" w:ascii="宋体" w:hAnsi="宋体" w:cs="宋体"/>
          <w:b/>
          <w:color w:val="auto"/>
          <w:sz w:val="32"/>
          <w:szCs w:val="32"/>
        </w:rPr>
      </w:pPr>
      <w:r>
        <w:rPr>
          <w:rFonts w:hint="eastAsia" w:ascii="宋体" w:hAnsi="宋体" w:cs="宋体"/>
          <w:b/>
          <w:color w:val="auto"/>
          <w:sz w:val="32"/>
          <w:szCs w:val="32"/>
        </w:rPr>
        <w:t>承诺书Ⅳ</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7C2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17881CA">
            <w:pPr>
              <w:spacing w:line="360" w:lineRule="atLeast"/>
              <w:outlineLvl w:val="9"/>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陕西众信玖鼎项目管理有限责任公司</w:t>
            </w:r>
          </w:p>
        </w:tc>
      </w:tr>
      <w:tr w14:paraId="2148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80D94AD">
            <w:pPr>
              <w:spacing w:line="360" w:lineRule="atLeast"/>
              <w:ind w:firstLine="480" w:firstLineChars="200"/>
              <w:outlineLvl w:val="9"/>
              <w:rPr>
                <w:rFonts w:hint="eastAsia" w:ascii="宋体" w:hAnsi="宋体" w:cs="宋体"/>
                <w:color w:val="auto"/>
                <w:sz w:val="24"/>
              </w:rPr>
            </w:pPr>
            <w:r>
              <w:rPr>
                <w:rFonts w:hint="eastAsia" w:ascii="宋体" w:hAnsi="宋体" w:cs="宋体"/>
                <w:color w:val="auto"/>
                <w:sz w:val="24"/>
              </w:rPr>
              <w:t>作为参加贵公司组织的招标采购项目的投标单位，本公司郑重申告：近三年因项目质量问题的不法行为记录为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7641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B32521D">
            <w:pPr>
              <w:spacing w:line="360" w:lineRule="atLeast"/>
              <w:jc w:val="center"/>
              <w:outlineLvl w:val="9"/>
              <w:rPr>
                <w:rFonts w:hint="eastAsia" w:ascii="宋体" w:hAnsi="宋体" w:cs="宋体"/>
                <w:color w:val="auto"/>
                <w:sz w:val="24"/>
              </w:rPr>
            </w:pPr>
            <w:r>
              <w:rPr>
                <w:rFonts w:hint="eastAsia" w:ascii="宋体" w:hAnsi="宋体" w:cs="宋体"/>
                <w:color w:val="auto"/>
                <w:sz w:val="24"/>
              </w:rPr>
              <w:t>投标单位</w:t>
            </w:r>
          </w:p>
        </w:tc>
        <w:tc>
          <w:tcPr>
            <w:tcW w:w="3420" w:type="dxa"/>
            <w:noWrap w:val="0"/>
            <w:vAlign w:val="center"/>
          </w:tcPr>
          <w:p w14:paraId="6AFCC550">
            <w:pPr>
              <w:spacing w:line="360" w:lineRule="atLeast"/>
              <w:jc w:val="center"/>
              <w:outlineLvl w:val="9"/>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6955A62D">
            <w:pPr>
              <w:spacing w:line="360" w:lineRule="atLeast"/>
              <w:jc w:val="center"/>
              <w:outlineLvl w:val="9"/>
              <w:rPr>
                <w:rFonts w:hint="eastAsia" w:ascii="宋体" w:hAnsi="宋体" w:cs="宋体"/>
                <w:color w:val="auto"/>
                <w:sz w:val="24"/>
              </w:rPr>
            </w:pPr>
            <w:r>
              <w:rPr>
                <w:rFonts w:hint="eastAsia" w:ascii="宋体" w:hAnsi="宋体" w:cs="宋体"/>
                <w:color w:val="auto"/>
                <w:sz w:val="24"/>
              </w:rPr>
              <w:t>日   期</w:t>
            </w:r>
          </w:p>
        </w:tc>
      </w:tr>
      <w:tr w14:paraId="15D9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44EB7358">
            <w:pPr>
              <w:spacing w:line="360" w:lineRule="atLeast"/>
              <w:jc w:val="center"/>
              <w:outlineLvl w:val="9"/>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45D91AB1">
            <w:pPr>
              <w:spacing w:line="360" w:lineRule="atLeast"/>
              <w:jc w:val="center"/>
              <w:outlineLvl w:val="9"/>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1B6AFCD2">
            <w:pPr>
              <w:spacing w:line="360" w:lineRule="atLeast"/>
              <w:ind w:firstLine="240" w:firstLineChars="100"/>
              <w:jc w:val="center"/>
              <w:outlineLvl w:val="9"/>
              <w:rPr>
                <w:rFonts w:hint="eastAsia" w:ascii="宋体" w:hAnsi="宋体" w:cs="宋体"/>
                <w:color w:val="auto"/>
                <w:sz w:val="24"/>
              </w:rPr>
            </w:pPr>
            <w:r>
              <w:rPr>
                <w:rFonts w:hint="eastAsia" w:ascii="宋体" w:hAnsi="宋体" w:cs="宋体"/>
                <w:color w:val="auto"/>
                <w:sz w:val="24"/>
              </w:rPr>
              <w:t>年  月  日</w:t>
            </w:r>
          </w:p>
        </w:tc>
      </w:tr>
    </w:tbl>
    <w:p w14:paraId="4F61D166">
      <w:pPr>
        <w:spacing w:line="360" w:lineRule="auto"/>
        <w:ind w:right="480"/>
        <w:outlineLvl w:val="9"/>
        <w:rPr>
          <w:rFonts w:hint="eastAsia" w:ascii="宋体" w:hAnsi="宋体" w:cs="宋体"/>
          <w:color w:val="auto"/>
          <w:sz w:val="24"/>
          <w:szCs w:val="28"/>
        </w:rPr>
      </w:pPr>
    </w:p>
    <w:p w14:paraId="632C9A37">
      <w:pPr>
        <w:spacing w:line="360" w:lineRule="atLeast"/>
        <w:jc w:val="center"/>
        <w:outlineLvl w:val="9"/>
        <w:rPr>
          <w:rFonts w:hint="eastAsia" w:ascii="宋体" w:hAnsi="宋体" w:cs="宋体"/>
          <w:b/>
          <w:color w:val="auto"/>
          <w:sz w:val="32"/>
          <w:szCs w:val="32"/>
        </w:rPr>
      </w:pPr>
      <w:bookmarkStart w:id="356" w:name="_Toc27080"/>
      <w:r>
        <w:rPr>
          <w:rFonts w:hint="eastAsia" w:ascii="宋体" w:hAnsi="宋体" w:cs="宋体"/>
          <w:b/>
          <w:color w:val="auto"/>
          <w:sz w:val="32"/>
          <w:szCs w:val="32"/>
        </w:rPr>
        <w:t>承诺书</w:t>
      </w:r>
      <w:r>
        <w:rPr>
          <w:rFonts w:hint="eastAsia" w:ascii="宋体" w:hAnsi="宋体" w:cs="宋体"/>
          <w:b/>
          <w:color w:val="auto"/>
          <w:sz w:val="36"/>
          <w:szCs w:val="36"/>
        </w:rPr>
        <w:fldChar w:fldCharType="begin"/>
      </w:r>
      <w:r>
        <w:rPr>
          <w:rFonts w:hint="eastAsia" w:ascii="宋体" w:hAnsi="宋体" w:cs="宋体"/>
          <w:b/>
          <w:color w:val="auto"/>
          <w:sz w:val="36"/>
          <w:szCs w:val="36"/>
        </w:rPr>
        <w:instrText xml:space="preserve"> = 5 \* ROMAN </w:instrText>
      </w:r>
      <w:r>
        <w:rPr>
          <w:rFonts w:hint="eastAsia" w:ascii="宋体" w:hAnsi="宋体" w:cs="宋体"/>
          <w:b/>
          <w:color w:val="auto"/>
          <w:sz w:val="36"/>
          <w:szCs w:val="36"/>
        </w:rPr>
        <w:fldChar w:fldCharType="separate"/>
      </w:r>
      <w:r>
        <w:rPr>
          <w:rFonts w:hint="eastAsia" w:ascii="宋体" w:hAnsi="宋体" w:cs="宋体"/>
          <w:b/>
          <w:color w:val="auto"/>
          <w:sz w:val="36"/>
          <w:szCs w:val="36"/>
        </w:rPr>
        <w:t>V</w:t>
      </w:r>
      <w:r>
        <w:rPr>
          <w:rFonts w:hint="eastAsia" w:ascii="宋体" w:hAnsi="宋体" w:cs="宋体"/>
          <w:b/>
          <w:color w:val="auto"/>
          <w:sz w:val="36"/>
          <w:szCs w:val="36"/>
        </w:rPr>
        <w:fldChar w:fldCharType="end"/>
      </w:r>
      <w:bookmarkEnd w:id="35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66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4DC1564">
            <w:pPr>
              <w:spacing w:line="360" w:lineRule="atLeast"/>
              <w:outlineLvl w:val="9"/>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lang w:eastAsia="zh-CN"/>
              </w:rPr>
              <w:t>陕西众信玖鼎项目管理有限责任公司</w:t>
            </w:r>
          </w:p>
        </w:tc>
      </w:tr>
      <w:tr w14:paraId="7F43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79A4D20">
            <w:pPr>
              <w:spacing w:line="360" w:lineRule="atLeast"/>
              <w:ind w:firstLine="480" w:firstLineChars="200"/>
              <w:outlineLvl w:val="9"/>
              <w:rPr>
                <w:rFonts w:hint="eastAsia" w:ascii="宋体" w:hAnsi="宋体" w:cs="宋体"/>
                <w:color w:val="auto"/>
                <w:sz w:val="24"/>
              </w:rPr>
            </w:pPr>
            <w:r>
              <w:rPr>
                <w:rFonts w:hint="eastAsia" w:ascii="宋体" w:hAnsi="宋体" w:cs="宋体"/>
                <w:color w:val="auto"/>
                <w:sz w:val="24"/>
              </w:rPr>
              <w:t>作为参加贵公司组织的招标采购项目的投标单位，本公司承诺：参加本次投标提交的所有资质证明文件及业绩证明是真实的、有效的，如有隐瞒实情，愿承担一切责任及后果。</w:t>
            </w:r>
          </w:p>
        </w:tc>
      </w:tr>
      <w:tr w14:paraId="0DA9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112DF7E7">
            <w:pPr>
              <w:spacing w:line="360" w:lineRule="atLeast"/>
              <w:jc w:val="center"/>
              <w:outlineLvl w:val="9"/>
              <w:rPr>
                <w:rFonts w:hint="eastAsia" w:ascii="宋体" w:hAnsi="宋体" w:cs="宋体"/>
                <w:color w:val="auto"/>
                <w:sz w:val="24"/>
              </w:rPr>
            </w:pPr>
            <w:r>
              <w:rPr>
                <w:rFonts w:hint="eastAsia" w:ascii="宋体" w:hAnsi="宋体" w:cs="宋体"/>
                <w:color w:val="auto"/>
                <w:sz w:val="24"/>
              </w:rPr>
              <w:t>投标单位</w:t>
            </w:r>
          </w:p>
        </w:tc>
        <w:tc>
          <w:tcPr>
            <w:tcW w:w="3420" w:type="dxa"/>
            <w:noWrap w:val="0"/>
            <w:vAlign w:val="center"/>
          </w:tcPr>
          <w:p w14:paraId="5EA81F05">
            <w:pPr>
              <w:spacing w:line="360" w:lineRule="atLeast"/>
              <w:jc w:val="center"/>
              <w:outlineLvl w:val="9"/>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40797A96">
            <w:pPr>
              <w:spacing w:line="360" w:lineRule="atLeast"/>
              <w:jc w:val="center"/>
              <w:outlineLvl w:val="9"/>
              <w:rPr>
                <w:rFonts w:hint="eastAsia" w:ascii="宋体" w:hAnsi="宋体" w:cs="宋体"/>
                <w:color w:val="auto"/>
                <w:sz w:val="24"/>
              </w:rPr>
            </w:pPr>
            <w:r>
              <w:rPr>
                <w:rFonts w:hint="eastAsia" w:ascii="宋体" w:hAnsi="宋体" w:cs="宋体"/>
                <w:color w:val="auto"/>
                <w:sz w:val="24"/>
              </w:rPr>
              <w:t>日   期</w:t>
            </w:r>
          </w:p>
        </w:tc>
      </w:tr>
      <w:tr w14:paraId="568C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101FC1A">
            <w:pPr>
              <w:spacing w:line="360" w:lineRule="atLeast"/>
              <w:jc w:val="center"/>
              <w:outlineLvl w:val="9"/>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44EA026A">
            <w:pPr>
              <w:spacing w:line="360" w:lineRule="atLeast"/>
              <w:jc w:val="center"/>
              <w:outlineLvl w:val="9"/>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3424E02A">
            <w:pPr>
              <w:spacing w:line="360" w:lineRule="atLeast"/>
              <w:ind w:firstLine="240" w:firstLineChars="100"/>
              <w:jc w:val="center"/>
              <w:outlineLvl w:val="9"/>
              <w:rPr>
                <w:rFonts w:hint="eastAsia" w:ascii="宋体" w:hAnsi="宋体" w:cs="宋体"/>
                <w:color w:val="auto"/>
                <w:sz w:val="24"/>
              </w:rPr>
            </w:pPr>
            <w:r>
              <w:rPr>
                <w:rFonts w:hint="eastAsia" w:ascii="宋体" w:hAnsi="宋体" w:cs="宋体"/>
                <w:color w:val="auto"/>
                <w:sz w:val="24"/>
              </w:rPr>
              <w:t>年  月  日</w:t>
            </w:r>
          </w:p>
        </w:tc>
      </w:tr>
    </w:tbl>
    <w:p w14:paraId="01C2D819">
      <w:pPr>
        <w:outlineLvl w:val="9"/>
        <w:rPr>
          <w:rFonts w:ascii="宋体" w:hAnsi="宋体" w:cs="宋体"/>
          <w:b/>
          <w:color w:val="auto"/>
          <w:sz w:val="24"/>
          <w:szCs w:val="24"/>
          <w:u w:val="single"/>
        </w:rPr>
      </w:pPr>
    </w:p>
    <w:p w14:paraId="2346E1E3">
      <w:pPr>
        <w:pStyle w:val="11"/>
        <w:outlineLvl w:val="9"/>
        <w:rPr>
          <w:rFonts w:hint="eastAsia" w:ascii="宋体" w:hAnsi="宋体" w:cs="宋体"/>
          <w:b w:val="0"/>
          <w:color w:val="auto"/>
          <w:sz w:val="24"/>
          <w:szCs w:val="24"/>
          <w:u w:val="single"/>
        </w:rPr>
      </w:pPr>
    </w:p>
    <w:p w14:paraId="1F5B54CC">
      <w:pPr>
        <w:outlineLvl w:val="9"/>
        <w:rPr>
          <w:rFonts w:hint="eastAsia" w:ascii="宋体" w:hAnsi="宋体" w:cs="宋体"/>
          <w:b/>
          <w:color w:val="auto"/>
          <w:sz w:val="24"/>
          <w:szCs w:val="24"/>
          <w:u w:val="single"/>
        </w:rPr>
      </w:pPr>
    </w:p>
    <w:p w14:paraId="261FEE37">
      <w:pPr>
        <w:pStyle w:val="11"/>
        <w:outlineLvl w:val="9"/>
        <w:rPr>
          <w:rFonts w:hint="eastAsia" w:ascii="宋体" w:hAnsi="宋体" w:cs="宋体"/>
          <w:b w:val="0"/>
          <w:color w:val="auto"/>
          <w:sz w:val="24"/>
          <w:szCs w:val="24"/>
          <w:u w:val="single"/>
        </w:rPr>
      </w:pPr>
    </w:p>
    <w:p w14:paraId="4C16763E">
      <w:pPr>
        <w:outlineLvl w:val="9"/>
        <w:rPr>
          <w:rFonts w:hint="eastAsia" w:ascii="宋体" w:hAnsi="宋体" w:cs="宋体"/>
          <w:b/>
          <w:color w:val="auto"/>
          <w:sz w:val="24"/>
          <w:szCs w:val="24"/>
          <w:u w:val="single"/>
        </w:rPr>
      </w:pPr>
    </w:p>
    <w:p w14:paraId="5B6C2436">
      <w:pPr>
        <w:spacing w:line="360" w:lineRule="auto"/>
        <w:jc w:val="center"/>
        <w:outlineLvl w:val="9"/>
        <w:rPr>
          <w:rFonts w:hint="eastAsia" w:ascii="宋体" w:hAnsi="宋体" w:cs="宋体"/>
          <w:b/>
          <w:color w:val="auto"/>
          <w:sz w:val="32"/>
          <w:szCs w:val="32"/>
        </w:rPr>
        <w:sectPr>
          <w:pgSz w:w="11906" w:h="16838"/>
          <w:pgMar w:top="1383" w:right="1383" w:bottom="1383" w:left="1383" w:header="851" w:footer="992" w:gutter="0"/>
          <w:pgNumType w:fmt="decimal"/>
          <w:cols w:space="720" w:num="1"/>
          <w:docGrid w:linePitch="312" w:charSpace="0"/>
        </w:sectPr>
      </w:pPr>
    </w:p>
    <w:p w14:paraId="08D59D7F">
      <w:pPr>
        <w:spacing w:line="360" w:lineRule="auto"/>
        <w:jc w:val="center"/>
        <w:outlineLvl w:val="1"/>
        <w:rPr>
          <w:rFonts w:hint="eastAsia" w:ascii="宋体" w:hAnsi="宋体" w:cs="宋体"/>
          <w:b/>
          <w:color w:val="auto"/>
          <w:sz w:val="32"/>
          <w:szCs w:val="32"/>
        </w:rPr>
      </w:pPr>
      <w:bookmarkStart w:id="357" w:name="_Toc21718"/>
      <w:bookmarkStart w:id="358" w:name="_Toc7587"/>
      <w:r>
        <w:rPr>
          <w:rFonts w:hint="eastAsia" w:ascii="宋体" w:hAnsi="宋体" w:cs="宋体"/>
          <w:b/>
          <w:color w:val="auto"/>
          <w:sz w:val="32"/>
          <w:szCs w:val="32"/>
          <w:lang w:val="en-US" w:eastAsia="zh-CN"/>
        </w:rPr>
        <w:t>六</w:t>
      </w:r>
      <w:r>
        <w:rPr>
          <w:rFonts w:hint="eastAsia" w:ascii="宋体" w:hAnsi="宋体" w:cs="宋体"/>
          <w:b/>
          <w:color w:val="auto"/>
          <w:sz w:val="32"/>
          <w:szCs w:val="32"/>
        </w:rPr>
        <w:t>、投标方案</w:t>
      </w:r>
      <w:bookmarkEnd w:id="357"/>
      <w:bookmarkEnd w:id="358"/>
    </w:p>
    <w:p w14:paraId="7177BEAE">
      <w:pPr>
        <w:spacing w:line="360" w:lineRule="auto"/>
        <w:ind w:firstLine="241" w:firstLineChars="100"/>
        <w:jc w:val="both"/>
        <w:outlineLvl w:val="9"/>
        <w:rPr>
          <w:rFonts w:hint="eastAsia" w:ascii="宋体" w:hAnsi="宋体" w:eastAsia="宋体" w:cs="宋体"/>
          <w:b/>
          <w:bCs/>
          <w:color w:val="auto"/>
          <w:sz w:val="24"/>
          <w:lang w:val="en-US" w:eastAsia="zh-CN"/>
        </w:rPr>
      </w:pPr>
      <w:r>
        <w:rPr>
          <w:rFonts w:hint="eastAsia" w:ascii="宋体" w:hAnsi="宋体" w:eastAsia="宋体" w:cs="宋体"/>
          <w:b/>
          <w:bCs/>
          <w:color w:val="auto"/>
          <w:sz w:val="24"/>
        </w:rPr>
        <w:t>各投标人根据采购内容及评审办法自主编</w:t>
      </w:r>
      <w:r>
        <w:rPr>
          <w:rFonts w:hint="eastAsia" w:ascii="宋体" w:hAnsi="宋体" w:eastAsia="宋体" w:cs="宋体"/>
          <w:b/>
          <w:bCs/>
          <w:color w:val="auto"/>
          <w:sz w:val="24"/>
          <w:lang w:val="en-US" w:eastAsia="zh-CN"/>
        </w:rPr>
        <w:t>写。</w:t>
      </w:r>
    </w:p>
    <w:p w14:paraId="31326630">
      <w:pPr>
        <w:pStyle w:val="36"/>
        <w:outlineLvl w:val="9"/>
        <w:rPr>
          <w:rFonts w:hint="eastAsia" w:ascii="宋体" w:hAnsi="宋体" w:eastAsia="宋体" w:cs="宋体"/>
          <w:b/>
          <w:bCs/>
          <w:color w:val="auto"/>
          <w:sz w:val="24"/>
          <w:lang w:val="en-US" w:eastAsia="zh-CN"/>
        </w:rPr>
      </w:pPr>
    </w:p>
    <w:p w14:paraId="5E7C4A82">
      <w:pPr>
        <w:pStyle w:val="36"/>
        <w:outlineLvl w:val="9"/>
        <w:rPr>
          <w:rFonts w:hint="eastAsia" w:ascii="宋体" w:hAnsi="宋体" w:eastAsia="宋体" w:cs="宋体"/>
          <w:b/>
          <w:bCs/>
          <w:color w:val="auto"/>
          <w:sz w:val="24"/>
          <w:lang w:val="en-US" w:eastAsia="zh-CN"/>
        </w:rPr>
      </w:pPr>
    </w:p>
    <w:p w14:paraId="3F0096AF">
      <w:pPr>
        <w:pStyle w:val="36"/>
        <w:outlineLvl w:val="9"/>
        <w:rPr>
          <w:rFonts w:hint="eastAsia" w:ascii="宋体" w:hAnsi="宋体" w:eastAsia="宋体" w:cs="宋体"/>
          <w:b/>
          <w:bCs/>
          <w:color w:val="auto"/>
          <w:sz w:val="24"/>
          <w:lang w:val="en-US" w:eastAsia="zh-CN"/>
        </w:rPr>
      </w:pPr>
    </w:p>
    <w:p w14:paraId="564AC31D">
      <w:pPr>
        <w:pStyle w:val="36"/>
        <w:outlineLvl w:val="9"/>
        <w:rPr>
          <w:rFonts w:hint="eastAsia" w:ascii="宋体" w:hAnsi="宋体" w:eastAsia="宋体" w:cs="宋体"/>
          <w:b/>
          <w:bCs/>
          <w:color w:val="auto"/>
          <w:sz w:val="24"/>
          <w:lang w:val="en-US" w:eastAsia="zh-CN"/>
        </w:rPr>
      </w:pPr>
    </w:p>
    <w:p w14:paraId="6DCF1FF4">
      <w:pPr>
        <w:pStyle w:val="36"/>
        <w:outlineLvl w:val="9"/>
        <w:rPr>
          <w:rFonts w:hint="eastAsia" w:ascii="宋体" w:hAnsi="宋体" w:eastAsia="宋体" w:cs="宋体"/>
          <w:b/>
          <w:bCs/>
          <w:color w:val="auto"/>
          <w:sz w:val="24"/>
          <w:lang w:val="en-US" w:eastAsia="zh-CN"/>
        </w:rPr>
      </w:pPr>
    </w:p>
    <w:p w14:paraId="36F469F4">
      <w:pPr>
        <w:pStyle w:val="36"/>
        <w:outlineLvl w:val="9"/>
        <w:rPr>
          <w:rFonts w:hint="eastAsia" w:ascii="宋体" w:hAnsi="宋体" w:eastAsia="宋体" w:cs="宋体"/>
          <w:b/>
          <w:bCs/>
          <w:color w:val="auto"/>
          <w:sz w:val="24"/>
          <w:lang w:val="en-US" w:eastAsia="zh-CN"/>
        </w:rPr>
      </w:pPr>
    </w:p>
    <w:p w14:paraId="7B31B8AC">
      <w:pPr>
        <w:pStyle w:val="36"/>
        <w:outlineLvl w:val="9"/>
        <w:rPr>
          <w:rFonts w:hint="eastAsia" w:ascii="宋体" w:hAnsi="宋体" w:eastAsia="宋体" w:cs="宋体"/>
          <w:b/>
          <w:bCs/>
          <w:color w:val="auto"/>
          <w:sz w:val="24"/>
          <w:lang w:val="en-US" w:eastAsia="zh-CN"/>
        </w:rPr>
      </w:pPr>
    </w:p>
    <w:p w14:paraId="30B178F1">
      <w:pPr>
        <w:pStyle w:val="36"/>
        <w:outlineLvl w:val="9"/>
        <w:rPr>
          <w:rFonts w:hint="eastAsia" w:ascii="宋体" w:hAnsi="宋体" w:eastAsia="宋体" w:cs="宋体"/>
          <w:b/>
          <w:bCs/>
          <w:color w:val="auto"/>
          <w:sz w:val="24"/>
          <w:lang w:val="en-US" w:eastAsia="zh-CN"/>
        </w:rPr>
      </w:pPr>
    </w:p>
    <w:p w14:paraId="6084CC8A">
      <w:pPr>
        <w:pStyle w:val="36"/>
        <w:outlineLvl w:val="9"/>
        <w:rPr>
          <w:rFonts w:hint="eastAsia" w:ascii="宋体" w:hAnsi="宋体" w:eastAsia="宋体" w:cs="宋体"/>
          <w:b/>
          <w:bCs/>
          <w:color w:val="auto"/>
          <w:sz w:val="24"/>
          <w:lang w:val="en-US" w:eastAsia="zh-CN"/>
        </w:rPr>
      </w:pPr>
    </w:p>
    <w:p w14:paraId="128D8136">
      <w:pPr>
        <w:pStyle w:val="36"/>
        <w:outlineLvl w:val="9"/>
        <w:rPr>
          <w:rFonts w:hint="eastAsia" w:ascii="宋体" w:hAnsi="宋体" w:eastAsia="宋体" w:cs="宋体"/>
          <w:b/>
          <w:bCs/>
          <w:color w:val="auto"/>
          <w:sz w:val="24"/>
          <w:lang w:val="en-US" w:eastAsia="zh-CN"/>
        </w:rPr>
      </w:pPr>
    </w:p>
    <w:p w14:paraId="69C04A4D">
      <w:pPr>
        <w:pStyle w:val="36"/>
        <w:outlineLvl w:val="9"/>
        <w:rPr>
          <w:rFonts w:hint="eastAsia" w:ascii="宋体" w:hAnsi="宋体" w:eastAsia="宋体" w:cs="宋体"/>
          <w:b/>
          <w:bCs/>
          <w:color w:val="auto"/>
          <w:sz w:val="24"/>
          <w:lang w:val="en-US" w:eastAsia="zh-CN"/>
        </w:rPr>
      </w:pPr>
    </w:p>
    <w:p w14:paraId="38655C2A">
      <w:pPr>
        <w:pStyle w:val="36"/>
        <w:outlineLvl w:val="9"/>
        <w:rPr>
          <w:rFonts w:hint="eastAsia" w:ascii="宋体" w:hAnsi="宋体" w:eastAsia="宋体" w:cs="宋体"/>
          <w:b/>
          <w:bCs/>
          <w:color w:val="auto"/>
          <w:sz w:val="24"/>
          <w:lang w:val="en-US" w:eastAsia="zh-CN"/>
        </w:rPr>
      </w:pPr>
    </w:p>
    <w:p w14:paraId="62F7342F">
      <w:pPr>
        <w:pStyle w:val="36"/>
        <w:outlineLvl w:val="9"/>
        <w:rPr>
          <w:rFonts w:hint="eastAsia" w:ascii="宋体" w:hAnsi="宋体" w:eastAsia="宋体" w:cs="宋体"/>
          <w:b/>
          <w:bCs/>
          <w:color w:val="auto"/>
          <w:sz w:val="24"/>
          <w:lang w:val="en-US" w:eastAsia="zh-CN"/>
        </w:rPr>
      </w:pPr>
    </w:p>
    <w:p w14:paraId="63F743B0">
      <w:pPr>
        <w:pStyle w:val="36"/>
        <w:outlineLvl w:val="9"/>
        <w:rPr>
          <w:rFonts w:hint="eastAsia" w:ascii="宋体" w:hAnsi="宋体" w:eastAsia="宋体" w:cs="宋体"/>
          <w:b/>
          <w:bCs/>
          <w:color w:val="auto"/>
          <w:sz w:val="24"/>
          <w:lang w:val="en-US" w:eastAsia="zh-CN"/>
        </w:rPr>
      </w:pPr>
    </w:p>
    <w:p w14:paraId="0930B60B">
      <w:pPr>
        <w:pStyle w:val="36"/>
        <w:outlineLvl w:val="9"/>
        <w:rPr>
          <w:rFonts w:hint="eastAsia" w:ascii="宋体" w:hAnsi="宋体" w:eastAsia="宋体" w:cs="宋体"/>
          <w:b/>
          <w:bCs/>
          <w:color w:val="auto"/>
          <w:sz w:val="24"/>
          <w:lang w:val="en-US" w:eastAsia="zh-CN"/>
        </w:rPr>
      </w:pPr>
    </w:p>
    <w:p w14:paraId="4B0DB814">
      <w:pPr>
        <w:pStyle w:val="36"/>
        <w:outlineLvl w:val="9"/>
        <w:rPr>
          <w:rFonts w:hint="eastAsia" w:ascii="宋体" w:hAnsi="宋体" w:eastAsia="宋体" w:cs="宋体"/>
          <w:b/>
          <w:bCs/>
          <w:color w:val="auto"/>
          <w:sz w:val="24"/>
          <w:lang w:val="en-US" w:eastAsia="zh-CN"/>
        </w:rPr>
      </w:pPr>
    </w:p>
    <w:p w14:paraId="314C382E">
      <w:pPr>
        <w:pStyle w:val="36"/>
        <w:outlineLvl w:val="9"/>
        <w:rPr>
          <w:rFonts w:hint="eastAsia" w:ascii="宋体" w:hAnsi="宋体" w:eastAsia="宋体" w:cs="宋体"/>
          <w:b/>
          <w:bCs/>
          <w:color w:val="auto"/>
          <w:sz w:val="24"/>
          <w:lang w:val="en-US" w:eastAsia="zh-CN"/>
        </w:rPr>
      </w:pPr>
    </w:p>
    <w:p w14:paraId="5041E3E3">
      <w:pPr>
        <w:pStyle w:val="36"/>
        <w:outlineLvl w:val="9"/>
        <w:rPr>
          <w:rFonts w:hint="eastAsia" w:ascii="宋体" w:hAnsi="宋体" w:eastAsia="宋体" w:cs="宋体"/>
          <w:b/>
          <w:bCs/>
          <w:color w:val="auto"/>
          <w:sz w:val="24"/>
          <w:lang w:val="en-US" w:eastAsia="zh-CN"/>
        </w:rPr>
      </w:pPr>
    </w:p>
    <w:p w14:paraId="1EC6912C">
      <w:pPr>
        <w:pStyle w:val="36"/>
        <w:outlineLvl w:val="9"/>
        <w:rPr>
          <w:rFonts w:hint="eastAsia" w:ascii="宋体" w:hAnsi="宋体" w:eastAsia="宋体" w:cs="宋体"/>
          <w:b/>
          <w:bCs/>
          <w:color w:val="auto"/>
          <w:sz w:val="24"/>
          <w:lang w:val="en-US" w:eastAsia="zh-CN"/>
        </w:rPr>
      </w:pPr>
    </w:p>
    <w:p w14:paraId="29CD74A9">
      <w:pPr>
        <w:pStyle w:val="36"/>
        <w:outlineLvl w:val="9"/>
        <w:rPr>
          <w:rFonts w:hint="eastAsia" w:ascii="宋体" w:hAnsi="宋体" w:eastAsia="宋体" w:cs="宋体"/>
          <w:b/>
          <w:bCs/>
          <w:color w:val="auto"/>
          <w:sz w:val="24"/>
          <w:lang w:val="en-US" w:eastAsia="zh-CN"/>
        </w:rPr>
      </w:pPr>
    </w:p>
    <w:p w14:paraId="3E8F8FE1">
      <w:pPr>
        <w:pStyle w:val="36"/>
        <w:outlineLvl w:val="9"/>
        <w:rPr>
          <w:rFonts w:hint="eastAsia" w:ascii="宋体" w:hAnsi="宋体" w:eastAsia="宋体" w:cs="宋体"/>
          <w:b/>
          <w:bCs/>
          <w:color w:val="auto"/>
          <w:sz w:val="24"/>
          <w:lang w:val="en-US" w:eastAsia="zh-CN"/>
        </w:rPr>
      </w:pPr>
    </w:p>
    <w:p w14:paraId="43DDD33C">
      <w:pPr>
        <w:pStyle w:val="36"/>
        <w:outlineLvl w:val="9"/>
        <w:rPr>
          <w:rFonts w:hint="eastAsia" w:ascii="宋体" w:hAnsi="宋体" w:eastAsia="宋体" w:cs="宋体"/>
          <w:b/>
          <w:bCs/>
          <w:color w:val="auto"/>
          <w:sz w:val="24"/>
          <w:lang w:val="en-US" w:eastAsia="zh-CN"/>
        </w:rPr>
      </w:pPr>
    </w:p>
    <w:p w14:paraId="4DAB991D">
      <w:pPr>
        <w:pStyle w:val="36"/>
        <w:outlineLvl w:val="9"/>
        <w:rPr>
          <w:rFonts w:hint="eastAsia" w:ascii="宋体" w:hAnsi="宋体" w:eastAsia="宋体" w:cs="宋体"/>
          <w:b/>
          <w:bCs/>
          <w:color w:val="auto"/>
          <w:sz w:val="24"/>
          <w:lang w:val="en-US" w:eastAsia="zh-CN"/>
        </w:rPr>
      </w:pPr>
    </w:p>
    <w:p w14:paraId="1225B814">
      <w:pPr>
        <w:pStyle w:val="36"/>
        <w:outlineLvl w:val="9"/>
        <w:rPr>
          <w:rFonts w:hint="eastAsia" w:ascii="宋体" w:hAnsi="宋体" w:eastAsia="宋体" w:cs="宋体"/>
          <w:b/>
          <w:bCs/>
          <w:color w:val="auto"/>
          <w:sz w:val="24"/>
          <w:lang w:val="en-US" w:eastAsia="zh-CN"/>
        </w:rPr>
      </w:pPr>
    </w:p>
    <w:p w14:paraId="6FCC7B44">
      <w:pPr>
        <w:pStyle w:val="36"/>
        <w:outlineLvl w:val="9"/>
        <w:rPr>
          <w:rFonts w:hint="eastAsia" w:ascii="宋体" w:hAnsi="宋体" w:eastAsia="宋体" w:cs="宋体"/>
          <w:b/>
          <w:bCs/>
          <w:color w:val="auto"/>
          <w:sz w:val="24"/>
          <w:lang w:val="en-US" w:eastAsia="zh-CN"/>
        </w:rPr>
      </w:pPr>
    </w:p>
    <w:p w14:paraId="72887FD2">
      <w:pPr>
        <w:pStyle w:val="36"/>
        <w:outlineLvl w:val="9"/>
        <w:rPr>
          <w:rFonts w:hint="eastAsia" w:ascii="宋体" w:hAnsi="宋体" w:eastAsia="宋体" w:cs="宋体"/>
          <w:b/>
          <w:bCs/>
          <w:color w:val="auto"/>
          <w:sz w:val="24"/>
          <w:lang w:val="en-US" w:eastAsia="zh-CN"/>
        </w:rPr>
      </w:pPr>
    </w:p>
    <w:p w14:paraId="119DDA11">
      <w:pPr>
        <w:pStyle w:val="36"/>
        <w:outlineLvl w:val="9"/>
        <w:rPr>
          <w:rFonts w:hint="eastAsia" w:ascii="宋体" w:hAnsi="宋体" w:eastAsia="宋体" w:cs="宋体"/>
          <w:b/>
          <w:bCs/>
          <w:color w:val="auto"/>
          <w:sz w:val="24"/>
          <w:lang w:val="en-US" w:eastAsia="zh-CN"/>
        </w:rPr>
      </w:pPr>
    </w:p>
    <w:p w14:paraId="55842DEC">
      <w:pPr>
        <w:pStyle w:val="36"/>
        <w:outlineLvl w:val="9"/>
        <w:rPr>
          <w:rFonts w:hint="eastAsia" w:ascii="宋体" w:hAnsi="宋体" w:eastAsia="宋体" w:cs="宋体"/>
          <w:b/>
          <w:bCs/>
          <w:color w:val="auto"/>
          <w:sz w:val="24"/>
          <w:lang w:val="en-US" w:eastAsia="zh-CN"/>
        </w:rPr>
      </w:pPr>
    </w:p>
    <w:p w14:paraId="4ECB93E8">
      <w:pPr>
        <w:pStyle w:val="36"/>
        <w:outlineLvl w:val="9"/>
        <w:rPr>
          <w:rFonts w:hint="eastAsia" w:ascii="宋体" w:hAnsi="宋体" w:eastAsia="宋体" w:cs="宋体"/>
          <w:b/>
          <w:bCs/>
          <w:color w:val="auto"/>
          <w:sz w:val="24"/>
          <w:lang w:val="en-US" w:eastAsia="zh-CN"/>
        </w:rPr>
      </w:pPr>
    </w:p>
    <w:p w14:paraId="1D348C91">
      <w:pPr>
        <w:pStyle w:val="36"/>
        <w:outlineLvl w:val="9"/>
        <w:rPr>
          <w:rFonts w:hint="eastAsia" w:ascii="宋体" w:hAnsi="宋体" w:eastAsia="宋体" w:cs="宋体"/>
          <w:b/>
          <w:bCs/>
          <w:color w:val="auto"/>
          <w:sz w:val="24"/>
          <w:lang w:val="en-US" w:eastAsia="zh-CN"/>
        </w:rPr>
      </w:pPr>
    </w:p>
    <w:p w14:paraId="1D2D8919">
      <w:pPr>
        <w:pStyle w:val="36"/>
        <w:outlineLvl w:val="9"/>
        <w:rPr>
          <w:rFonts w:hint="eastAsia" w:ascii="宋体" w:hAnsi="宋体" w:eastAsia="宋体" w:cs="宋体"/>
          <w:b/>
          <w:bCs/>
          <w:color w:val="auto"/>
          <w:sz w:val="24"/>
          <w:lang w:val="en-US" w:eastAsia="zh-CN"/>
        </w:rPr>
      </w:pPr>
    </w:p>
    <w:p w14:paraId="49E52C40">
      <w:pPr>
        <w:pStyle w:val="36"/>
        <w:outlineLvl w:val="9"/>
        <w:rPr>
          <w:rFonts w:hint="eastAsia" w:ascii="宋体" w:hAnsi="宋体" w:eastAsia="宋体" w:cs="宋体"/>
          <w:b/>
          <w:bCs/>
          <w:color w:val="auto"/>
          <w:sz w:val="24"/>
          <w:lang w:val="en-US" w:eastAsia="zh-CN"/>
        </w:rPr>
      </w:pPr>
    </w:p>
    <w:p w14:paraId="19574BC4">
      <w:pPr>
        <w:pStyle w:val="36"/>
        <w:outlineLvl w:val="9"/>
        <w:rPr>
          <w:rFonts w:hint="eastAsia" w:ascii="宋体" w:hAnsi="宋体" w:eastAsia="宋体" w:cs="宋体"/>
          <w:b/>
          <w:bCs/>
          <w:color w:val="auto"/>
          <w:sz w:val="24"/>
          <w:lang w:val="en-US" w:eastAsia="zh-CN"/>
        </w:rPr>
      </w:pPr>
    </w:p>
    <w:p w14:paraId="59092655">
      <w:pPr>
        <w:pStyle w:val="36"/>
        <w:outlineLvl w:val="9"/>
        <w:rPr>
          <w:rFonts w:hint="eastAsia" w:ascii="宋体" w:hAnsi="宋体" w:eastAsia="宋体" w:cs="宋体"/>
          <w:b/>
          <w:bCs/>
          <w:color w:val="auto"/>
          <w:sz w:val="24"/>
          <w:lang w:val="en-US" w:eastAsia="zh-CN"/>
        </w:rPr>
      </w:pPr>
    </w:p>
    <w:p w14:paraId="7D557187">
      <w:pPr>
        <w:pStyle w:val="36"/>
        <w:outlineLvl w:val="9"/>
        <w:rPr>
          <w:rFonts w:hint="eastAsia" w:ascii="宋体" w:hAnsi="宋体" w:eastAsia="宋体" w:cs="宋体"/>
          <w:b/>
          <w:bCs/>
          <w:color w:val="auto"/>
          <w:sz w:val="24"/>
          <w:lang w:val="en-US" w:eastAsia="zh-CN"/>
        </w:rPr>
      </w:pPr>
    </w:p>
    <w:p w14:paraId="698BF556">
      <w:pPr>
        <w:pStyle w:val="36"/>
        <w:outlineLvl w:val="9"/>
        <w:rPr>
          <w:rFonts w:hint="eastAsia" w:ascii="宋体" w:hAnsi="宋体" w:eastAsia="宋体" w:cs="宋体"/>
          <w:b/>
          <w:bCs/>
          <w:color w:val="auto"/>
          <w:sz w:val="24"/>
          <w:lang w:val="en-US" w:eastAsia="zh-CN"/>
        </w:rPr>
      </w:pPr>
    </w:p>
    <w:p w14:paraId="3C8C27F2">
      <w:pPr>
        <w:pStyle w:val="36"/>
        <w:outlineLvl w:val="9"/>
        <w:rPr>
          <w:rFonts w:hint="eastAsia" w:ascii="宋体" w:hAnsi="宋体" w:eastAsia="宋体" w:cs="宋体"/>
          <w:b/>
          <w:bCs/>
          <w:color w:val="auto"/>
          <w:sz w:val="24"/>
          <w:lang w:val="en-US" w:eastAsia="zh-CN"/>
        </w:rPr>
      </w:pPr>
    </w:p>
    <w:p w14:paraId="68995F8B">
      <w:pPr>
        <w:pStyle w:val="36"/>
        <w:outlineLvl w:val="9"/>
        <w:rPr>
          <w:rFonts w:hint="eastAsia" w:ascii="宋体" w:hAnsi="宋体" w:eastAsia="宋体" w:cs="宋体"/>
          <w:b/>
          <w:bCs/>
          <w:color w:val="auto"/>
          <w:sz w:val="24"/>
          <w:lang w:val="en-US" w:eastAsia="zh-CN"/>
        </w:rPr>
      </w:pPr>
    </w:p>
    <w:p w14:paraId="24F89E1E">
      <w:pPr>
        <w:pStyle w:val="36"/>
        <w:outlineLvl w:val="9"/>
        <w:rPr>
          <w:rFonts w:hint="eastAsia" w:ascii="宋体" w:hAnsi="宋体" w:eastAsia="宋体" w:cs="宋体"/>
          <w:b/>
          <w:bCs/>
          <w:color w:val="auto"/>
          <w:sz w:val="24"/>
          <w:lang w:val="en-US" w:eastAsia="zh-CN"/>
        </w:rPr>
      </w:pPr>
    </w:p>
    <w:bookmarkEnd w:id="280"/>
    <w:bookmarkEnd w:id="303"/>
    <w:bookmarkEnd w:id="304"/>
    <w:bookmarkEnd w:id="331"/>
    <w:bookmarkEnd w:id="334"/>
    <w:bookmarkEnd w:id="335"/>
    <w:bookmarkEnd w:id="336"/>
    <w:p w14:paraId="69F345F0">
      <w:pPr>
        <w:numPr>
          <w:ilvl w:val="0"/>
          <w:numId w:val="0"/>
        </w:numPr>
        <w:spacing w:line="360" w:lineRule="auto"/>
        <w:jc w:val="center"/>
        <w:outlineLvl w:val="1"/>
        <w:rPr>
          <w:rFonts w:hint="eastAsia" w:ascii="宋体" w:hAnsi="宋体" w:cs="宋体"/>
          <w:b/>
          <w:color w:val="auto"/>
          <w:sz w:val="36"/>
          <w:szCs w:val="24"/>
          <w:lang w:val="en-US" w:eastAsia="zh-CN"/>
        </w:rPr>
        <w:sectPr>
          <w:pgSz w:w="11906" w:h="16838"/>
          <w:pgMar w:top="1417" w:right="1669" w:bottom="1361" w:left="1417" w:header="851" w:footer="992" w:gutter="0"/>
          <w:pgNumType w:fmt="decimal"/>
          <w:cols w:space="720" w:num="1"/>
          <w:docGrid w:linePitch="312" w:charSpace="0"/>
        </w:sectPr>
      </w:pPr>
      <w:bookmarkStart w:id="359" w:name="_Toc4907"/>
      <w:bookmarkStart w:id="360" w:name="_Toc26336"/>
      <w:bookmarkStart w:id="361" w:name="_Toc7932"/>
    </w:p>
    <w:p w14:paraId="77D93DEF">
      <w:pPr>
        <w:numPr>
          <w:ilvl w:val="0"/>
          <w:numId w:val="0"/>
        </w:numPr>
        <w:spacing w:line="360" w:lineRule="auto"/>
        <w:jc w:val="center"/>
        <w:outlineLvl w:val="1"/>
        <w:rPr>
          <w:rFonts w:hint="eastAsia" w:ascii="宋体" w:hAnsi="宋体" w:eastAsia="宋体" w:cs="宋体"/>
          <w:b/>
          <w:color w:val="auto"/>
          <w:sz w:val="36"/>
          <w:szCs w:val="24"/>
        </w:rPr>
      </w:pPr>
      <w:bookmarkStart w:id="362" w:name="_Toc23563"/>
      <w:r>
        <w:rPr>
          <w:rFonts w:hint="eastAsia" w:ascii="宋体" w:hAnsi="宋体" w:cs="宋体"/>
          <w:b/>
          <w:color w:val="auto"/>
          <w:sz w:val="36"/>
          <w:szCs w:val="24"/>
          <w:lang w:val="en-US" w:eastAsia="zh-CN"/>
        </w:rPr>
        <w:t>七、</w:t>
      </w:r>
      <w:r>
        <w:rPr>
          <w:rFonts w:hint="eastAsia" w:ascii="宋体" w:hAnsi="宋体" w:eastAsia="宋体" w:cs="宋体"/>
          <w:b/>
          <w:color w:val="auto"/>
          <w:sz w:val="36"/>
          <w:szCs w:val="24"/>
        </w:rPr>
        <w:t>商务偏离表</w:t>
      </w:r>
      <w:bookmarkEnd w:id="359"/>
      <w:bookmarkEnd w:id="360"/>
      <w:bookmarkEnd w:id="361"/>
      <w:bookmarkEnd w:id="362"/>
    </w:p>
    <w:p w14:paraId="290A4031">
      <w:pPr>
        <w:spacing w:line="360" w:lineRule="auto"/>
        <w:outlineLvl w:val="9"/>
        <w:rPr>
          <w:rFonts w:hint="eastAsia"/>
          <w:color w:val="auto"/>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 xml:space="preserve">            采购项目编号：</w:t>
      </w:r>
      <w:r>
        <w:rPr>
          <w:rFonts w:hint="eastAsia" w:ascii="宋体" w:hAnsi="宋体" w:cs="宋体"/>
          <w:color w:val="auto"/>
          <w:sz w:val="24"/>
          <w:u w:val="single"/>
        </w:rPr>
        <w:t xml:space="preserve">                   </w:t>
      </w:r>
    </w:p>
    <w:tbl>
      <w:tblPr>
        <w:tblStyle w:val="26"/>
        <w:tblW w:w="9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2931"/>
        <w:gridCol w:w="3231"/>
        <w:gridCol w:w="1202"/>
        <w:gridCol w:w="1350"/>
      </w:tblGrid>
      <w:tr w14:paraId="2ACA7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51" w:type="dxa"/>
            <w:noWrap w:val="0"/>
            <w:vAlign w:val="top"/>
          </w:tcPr>
          <w:p w14:paraId="488B75CD">
            <w:pPr>
              <w:spacing w:line="360" w:lineRule="auto"/>
              <w:jc w:val="center"/>
              <w:outlineLvl w:val="9"/>
              <w:rPr>
                <w:rFonts w:hint="eastAsia" w:ascii="宋体" w:hAnsi="宋体" w:cs="宋体"/>
                <w:b/>
                <w:color w:val="auto"/>
                <w:sz w:val="24"/>
              </w:rPr>
            </w:pPr>
            <w:r>
              <w:rPr>
                <w:rFonts w:hint="eastAsia" w:ascii="宋体" w:hAnsi="宋体" w:cs="宋体"/>
                <w:b/>
                <w:color w:val="auto"/>
                <w:sz w:val="24"/>
              </w:rPr>
              <w:t>序号</w:t>
            </w:r>
          </w:p>
        </w:tc>
        <w:tc>
          <w:tcPr>
            <w:tcW w:w="2931" w:type="dxa"/>
            <w:noWrap w:val="0"/>
            <w:vAlign w:val="top"/>
          </w:tcPr>
          <w:p w14:paraId="4494FAC1">
            <w:pPr>
              <w:spacing w:line="360" w:lineRule="auto"/>
              <w:jc w:val="center"/>
              <w:outlineLvl w:val="9"/>
              <w:rPr>
                <w:rFonts w:hint="eastAsia" w:ascii="宋体" w:hAnsi="宋体" w:cs="宋体"/>
                <w:b/>
                <w:color w:val="auto"/>
                <w:sz w:val="24"/>
              </w:rPr>
            </w:pPr>
            <w:r>
              <w:rPr>
                <w:rFonts w:hint="eastAsia" w:ascii="宋体" w:hAnsi="宋体" w:cs="宋体"/>
                <w:b/>
                <w:color w:val="auto"/>
                <w:sz w:val="24"/>
              </w:rPr>
              <w:t>竞争性磋商文件商务要求</w:t>
            </w:r>
          </w:p>
        </w:tc>
        <w:tc>
          <w:tcPr>
            <w:tcW w:w="3231" w:type="dxa"/>
            <w:noWrap w:val="0"/>
            <w:vAlign w:val="top"/>
          </w:tcPr>
          <w:p w14:paraId="55CF49F5">
            <w:pPr>
              <w:spacing w:line="360" w:lineRule="auto"/>
              <w:jc w:val="center"/>
              <w:outlineLvl w:val="9"/>
              <w:rPr>
                <w:rFonts w:hint="eastAsia" w:ascii="宋体" w:hAnsi="宋体" w:cs="宋体"/>
                <w:b/>
                <w:color w:val="auto"/>
                <w:sz w:val="24"/>
              </w:rPr>
            </w:pPr>
            <w:r>
              <w:rPr>
                <w:rFonts w:hint="eastAsia" w:ascii="宋体" w:hAnsi="宋体" w:cs="宋体"/>
                <w:b/>
                <w:color w:val="auto"/>
                <w:sz w:val="24"/>
              </w:rPr>
              <w:t>竞争性磋商响应文件商务响应</w:t>
            </w:r>
          </w:p>
        </w:tc>
        <w:tc>
          <w:tcPr>
            <w:tcW w:w="1202" w:type="dxa"/>
            <w:noWrap w:val="0"/>
            <w:vAlign w:val="top"/>
          </w:tcPr>
          <w:p w14:paraId="1A94F074">
            <w:pPr>
              <w:spacing w:line="360" w:lineRule="auto"/>
              <w:jc w:val="center"/>
              <w:outlineLvl w:val="9"/>
              <w:rPr>
                <w:rFonts w:hint="eastAsia" w:ascii="宋体" w:hAnsi="宋体" w:cs="宋体"/>
                <w:b/>
                <w:color w:val="auto"/>
                <w:sz w:val="24"/>
              </w:rPr>
            </w:pPr>
            <w:r>
              <w:rPr>
                <w:rFonts w:hint="eastAsia" w:ascii="宋体" w:hAnsi="宋体" w:cs="宋体"/>
                <w:b/>
                <w:color w:val="auto"/>
                <w:sz w:val="24"/>
              </w:rPr>
              <w:t>偏离情况</w:t>
            </w:r>
          </w:p>
        </w:tc>
        <w:tc>
          <w:tcPr>
            <w:tcW w:w="1350" w:type="dxa"/>
            <w:noWrap w:val="0"/>
            <w:vAlign w:val="top"/>
          </w:tcPr>
          <w:p w14:paraId="40DB27AC">
            <w:pPr>
              <w:spacing w:line="360" w:lineRule="auto"/>
              <w:jc w:val="center"/>
              <w:outlineLvl w:val="9"/>
              <w:rPr>
                <w:rFonts w:hint="eastAsia" w:ascii="宋体" w:hAnsi="宋体" w:cs="宋体"/>
                <w:b/>
                <w:color w:val="auto"/>
                <w:sz w:val="24"/>
              </w:rPr>
            </w:pPr>
            <w:r>
              <w:rPr>
                <w:rFonts w:hint="eastAsia" w:ascii="宋体" w:hAnsi="宋体" w:cs="宋体"/>
                <w:b/>
                <w:color w:val="auto"/>
                <w:sz w:val="24"/>
              </w:rPr>
              <w:t>响应说明</w:t>
            </w:r>
          </w:p>
        </w:tc>
      </w:tr>
      <w:tr w14:paraId="18DF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3305E2B6">
            <w:pPr>
              <w:spacing w:line="360" w:lineRule="auto"/>
              <w:jc w:val="center"/>
              <w:outlineLvl w:val="9"/>
              <w:rPr>
                <w:rFonts w:hint="eastAsia" w:ascii="宋体" w:hAnsi="宋体" w:cs="宋体"/>
                <w:color w:val="auto"/>
                <w:sz w:val="24"/>
              </w:rPr>
            </w:pPr>
          </w:p>
        </w:tc>
        <w:tc>
          <w:tcPr>
            <w:tcW w:w="2931" w:type="dxa"/>
            <w:noWrap w:val="0"/>
            <w:vAlign w:val="top"/>
          </w:tcPr>
          <w:p w14:paraId="1574668B">
            <w:pPr>
              <w:spacing w:line="360" w:lineRule="auto"/>
              <w:jc w:val="center"/>
              <w:outlineLvl w:val="9"/>
              <w:rPr>
                <w:rFonts w:hint="eastAsia" w:ascii="宋体" w:hAnsi="宋体" w:cs="宋体"/>
                <w:color w:val="auto"/>
                <w:sz w:val="24"/>
              </w:rPr>
            </w:pPr>
          </w:p>
        </w:tc>
        <w:tc>
          <w:tcPr>
            <w:tcW w:w="3231" w:type="dxa"/>
            <w:noWrap w:val="0"/>
            <w:vAlign w:val="top"/>
          </w:tcPr>
          <w:p w14:paraId="548FE909">
            <w:pPr>
              <w:spacing w:line="360" w:lineRule="auto"/>
              <w:jc w:val="center"/>
              <w:outlineLvl w:val="9"/>
              <w:rPr>
                <w:rFonts w:hint="eastAsia" w:ascii="宋体" w:hAnsi="宋体" w:cs="宋体"/>
                <w:color w:val="auto"/>
                <w:sz w:val="24"/>
              </w:rPr>
            </w:pPr>
          </w:p>
        </w:tc>
        <w:tc>
          <w:tcPr>
            <w:tcW w:w="1202" w:type="dxa"/>
            <w:noWrap w:val="0"/>
            <w:vAlign w:val="top"/>
          </w:tcPr>
          <w:p w14:paraId="65495BEA">
            <w:pPr>
              <w:spacing w:line="360" w:lineRule="auto"/>
              <w:jc w:val="center"/>
              <w:outlineLvl w:val="9"/>
              <w:rPr>
                <w:rFonts w:hint="eastAsia" w:ascii="宋体" w:hAnsi="宋体" w:cs="宋体"/>
                <w:color w:val="auto"/>
                <w:sz w:val="24"/>
              </w:rPr>
            </w:pPr>
          </w:p>
        </w:tc>
        <w:tc>
          <w:tcPr>
            <w:tcW w:w="1350" w:type="dxa"/>
            <w:noWrap w:val="0"/>
            <w:vAlign w:val="top"/>
          </w:tcPr>
          <w:p w14:paraId="7D65AB33">
            <w:pPr>
              <w:spacing w:line="360" w:lineRule="auto"/>
              <w:jc w:val="center"/>
              <w:outlineLvl w:val="9"/>
              <w:rPr>
                <w:rFonts w:hint="eastAsia" w:ascii="宋体" w:hAnsi="宋体" w:cs="宋体"/>
                <w:color w:val="auto"/>
                <w:sz w:val="24"/>
              </w:rPr>
            </w:pPr>
          </w:p>
        </w:tc>
      </w:tr>
      <w:tr w14:paraId="6282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4C6DA586">
            <w:pPr>
              <w:spacing w:line="360" w:lineRule="auto"/>
              <w:jc w:val="center"/>
              <w:outlineLvl w:val="9"/>
              <w:rPr>
                <w:rFonts w:hint="eastAsia" w:ascii="宋体" w:hAnsi="宋体" w:cs="宋体"/>
                <w:color w:val="auto"/>
                <w:sz w:val="24"/>
              </w:rPr>
            </w:pPr>
          </w:p>
        </w:tc>
        <w:tc>
          <w:tcPr>
            <w:tcW w:w="2931" w:type="dxa"/>
            <w:noWrap w:val="0"/>
            <w:vAlign w:val="top"/>
          </w:tcPr>
          <w:p w14:paraId="61AE3180">
            <w:pPr>
              <w:spacing w:line="360" w:lineRule="auto"/>
              <w:jc w:val="center"/>
              <w:outlineLvl w:val="9"/>
              <w:rPr>
                <w:rFonts w:hint="eastAsia" w:ascii="宋体" w:hAnsi="宋体" w:cs="宋体"/>
                <w:color w:val="auto"/>
                <w:sz w:val="24"/>
              </w:rPr>
            </w:pPr>
          </w:p>
        </w:tc>
        <w:tc>
          <w:tcPr>
            <w:tcW w:w="3231" w:type="dxa"/>
            <w:noWrap w:val="0"/>
            <w:vAlign w:val="top"/>
          </w:tcPr>
          <w:p w14:paraId="2F05CF3A">
            <w:pPr>
              <w:spacing w:line="360" w:lineRule="auto"/>
              <w:jc w:val="center"/>
              <w:outlineLvl w:val="9"/>
              <w:rPr>
                <w:rFonts w:hint="eastAsia" w:ascii="宋体" w:hAnsi="宋体" w:cs="宋体"/>
                <w:color w:val="auto"/>
                <w:sz w:val="24"/>
              </w:rPr>
            </w:pPr>
          </w:p>
        </w:tc>
        <w:tc>
          <w:tcPr>
            <w:tcW w:w="1202" w:type="dxa"/>
            <w:noWrap w:val="0"/>
            <w:vAlign w:val="top"/>
          </w:tcPr>
          <w:p w14:paraId="7F7443C7">
            <w:pPr>
              <w:spacing w:line="360" w:lineRule="auto"/>
              <w:jc w:val="center"/>
              <w:outlineLvl w:val="9"/>
              <w:rPr>
                <w:rFonts w:hint="eastAsia" w:ascii="宋体" w:hAnsi="宋体" w:cs="宋体"/>
                <w:color w:val="auto"/>
                <w:sz w:val="24"/>
              </w:rPr>
            </w:pPr>
          </w:p>
        </w:tc>
        <w:tc>
          <w:tcPr>
            <w:tcW w:w="1350" w:type="dxa"/>
            <w:noWrap w:val="0"/>
            <w:vAlign w:val="top"/>
          </w:tcPr>
          <w:p w14:paraId="289B6F4C">
            <w:pPr>
              <w:spacing w:line="360" w:lineRule="auto"/>
              <w:jc w:val="center"/>
              <w:outlineLvl w:val="9"/>
              <w:rPr>
                <w:rFonts w:hint="eastAsia" w:ascii="宋体" w:hAnsi="宋体" w:cs="宋体"/>
                <w:color w:val="auto"/>
                <w:sz w:val="24"/>
              </w:rPr>
            </w:pPr>
          </w:p>
        </w:tc>
      </w:tr>
      <w:tr w14:paraId="2775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6AC5CCC9">
            <w:pPr>
              <w:spacing w:line="360" w:lineRule="auto"/>
              <w:jc w:val="center"/>
              <w:outlineLvl w:val="9"/>
              <w:rPr>
                <w:rFonts w:hint="eastAsia" w:ascii="宋体" w:hAnsi="宋体" w:cs="宋体"/>
                <w:color w:val="auto"/>
                <w:sz w:val="24"/>
              </w:rPr>
            </w:pPr>
          </w:p>
        </w:tc>
        <w:tc>
          <w:tcPr>
            <w:tcW w:w="2931" w:type="dxa"/>
            <w:noWrap w:val="0"/>
            <w:vAlign w:val="top"/>
          </w:tcPr>
          <w:p w14:paraId="39A38E36">
            <w:pPr>
              <w:spacing w:line="360" w:lineRule="auto"/>
              <w:jc w:val="center"/>
              <w:outlineLvl w:val="9"/>
              <w:rPr>
                <w:rFonts w:hint="eastAsia" w:ascii="宋体" w:hAnsi="宋体" w:cs="宋体"/>
                <w:color w:val="auto"/>
                <w:sz w:val="24"/>
              </w:rPr>
            </w:pPr>
          </w:p>
        </w:tc>
        <w:tc>
          <w:tcPr>
            <w:tcW w:w="3231" w:type="dxa"/>
            <w:noWrap w:val="0"/>
            <w:vAlign w:val="top"/>
          </w:tcPr>
          <w:p w14:paraId="7B7C21BE">
            <w:pPr>
              <w:spacing w:line="360" w:lineRule="auto"/>
              <w:jc w:val="center"/>
              <w:outlineLvl w:val="9"/>
              <w:rPr>
                <w:rFonts w:hint="eastAsia" w:ascii="宋体" w:hAnsi="宋体" w:cs="宋体"/>
                <w:color w:val="auto"/>
                <w:sz w:val="24"/>
              </w:rPr>
            </w:pPr>
          </w:p>
        </w:tc>
        <w:tc>
          <w:tcPr>
            <w:tcW w:w="1202" w:type="dxa"/>
            <w:noWrap w:val="0"/>
            <w:vAlign w:val="top"/>
          </w:tcPr>
          <w:p w14:paraId="3A594E7F">
            <w:pPr>
              <w:spacing w:line="360" w:lineRule="auto"/>
              <w:jc w:val="center"/>
              <w:outlineLvl w:val="9"/>
              <w:rPr>
                <w:rFonts w:hint="eastAsia" w:ascii="宋体" w:hAnsi="宋体" w:cs="宋体"/>
                <w:color w:val="auto"/>
                <w:sz w:val="24"/>
              </w:rPr>
            </w:pPr>
          </w:p>
        </w:tc>
        <w:tc>
          <w:tcPr>
            <w:tcW w:w="1350" w:type="dxa"/>
            <w:noWrap w:val="0"/>
            <w:vAlign w:val="top"/>
          </w:tcPr>
          <w:p w14:paraId="35DAFEE6">
            <w:pPr>
              <w:spacing w:line="360" w:lineRule="auto"/>
              <w:jc w:val="center"/>
              <w:outlineLvl w:val="9"/>
              <w:rPr>
                <w:rFonts w:hint="eastAsia" w:ascii="宋体" w:hAnsi="宋体" w:cs="宋体"/>
                <w:color w:val="auto"/>
                <w:sz w:val="24"/>
              </w:rPr>
            </w:pPr>
          </w:p>
        </w:tc>
      </w:tr>
      <w:tr w14:paraId="2D109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007A7665">
            <w:pPr>
              <w:spacing w:line="360" w:lineRule="auto"/>
              <w:jc w:val="center"/>
              <w:outlineLvl w:val="9"/>
              <w:rPr>
                <w:rFonts w:hint="eastAsia" w:ascii="宋体" w:hAnsi="宋体" w:cs="宋体"/>
                <w:color w:val="auto"/>
                <w:sz w:val="24"/>
              </w:rPr>
            </w:pPr>
          </w:p>
        </w:tc>
        <w:tc>
          <w:tcPr>
            <w:tcW w:w="2931" w:type="dxa"/>
            <w:noWrap w:val="0"/>
            <w:vAlign w:val="top"/>
          </w:tcPr>
          <w:p w14:paraId="45CAD6E0">
            <w:pPr>
              <w:spacing w:line="360" w:lineRule="auto"/>
              <w:jc w:val="center"/>
              <w:outlineLvl w:val="9"/>
              <w:rPr>
                <w:rFonts w:hint="eastAsia" w:ascii="宋体" w:hAnsi="宋体" w:cs="宋体"/>
                <w:color w:val="auto"/>
                <w:sz w:val="24"/>
              </w:rPr>
            </w:pPr>
          </w:p>
        </w:tc>
        <w:tc>
          <w:tcPr>
            <w:tcW w:w="3231" w:type="dxa"/>
            <w:noWrap w:val="0"/>
            <w:vAlign w:val="top"/>
          </w:tcPr>
          <w:p w14:paraId="01085D3D">
            <w:pPr>
              <w:spacing w:line="360" w:lineRule="auto"/>
              <w:jc w:val="center"/>
              <w:outlineLvl w:val="9"/>
              <w:rPr>
                <w:rFonts w:hint="eastAsia" w:ascii="宋体" w:hAnsi="宋体" w:cs="宋体"/>
                <w:color w:val="auto"/>
                <w:sz w:val="24"/>
              </w:rPr>
            </w:pPr>
          </w:p>
        </w:tc>
        <w:tc>
          <w:tcPr>
            <w:tcW w:w="1202" w:type="dxa"/>
            <w:noWrap w:val="0"/>
            <w:vAlign w:val="top"/>
          </w:tcPr>
          <w:p w14:paraId="1EADF671">
            <w:pPr>
              <w:spacing w:line="360" w:lineRule="auto"/>
              <w:jc w:val="center"/>
              <w:outlineLvl w:val="9"/>
              <w:rPr>
                <w:rFonts w:hint="eastAsia" w:ascii="宋体" w:hAnsi="宋体" w:cs="宋体"/>
                <w:color w:val="auto"/>
                <w:sz w:val="24"/>
              </w:rPr>
            </w:pPr>
          </w:p>
        </w:tc>
        <w:tc>
          <w:tcPr>
            <w:tcW w:w="1350" w:type="dxa"/>
            <w:noWrap w:val="0"/>
            <w:vAlign w:val="top"/>
          </w:tcPr>
          <w:p w14:paraId="558BCE14">
            <w:pPr>
              <w:spacing w:line="360" w:lineRule="auto"/>
              <w:jc w:val="center"/>
              <w:outlineLvl w:val="9"/>
              <w:rPr>
                <w:rFonts w:hint="eastAsia" w:ascii="宋体" w:hAnsi="宋体" w:cs="宋体"/>
                <w:color w:val="auto"/>
                <w:sz w:val="24"/>
              </w:rPr>
            </w:pPr>
          </w:p>
        </w:tc>
      </w:tr>
      <w:tr w14:paraId="3C36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783DBCFA">
            <w:pPr>
              <w:spacing w:line="360" w:lineRule="auto"/>
              <w:jc w:val="center"/>
              <w:outlineLvl w:val="9"/>
              <w:rPr>
                <w:rFonts w:hint="eastAsia" w:ascii="宋体" w:hAnsi="宋体" w:cs="宋体"/>
                <w:color w:val="auto"/>
                <w:sz w:val="24"/>
              </w:rPr>
            </w:pPr>
          </w:p>
        </w:tc>
        <w:tc>
          <w:tcPr>
            <w:tcW w:w="2931" w:type="dxa"/>
            <w:noWrap w:val="0"/>
            <w:vAlign w:val="top"/>
          </w:tcPr>
          <w:p w14:paraId="614376C8">
            <w:pPr>
              <w:spacing w:line="360" w:lineRule="auto"/>
              <w:jc w:val="center"/>
              <w:outlineLvl w:val="9"/>
              <w:rPr>
                <w:rFonts w:hint="eastAsia" w:ascii="宋体" w:hAnsi="宋体" w:cs="宋体"/>
                <w:color w:val="auto"/>
                <w:sz w:val="24"/>
              </w:rPr>
            </w:pPr>
          </w:p>
        </w:tc>
        <w:tc>
          <w:tcPr>
            <w:tcW w:w="3231" w:type="dxa"/>
            <w:noWrap w:val="0"/>
            <w:vAlign w:val="top"/>
          </w:tcPr>
          <w:p w14:paraId="608D513B">
            <w:pPr>
              <w:spacing w:line="360" w:lineRule="auto"/>
              <w:jc w:val="center"/>
              <w:outlineLvl w:val="9"/>
              <w:rPr>
                <w:rFonts w:hint="eastAsia" w:ascii="宋体" w:hAnsi="宋体" w:cs="宋体"/>
                <w:color w:val="auto"/>
                <w:sz w:val="24"/>
              </w:rPr>
            </w:pPr>
          </w:p>
        </w:tc>
        <w:tc>
          <w:tcPr>
            <w:tcW w:w="1202" w:type="dxa"/>
            <w:noWrap w:val="0"/>
            <w:vAlign w:val="top"/>
          </w:tcPr>
          <w:p w14:paraId="43824C54">
            <w:pPr>
              <w:spacing w:line="360" w:lineRule="auto"/>
              <w:jc w:val="center"/>
              <w:outlineLvl w:val="9"/>
              <w:rPr>
                <w:rFonts w:hint="eastAsia" w:ascii="宋体" w:hAnsi="宋体" w:cs="宋体"/>
                <w:color w:val="auto"/>
                <w:sz w:val="24"/>
              </w:rPr>
            </w:pPr>
          </w:p>
        </w:tc>
        <w:tc>
          <w:tcPr>
            <w:tcW w:w="1350" w:type="dxa"/>
            <w:noWrap w:val="0"/>
            <w:vAlign w:val="top"/>
          </w:tcPr>
          <w:p w14:paraId="6454D0F0">
            <w:pPr>
              <w:spacing w:line="360" w:lineRule="auto"/>
              <w:jc w:val="center"/>
              <w:outlineLvl w:val="9"/>
              <w:rPr>
                <w:rFonts w:hint="eastAsia" w:ascii="宋体" w:hAnsi="宋体" w:cs="宋体"/>
                <w:color w:val="auto"/>
                <w:sz w:val="24"/>
              </w:rPr>
            </w:pPr>
          </w:p>
        </w:tc>
      </w:tr>
      <w:tr w14:paraId="7351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356045C0">
            <w:pPr>
              <w:spacing w:line="360" w:lineRule="auto"/>
              <w:jc w:val="center"/>
              <w:outlineLvl w:val="9"/>
              <w:rPr>
                <w:rFonts w:hint="eastAsia" w:ascii="宋体" w:hAnsi="宋体" w:cs="宋体"/>
                <w:color w:val="auto"/>
                <w:sz w:val="24"/>
              </w:rPr>
            </w:pPr>
          </w:p>
        </w:tc>
        <w:tc>
          <w:tcPr>
            <w:tcW w:w="2931" w:type="dxa"/>
            <w:noWrap w:val="0"/>
            <w:vAlign w:val="top"/>
          </w:tcPr>
          <w:p w14:paraId="17683E46">
            <w:pPr>
              <w:spacing w:line="360" w:lineRule="auto"/>
              <w:jc w:val="center"/>
              <w:outlineLvl w:val="9"/>
              <w:rPr>
                <w:rFonts w:hint="eastAsia" w:ascii="宋体" w:hAnsi="宋体" w:cs="宋体"/>
                <w:color w:val="auto"/>
                <w:sz w:val="24"/>
              </w:rPr>
            </w:pPr>
          </w:p>
        </w:tc>
        <w:tc>
          <w:tcPr>
            <w:tcW w:w="3231" w:type="dxa"/>
            <w:noWrap w:val="0"/>
            <w:vAlign w:val="top"/>
          </w:tcPr>
          <w:p w14:paraId="0BC63340">
            <w:pPr>
              <w:spacing w:line="360" w:lineRule="auto"/>
              <w:jc w:val="center"/>
              <w:outlineLvl w:val="9"/>
              <w:rPr>
                <w:rFonts w:hint="eastAsia" w:ascii="宋体" w:hAnsi="宋体" w:cs="宋体"/>
                <w:color w:val="auto"/>
                <w:sz w:val="24"/>
              </w:rPr>
            </w:pPr>
          </w:p>
        </w:tc>
        <w:tc>
          <w:tcPr>
            <w:tcW w:w="1202" w:type="dxa"/>
            <w:noWrap w:val="0"/>
            <w:vAlign w:val="top"/>
          </w:tcPr>
          <w:p w14:paraId="2BE37E8D">
            <w:pPr>
              <w:spacing w:line="360" w:lineRule="auto"/>
              <w:jc w:val="center"/>
              <w:outlineLvl w:val="9"/>
              <w:rPr>
                <w:rFonts w:hint="eastAsia" w:ascii="宋体" w:hAnsi="宋体" w:cs="宋体"/>
                <w:color w:val="auto"/>
                <w:sz w:val="24"/>
              </w:rPr>
            </w:pPr>
          </w:p>
        </w:tc>
        <w:tc>
          <w:tcPr>
            <w:tcW w:w="1350" w:type="dxa"/>
            <w:noWrap w:val="0"/>
            <w:vAlign w:val="top"/>
          </w:tcPr>
          <w:p w14:paraId="3D697EA7">
            <w:pPr>
              <w:spacing w:line="360" w:lineRule="auto"/>
              <w:jc w:val="center"/>
              <w:outlineLvl w:val="9"/>
              <w:rPr>
                <w:rFonts w:hint="eastAsia" w:ascii="宋体" w:hAnsi="宋体" w:cs="宋体"/>
                <w:color w:val="auto"/>
                <w:sz w:val="24"/>
              </w:rPr>
            </w:pPr>
          </w:p>
        </w:tc>
      </w:tr>
      <w:tr w14:paraId="2D541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6A6947D6">
            <w:pPr>
              <w:spacing w:line="360" w:lineRule="auto"/>
              <w:jc w:val="center"/>
              <w:outlineLvl w:val="9"/>
              <w:rPr>
                <w:rFonts w:hint="eastAsia" w:ascii="宋体" w:hAnsi="宋体" w:cs="宋体"/>
                <w:color w:val="auto"/>
                <w:sz w:val="24"/>
              </w:rPr>
            </w:pPr>
          </w:p>
        </w:tc>
        <w:tc>
          <w:tcPr>
            <w:tcW w:w="2931" w:type="dxa"/>
            <w:noWrap w:val="0"/>
            <w:vAlign w:val="top"/>
          </w:tcPr>
          <w:p w14:paraId="6FF2AC1F">
            <w:pPr>
              <w:spacing w:line="360" w:lineRule="auto"/>
              <w:jc w:val="center"/>
              <w:outlineLvl w:val="9"/>
              <w:rPr>
                <w:rFonts w:hint="eastAsia" w:ascii="宋体" w:hAnsi="宋体" w:cs="宋体"/>
                <w:color w:val="auto"/>
                <w:sz w:val="24"/>
              </w:rPr>
            </w:pPr>
          </w:p>
        </w:tc>
        <w:tc>
          <w:tcPr>
            <w:tcW w:w="3231" w:type="dxa"/>
            <w:noWrap w:val="0"/>
            <w:vAlign w:val="top"/>
          </w:tcPr>
          <w:p w14:paraId="240D629B">
            <w:pPr>
              <w:spacing w:line="360" w:lineRule="auto"/>
              <w:jc w:val="center"/>
              <w:outlineLvl w:val="9"/>
              <w:rPr>
                <w:rFonts w:hint="eastAsia" w:ascii="宋体" w:hAnsi="宋体" w:cs="宋体"/>
                <w:color w:val="auto"/>
                <w:sz w:val="24"/>
              </w:rPr>
            </w:pPr>
          </w:p>
        </w:tc>
        <w:tc>
          <w:tcPr>
            <w:tcW w:w="1202" w:type="dxa"/>
            <w:noWrap w:val="0"/>
            <w:vAlign w:val="top"/>
          </w:tcPr>
          <w:p w14:paraId="7E23D813">
            <w:pPr>
              <w:spacing w:line="360" w:lineRule="auto"/>
              <w:jc w:val="center"/>
              <w:outlineLvl w:val="9"/>
              <w:rPr>
                <w:rFonts w:hint="eastAsia" w:ascii="宋体" w:hAnsi="宋体" w:cs="宋体"/>
                <w:color w:val="auto"/>
                <w:sz w:val="24"/>
              </w:rPr>
            </w:pPr>
          </w:p>
        </w:tc>
        <w:tc>
          <w:tcPr>
            <w:tcW w:w="1350" w:type="dxa"/>
            <w:noWrap w:val="0"/>
            <w:vAlign w:val="top"/>
          </w:tcPr>
          <w:p w14:paraId="7AB472D4">
            <w:pPr>
              <w:spacing w:line="360" w:lineRule="auto"/>
              <w:jc w:val="center"/>
              <w:outlineLvl w:val="9"/>
              <w:rPr>
                <w:rFonts w:hint="eastAsia" w:ascii="宋体" w:hAnsi="宋体" w:cs="宋体"/>
                <w:color w:val="auto"/>
                <w:sz w:val="24"/>
              </w:rPr>
            </w:pPr>
          </w:p>
        </w:tc>
      </w:tr>
      <w:tr w14:paraId="3F2A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4149C4EF">
            <w:pPr>
              <w:spacing w:line="360" w:lineRule="auto"/>
              <w:jc w:val="center"/>
              <w:outlineLvl w:val="9"/>
              <w:rPr>
                <w:rFonts w:hint="eastAsia" w:ascii="宋体" w:hAnsi="宋体" w:cs="宋体"/>
                <w:color w:val="auto"/>
                <w:sz w:val="24"/>
              </w:rPr>
            </w:pPr>
          </w:p>
        </w:tc>
        <w:tc>
          <w:tcPr>
            <w:tcW w:w="2931" w:type="dxa"/>
            <w:noWrap w:val="0"/>
            <w:vAlign w:val="top"/>
          </w:tcPr>
          <w:p w14:paraId="6EC7C755">
            <w:pPr>
              <w:spacing w:line="360" w:lineRule="auto"/>
              <w:jc w:val="center"/>
              <w:outlineLvl w:val="9"/>
              <w:rPr>
                <w:rFonts w:hint="eastAsia" w:ascii="宋体" w:hAnsi="宋体" w:cs="宋体"/>
                <w:color w:val="auto"/>
                <w:sz w:val="24"/>
              </w:rPr>
            </w:pPr>
          </w:p>
        </w:tc>
        <w:tc>
          <w:tcPr>
            <w:tcW w:w="3231" w:type="dxa"/>
            <w:noWrap w:val="0"/>
            <w:vAlign w:val="top"/>
          </w:tcPr>
          <w:p w14:paraId="2F05820D">
            <w:pPr>
              <w:spacing w:line="360" w:lineRule="auto"/>
              <w:jc w:val="center"/>
              <w:outlineLvl w:val="9"/>
              <w:rPr>
                <w:rFonts w:hint="eastAsia" w:ascii="宋体" w:hAnsi="宋体" w:cs="宋体"/>
                <w:color w:val="auto"/>
                <w:sz w:val="24"/>
              </w:rPr>
            </w:pPr>
          </w:p>
        </w:tc>
        <w:tc>
          <w:tcPr>
            <w:tcW w:w="1202" w:type="dxa"/>
            <w:noWrap w:val="0"/>
            <w:vAlign w:val="top"/>
          </w:tcPr>
          <w:p w14:paraId="5B129F5F">
            <w:pPr>
              <w:spacing w:line="360" w:lineRule="auto"/>
              <w:jc w:val="center"/>
              <w:outlineLvl w:val="9"/>
              <w:rPr>
                <w:rFonts w:hint="eastAsia" w:ascii="宋体" w:hAnsi="宋体" w:cs="宋体"/>
                <w:color w:val="auto"/>
                <w:sz w:val="24"/>
              </w:rPr>
            </w:pPr>
          </w:p>
        </w:tc>
        <w:tc>
          <w:tcPr>
            <w:tcW w:w="1350" w:type="dxa"/>
            <w:noWrap w:val="0"/>
            <w:vAlign w:val="top"/>
          </w:tcPr>
          <w:p w14:paraId="16E05DA2">
            <w:pPr>
              <w:spacing w:line="360" w:lineRule="auto"/>
              <w:jc w:val="center"/>
              <w:outlineLvl w:val="9"/>
              <w:rPr>
                <w:rFonts w:hint="eastAsia" w:ascii="宋体" w:hAnsi="宋体" w:cs="宋体"/>
                <w:color w:val="auto"/>
                <w:sz w:val="24"/>
              </w:rPr>
            </w:pPr>
          </w:p>
        </w:tc>
      </w:tr>
      <w:tr w14:paraId="1DE4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144AC8BD">
            <w:pPr>
              <w:spacing w:line="360" w:lineRule="auto"/>
              <w:jc w:val="center"/>
              <w:outlineLvl w:val="9"/>
              <w:rPr>
                <w:rFonts w:hint="eastAsia" w:ascii="宋体" w:hAnsi="宋体" w:cs="宋体"/>
                <w:color w:val="auto"/>
                <w:sz w:val="24"/>
              </w:rPr>
            </w:pPr>
          </w:p>
        </w:tc>
        <w:tc>
          <w:tcPr>
            <w:tcW w:w="2931" w:type="dxa"/>
            <w:noWrap w:val="0"/>
            <w:vAlign w:val="top"/>
          </w:tcPr>
          <w:p w14:paraId="56318B08">
            <w:pPr>
              <w:spacing w:line="360" w:lineRule="auto"/>
              <w:jc w:val="center"/>
              <w:outlineLvl w:val="9"/>
              <w:rPr>
                <w:rFonts w:hint="eastAsia" w:ascii="宋体" w:hAnsi="宋体" w:cs="宋体"/>
                <w:color w:val="auto"/>
                <w:sz w:val="24"/>
              </w:rPr>
            </w:pPr>
          </w:p>
        </w:tc>
        <w:tc>
          <w:tcPr>
            <w:tcW w:w="3231" w:type="dxa"/>
            <w:noWrap w:val="0"/>
            <w:vAlign w:val="top"/>
          </w:tcPr>
          <w:p w14:paraId="49D22AC4">
            <w:pPr>
              <w:spacing w:line="360" w:lineRule="auto"/>
              <w:jc w:val="center"/>
              <w:outlineLvl w:val="9"/>
              <w:rPr>
                <w:rFonts w:hint="eastAsia" w:ascii="宋体" w:hAnsi="宋体" w:cs="宋体"/>
                <w:color w:val="auto"/>
                <w:sz w:val="24"/>
              </w:rPr>
            </w:pPr>
          </w:p>
        </w:tc>
        <w:tc>
          <w:tcPr>
            <w:tcW w:w="1202" w:type="dxa"/>
            <w:noWrap w:val="0"/>
            <w:vAlign w:val="top"/>
          </w:tcPr>
          <w:p w14:paraId="009546FE">
            <w:pPr>
              <w:spacing w:line="360" w:lineRule="auto"/>
              <w:jc w:val="center"/>
              <w:outlineLvl w:val="9"/>
              <w:rPr>
                <w:rFonts w:hint="eastAsia" w:ascii="宋体" w:hAnsi="宋体" w:cs="宋体"/>
                <w:color w:val="auto"/>
                <w:sz w:val="24"/>
              </w:rPr>
            </w:pPr>
          </w:p>
        </w:tc>
        <w:tc>
          <w:tcPr>
            <w:tcW w:w="1350" w:type="dxa"/>
            <w:noWrap w:val="0"/>
            <w:vAlign w:val="top"/>
          </w:tcPr>
          <w:p w14:paraId="1F7C83B8">
            <w:pPr>
              <w:spacing w:line="360" w:lineRule="auto"/>
              <w:jc w:val="center"/>
              <w:outlineLvl w:val="9"/>
              <w:rPr>
                <w:rFonts w:hint="eastAsia" w:ascii="宋体" w:hAnsi="宋体" w:cs="宋体"/>
                <w:color w:val="auto"/>
                <w:sz w:val="24"/>
              </w:rPr>
            </w:pPr>
          </w:p>
        </w:tc>
      </w:tr>
      <w:tr w14:paraId="21DD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23AEAFFB">
            <w:pPr>
              <w:spacing w:line="360" w:lineRule="auto"/>
              <w:jc w:val="center"/>
              <w:outlineLvl w:val="9"/>
              <w:rPr>
                <w:rFonts w:hint="eastAsia" w:ascii="宋体" w:hAnsi="宋体" w:cs="宋体"/>
                <w:color w:val="auto"/>
                <w:sz w:val="24"/>
              </w:rPr>
            </w:pPr>
          </w:p>
        </w:tc>
        <w:tc>
          <w:tcPr>
            <w:tcW w:w="2931" w:type="dxa"/>
            <w:noWrap w:val="0"/>
            <w:vAlign w:val="top"/>
          </w:tcPr>
          <w:p w14:paraId="172AEFAE">
            <w:pPr>
              <w:spacing w:line="360" w:lineRule="auto"/>
              <w:jc w:val="center"/>
              <w:outlineLvl w:val="9"/>
              <w:rPr>
                <w:rFonts w:hint="eastAsia" w:ascii="宋体" w:hAnsi="宋体" w:cs="宋体"/>
                <w:color w:val="auto"/>
                <w:sz w:val="24"/>
              </w:rPr>
            </w:pPr>
          </w:p>
        </w:tc>
        <w:tc>
          <w:tcPr>
            <w:tcW w:w="3231" w:type="dxa"/>
            <w:noWrap w:val="0"/>
            <w:vAlign w:val="top"/>
          </w:tcPr>
          <w:p w14:paraId="66658252">
            <w:pPr>
              <w:spacing w:line="360" w:lineRule="auto"/>
              <w:jc w:val="center"/>
              <w:outlineLvl w:val="9"/>
              <w:rPr>
                <w:rFonts w:hint="eastAsia" w:ascii="宋体" w:hAnsi="宋体" w:cs="宋体"/>
                <w:color w:val="auto"/>
                <w:sz w:val="24"/>
              </w:rPr>
            </w:pPr>
          </w:p>
        </w:tc>
        <w:tc>
          <w:tcPr>
            <w:tcW w:w="1202" w:type="dxa"/>
            <w:noWrap w:val="0"/>
            <w:vAlign w:val="top"/>
          </w:tcPr>
          <w:p w14:paraId="0ADF70C1">
            <w:pPr>
              <w:spacing w:line="360" w:lineRule="auto"/>
              <w:jc w:val="center"/>
              <w:outlineLvl w:val="9"/>
              <w:rPr>
                <w:rFonts w:hint="eastAsia" w:ascii="宋体" w:hAnsi="宋体" w:cs="宋体"/>
                <w:color w:val="auto"/>
                <w:sz w:val="24"/>
              </w:rPr>
            </w:pPr>
          </w:p>
        </w:tc>
        <w:tc>
          <w:tcPr>
            <w:tcW w:w="1350" w:type="dxa"/>
            <w:noWrap w:val="0"/>
            <w:vAlign w:val="top"/>
          </w:tcPr>
          <w:p w14:paraId="23788CF4">
            <w:pPr>
              <w:spacing w:line="360" w:lineRule="auto"/>
              <w:jc w:val="center"/>
              <w:outlineLvl w:val="9"/>
              <w:rPr>
                <w:rFonts w:hint="eastAsia" w:ascii="宋体" w:hAnsi="宋体" w:cs="宋体"/>
                <w:color w:val="auto"/>
                <w:sz w:val="24"/>
              </w:rPr>
            </w:pPr>
          </w:p>
        </w:tc>
      </w:tr>
      <w:tr w14:paraId="3A69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51D89DAA">
            <w:pPr>
              <w:spacing w:line="360" w:lineRule="auto"/>
              <w:jc w:val="center"/>
              <w:outlineLvl w:val="9"/>
              <w:rPr>
                <w:rFonts w:hint="eastAsia" w:ascii="宋体" w:hAnsi="宋体" w:cs="宋体"/>
                <w:color w:val="auto"/>
                <w:sz w:val="24"/>
              </w:rPr>
            </w:pPr>
          </w:p>
        </w:tc>
        <w:tc>
          <w:tcPr>
            <w:tcW w:w="2931" w:type="dxa"/>
            <w:noWrap w:val="0"/>
            <w:vAlign w:val="top"/>
          </w:tcPr>
          <w:p w14:paraId="16C16683">
            <w:pPr>
              <w:spacing w:line="360" w:lineRule="auto"/>
              <w:jc w:val="center"/>
              <w:outlineLvl w:val="9"/>
              <w:rPr>
                <w:rFonts w:hint="eastAsia" w:ascii="宋体" w:hAnsi="宋体" w:cs="宋体"/>
                <w:color w:val="auto"/>
                <w:sz w:val="24"/>
              </w:rPr>
            </w:pPr>
          </w:p>
        </w:tc>
        <w:tc>
          <w:tcPr>
            <w:tcW w:w="3231" w:type="dxa"/>
            <w:noWrap w:val="0"/>
            <w:vAlign w:val="top"/>
          </w:tcPr>
          <w:p w14:paraId="655FCBBF">
            <w:pPr>
              <w:spacing w:line="360" w:lineRule="auto"/>
              <w:jc w:val="center"/>
              <w:outlineLvl w:val="9"/>
              <w:rPr>
                <w:rFonts w:hint="eastAsia" w:ascii="宋体" w:hAnsi="宋体" w:cs="宋体"/>
                <w:color w:val="auto"/>
                <w:sz w:val="24"/>
              </w:rPr>
            </w:pPr>
          </w:p>
        </w:tc>
        <w:tc>
          <w:tcPr>
            <w:tcW w:w="1202" w:type="dxa"/>
            <w:noWrap w:val="0"/>
            <w:vAlign w:val="top"/>
          </w:tcPr>
          <w:p w14:paraId="0B9685C0">
            <w:pPr>
              <w:spacing w:line="360" w:lineRule="auto"/>
              <w:jc w:val="center"/>
              <w:outlineLvl w:val="9"/>
              <w:rPr>
                <w:rFonts w:hint="eastAsia" w:ascii="宋体" w:hAnsi="宋体" w:cs="宋体"/>
                <w:color w:val="auto"/>
                <w:sz w:val="24"/>
              </w:rPr>
            </w:pPr>
          </w:p>
        </w:tc>
        <w:tc>
          <w:tcPr>
            <w:tcW w:w="1350" w:type="dxa"/>
            <w:noWrap w:val="0"/>
            <w:vAlign w:val="top"/>
          </w:tcPr>
          <w:p w14:paraId="2A3D601B">
            <w:pPr>
              <w:spacing w:line="360" w:lineRule="auto"/>
              <w:jc w:val="center"/>
              <w:outlineLvl w:val="9"/>
              <w:rPr>
                <w:rFonts w:hint="eastAsia" w:ascii="宋体" w:hAnsi="宋体" w:cs="宋体"/>
                <w:color w:val="auto"/>
                <w:sz w:val="24"/>
              </w:rPr>
            </w:pPr>
          </w:p>
        </w:tc>
      </w:tr>
      <w:tr w14:paraId="0F64E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751" w:type="dxa"/>
            <w:noWrap w:val="0"/>
            <w:vAlign w:val="top"/>
          </w:tcPr>
          <w:p w14:paraId="672EBC7D">
            <w:pPr>
              <w:spacing w:line="360" w:lineRule="auto"/>
              <w:jc w:val="center"/>
              <w:outlineLvl w:val="9"/>
              <w:rPr>
                <w:rFonts w:hint="eastAsia" w:ascii="宋体" w:hAnsi="宋体" w:cs="宋体"/>
                <w:color w:val="auto"/>
                <w:sz w:val="24"/>
              </w:rPr>
            </w:pPr>
          </w:p>
        </w:tc>
        <w:tc>
          <w:tcPr>
            <w:tcW w:w="2931" w:type="dxa"/>
            <w:noWrap w:val="0"/>
            <w:vAlign w:val="top"/>
          </w:tcPr>
          <w:p w14:paraId="054FFB58">
            <w:pPr>
              <w:spacing w:line="360" w:lineRule="auto"/>
              <w:jc w:val="center"/>
              <w:outlineLvl w:val="9"/>
              <w:rPr>
                <w:rFonts w:hint="eastAsia" w:ascii="宋体" w:hAnsi="宋体" w:cs="宋体"/>
                <w:color w:val="auto"/>
                <w:sz w:val="24"/>
              </w:rPr>
            </w:pPr>
          </w:p>
        </w:tc>
        <w:tc>
          <w:tcPr>
            <w:tcW w:w="3231" w:type="dxa"/>
            <w:noWrap w:val="0"/>
            <w:vAlign w:val="top"/>
          </w:tcPr>
          <w:p w14:paraId="22BF4BD9">
            <w:pPr>
              <w:spacing w:line="360" w:lineRule="auto"/>
              <w:jc w:val="center"/>
              <w:outlineLvl w:val="9"/>
              <w:rPr>
                <w:rFonts w:hint="eastAsia" w:ascii="宋体" w:hAnsi="宋体" w:cs="宋体"/>
                <w:color w:val="auto"/>
                <w:sz w:val="24"/>
              </w:rPr>
            </w:pPr>
          </w:p>
        </w:tc>
        <w:tc>
          <w:tcPr>
            <w:tcW w:w="1202" w:type="dxa"/>
            <w:noWrap w:val="0"/>
            <w:vAlign w:val="top"/>
          </w:tcPr>
          <w:p w14:paraId="161A317B">
            <w:pPr>
              <w:spacing w:line="360" w:lineRule="auto"/>
              <w:jc w:val="center"/>
              <w:outlineLvl w:val="9"/>
              <w:rPr>
                <w:rFonts w:hint="eastAsia" w:ascii="宋体" w:hAnsi="宋体" w:cs="宋体"/>
                <w:color w:val="auto"/>
                <w:sz w:val="24"/>
              </w:rPr>
            </w:pPr>
          </w:p>
        </w:tc>
        <w:tc>
          <w:tcPr>
            <w:tcW w:w="1350" w:type="dxa"/>
            <w:noWrap w:val="0"/>
            <w:vAlign w:val="top"/>
          </w:tcPr>
          <w:p w14:paraId="241DA53E">
            <w:pPr>
              <w:spacing w:line="360" w:lineRule="auto"/>
              <w:jc w:val="center"/>
              <w:outlineLvl w:val="9"/>
              <w:rPr>
                <w:rFonts w:hint="eastAsia" w:ascii="宋体" w:hAnsi="宋体" w:cs="宋体"/>
                <w:color w:val="auto"/>
                <w:sz w:val="24"/>
              </w:rPr>
            </w:pPr>
          </w:p>
        </w:tc>
      </w:tr>
    </w:tbl>
    <w:p w14:paraId="701E1D0A">
      <w:pPr>
        <w:spacing w:line="360" w:lineRule="auto"/>
        <w:ind w:right="-161"/>
        <w:outlineLvl w:val="9"/>
        <w:rPr>
          <w:rFonts w:hint="eastAsia" w:ascii="宋体" w:hAnsi="宋体" w:cs="宋体"/>
          <w:color w:val="auto"/>
          <w:sz w:val="24"/>
        </w:rPr>
      </w:pPr>
      <w:r>
        <w:rPr>
          <w:rFonts w:hint="eastAsia" w:ascii="宋体" w:hAnsi="宋体" w:cs="宋体"/>
          <w:color w:val="auto"/>
          <w:sz w:val="24"/>
        </w:rPr>
        <w:t>说明：</w:t>
      </w:r>
    </w:p>
    <w:p w14:paraId="5A2117B1">
      <w:pPr>
        <w:spacing w:line="360" w:lineRule="auto"/>
        <w:ind w:right="-161" w:firstLine="480" w:firstLineChars="200"/>
        <w:outlineLvl w:val="9"/>
        <w:rPr>
          <w:rFonts w:ascii="宋体" w:hAnsi="宋体" w:cs="宋体"/>
          <w:color w:val="auto"/>
          <w:sz w:val="24"/>
        </w:rPr>
      </w:pPr>
      <w:r>
        <w:rPr>
          <w:rFonts w:hint="eastAsia" w:ascii="宋体" w:hAnsi="宋体" w:cs="宋体"/>
          <w:color w:val="auto"/>
          <w:sz w:val="24"/>
        </w:rPr>
        <w:t>1、竞争性磋商响应文件根据磋商文件的商务要求</w:t>
      </w:r>
      <w:r>
        <w:rPr>
          <w:rFonts w:hint="eastAsia" w:ascii="宋体" w:hAnsi="宋体" w:cs="宋体"/>
          <w:color w:val="auto"/>
          <w:sz w:val="24"/>
          <w:szCs w:val="22"/>
        </w:rPr>
        <w:t>如</w:t>
      </w:r>
      <w:r>
        <w:rPr>
          <w:rFonts w:hint="eastAsia" w:ascii="宋体" w:hAnsi="宋体" w:cs="宋体"/>
          <w:color w:val="auto"/>
          <w:sz w:val="24"/>
        </w:rPr>
        <w:t>实填写。</w:t>
      </w:r>
    </w:p>
    <w:p w14:paraId="45BE7D2A">
      <w:pPr>
        <w:spacing w:line="360" w:lineRule="auto"/>
        <w:ind w:right="-161" w:firstLine="480" w:firstLineChars="200"/>
        <w:outlineLvl w:val="9"/>
        <w:rPr>
          <w:rFonts w:ascii="宋体" w:hAnsi="宋体" w:cs="宋体"/>
          <w:color w:val="auto"/>
          <w:sz w:val="24"/>
        </w:rPr>
      </w:pPr>
      <w:r>
        <w:rPr>
          <w:rFonts w:hint="eastAsia" w:ascii="宋体" w:hAnsi="宋体" w:cs="宋体"/>
          <w:color w:val="auto"/>
          <w:sz w:val="24"/>
        </w:rPr>
        <w:t>2、偏离情况填写：正偏离、无偏离、负偏离。</w:t>
      </w:r>
    </w:p>
    <w:p w14:paraId="4BA4A821">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3、响应说明填写：优于、相同、低于并对偏离情况做出详细的说明。</w:t>
      </w:r>
    </w:p>
    <w:p w14:paraId="3DB975CB">
      <w:pPr>
        <w:spacing w:line="360" w:lineRule="auto"/>
        <w:ind w:right="-161" w:firstLine="2640" w:firstLineChars="1100"/>
        <w:outlineLvl w:val="9"/>
        <w:rPr>
          <w:rFonts w:hint="eastAsia" w:ascii="宋体" w:hAnsi="宋体" w:cs="宋体"/>
          <w:color w:val="auto"/>
          <w:sz w:val="24"/>
          <w:szCs w:val="24"/>
        </w:rPr>
      </w:pPr>
    </w:p>
    <w:p w14:paraId="1D9B21F0">
      <w:pPr>
        <w:spacing w:line="360" w:lineRule="auto"/>
        <w:ind w:right="-161"/>
        <w:jc w:val="right"/>
        <w:outlineLvl w:val="9"/>
        <w:rPr>
          <w:rFonts w:hint="eastAsia" w:ascii="宋体" w:hAnsi="宋体" w:cs="宋体"/>
          <w:color w:val="auto"/>
          <w:sz w:val="24"/>
          <w:szCs w:val="24"/>
          <w:u w:val="single"/>
        </w:rPr>
      </w:pPr>
      <w:r>
        <w:rPr>
          <w:rFonts w:hint="eastAsia" w:ascii="宋体" w:hAnsi="宋体" w:cs="宋体"/>
          <w:color w:val="auto"/>
          <w:sz w:val="24"/>
          <w:szCs w:val="24"/>
        </w:rPr>
        <w:t xml:space="preserve">   法人代表或被授权代表：</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（盖章或签字）</w:t>
      </w:r>
    </w:p>
    <w:p w14:paraId="59785B5F">
      <w:pPr>
        <w:widowControl/>
        <w:spacing w:line="360" w:lineRule="auto"/>
        <w:jc w:val="center"/>
        <w:outlineLvl w:val="9"/>
        <w:rPr>
          <w:rFonts w:hint="eastAsia" w:ascii="宋体" w:hAnsi="宋体" w:cs="宋体"/>
          <w:color w:val="auto"/>
          <w:sz w:val="24"/>
          <w:szCs w:val="24"/>
          <w:u w:val="single"/>
        </w:rPr>
      </w:pPr>
      <w:r>
        <w:rPr>
          <w:rFonts w:hint="eastAsia" w:ascii="宋体" w:hAnsi="宋体" w:cs="宋体"/>
          <w:color w:val="auto"/>
          <w:sz w:val="24"/>
          <w:szCs w:val="24"/>
        </w:rPr>
        <w:t xml:space="preserve">            投   标   人  ：</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（盖单位章） </w:t>
      </w:r>
    </w:p>
    <w:p w14:paraId="326BC28F">
      <w:pPr>
        <w:spacing w:line="360" w:lineRule="auto"/>
        <w:ind w:firstLine="2160" w:firstLineChars="900"/>
        <w:outlineLvl w:val="9"/>
        <w:rPr>
          <w:rFonts w:hint="eastAsia" w:ascii="宋体" w:hAnsi="宋体" w:cs="宋体"/>
          <w:b/>
          <w:color w:val="auto"/>
          <w:sz w:val="32"/>
          <w:szCs w:val="22"/>
        </w:r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p>
    <w:p w14:paraId="75625287">
      <w:pPr>
        <w:spacing w:line="360" w:lineRule="auto"/>
        <w:jc w:val="center"/>
        <w:outlineLvl w:val="9"/>
        <w:rPr>
          <w:rFonts w:hint="eastAsia" w:ascii="宋体" w:hAnsi="宋体" w:eastAsia="宋体" w:cs="宋体"/>
          <w:b/>
          <w:color w:val="auto"/>
          <w:sz w:val="32"/>
          <w:szCs w:val="32"/>
          <w:lang w:eastAsia="zh-CN"/>
        </w:rPr>
        <w:sectPr>
          <w:pgSz w:w="11906" w:h="16838"/>
          <w:pgMar w:top="1417" w:right="1669" w:bottom="1361" w:left="1417" w:header="851" w:footer="992" w:gutter="0"/>
          <w:pgNumType w:fmt="decimal"/>
          <w:cols w:space="720" w:num="1"/>
          <w:docGrid w:linePitch="312" w:charSpace="0"/>
        </w:sectPr>
      </w:pPr>
      <w:bookmarkStart w:id="363" w:name="_Toc29582"/>
      <w:bookmarkStart w:id="364" w:name="_Toc18580"/>
      <w:bookmarkStart w:id="365" w:name="_Toc25773"/>
      <w:bookmarkStart w:id="366" w:name="_Toc6574"/>
      <w:bookmarkStart w:id="367" w:name="_Toc14309"/>
      <w:bookmarkStart w:id="368" w:name="_Toc20312"/>
      <w:bookmarkStart w:id="369" w:name="_Toc10877"/>
      <w:bookmarkStart w:id="370" w:name="_Toc16651"/>
      <w:bookmarkStart w:id="371" w:name="_Toc1722"/>
      <w:bookmarkStart w:id="372" w:name="_Toc16973"/>
    </w:p>
    <w:p w14:paraId="2DF1A030">
      <w:pPr>
        <w:spacing w:line="360" w:lineRule="auto"/>
        <w:jc w:val="center"/>
        <w:outlineLvl w:val="1"/>
        <w:rPr>
          <w:rFonts w:hint="eastAsia"/>
          <w:b/>
          <w:bCs/>
          <w:color w:val="auto"/>
          <w:sz w:val="36"/>
          <w:szCs w:val="16"/>
        </w:rPr>
      </w:pPr>
      <w:bookmarkStart w:id="373" w:name="_Toc9935"/>
      <w:bookmarkStart w:id="374" w:name="_Toc5757"/>
      <w:bookmarkStart w:id="375" w:name="_Toc28299"/>
      <w:bookmarkStart w:id="376" w:name="_Toc22784"/>
      <w:bookmarkStart w:id="377" w:name="_Toc5129"/>
      <w:bookmarkStart w:id="378" w:name="_Toc21191"/>
      <w:bookmarkStart w:id="379" w:name="_Toc23949"/>
      <w:r>
        <w:rPr>
          <w:rFonts w:hint="eastAsia"/>
          <w:b/>
          <w:bCs/>
          <w:color w:val="auto"/>
          <w:sz w:val="36"/>
          <w:szCs w:val="16"/>
          <w:lang w:val="en-US" w:eastAsia="zh-CN"/>
        </w:rPr>
        <w:t>八</w:t>
      </w:r>
      <w:r>
        <w:rPr>
          <w:rFonts w:hint="eastAsia"/>
          <w:b/>
          <w:bCs/>
          <w:color w:val="auto"/>
          <w:sz w:val="36"/>
          <w:szCs w:val="16"/>
        </w:rPr>
        <w:t>、法定代表人证明书及法定代表人授权书</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BB4FA1F">
      <w:pPr>
        <w:pStyle w:val="11"/>
        <w:spacing w:line="360" w:lineRule="auto"/>
        <w:ind w:left="372" w:leftChars="177"/>
        <w:jc w:val="center"/>
        <w:outlineLvl w:val="9"/>
        <w:rPr>
          <w:rFonts w:hint="eastAsia" w:ascii="宋体" w:hAnsi="宋体" w:cs="宋体"/>
          <w:b/>
          <w:bCs/>
          <w:color w:val="auto"/>
          <w:kern w:val="0"/>
          <w:sz w:val="36"/>
          <w:szCs w:val="36"/>
        </w:rPr>
      </w:pPr>
      <w:r>
        <w:rPr>
          <w:rFonts w:hint="eastAsia"/>
          <w:b/>
          <w:bCs/>
          <w:color w:val="auto"/>
          <w:sz w:val="36"/>
          <w:szCs w:val="36"/>
        </w:rPr>
        <w:t>（一）</w:t>
      </w:r>
      <w:r>
        <w:rPr>
          <w:rFonts w:hint="eastAsia" w:ascii="宋体" w:hAnsi="宋体" w:cs="宋体"/>
          <w:b/>
          <w:bCs/>
          <w:color w:val="auto"/>
          <w:sz w:val="36"/>
          <w:szCs w:val="36"/>
        </w:rPr>
        <w:t>法定代表人证明书</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67"/>
        <w:gridCol w:w="2551"/>
        <w:gridCol w:w="2346"/>
        <w:gridCol w:w="2328"/>
      </w:tblGrid>
      <w:tr w14:paraId="134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900" w:type="dxa"/>
            <w:gridSpan w:val="5"/>
            <w:noWrap w:val="0"/>
            <w:vAlign w:val="center"/>
          </w:tcPr>
          <w:p w14:paraId="534DE6DD">
            <w:pPr>
              <w:tabs>
                <w:tab w:val="left" w:pos="210"/>
              </w:tabs>
              <w:spacing w:line="320" w:lineRule="exact"/>
              <w:outlineLvl w:val="9"/>
              <w:rPr>
                <w:rFonts w:hint="eastAsia" w:ascii="宋体" w:hAnsi="宋体" w:eastAsia="宋体" w:cs="宋体"/>
                <w:color w:val="auto"/>
                <w:kern w:val="0"/>
                <w:sz w:val="24"/>
                <w:lang w:eastAsia="zh-CN"/>
              </w:rPr>
            </w:pPr>
            <w:r>
              <w:rPr>
                <w:rFonts w:hint="eastAsia" w:ascii="宋体" w:hAnsi="宋体" w:cs="宋体"/>
                <w:color w:val="auto"/>
                <w:kern w:val="0"/>
                <w:sz w:val="24"/>
              </w:rPr>
              <w:t>致：</w:t>
            </w:r>
            <w:r>
              <w:rPr>
                <w:rFonts w:hint="eastAsia" w:ascii="宋体" w:hAnsi="宋体" w:cs="宋体"/>
                <w:color w:val="auto"/>
                <w:kern w:val="0"/>
                <w:sz w:val="24"/>
                <w:lang w:eastAsia="zh-CN"/>
              </w:rPr>
              <w:t>陕西众信玖鼎项目管理有限责任公司</w:t>
            </w:r>
          </w:p>
        </w:tc>
      </w:tr>
      <w:tr w14:paraId="6FB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restart"/>
            <w:noWrap w:val="0"/>
            <w:vAlign w:val="center"/>
          </w:tcPr>
          <w:p w14:paraId="6DD53B29">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企</w:t>
            </w:r>
          </w:p>
          <w:p w14:paraId="4630B021">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业</w:t>
            </w:r>
          </w:p>
          <w:p w14:paraId="2D13C82E">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法</w:t>
            </w:r>
          </w:p>
          <w:p w14:paraId="78CAA613">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人</w:t>
            </w:r>
          </w:p>
        </w:tc>
        <w:tc>
          <w:tcPr>
            <w:tcW w:w="2067" w:type="dxa"/>
            <w:noWrap w:val="0"/>
            <w:vAlign w:val="center"/>
          </w:tcPr>
          <w:p w14:paraId="31B6EC04">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企业名称</w:t>
            </w:r>
          </w:p>
        </w:tc>
        <w:tc>
          <w:tcPr>
            <w:tcW w:w="7225" w:type="dxa"/>
            <w:gridSpan w:val="3"/>
            <w:noWrap w:val="0"/>
            <w:vAlign w:val="center"/>
          </w:tcPr>
          <w:p w14:paraId="39B2E992">
            <w:pPr>
              <w:tabs>
                <w:tab w:val="left" w:pos="210"/>
              </w:tabs>
              <w:spacing w:line="320" w:lineRule="exact"/>
              <w:jc w:val="center"/>
              <w:outlineLvl w:val="9"/>
              <w:rPr>
                <w:rFonts w:hint="eastAsia" w:ascii="宋体" w:hAnsi="宋体" w:cs="宋体"/>
                <w:color w:val="auto"/>
                <w:kern w:val="0"/>
                <w:sz w:val="24"/>
              </w:rPr>
            </w:pPr>
          </w:p>
        </w:tc>
      </w:tr>
      <w:tr w14:paraId="45B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continue"/>
            <w:noWrap w:val="0"/>
            <w:vAlign w:val="center"/>
          </w:tcPr>
          <w:p w14:paraId="5D11C953">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2D2940F4">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法定地址</w:t>
            </w:r>
          </w:p>
        </w:tc>
        <w:tc>
          <w:tcPr>
            <w:tcW w:w="7225" w:type="dxa"/>
            <w:gridSpan w:val="3"/>
            <w:noWrap w:val="0"/>
            <w:vAlign w:val="center"/>
          </w:tcPr>
          <w:p w14:paraId="72D8E290">
            <w:pPr>
              <w:tabs>
                <w:tab w:val="left" w:pos="210"/>
              </w:tabs>
              <w:spacing w:line="320" w:lineRule="exact"/>
              <w:jc w:val="center"/>
              <w:outlineLvl w:val="9"/>
              <w:rPr>
                <w:rFonts w:hint="eastAsia" w:ascii="宋体" w:hAnsi="宋体" w:cs="宋体"/>
                <w:color w:val="auto"/>
                <w:kern w:val="0"/>
                <w:sz w:val="24"/>
              </w:rPr>
            </w:pPr>
          </w:p>
        </w:tc>
      </w:tr>
      <w:tr w14:paraId="114F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continue"/>
            <w:noWrap w:val="0"/>
            <w:vAlign w:val="center"/>
          </w:tcPr>
          <w:p w14:paraId="3AF6BE89">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0AD9835A">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邮政编码</w:t>
            </w:r>
          </w:p>
        </w:tc>
        <w:tc>
          <w:tcPr>
            <w:tcW w:w="7225" w:type="dxa"/>
            <w:gridSpan w:val="3"/>
            <w:noWrap w:val="0"/>
            <w:vAlign w:val="center"/>
          </w:tcPr>
          <w:p w14:paraId="3F80EBD2">
            <w:pPr>
              <w:tabs>
                <w:tab w:val="left" w:pos="210"/>
              </w:tabs>
              <w:spacing w:line="320" w:lineRule="exact"/>
              <w:jc w:val="center"/>
              <w:outlineLvl w:val="9"/>
              <w:rPr>
                <w:rFonts w:hint="eastAsia" w:ascii="宋体" w:hAnsi="宋体" w:cs="宋体"/>
                <w:color w:val="auto"/>
                <w:kern w:val="0"/>
                <w:sz w:val="24"/>
              </w:rPr>
            </w:pPr>
          </w:p>
        </w:tc>
      </w:tr>
      <w:tr w14:paraId="217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continue"/>
            <w:noWrap w:val="0"/>
            <w:vAlign w:val="center"/>
          </w:tcPr>
          <w:p w14:paraId="2893DFF5">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036A1033">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工商登记机关</w:t>
            </w:r>
          </w:p>
        </w:tc>
        <w:tc>
          <w:tcPr>
            <w:tcW w:w="7225" w:type="dxa"/>
            <w:gridSpan w:val="3"/>
            <w:noWrap w:val="0"/>
            <w:vAlign w:val="center"/>
          </w:tcPr>
          <w:p w14:paraId="22D07814">
            <w:pPr>
              <w:tabs>
                <w:tab w:val="left" w:pos="210"/>
              </w:tabs>
              <w:spacing w:line="320" w:lineRule="exact"/>
              <w:jc w:val="center"/>
              <w:outlineLvl w:val="9"/>
              <w:rPr>
                <w:rFonts w:hint="eastAsia" w:ascii="宋体" w:hAnsi="宋体" w:cs="宋体"/>
                <w:color w:val="auto"/>
                <w:kern w:val="0"/>
                <w:sz w:val="24"/>
              </w:rPr>
            </w:pPr>
          </w:p>
        </w:tc>
      </w:tr>
      <w:tr w14:paraId="646A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continue"/>
            <w:noWrap w:val="0"/>
            <w:vAlign w:val="center"/>
          </w:tcPr>
          <w:p w14:paraId="3E917202">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5633D48E">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机构代码证号</w:t>
            </w:r>
          </w:p>
        </w:tc>
        <w:tc>
          <w:tcPr>
            <w:tcW w:w="7225" w:type="dxa"/>
            <w:gridSpan w:val="3"/>
            <w:noWrap w:val="0"/>
            <w:vAlign w:val="center"/>
          </w:tcPr>
          <w:p w14:paraId="6DCE3BAD">
            <w:pPr>
              <w:tabs>
                <w:tab w:val="left" w:pos="210"/>
              </w:tabs>
              <w:spacing w:line="320" w:lineRule="exact"/>
              <w:jc w:val="center"/>
              <w:outlineLvl w:val="9"/>
              <w:rPr>
                <w:rFonts w:hint="eastAsia" w:ascii="宋体" w:hAnsi="宋体" w:cs="宋体"/>
                <w:color w:val="auto"/>
                <w:kern w:val="0"/>
                <w:sz w:val="24"/>
              </w:rPr>
            </w:pPr>
          </w:p>
        </w:tc>
      </w:tr>
      <w:tr w14:paraId="3BC1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75" w:type="dxa"/>
            <w:gridSpan w:val="2"/>
            <w:noWrap w:val="0"/>
            <w:vAlign w:val="center"/>
          </w:tcPr>
          <w:p w14:paraId="7486F35E">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sz w:val="24"/>
                <w:szCs w:val="24"/>
              </w:rPr>
              <w:t>项目名称</w:t>
            </w:r>
          </w:p>
        </w:tc>
        <w:tc>
          <w:tcPr>
            <w:tcW w:w="7225" w:type="dxa"/>
            <w:gridSpan w:val="3"/>
            <w:noWrap w:val="0"/>
            <w:vAlign w:val="center"/>
          </w:tcPr>
          <w:p w14:paraId="7A7078E7">
            <w:pPr>
              <w:tabs>
                <w:tab w:val="left" w:pos="210"/>
              </w:tabs>
              <w:spacing w:line="320" w:lineRule="exact"/>
              <w:jc w:val="center"/>
              <w:outlineLvl w:val="9"/>
              <w:rPr>
                <w:rFonts w:hint="eastAsia" w:ascii="宋体" w:hAnsi="宋体" w:cs="宋体"/>
                <w:color w:val="auto"/>
                <w:kern w:val="0"/>
                <w:sz w:val="24"/>
              </w:rPr>
            </w:pPr>
          </w:p>
        </w:tc>
      </w:tr>
      <w:tr w14:paraId="7187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75" w:type="dxa"/>
            <w:gridSpan w:val="2"/>
            <w:noWrap w:val="0"/>
            <w:vAlign w:val="center"/>
          </w:tcPr>
          <w:p w14:paraId="7E40030B">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sz w:val="24"/>
                <w:szCs w:val="24"/>
              </w:rPr>
              <w:t>项目编号</w:t>
            </w:r>
          </w:p>
        </w:tc>
        <w:tc>
          <w:tcPr>
            <w:tcW w:w="7225" w:type="dxa"/>
            <w:gridSpan w:val="3"/>
            <w:noWrap w:val="0"/>
            <w:vAlign w:val="center"/>
          </w:tcPr>
          <w:p w14:paraId="104B1914">
            <w:pPr>
              <w:tabs>
                <w:tab w:val="left" w:pos="210"/>
              </w:tabs>
              <w:spacing w:line="320" w:lineRule="exact"/>
              <w:jc w:val="center"/>
              <w:outlineLvl w:val="9"/>
              <w:rPr>
                <w:rFonts w:hint="eastAsia" w:ascii="宋体" w:hAnsi="宋体" w:cs="宋体"/>
                <w:color w:val="auto"/>
                <w:kern w:val="0"/>
                <w:sz w:val="24"/>
              </w:rPr>
            </w:pPr>
          </w:p>
        </w:tc>
      </w:tr>
      <w:tr w14:paraId="0121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restart"/>
            <w:noWrap w:val="0"/>
            <w:vAlign w:val="center"/>
          </w:tcPr>
          <w:p w14:paraId="26C2C8AB">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法定代表人</w:t>
            </w:r>
          </w:p>
        </w:tc>
        <w:tc>
          <w:tcPr>
            <w:tcW w:w="2067" w:type="dxa"/>
            <w:noWrap w:val="0"/>
            <w:vAlign w:val="center"/>
          </w:tcPr>
          <w:p w14:paraId="1EA5AC53">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姓名</w:t>
            </w:r>
          </w:p>
        </w:tc>
        <w:tc>
          <w:tcPr>
            <w:tcW w:w="2551" w:type="dxa"/>
            <w:noWrap w:val="0"/>
            <w:vAlign w:val="center"/>
          </w:tcPr>
          <w:p w14:paraId="581E9FA9">
            <w:pPr>
              <w:tabs>
                <w:tab w:val="left" w:pos="210"/>
              </w:tabs>
              <w:spacing w:line="320" w:lineRule="exact"/>
              <w:jc w:val="center"/>
              <w:outlineLvl w:val="9"/>
              <w:rPr>
                <w:rFonts w:hint="eastAsia" w:ascii="宋体" w:hAnsi="宋体" w:cs="宋体"/>
                <w:color w:val="auto"/>
                <w:kern w:val="0"/>
                <w:sz w:val="24"/>
              </w:rPr>
            </w:pPr>
          </w:p>
        </w:tc>
        <w:tc>
          <w:tcPr>
            <w:tcW w:w="2346" w:type="dxa"/>
            <w:noWrap w:val="0"/>
            <w:vAlign w:val="center"/>
          </w:tcPr>
          <w:p w14:paraId="7D7892CC">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性别</w:t>
            </w:r>
          </w:p>
        </w:tc>
        <w:tc>
          <w:tcPr>
            <w:tcW w:w="2328" w:type="dxa"/>
            <w:noWrap w:val="0"/>
            <w:vAlign w:val="center"/>
          </w:tcPr>
          <w:p w14:paraId="02AB06A0">
            <w:pPr>
              <w:tabs>
                <w:tab w:val="left" w:pos="210"/>
              </w:tabs>
              <w:spacing w:line="320" w:lineRule="exact"/>
              <w:jc w:val="center"/>
              <w:outlineLvl w:val="9"/>
              <w:rPr>
                <w:rFonts w:hint="eastAsia" w:ascii="宋体" w:hAnsi="宋体" w:cs="宋体"/>
                <w:color w:val="auto"/>
                <w:kern w:val="0"/>
                <w:sz w:val="24"/>
              </w:rPr>
            </w:pPr>
          </w:p>
        </w:tc>
      </w:tr>
      <w:tr w14:paraId="315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8" w:type="dxa"/>
            <w:vMerge w:val="continue"/>
            <w:noWrap w:val="0"/>
            <w:vAlign w:val="center"/>
          </w:tcPr>
          <w:p w14:paraId="28918226">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406D131E">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职务</w:t>
            </w:r>
          </w:p>
        </w:tc>
        <w:tc>
          <w:tcPr>
            <w:tcW w:w="2551" w:type="dxa"/>
            <w:noWrap w:val="0"/>
            <w:vAlign w:val="center"/>
          </w:tcPr>
          <w:p w14:paraId="005E46B6">
            <w:pPr>
              <w:tabs>
                <w:tab w:val="left" w:pos="210"/>
              </w:tabs>
              <w:spacing w:line="320" w:lineRule="exact"/>
              <w:jc w:val="center"/>
              <w:outlineLvl w:val="9"/>
              <w:rPr>
                <w:rFonts w:hint="eastAsia" w:ascii="宋体" w:hAnsi="宋体" w:cs="宋体"/>
                <w:color w:val="auto"/>
                <w:kern w:val="0"/>
                <w:sz w:val="24"/>
              </w:rPr>
            </w:pPr>
          </w:p>
        </w:tc>
        <w:tc>
          <w:tcPr>
            <w:tcW w:w="2346" w:type="dxa"/>
            <w:noWrap w:val="0"/>
            <w:vAlign w:val="center"/>
          </w:tcPr>
          <w:p w14:paraId="37489ED9">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联系电话</w:t>
            </w:r>
          </w:p>
        </w:tc>
        <w:tc>
          <w:tcPr>
            <w:tcW w:w="2328" w:type="dxa"/>
            <w:noWrap w:val="0"/>
            <w:vAlign w:val="center"/>
          </w:tcPr>
          <w:p w14:paraId="35028A4B">
            <w:pPr>
              <w:tabs>
                <w:tab w:val="left" w:pos="210"/>
              </w:tabs>
              <w:spacing w:line="320" w:lineRule="exact"/>
              <w:jc w:val="center"/>
              <w:outlineLvl w:val="9"/>
              <w:rPr>
                <w:rFonts w:hint="eastAsia" w:ascii="宋体" w:hAnsi="宋体" w:cs="宋体"/>
                <w:color w:val="auto"/>
                <w:kern w:val="0"/>
                <w:sz w:val="24"/>
              </w:rPr>
            </w:pPr>
          </w:p>
        </w:tc>
      </w:tr>
      <w:tr w14:paraId="5074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8" w:type="dxa"/>
            <w:vMerge w:val="continue"/>
            <w:noWrap w:val="0"/>
            <w:vAlign w:val="center"/>
          </w:tcPr>
          <w:p w14:paraId="2510CE1B">
            <w:pPr>
              <w:tabs>
                <w:tab w:val="left" w:pos="210"/>
              </w:tabs>
              <w:spacing w:line="320" w:lineRule="exact"/>
              <w:jc w:val="center"/>
              <w:outlineLvl w:val="9"/>
              <w:rPr>
                <w:rFonts w:hint="eastAsia" w:ascii="宋体" w:hAnsi="宋体" w:cs="宋体"/>
                <w:color w:val="auto"/>
                <w:kern w:val="0"/>
                <w:sz w:val="24"/>
              </w:rPr>
            </w:pPr>
          </w:p>
        </w:tc>
        <w:tc>
          <w:tcPr>
            <w:tcW w:w="2067" w:type="dxa"/>
            <w:noWrap w:val="0"/>
            <w:vAlign w:val="center"/>
          </w:tcPr>
          <w:p w14:paraId="789A0E5A">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传真</w:t>
            </w:r>
          </w:p>
        </w:tc>
        <w:tc>
          <w:tcPr>
            <w:tcW w:w="7225" w:type="dxa"/>
            <w:gridSpan w:val="3"/>
            <w:noWrap w:val="0"/>
            <w:vAlign w:val="center"/>
          </w:tcPr>
          <w:p w14:paraId="2AAB3B79">
            <w:pPr>
              <w:tabs>
                <w:tab w:val="left" w:pos="210"/>
              </w:tabs>
              <w:spacing w:line="320" w:lineRule="exact"/>
              <w:jc w:val="center"/>
              <w:outlineLvl w:val="9"/>
              <w:rPr>
                <w:rFonts w:hint="eastAsia" w:ascii="宋体" w:hAnsi="宋体" w:cs="宋体"/>
                <w:color w:val="auto"/>
                <w:kern w:val="0"/>
                <w:sz w:val="24"/>
              </w:rPr>
            </w:pPr>
          </w:p>
        </w:tc>
      </w:tr>
      <w:tr w14:paraId="367F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608" w:type="dxa"/>
            <w:vMerge w:val="restart"/>
            <w:noWrap w:val="0"/>
            <w:vAlign w:val="center"/>
          </w:tcPr>
          <w:p w14:paraId="07C48DB0">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法定代表人身份证复印件</w:t>
            </w:r>
          </w:p>
        </w:tc>
        <w:tc>
          <w:tcPr>
            <w:tcW w:w="4618" w:type="dxa"/>
            <w:gridSpan w:val="2"/>
            <w:vMerge w:val="restart"/>
            <w:noWrap w:val="0"/>
            <w:vAlign w:val="center"/>
          </w:tcPr>
          <w:p w14:paraId="58BAE336">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（粘贴处）</w:t>
            </w:r>
          </w:p>
        </w:tc>
        <w:tc>
          <w:tcPr>
            <w:tcW w:w="4674" w:type="dxa"/>
            <w:gridSpan w:val="2"/>
            <w:noWrap w:val="0"/>
            <w:vAlign w:val="center"/>
          </w:tcPr>
          <w:p w14:paraId="1D4A3A9F">
            <w:pPr>
              <w:tabs>
                <w:tab w:val="left" w:pos="210"/>
              </w:tabs>
              <w:spacing w:line="320" w:lineRule="exact"/>
              <w:jc w:val="center"/>
              <w:outlineLvl w:val="9"/>
              <w:rPr>
                <w:rFonts w:hint="eastAsia" w:ascii="宋体" w:hAnsi="宋体" w:eastAsia="宋体" w:cs="宋体"/>
                <w:color w:val="auto"/>
                <w:kern w:val="0"/>
                <w:sz w:val="24"/>
                <w:lang w:eastAsia="zh-CN"/>
              </w:rPr>
            </w:pPr>
            <w:r>
              <w:rPr>
                <w:rFonts w:hint="eastAsia" w:ascii="宋体" w:hAnsi="宋体" w:cs="Arial"/>
                <w:color w:val="auto"/>
                <w:kern w:val="0"/>
                <w:sz w:val="24"/>
              </w:rPr>
              <w:t>法定代表人签字</w:t>
            </w:r>
            <w:r>
              <w:rPr>
                <w:rFonts w:hint="eastAsia" w:ascii="宋体" w:hAnsi="宋体" w:cs="Arial"/>
                <w:color w:val="auto"/>
                <w:kern w:val="0"/>
                <w:sz w:val="24"/>
                <w:lang w:eastAsia="zh-CN"/>
              </w:rPr>
              <w:t>或盖章</w:t>
            </w:r>
          </w:p>
        </w:tc>
      </w:tr>
      <w:tr w14:paraId="5F48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jc w:val="center"/>
        </w:trPr>
        <w:tc>
          <w:tcPr>
            <w:tcW w:w="608" w:type="dxa"/>
            <w:vMerge w:val="continue"/>
            <w:noWrap w:val="0"/>
            <w:vAlign w:val="center"/>
          </w:tcPr>
          <w:p w14:paraId="31B149DB">
            <w:pPr>
              <w:tabs>
                <w:tab w:val="left" w:pos="210"/>
              </w:tabs>
              <w:spacing w:line="320" w:lineRule="exact"/>
              <w:jc w:val="center"/>
              <w:outlineLvl w:val="9"/>
              <w:rPr>
                <w:rFonts w:hint="eastAsia" w:ascii="宋体" w:hAnsi="宋体" w:cs="宋体"/>
                <w:color w:val="auto"/>
                <w:kern w:val="0"/>
                <w:sz w:val="24"/>
              </w:rPr>
            </w:pPr>
          </w:p>
        </w:tc>
        <w:tc>
          <w:tcPr>
            <w:tcW w:w="4618" w:type="dxa"/>
            <w:gridSpan w:val="2"/>
            <w:vMerge w:val="continue"/>
            <w:noWrap w:val="0"/>
            <w:vAlign w:val="center"/>
          </w:tcPr>
          <w:p w14:paraId="7F86A43D">
            <w:pPr>
              <w:tabs>
                <w:tab w:val="left" w:pos="210"/>
              </w:tabs>
              <w:spacing w:line="320" w:lineRule="exact"/>
              <w:jc w:val="center"/>
              <w:outlineLvl w:val="9"/>
              <w:rPr>
                <w:rFonts w:hint="eastAsia" w:ascii="宋体" w:hAnsi="宋体" w:cs="宋体"/>
                <w:color w:val="auto"/>
                <w:kern w:val="0"/>
                <w:sz w:val="24"/>
              </w:rPr>
            </w:pPr>
          </w:p>
        </w:tc>
        <w:tc>
          <w:tcPr>
            <w:tcW w:w="4674" w:type="dxa"/>
            <w:gridSpan w:val="2"/>
            <w:noWrap w:val="0"/>
            <w:vAlign w:val="bottom"/>
          </w:tcPr>
          <w:p w14:paraId="7D8C03CE">
            <w:pPr>
              <w:tabs>
                <w:tab w:val="left" w:pos="210"/>
              </w:tabs>
              <w:spacing w:line="320" w:lineRule="exact"/>
              <w:jc w:val="center"/>
              <w:outlineLvl w:val="9"/>
              <w:rPr>
                <w:rFonts w:hint="eastAsia" w:ascii="宋体" w:hAnsi="宋体" w:cs="宋体"/>
                <w:color w:val="auto"/>
                <w:kern w:val="0"/>
                <w:sz w:val="24"/>
              </w:rPr>
            </w:pPr>
            <w:r>
              <w:rPr>
                <w:rFonts w:hint="eastAsia" w:ascii="宋体" w:hAnsi="宋体" w:cs="宋体"/>
                <w:color w:val="auto"/>
                <w:kern w:val="0"/>
                <w:sz w:val="24"/>
              </w:rPr>
              <w:t>（公章）</w:t>
            </w:r>
          </w:p>
          <w:p w14:paraId="5C4A1885">
            <w:pPr>
              <w:tabs>
                <w:tab w:val="left" w:pos="210"/>
              </w:tabs>
              <w:spacing w:line="320" w:lineRule="exact"/>
              <w:jc w:val="center"/>
              <w:outlineLvl w:val="9"/>
              <w:rPr>
                <w:rFonts w:hint="eastAsia" w:ascii="宋体" w:hAnsi="宋体" w:cs="宋体"/>
                <w:color w:val="auto"/>
                <w:kern w:val="0"/>
                <w:sz w:val="24"/>
              </w:rPr>
            </w:pPr>
          </w:p>
          <w:p w14:paraId="65C93050">
            <w:pPr>
              <w:tabs>
                <w:tab w:val="left" w:pos="210"/>
              </w:tabs>
              <w:spacing w:line="320" w:lineRule="exact"/>
              <w:jc w:val="center"/>
              <w:outlineLvl w:val="9"/>
              <w:rPr>
                <w:rFonts w:hint="eastAsia" w:ascii="宋体" w:hAnsi="宋体" w:cs="宋体"/>
                <w:color w:val="auto"/>
                <w:kern w:val="0"/>
                <w:sz w:val="24"/>
              </w:rPr>
            </w:pPr>
          </w:p>
          <w:p w14:paraId="0140EF5D">
            <w:pPr>
              <w:tabs>
                <w:tab w:val="left" w:pos="210"/>
              </w:tabs>
              <w:spacing w:line="320" w:lineRule="exact"/>
              <w:jc w:val="center"/>
              <w:outlineLvl w:val="9"/>
              <w:rPr>
                <w:rFonts w:hint="eastAsia" w:ascii="宋体" w:hAnsi="宋体" w:cs="宋体"/>
                <w:color w:val="auto"/>
                <w:kern w:val="0"/>
                <w:sz w:val="24"/>
              </w:rPr>
            </w:pPr>
          </w:p>
          <w:p w14:paraId="0104FC0B">
            <w:pPr>
              <w:tabs>
                <w:tab w:val="left" w:pos="210"/>
              </w:tabs>
              <w:spacing w:line="320" w:lineRule="exact"/>
              <w:jc w:val="right"/>
              <w:outlineLvl w:val="9"/>
              <w:rPr>
                <w:rFonts w:hint="eastAsia" w:ascii="宋体" w:hAnsi="宋体" w:cs="宋体"/>
                <w:color w:val="auto"/>
                <w:kern w:val="0"/>
                <w:sz w:val="24"/>
              </w:rPr>
            </w:pPr>
            <w:r>
              <w:rPr>
                <w:rFonts w:hint="eastAsia" w:ascii="宋体" w:hAnsi="宋体" w:cs="宋体"/>
                <w:color w:val="auto"/>
                <w:kern w:val="0"/>
                <w:sz w:val="24"/>
              </w:rPr>
              <w:t xml:space="preserve">年  月  日 </w:t>
            </w:r>
          </w:p>
        </w:tc>
      </w:tr>
    </w:tbl>
    <w:p w14:paraId="2006D5F4">
      <w:pPr>
        <w:tabs>
          <w:tab w:val="left" w:pos="329"/>
        </w:tabs>
        <w:jc w:val="center"/>
        <w:outlineLvl w:val="9"/>
        <w:rPr>
          <w:rFonts w:hint="eastAsia" w:ascii="宋体" w:hAnsi="宋体" w:cs="宋体"/>
          <w:b/>
          <w:color w:val="auto"/>
          <w:sz w:val="32"/>
          <w:szCs w:val="32"/>
        </w:rPr>
      </w:pPr>
    </w:p>
    <w:p w14:paraId="41298737">
      <w:pPr>
        <w:tabs>
          <w:tab w:val="left" w:pos="329"/>
        </w:tabs>
        <w:jc w:val="center"/>
        <w:outlineLvl w:val="9"/>
        <w:rPr>
          <w:rFonts w:hint="eastAsia" w:ascii="宋体" w:hAnsi="宋体" w:cs="宋体"/>
          <w:color w:val="auto"/>
        </w:rPr>
      </w:pPr>
      <w:r>
        <w:rPr>
          <w:rFonts w:hint="eastAsia" w:ascii="宋体" w:hAnsi="宋体" w:cs="宋体"/>
          <w:b/>
          <w:color w:val="auto"/>
          <w:sz w:val="32"/>
          <w:szCs w:val="32"/>
        </w:rPr>
        <w:t>（二）法定代表人授权书</w:t>
      </w:r>
    </w:p>
    <w:p w14:paraId="39829852">
      <w:pPr>
        <w:tabs>
          <w:tab w:val="left" w:pos="8820"/>
        </w:tabs>
        <w:spacing w:line="360" w:lineRule="auto"/>
        <w:ind w:firstLine="570"/>
        <w:outlineLvl w:val="9"/>
        <w:rPr>
          <w:rFonts w:hint="eastAsia" w:ascii="宋体" w:hAnsi="宋体" w:cs="宋体"/>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（法定代表人姓名）</w:t>
      </w:r>
      <w:r>
        <w:rPr>
          <w:rFonts w:hint="eastAsia" w:ascii="宋体" w:hAnsi="宋体" w:cs="宋体"/>
          <w:color w:val="auto"/>
          <w:sz w:val="24"/>
          <w:szCs w:val="24"/>
        </w:rPr>
        <w:t>系注册于</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（投标人地址）</w:t>
      </w:r>
      <w:r>
        <w:rPr>
          <w:rFonts w:hint="eastAsia" w:ascii="宋体" w:hAnsi="宋体" w:cs="宋体"/>
          <w:color w:val="auto"/>
          <w:sz w:val="24"/>
          <w:szCs w:val="24"/>
        </w:rPr>
        <w:t>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（投标人名称）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（被授权人的姓名、职务）</w:t>
      </w:r>
      <w:r>
        <w:rPr>
          <w:rFonts w:hint="eastAsia" w:ascii="宋体" w:hAnsi="宋体" w:cs="宋体"/>
          <w:color w:val="auto"/>
          <w:sz w:val="24"/>
          <w:szCs w:val="24"/>
        </w:rPr>
        <w:t>为我公司合法代理人，代表本公司参加</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（采购项目名称）</w:t>
      </w:r>
      <w:r>
        <w:rPr>
          <w:rFonts w:hint="eastAsia" w:ascii="宋体" w:hAnsi="宋体" w:cs="宋体"/>
          <w:color w:val="auto"/>
          <w:sz w:val="24"/>
          <w:szCs w:val="24"/>
        </w:rPr>
        <w:t>采购项目编号：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的投标活动。代理人在本次投标中所签署的一切文件和处理的一切有关事务，我公司均予承认。</w:t>
      </w:r>
    </w:p>
    <w:p w14:paraId="4685A70F">
      <w:pPr>
        <w:spacing w:line="360" w:lineRule="auto"/>
        <w:ind w:firstLine="570"/>
        <w:outlineLvl w:val="9"/>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日签字（盖章）生效，有效期自开标之日起</w:t>
      </w:r>
      <w:r>
        <w:rPr>
          <w:rFonts w:hint="eastAsia" w:ascii="宋体" w:hAnsi="宋体" w:cs="宋体"/>
          <w:color w:val="auto"/>
          <w:sz w:val="24"/>
          <w:szCs w:val="24"/>
          <w:u w:val="single"/>
        </w:rPr>
        <w:t xml:space="preserve"> </w:t>
      </w:r>
      <w:r>
        <w:rPr>
          <w:rFonts w:hint="eastAsia" w:ascii="宋体" w:hAnsi="宋体" w:cs="宋体"/>
          <w:color w:val="auto"/>
          <w:sz w:val="24"/>
          <w:szCs w:val="24"/>
        </w:rPr>
        <w:t>天；特此声明。</w:t>
      </w:r>
    </w:p>
    <w:tbl>
      <w:tblPr>
        <w:tblStyle w:val="26"/>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470"/>
        <w:gridCol w:w="4470"/>
      </w:tblGrid>
      <w:tr w14:paraId="39175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25" w:hRule="atLeast"/>
        </w:trPr>
        <w:tc>
          <w:tcPr>
            <w:tcW w:w="4470" w:type="dxa"/>
            <w:noWrap w:val="0"/>
            <w:vAlign w:val="center"/>
          </w:tcPr>
          <w:p w14:paraId="78D87EC2">
            <w:pPr>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法定代表人身份证复印件</w:t>
            </w:r>
          </w:p>
          <w:p w14:paraId="13457760">
            <w:pPr>
              <w:spacing w:line="360" w:lineRule="auto"/>
              <w:jc w:val="center"/>
              <w:outlineLvl w:val="9"/>
              <w:rPr>
                <w:rFonts w:hint="eastAsia" w:ascii="宋体" w:hAnsi="宋体" w:cs="宋体"/>
                <w:color w:val="auto"/>
                <w:sz w:val="24"/>
                <w:szCs w:val="24"/>
              </w:rPr>
            </w:pPr>
          </w:p>
        </w:tc>
        <w:tc>
          <w:tcPr>
            <w:tcW w:w="4470" w:type="dxa"/>
            <w:noWrap w:val="0"/>
            <w:vAlign w:val="center"/>
          </w:tcPr>
          <w:p w14:paraId="4E581098">
            <w:pPr>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授权代表身份证复印件</w:t>
            </w:r>
          </w:p>
          <w:p w14:paraId="3ED5447D">
            <w:pPr>
              <w:spacing w:line="360" w:lineRule="auto"/>
              <w:jc w:val="center"/>
              <w:outlineLvl w:val="9"/>
              <w:rPr>
                <w:rFonts w:hint="eastAsia" w:ascii="宋体" w:hAnsi="宋体" w:cs="宋体"/>
                <w:color w:val="auto"/>
                <w:sz w:val="24"/>
                <w:szCs w:val="24"/>
              </w:rPr>
            </w:pPr>
          </w:p>
        </w:tc>
      </w:tr>
      <w:tr w14:paraId="03FF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976" w:hRule="atLeast"/>
        </w:trPr>
        <w:tc>
          <w:tcPr>
            <w:tcW w:w="4470" w:type="dxa"/>
            <w:noWrap w:val="0"/>
            <w:vAlign w:val="center"/>
          </w:tcPr>
          <w:p w14:paraId="44266890">
            <w:pPr>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法定代表人身份证复印件</w:t>
            </w:r>
          </w:p>
          <w:p w14:paraId="34D48D3D">
            <w:pPr>
              <w:spacing w:line="360" w:lineRule="auto"/>
              <w:jc w:val="center"/>
              <w:outlineLvl w:val="9"/>
              <w:rPr>
                <w:rFonts w:hint="eastAsia" w:ascii="宋体" w:hAnsi="宋体" w:cs="宋体"/>
                <w:color w:val="auto"/>
                <w:sz w:val="24"/>
                <w:szCs w:val="24"/>
              </w:rPr>
            </w:pPr>
          </w:p>
        </w:tc>
        <w:tc>
          <w:tcPr>
            <w:tcW w:w="4470" w:type="dxa"/>
            <w:noWrap w:val="0"/>
            <w:vAlign w:val="center"/>
          </w:tcPr>
          <w:p w14:paraId="7B73FF72">
            <w:pPr>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授权代表身份证复印件</w:t>
            </w:r>
          </w:p>
          <w:p w14:paraId="661E9564">
            <w:pPr>
              <w:spacing w:line="360" w:lineRule="auto"/>
              <w:jc w:val="center"/>
              <w:outlineLvl w:val="9"/>
              <w:rPr>
                <w:rFonts w:hint="eastAsia" w:ascii="宋体" w:hAnsi="宋体" w:cs="宋体"/>
                <w:color w:val="auto"/>
                <w:sz w:val="24"/>
                <w:szCs w:val="24"/>
              </w:rPr>
            </w:pPr>
          </w:p>
        </w:tc>
      </w:tr>
    </w:tbl>
    <w:p w14:paraId="24053B20">
      <w:pPr>
        <w:spacing w:line="360" w:lineRule="auto"/>
        <w:ind w:firstLine="482" w:firstLineChars="200"/>
        <w:outlineLvl w:val="9"/>
        <w:rPr>
          <w:rFonts w:hint="eastAsia" w:ascii="宋体" w:hAnsi="宋体" w:cs="宋体"/>
          <w:b/>
          <w:bCs/>
          <w:color w:val="auto"/>
          <w:sz w:val="24"/>
          <w:szCs w:val="22"/>
        </w:rPr>
      </w:pPr>
      <w:r>
        <w:rPr>
          <w:rFonts w:hint="eastAsia" w:ascii="宋体" w:hAnsi="宋体" w:cs="宋体"/>
          <w:b/>
          <w:bCs/>
          <w:color w:val="auto"/>
          <w:sz w:val="24"/>
          <w:szCs w:val="24"/>
        </w:rPr>
        <w:t>注：此授权书的有效期应与投标文件有效期一致。身份证正反面复印件必须依次加盖单位鲜章。</w:t>
      </w:r>
    </w:p>
    <w:p w14:paraId="31C3BE5C">
      <w:pPr>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                       </w:t>
      </w:r>
    </w:p>
    <w:p w14:paraId="398DA396">
      <w:pPr>
        <w:spacing w:line="360" w:lineRule="auto"/>
        <w:ind w:firstLine="3600" w:firstLineChars="1500"/>
        <w:outlineLvl w:val="9"/>
        <w:rPr>
          <w:rFonts w:hint="eastAsia" w:ascii="宋体" w:hAnsi="宋体" w:cs="宋体"/>
          <w:color w:val="auto"/>
          <w:sz w:val="24"/>
          <w:szCs w:val="24"/>
        </w:rPr>
      </w:pPr>
      <w:r>
        <w:rPr>
          <w:rFonts w:hint="eastAsia" w:ascii="宋体" w:hAnsi="宋体" w:cs="宋体"/>
          <w:color w:val="auto"/>
          <w:sz w:val="24"/>
          <w:szCs w:val="24"/>
        </w:rPr>
        <w:t>投标人：</w:t>
      </w:r>
      <w:r>
        <w:rPr>
          <w:rFonts w:hint="eastAsia" w:ascii="宋体" w:hAnsi="宋体" w:cs="宋体"/>
          <w:color w:val="auto"/>
          <w:sz w:val="24"/>
          <w:szCs w:val="24"/>
          <w:u w:val="single"/>
        </w:rPr>
        <w:t xml:space="preserve">                           </w:t>
      </w:r>
      <w:r>
        <w:rPr>
          <w:rFonts w:hint="eastAsia" w:ascii="宋体" w:hAnsi="宋体" w:cs="宋体"/>
          <w:color w:val="auto"/>
          <w:sz w:val="24"/>
          <w:szCs w:val="24"/>
        </w:rPr>
        <w:t>（公章）</w:t>
      </w:r>
    </w:p>
    <w:p w14:paraId="03B3D2BE">
      <w:pPr>
        <w:spacing w:line="360" w:lineRule="auto"/>
        <w:ind w:left="3120" w:hanging="3120" w:hangingChars="1300"/>
        <w:outlineLvl w:val="9"/>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r>
        <w:rPr>
          <w:rFonts w:hint="eastAsia" w:ascii="宋体" w:hAnsi="宋体" w:cs="宋体"/>
          <w:color w:val="auto"/>
          <w:sz w:val="24"/>
          <w:szCs w:val="24"/>
          <w:lang w:eastAsia="zh-CN"/>
        </w:rPr>
        <w:t>或</w:t>
      </w:r>
      <w:r>
        <w:rPr>
          <w:rFonts w:hint="eastAsia" w:ascii="宋体" w:hAnsi="宋体" w:cs="宋体"/>
          <w:color w:val="auto"/>
          <w:sz w:val="24"/>
          <w:szCs w:val="24"/>
        </w:rPr>
        <w:t>盖章）</w:t>
      </w:r>
    </w:p>
    <w:p w14:paraId="01FCE84C">
      <w:pPr>
        <w:pStyle w:val="11"/>
        <w:ind w:firstLine="3360" w:firstLineChars="1400"/>
        <w:outlineLvl w:val="9"/>
        <w:rPr>
          <w:rFonts w:hint="eastAsia" w:eastAsia="宋体"/>
          <w:color w:val="auto"/>
          <w:lang w:eastAsia="zh-CN"/>
        </w:rPr>
      </w:pPr>
      <w:r>
        <w:rPr>
          <w:rFonts w:hint="eastAsia" w:ascii="宋体" w:hAnsi="宋体" w:eastAsia="宋体" w:cs="宋体"/>
          <w:color w:val="auto"/>
          <w:kern w:val="2"/>
          <w:sz w:val="24"/>
          <w:szCs w:val="24"/>
          <w:lang w:val="en-US" w:eastAsia="zh-CN" w:bidi="ar-SA"/>
        </w:rPr>
        <w:t>授权代表</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签字</w:t>
      </w:r>
      <w:r>
        <w:rPr>
          <w:rFonts w:hint="eastAsia" w:ascii="宋体" w:hAnsi="宋体" w:cs="宋体"/>
          <w:color w:val="auto"/>
          <w:sz w:val="24"/>
          <w:szCs w:val="24"/>
          <w:u w:val="none"/>
          <w:lang w:eastAsia="zh-CN"/>
        </w:rPr>
        <w:t>）</w:t>
      </w:r>
    </w:p>
    <w:p w14:paraId="0250B49F">
      <w:pPr>
        <w:pStyle w:val="11"/>
        <w:ind w:firstLine="3360" w:firstLineChars="1400"/>
        <w:outlineLvl w:val="9"/>
        <w:rPr>
          <w:rFonts w:hint="eastAsia" w:ascii="宋体" w:hAnsi="宋体" w:cs="宋体"/>
          <w:color w:val="auto"/>
          <w:sz w:val="24"/>
          <w:szCs w:val="24"/>
          <w:u w:val="single"/>
        </w:rPr>
        <w:sectPr>
          <w:pgSz w:w="11906" w:h="16838"/>
          <w:pgMar w:top="1440" w:right="1531" w:bottom="1440" w:left="1531" w:header="720" w:footer="720" w:gutter="0"/>
          <w:pgNumType w:fmt="decimal"/>
          <w:cols w:space="720" w:num="1"/>
          <w:docGrid w:type="lines" w:linePitch="312" w:charSpace="0"/>
        </w:sectPr>
      </w:pPr>
      <w:r>
        <w:rPr>
          <w:rFonts w:hint="eastAsia" w:ascii="宋体" w:hAnsi="宋体" w:cs="宋体"/>
          <w:color w:val="auto"/>
          <w:sz w:val="24"/>
          <w:szCs w:val="24"/>
        </w:rPr>
        <w:t>日    期：</w:t>
      </w:r>
      <w:r>
        <w:rPr>
          <w:rFonts w:hint="eastAsia" w:ascii="宋体" w:hAnsi="宋体" w:cs="宋体"/>
          <w:color w:val="auto"/>
          <w:sz w:val="24"/>
          <w:szCs w:val="24"/>
          <w:u w:val="single"/>
        </w:rPr>
        <w:t xml:space="preserve">                             </w:t>
      </w:r>
    </w:p>
    <w:p w14:paraId="29BDFEDE">
      <w:pPr>
        <w:spacing w:line="360" w:lineRule="auto"/>
        <w:jc w:val="center"/>
        <w:outlineLvl w:val="1"/>
        <w:rPr>
          <w:rFonts w:hint="eastAsia" w:ascii="宋体" w:hAnsi="宋体" w:eastAsia="宋体" w:cs="宋体"/>
          <w:b/>
          <w:color w:val="auto"/>
          <w:sz w:val="32"/>
          <w:szCs w:val="32"/>
        </w:rPr>
      </w:pPr>
      <w:bookmarkStart w:id="380" w:name="_Toc31996"/>
      <w:bookmarkStart w:id="381" w:name="_Toc12973"/>
      <w:bookmarkStart w:id="382" w:name="_Toc4340"/>
      <w:bookmarkStart w:id="383" w:name="_Toc27147"/>
      <w:bookmarkStart w:id="384" w:name="_Toc24901"/>
      <w:bookmarkStart w:id="385" w:name="_Toc28711"/>
      <w:bookmarkStart w:id="386" w:name="_Toc18182"/>
      <w:r>
        <w:rPr>
          <w:rFonts w:hint="eastAsia" w:ascii="宋体" w:hAnsi="宋体" w:cs="宋体"/>
          <w:b/>
          <w:bCs/>
          <w:color w:val="auto"/>
          <w:kern w:val="0"/>
          <w:sz w:val="36"/>
          <w:szCs w:val="36"/>
          <w:lang w:val="en-US" w:eastAsia="zh-CN" w:bidi="ar"/>
        </w:rPr>
        <w:t>九</w:t>
      </w:r>
      <w:r>
        <w:rPr>
          <w:rFonts w:hint="eastAsia" w:ascii="宋体" w:hAnsi="宋体" w:cs="宋体"/>
          <w:b/>
          <w:bCs/>
          <w:color w:val="auto"/>
          <w:kern w:val="0"/>
          <w:sz w:val="36"/>
          <w:szCs w:val="36"/>
          <w:lang w:bidi="ar"/>
        </w:rPr>
        <w:t>、</w:t>
      </w:r>
      <w:bookmarkEnd w:id="380"/>
      <w:bookmarkEnd w:id="381"/>
      <w:bookmarkEnd w:id="382"/>
      <w:bookmarkEnd w:id="383"/>
      <w:bookmarkEnd w:id="384"/>
      <w:bookmarkEnd w:id="385"/>
      <w:bookmarkStart w:id="387" w:name="_Toc1221"/>
      <w:bookmarkStart w:id="388" w:name="_Toc10427"/>
      <w:bookmarkStart w:id="389" w:name="_Toc5108"/>
      <w:bookmarkStart w:id="390" w:name="_Toc21962"/>
      <w:bookmarkStart w:id="391" w:name="_Toc2265"/>
      <w:r>
        <w:rPr>
          <w:rFonts w:hint="eastAsia" w:ascii="宋体" w:hAnsi="宋体" w:eastAsia="宋体" w:cs="宋体"/>
          <w:b/>
          <w:color w:val="auto"/>
          <w:sz w:val="32"/>
          <w:szCs w:val="32"/>
          <w:lang w:val="en-US" w:eastAsia="zh-CN"/>
        </w:rPr>
        <w:t>中小</w:t>
      </w:r>
      <w:r>
        <w:rPr>
          <w:rFonts w:hint="eastAsia" w:ascii="宋体" w:hAnsi="宋体" w:eastAsia="宋体" w:cs="宋体"/>
          <w:b/>
          <w:color w:val="auto"/>
          <w:sz w:val="32"/>
          <w:szCs w:val="32"/>
        </w:rPr>
        <w:t>企业、监狱企业、残疾人福利单位声明函或证明</w:t>
      </w:r>
      <w:bookmarkEnd w:id="386"/>
    </w:p>
    <w:p w14:paraId="715EE3D7">
      <w:pPr>
        <w:pStyle w:val="11"/>
        <w:outlineLvl w:val="9"/>
        <w:rPr>
          <w:rFonts w:hint="eastAsia" w:ascii="宋体" w:hAnsi="宋体" w:eastAsia="宋体" w:cs="宋体"/>
          <w:color w:val="auto"/>
          <w:lang w:val="en-US"/>
        </w:rPr>
      </w:pPr>
    </w:p>
    <w:p w14:paraId="6BBCB53F">
      <w:pPr>
        <w:spacing w:line="500" w:lineRule="exact"/>
        <w:jc w:val="center"/>
        <w:outlineLvl w:val="9"/>
        <w:rPr>
          <w:rFonts w:hint="eastAsia" w:ascii="宋体" w:hAnsi="宋体" w:eastAsia="宋体" w:cs="宋体"/>
          <w:b/>
          <w:color w:val="auto"/>
          <w:spacing w:val="6"/>
          <w:sz w:val="28"/>
          <w:szCs w:val="28"/>
        </w:rPr>
      </w:pPr>
      <w:bookmarkStart w:id="392" w:name="_Toc6863"/>
      <w:bookmarkStart w:id="393" w:name="_Toc15759"/>
      <w:bookmarkStart w:id="394" w:name="_Toc25215"/>
      <w:bookmarkStart w:id="395" w:name="_Toc8674"/>
      <w:r>
        <w:rPr>
          <w:rFonts w:hint="eastAsia" w:ascii="宋体" w:hAnsi="宋体" w:eastAsia="宋体" w:cs="宋体"/>
          <w:b/>
          <w:color w:val="auto"/>
          <w:spacing w:val="6"/>
          <w:sz w:val="28"/>
          <w:szCs w:val="28"/>
        </w:rPr>
        <w:t>1.</w:t>
      </w:r>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392"/>
      <w:bookmarkEnd w:id="393"/>
      <w:bookmarkEnd w:id="394"/>
    </w:p>
    <w:p w14:paraId="11069A34">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w:t>
      </w:r>
      <w:r>
        <w:rPr>
          <w:rFonts w:hint="eastAsia" w:ascii="宋体" w:hAnsi="宋体" w:eastAsia="宋体" w:cs="宋体"/>
          <w:color w:val="auto"/>
          <w:sz w:val="24"/>
          <w:lang w:val="en-US" w:eastAsia="zh-CN"/>
        </w:rPr>
        <w:t>工程的施工单位全部为符合政策要求的中小企业。相关企业（含联合体中的中小企业、签订分包意向协议的中小企业）的具体情 况如下</w:t>
      </w:r>
      <w:r>
        <w:rPr>
          <w:rFonts w:hint="eastAsia" w:ascii="宋体" w:hAnsi="宋体" w:eastAsia="宋体" w:cs="宋体"/>
          <w:color w:val="auto"/>
          <w:sz w:val="24"/>
        </w:rPr>
        <w:t>：</w:t>
      </w:r>
    </w:p>
    <w:p w14:paraId="2C98A9E5">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（采购文件中明确的所属行业）；承</w:t>
      </w:r>
      <w:r>
        <w:rPr>
          <w:rFonts w:hint="eastAsia" w:ascii="宋体" w:hAnsi="宋体" w:eastAsia="宋体" w:cs="宋体"/>
          <w:color w:val="auto"/>
          <w:sz w:val="24"/>
          <w:lang w:eastAsia="zh-CN"/>
        </w:rPr>
        <w:t>建</w:t>
      </w:r>
      <w:r>
        <w:rPr>
          <w:rFonts w:hint="eastAsia" w:ascii="宋体" w:hAnsi="宋体" w:eastAsia="宋体" w:cs="宋体"/>
          <w:color w:val="auto"/>
          <w:sz w:val="24"/>
        </w:rPr>
        <w:t>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4C519BB3">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（采购文件中明确的所属行业）；承</w:t>
      </w:r>
      <w:r>
        <w:rPr>
          <w:rFonts w:hint="eastAsia" w:ascii="宋体" w:hAnsi="宋体" w:eastAsia="宋体" w:cs="宋体"/>
          <w:color w:val="auto"/>
          <w:sz w:val="24"/>
          <w:lang w:eastAsia="zh-CN"/>
        </w:rPr>
        <w:t>建</w:t>
      </w:r>
      <w:r>
        <w:rPr>
          <w:rFonts w:hint="eastAsia" w:ascii="宋体" w:hAnsi="宋体" w:eastAsia="宋体" w:cs="宋体"/>
          <w:color w:val="auto"/>
          <w:sz w:val="24"/>
        </w:rPr>
        <w:t>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042E1B06">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w:t>
      </w:r>
    </w:p>
    <w:p w14:paraId="0DDBFCFF">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14:paraId="3A30AF33">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14:paraId="2F3A19F8">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14:paraId="0458B61F">
      <w:pPr>
        <w:spacing w:before="120" w:beforeLines="50"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日期：</w:t>
      </w:r>
    </w:p>
    <w:p w14:paraId="031F9028">
      <w:pPr>
        <w:tabs>
          <w:tab w:val="left" w:pos="5670"/>
        </w:tabs>
        <w:outlineLvl w:val="9"/>
        <w:rPr>
          <w:rFonts w:hint="eastAsia" w:ascii="宋体" w:hAnsi="宋体" w:eastAsia="宋体" w:cs="宋体"/>
          <w:color w:val="auto"/>
          <w:sz w:val="24"/>
        </w:rPr>
      </w:pPr>
      <w:r>
        <w:rPr>
          <w:rFonts w:hint="eastAsia" w:ascii="宋体" w:hAnsi="宋体" w:eastAsia="宋体" w:cs="宋体"/>
          <w:color w:val="auto"/>
          <w:sz w:val="24"/>
        </w:rPr>
        <w:t>备注：</w:t>
      </w:r>
    </w:p>
    <w:p w14:paraId="0AEE09B3">
      <w:pPr>
        <w:tabs>
          <w:tab w:val="left" w:pos="5670"/>
        </w:tabs>
        <w:outlineLvl w:val="9"/>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14:paraId="286695C9">
      <w:pPr>
        <w:spacing w:line="500" w:lineRule="exact"/>
        <w:jc w:val="center"/>
        <w:outlineLvl w:val="9"/>
        <w:rPr>
          <w:rFonts w:hint="eastAsia" w:ascii="宋体" w:hAnsi="宋体" w:eastAsia="宋体" w:cs="宋体"/>
          <w:b/>
          <w:color w:val="auto"/>
          <w:spacing w:val="6"/>
          <w:sz w:val="28"/>
          <w:szCs w:val="28"/>
        </w:rPr>
        <w:sectPr>
          <w:footerReference r:id="rId14" w:type="default"/>
          <w:pgSz w:w="11906" w:h="16838"/>
          <w:pgMar w:top="1440" w:right="1800" w:bottom="1440" w:left="1800" w:header="851" w:footer="992" w:gutter="0"/>
          <w:pgNumType w:fmt="decimal"/>
          <w:cols w:space="720" w:num="1"/>
          <w:docGrid w:type="lines" w:linePitch="312" w:charSpace="0"/>
        </w:sectPr>
      </w:pPr>
    </w:p>
    <w:p w14:paraId="64AFEB52">
      <w:pPr>
        <w:spacing w:line="500" w:lineRule="exact"/>
        <w:jc w:val="center"/>
        <w:outlineLvl w:val="9"/>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2.残疾人福利性单位声明函</w:t>
      </w:r>
      <w:bookmarkEnd w:id="395"/>
    </w:p>
    <w:p w14:paraId="038AF577">
      <w:pPr>
        <w:spacing w:line="500" w:lineRule="exact"/>
        <w:ind w:firstLine="1200" w:firstLineChars="500"/>
        <w:outlineLvl w:val="9"/>
        <w:rPr>
          <w:rFonts w:hint="eastAsia" w:ascii="宋体" w:hAnsi="宋体" w:eastAsia="宋体" w:cs="宋体"/>
          <w:color w:val="auto"/>
          <w:sz w:val="24"/>
        </w:rPr>
      </w:pPr>
      <w:r>
        <w:rPr>
          <w:rFonts w:hint="eastAsia" w:ascii="宋体" w:hAnsi="宋体" w:eastAsia="宋体" w:cs="宋体"/>
          <w:color w:val="auto"/>
          <w:sz w:val="24"/>
        </w:rPr>
        <w:t>（注：符合条件的残疾人福利性单位请提供本函，不符合的不提供本函）</w:t>
      </w:r>
    </w:p>
    <w:p w14:paraId="3B974974">
      <w:pPr>
        <w:pStyle w:val="11"/>
        <w:outlineLvl w:val="9"/>
        <w:rPr>
          <w:rFonts w:hint="eastAsia" w:ascii="宋体" w:hAnsi="宋体" w:eastAsia="宋体" w:cs="宋体"/>
          <w:color w:val="auto"/>
        </w:rPr>
      </w:pPr>
    </w:p>
    <w:p w14:paraId="4395028E">
      <w:pPr>
        <w:spacing w:line="500" w:lineRule="exact"/>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5A2FCFD3">
      <w:pPr>
        <w:spacing w:line="500" w:lineRule="exact"/>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21D0162A">
      <w:pPr>
        <w:spacing w:line="500" w:lineRule="exact"/>
        <w:outlineLvl w:val="9"/>
        <w:rPr>
          <w:rFonts w:hint="eastAsia" w:ascii="宋体" w:hAnsi="宋体" w:eastAsia="宋体" w:cs="宋体"/>
          <w:color w:val="auto"/>
          <w:spacing w:val="6"/>
          <w:sz w:val="24"/>
        </w:rPr>
      </w:pPr>
    </w:p>
    <w:p w14:paraId="1C38AA57">
      <w:pPr>
        <w:tabs>
          <w:tab w:val="left" w:pos="4860"/>
        </w:tabs>
        <w:spacing w:line="500" w:lineRule="exact"/>
        <w:ind w:right="1560" w:firstLine="504" w:firstLineChars="200"/>
        <w:jc w:val="center"/>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6A9C68C7">
      <w:pPr>
        <w:adjustRightInd w:val="0"/>
        <w:snapToGrid w:val="0"/>
        <w:spacing w:line="500" w:lineRule="exact"/>
        <w:ind w:firstLine="630" w:firstLineChars="250"/>
        <w:outlineLvl w:val="9"/>
        <w:rPr>
          <w:rFonts w:hint="eastAsia" w:ascii="宋体" w:hAnsi="宋体" w:eastAsia="宋体" w:cs="宋体"/>
          <w:color w:val="auto"/>
          <w:szCs w:val="21"/>
        </w:rPr>
      </w:pPr>
      <w:r>
        <w:rPr>
          <w:rFonts w:hint="eastAsia" w:ascii="宋体" w:hAnsi="宋体" w:eastAsia="宋体" w:cs="宋体"/>
          <w:color w:val="auto"/>
          <w:spacing w:val="6"/>
          <w:sz w:val="24"/>
        </w:rPr>
        <w:t xml:space="preserve">                                         日  期：</w:t>
      </w:r>
    </w:p>
    <w:p w14:paraId="28642FB7">
      <w:pPr>
        <w:adjustRightInd w:val="0"/>
        <w:snapToGrid w:val="0"/>
        <w:spacing w:line="500" w:lineRule="exact"/>
        <w:outlineLvl w:val="9"/>
        <w:rPr>
          <w:rFonts w:hint="eastAsia" w:ascii="宋体" w:hAnsi="宋体" w:eastAsia="宋体" w:cs="宋体"/>
          <w:color w:val="auto"/>
          <w:szCs w:val="21"/>
        </w:rPr>
      </w:pPr>
    </w:p>
    <w:p w14:paraId="3B710114">
      <w:pPr>
        <w:tabs>
          <w:tab w:val="left" w:pos="5670"/>
        </w:tabs>
        <w:ind w:firstLine="566"/>
        <w:outlineLvl w:val="9"/>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14:paraId="470481D2">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14:paraId="5EC89EC2">
      <w:pPr>
        <w:tabs>
          <w:tab w:val="left" w:pos="5670"/>
        </w:tabs>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14:paraId="1A7B14E2">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14:paraId="47E57288">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14:paraId="202E0848">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14:paraId="4AF751FC">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14:paraId="0352FA04">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14:paraId="625B8471">
      <w:pPr>
        <w:tabs>
          <w:tab w:val="left" w:pos="5670"/>
        </w:tabs>
        <w:ind w:firstLine="566"/>
        <w:outlineLvl w:val="9"/>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9B27EA">
      <w:pPr>
        <w:tabs>
          <w:tab w:val="left" w:pos="5670"/>
        </w:tabs>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14:paraId="63C0FEEA">
      <w:pPr>
        <w:tabs>
          <w:tab w:val="left" w:pos="5670"/>
        </w:tabs>
        <w:jc w:val="center"/>
        <w:outlineLvl w:val="9"/>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396" w:name="_Toc23398"/>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396"/>
    </w:p>
    <w:p w14:paraId="49034D5D">
      <w:pPr>
        <w:jc w:val="center"/>
        <w:outlineLvl w:val="9"/>
        <w:rPr>
          <w:rFonts w:hint="eastAsia" w:ascii="宋体" w:hAnsi="宋体" w:eastAsia="宋体" w:cs="宋体"/>
          <w:color w:val="auto"/>
          <w:sz w:val="24"/>
        </w:rPr>
      </w:pPr>
      <w:r>
        <w:rPr>
          <w:rFonts w:hint="eastAsia" w:ascii="宋体" w:hAnsi="宋体" w:eastAsia="宋体" w:cs="宋体"/>
          <w:color w:val="auto"/>
          <w:sz w:val="24"/>
        </w:rPr>
        <w:t>（注：符合条件的监狱企业请提供本函，不符合的不提供本函）</w:t>
      </w:r>
    </w:p>
    <w:p w14:paraId="5AF84A55">
      <w:pPr>
        <w:outlineLvl w:val="9"/>
        <w:rPr>
          <w:rFonts w:hint="eastAsia" w:ascii="宋体" w:hAnsi="宋体" w:eastAsia="宋体" w:cs="宋体"/>
          <w:color w:val="auto"/>
        </w:rPr>
      </w:pPr>
    </w:p>
    <w:p w14:paraId="11D08E5D">
      <w:pPr>
        <w:spacing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14:paraId="5E8AE2AA">
      <w:pPr>
        <w:spacing w:line="500" w:lineRule="exact"/>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D050DE">
      <w:pPr>
        <w:pStyle w:val="24"/>
        <w:ind w:firstLine="183"/>
        <w:outlineLvl w:val="9"/>
        <w:rPr>
          <w:rFonts w:hint="eastAsia" w:ascii="宋体" w:hAnsi="宋体" w:eastAsia="宋体" w:cs="宋体"/>
          <w:color w:val="auto"/>
        </w:rPr>
      </w:pPr>
    </w:p>
    <w:p w14:paraId="074D7FCF">
      <w:pPr>
        <w:outlineLvl w:val="9"/>
        <w:rPr>
          <w:rFonts w:hint="eastAsia" w:ascii="宋体" w:hAnsi="宋体" w:eastAsia="宋体" w:cs="宋体"/>
          <w:color w:val="auto"/>
        </w:rPr>
      </w:pPr>
    </w:p>
    <w:p w14:paraId="04911CA9">
      <w:pPr>
        <w:outlineLvl w:val="9"/>
        <w:rPr>
          <w:rFonts w:hint="eastAsia" w:ascii="宋体" w:hAnsi="宋体" w:eastAsia="宋体" w:cs="宋体"/>
          <w:color w:val="auto"/>
        </w:rPr>
      </w:pPr>
    </w:p>
    <w:p w14:paraId="603BB7BE">
      <w:pPr>
        <w:outlineLvl w:val="9"/>
        <w:rPr>
          <w:rFonts w:hint="eastAsia" w:ascii="宋体" w:hAnsi="宋体" w:eastAsia="宋体" w:cs="宋体"/>
          <w:color w:val="auto"/>
        </w:rPr>
      </w:pPr>
    </w:p>
    <w:p w14:paraId="7CE5313E">
      <w:pPr>
        <w:outlineLvl w:val="9"/>
        <w:rPr>
          <w:rFonts w:hint="eastAsia" w:ascii="宋体" w:hAnsi="宋体" w:eastAsia="宋体" w:cs="宋体"/>
          <w:color w:val="auto"/>
        </w:rPr>
      </w:pPr>
    </w:p>
    <w:p w14:paraId="2A53AF41">
      <w:pPr>
        <w:outlineLvl w:val="9"/>
        <w:rPr>
          <w:rFonts w:hint="eastAsia" w:ascii="宋体" w:hAnsi="宋体" w:eastAsia="宋体" w:cs="宋体"/>
          <w:color w:val="auto"/>
        </w:rPr>
      </w:pPr>
    </w:p>
    <w:p w14:paraId="252D5BB2">
      <w:pPr>
        <w:outlineLvl w:val="9"/>
        <w:rPr>
          <w:rFonts w:hint="eastAsia" w:ascii="宋体" w:hAnsi="宋体" w:eastAsia="宋体" w:cs="宋体"/>
          <w:color w:val="auto"/>
        </w:rPr>
      </w:pPr>
    </w:p>
    <w:p w14:paraId="0BE7D29A">
      <w:pPr>
        <w:widowControl/>
        <w:jc w:val="left"/>
        <w:outlineLvl w:val="9"/>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14:paraId="556E45E6">
      <w:pPr>
        <w:widowControl/>
        <w:ind w:firstLine="482"/>
        <w:jc w:val="left"/>
        <w:outlineLvl w:val="9"/>
        <w:rPr>
          <w:rFonts w:hint="eastAsia" w:ascii="宋体" w:hAnsi="宋体" w:eastAsia="宋体" w:cs="宋体"/>
          <w:color w:val="auto"/>
          <w:kern w:val="0"/>
          <w:sz w:val="24"/>
        </w:rPr>
      </w:pPr>
    </w:p>
    <w:p w14:paraId="221D1CB7">
      <w:pPr>
        <w:widowControl/>
        <w:ind w:firstLine="480" w:firstLineChars="200"/>
        <w:jc w:val="left"/>
        <w:outlineLvl w:val="9"/>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14:paraId="1B8917A1">
      <w:pPr>
        <w:widowControl/>
        <w:ind w:firstLine="482"/>
        <w:jc w:val="left"/>
        <w:outlineLvl w:val="9"/>
        <w:rPr>
          <w:rFonts w:hint="eastAsia" w:ascii="宋体" w:hAnsi="宋体" w:eastAsia="宋体" w:cs="宋体"/>
          <w:color w:val="auto"/>
          <w:kern w:val="0"/>
          <w:sz w:val="24"/>
          <w:u w:val="single"/>
        </w:rPr>
      </w:pPr>
    </w:p>
    <w:p w14:paraId="1EF735F8">
      <w:pPr>
        <w:widowControl/>
        <w:ind w:firstLine="480" w:firstLineChars="200"/>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2FD33ED4">
      <w:pPr>
        <w:pStyle w:val="17"/>
        <w:outlineLvl w:val="9"/>
        <w:rPr>
          <w:rFonts w:hint="eastAsia" w:ascii="宋体" w:hAnsi="宋体" w:eastAsia="宋体" w:cs="宋体"/>
          <w:color w:val="auto"/>
          <w:kern w:val="0"/>
          <w:sz w:val="24"/>
        </w:rPr>
      </w:pPr>
    </w:p>
    <w:p w14:paraId="29C7B5F3">
      <w:pPr>
        <w:kinsoku w:val="0"/>
        <w:spacing w:line="360" w:lineRule="auto"/>
        <w:ind w:firstLine="1205" w:firstLineChars="500"/>
        <w:outlineLvl w:val="9"/>
        <w:rPr>
          <w:rFonts w:hint="eastAsia" w:ascii="宋体" w:hAnsi="宋体" w:cs="宋体"/>
          <w:b/>
          <w:bCs/>
          <w:color w:val="auto"/>
          <w:sz w:val="24"/>
          <w:szCs w:val="24"/>
        </w:rPr>
      </w:pPr>
    </w:p>
    <w:p w14:paraId="691A6DE1">
      <w:pPr>
        <w:spacing w:line="240" w:lineRule="auto"/>
        <w:jc w:val="center"/>
        <w:outlineLvl w:val="9"/>
        <w:rPr>
          <w:rFonts w:hint="eastAsia"/>
          <w:color w:val="auto"/>
          <w:sz w:val="36"/>
          <w:szCs w:val="16"/>
        </w:rPr>
      </w:pPr>
    </w:p>
    <w:p w14:paraId="591C4FD2">
      <w:pPr>
        <w:outlineLvl w:val="9"/>
        <w:rPr>
          <w:rFonts w:hint="eastAsia"/>
          <w:color w:val="auto"/>
          <w:sz w:val="36"/>
          <w:szCs w:val="16"/>
        </w:rPr>
      </w:pPr>
    </w:p>
    <w:p w14:paraId="42063F29">
      <w:pPr>
        <w:pStyle w:val="11"/>
        <w:outlineLvl w:val="9"/>
        <w:rPr>
          <w:rFonts w:hint="eastAsia"/>
          <w:color w:val="auto"/>
          <w:sz w:val="36"/>
          <w:szCs w:val="16"/>
        </w:rPr>
      </w:pPr>
    </w:p>
    <w:bookmarkEnd w:id="387"/>
    <w:bookmarkEnd w:id="388"/>
    <w:bookmarkEnd w:id="389"/>
    <w:bookmarkEnd w:id="390"/>
    <w:bookmarkEnd w:id="391"/>
    <w:p w14:paraId="2DD691A1">
      <w:pPr>
        <w:pStyle w:val="11"/>
        <w:outlineLvl w:val="9"/>
        <w:rPr>
          <w:rFonts w:hint="eastAsia" w:ascii="宋体" w:hAnsi="宋体" w:cs="宋体"/>
          <w:color w:val="auto"/>
          <w:sz w:val="36"/>
          <w:szCs w:val="36"/>
        </w:rPr>
      </w:pPr>
      <w:bookmarkStart w:id="397" w:name="_Toc2007"/>
      <w:bookmarkStart w:id="398" w:name="_Toc8066"/>
      <w:bookmarkStart w:id="399" w:name="_Toc3658"/>
    </w:p>
    <w:p w14:paraId="74EF05ED">
      <w:pPr>
        <w:outlineLvl w:val="9"/>
        <w:rPr>
          <w:rFonts w:hint="eastAsia" w:ascii="宋体" w:hAnsi="宋体" w:cs="宋体"/>
          <w:color w:val="auto"/>
          <w:sz w:val="36"/>
          <w:szCs w:val="36"/>
        </w:rPr>
      </w:pPr>
    </w:p>
    <w:p w14:paraId="44FB4206">
      <w:pPr>
        <w:pStyle w:val="11"/>
        <w:outlineLvl w:val="9"/>
        <w:rPr>
          <w:rFonts w:hint="eastAsia" w:ascii="宋体" w:hAnsi="宋体" w:cs="宋体"/>
          <w:color w:val="auto"/>
          <w:sz w:val="36"/>
          <w:szCs w:val="36"/>
        </w:rPr>
      </w:pPr>
    </w:p>
    <w:bookmarkEnd w:id="397"/>
    <w:bookmarkEnd w:id="398"/>
    <w:bookmarkEnd w:id="399"/>
    <w:p w14:paraId="6F8D52B9">
      <w:pPr>
        <w:rPr>
          <w:rFonts w:hint="eastAsia"/>
          <w:color w:val="auto"/>
          <w:lang w:eastAsia="zh-CN"/>
        </w:rPr>
      </w:pPr>
    </w:p>
    <w:sectPr>
      <w:headerReference r:id="rId15" w:type="default"/>
      <w:footerReference r:id="rId16" w:type="default"/>
      <w:footnotePr>
        <w:pos w:val="beneathText"/>
      </w:footnotePr>
      <w:pgSz w:w="11906" w:h="16838"/>
      <w:pgMar w:top="1440" w:right="1531" w:bottom="1440" w:left="1531" w:header="720" w:footer="720"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思源宋体 CN Light">
    <w:altName w:val="宋体"/>
    <w:panose1 w:val="02020300000000000000"/>
    <w:charset w:val="86"/>
    <w:family w:val="auto"/>
    <w:pitch w:val="default"/>
    <w:sig w:usb0="00000000" w:usb1="00000000" w:usb2="00000016" w:usb3="00000000" w:csb0="60060107"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09CD">
    <w:pPr>
      <w:pStyle w:val="17"/>
      <w:tabs>
        <w:tab w:val="center" w:pos="4365"/>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0E5E">
    <w:pPr>
      <w:pStyle w:val="17"/>
      <w:tabs>
        <w:tab w:val="center" w:pos="4365"/>
        <w:tab w:val="clear" w:pos="4153"/>
      </w:tabs>
      <w:ind w:right="360"/>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A3CB">
    <w:pPr>
      <w:pStyle w:val="17"/>
      <w:jc w:val="center"/>
    </w:pPr>
    <w:r>
      <w:fldChar w:fldCharType="begin"/>
    </w:r>
    <w:r>
      <w:instrText xml:space="preserve">PAGE   \* MERGEFORMAT</w:instrText>
    </w:r>
    <w:r>
      <w:fldChar w:fldCharType="separate"/>
    </w:r>
    <w:r>
      <w:rPr>
        <w:lang w:val="zh-CN"/>
      </w:rPr>
      <w:t>-</w:t>
    </w:r>
    <w:r>
      <w:t xml:space="preserve"> 3 -</w:t>
    </w:r>
    <w:r>
      <w:fldChar w:fldCharType="end"/>
    </w:r>
  </w:p>
  <w:p w14:paraId="175FED12">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4F8A7">
    <w:pPr>
      <w:pStyle w:val="17"/>
      <w:tabs>
        <w:tab w:val="center" w:pos="4365"/>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0402F">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1240402F">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00A2">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3E115">
                          <w:pPr>
                            <w:pStyle w:val="17"/>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263E115">
                    <w:pPr>
                      <w:pStyle w:val="17"/>
                    </w:pPr>
                    <w:r>
                      <w:fldChar w:fldCharType="begin"/>
                    </w:r>
                    <w:r>
                      <w:instrText xml:space="preserve"> PAGE  \* MERGEFORMAT </w:instrText>
                    </w:r>
                    <w:r>
                      <w:fldChar w:fldCharType="separate"/>
                    </w:r>
                    <w:r>
                      <w:t>- 6 -</w:t>
                    </w:r>
                    <w:r>
                      <w:fldChar w:fldCharType="end"/>
                    </w:r>
                  </w:p>
                </w:txbxContent>
              </v:textbox>
            </v:shape>
          </w:pict>
        </mc:Fallback>
      </mc:AlternateContent>
    </w:r>
  </w:p>
  <w:p w14:paraId="0E8C6D76">
    <w:pPr>
      <w:pStyle w:val="1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0BB1">
    <w:pPr>
      <w:pStyle w:val="1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9F772">
                          <w:pPr>
                            <w:pStyle w:val="17"/>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74D9F772">
                    <w:pPr>
                      <w:pStyle w:val="17"/>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145B">
    <w:pPr>
      <w:pStyle w:val="17"/>
      <w:ind w:right="36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C0BA3">
                          <w:pPr>
                            <w:pStyle w:val="17"/>
                          </w:pPr>
                          <w:r>
                            <w:fldChar w:fldCharType="begin"/>
                          </w:r>
                          <w:r>
                            <w:instrText xml:space="preserve"> PAGE  \* MERGEFORMAT </w:instrText>
                          </w:r>
                          <w:r>
                            <w:fldChar w:fldCharType="separate"/>
                          </w:r>
                          <w:r>
                            <w:t>- 126 -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E9C0BA3">
                    <w:pPr>
                      <w:pStyle w:val="17"/>
                    </w:pPr>
                    <w:r>
                      <w:fldChar w:fldCharType="begin"/>
                    </w:r>
                    <w:r>
                      <w:instrText xml:space="preserve"> PAGE  \* MERGEFORMAT </w:instrText>
                    </w:r>
                    <w:r>
                      <w:fldChar w:fldCharType="separate"/>
                    </w:r>
                    <w:r>
                      <w:t>- 126 -</w:t>
                    </w:r>
                    <w: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B807">
    <w:pPr>
      <w:pStyle w:val="17"/>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38176">
                          <w:pPr>
                            <w:pStyle w:val="17"/>
                          </w:pPr>
                          <w:r>
                            <w:fldChar w:fldCharType="begin"/>
                          </w:r>
                          <w:r>
                            <w:instrText xml:space="preserve"> PAGE  \* MERGEFORMAT </w:instrText>
                          </w:r>
                          <w:r>
                            <w:fldChar w:fldCharType="separate"/>
                          </w:r>
                          <w:r>
                            <w:t>- 131 -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2D38176">
                    <w:pPr>
                      <w:pStyle w:val="17"/>
                    </w:pPr>
                    <w:r>
                      <w:fldChar w:fldCharType="begin"/>
                    </w:r>
                    <w:r>
                      <w:instrText xml:space="preserve"> PAGE  \* MERGEFORMAT </w:instrText>
                    </w:r>
                    <w:r>
                      <w:fldChar w:fldCharType="separate"/>
                    </w:r>
                    <w:r>
                      <w:t>- 131 -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626B">
    <w:pPr>
      <w:pStyle w:val="19"/>
      <w:pBdr>
        <w:bottom w:val="none" w:color="auto" w:sz="0" w:space="1"/>
      </w:pBdr>
      <w:jc w:val="right"/>
    </w:pPr>
    <w:r>
      <w:rPr>
        <w:rFonts w:hint="eastAsia"/>
      </w:rPr>
      <w:t xml:space="preserve">                                                      </w:t>
    </w:r>
  </w:p>
  <w:p w14:paraId="08D80D3D">
    <w:pPr>
      <w:pStyle w:val="1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ADDA">
    <w:pPr>
      <w:pStyle w:val="19"/>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AC5A">
    <w:pPr>
      <w:pStyle w:val="19"/>
      <w:pBdr>
        <w:bottom w:val="none" w:color="auto" w:sz="0" w:space="1"/>
      </w:pBdr>
      <w:tabs>
        <w:tab w:val="left" w:pos="8097"/>
      </w:tabs>
      <w:jc w:val="left"/>
      <w:rPr>
        <w:highlight w:val="yellow"/>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51D0">
    <w:pPr>
      <w:pStyle w:val="1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3951">
    <w:pPr>
      <w:pStyle w:val="19"/>
      <w:pBdr>
        <w:bottom w:val="none" w:color="auto" w:sz="0" w:space="0"/>
      </w:pBdr>
      <w:jc w:val="right"/>
      <w:rPr>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9D1F">
    <w:pPr>
      <w:pStyle w:val="19"/>
      <w:pBdr>
        <w:bottom w:val="none" w:color="auto" w:sz="0" w:space="0"/>
      </w:pBd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79D6"/>
    <w:multiLevelType w:val="singleLevel"/>
    <w:tmpl w:val="AE6F79D6"/>
    <w:lvl w:ilvl="0" w:tentative="0">
      <w:start w:val="1"/>
      <w:numFmt w:val="decimal"/>
      <w:suff w:val="nothing"/>
      <w:lvlText w:val="%1）"/>
      <w:lvlJc w:val="left"/>
    </w:lvl>
  </w:abstractNum>
  <w:abstractNum w:abstractNumId="1">
    <w:nsid w:val="D8A1DD42"/>
    <w:multiLevelType w:val="singleLevel"/>
    <w:tmpl w:val="D8A1DD42"/>
    <w:lvl w:ilvl="0" w:tentative="0">
      <w:start w:val="1"/>
      <w:numFmt w:val="decimal"/>
      <w:suff w:val="nothing"/>
      <w:lvlText w:val="%1、"/>
      <w:lvlJc w:val="left"/>
    </w:lvl>
  </w:abstractNum>
  <w:abstractNum w:abstractNumId="2">
    <w:nsid w:val="08B2D8E5"/>
    <w:multiLevelType w:val="singleLevel"/>
    <w:tmpl w:val="08B2D8E5"/>
    <w:lvl w:ilvl="0" w:tentative="0">
      <w:start w:val="9"/>
      <w:numFmt w:val="decimal"/>
      <w:suff w:val="nothing"/>
      <w:lvlText w:val="%1、"/>
      <w:lvlJc w:val="left"/>
    </w:lvl>
  </w:abstractNum>
  <w:abstractNum w:abstractNumId="3">
    <w:nsid w:val="4670638B"/>
    <w:multiLevelType w:val="singleLevel"/>
    <w:tmpl w:val="4670638B"/>
    <w:lvl w:ilvl="0" w:tentative="0">
      <w:start w:val="6"/>
      <w:numFmt w:val="chineseCounting"/>
      <w:suff w:val="space"/>
      <w:lvlText w:val="第%1章"/>
      <w:lvlJc w:val="left"/>
      <w:rPr>
        <w:rFonts w:hint="eastAsia"/>
      </w:rPr>
    </w:lvl>
  </w:abstractNum>
  <w:abstractNum w:abstractNumId="4">
    <w:nsid w:val="5916E568"/>
    <w:multiLevelType w:val="singleLevel"/>
    <w:tmpl w:val="5916E568"/>
    <w:lvl w:ilvl="0" w:tentative="0">
      <w:start w:val="3"/>
      <w:numFmt w:val="decimal"/>
      <w:suff w:val="nothing"/>
      <w:lvlText w:val="（%1）"/>
      <w:lvlJc w:val="left"/>
    </w:lvl>
  </w:abstractNum>
  <w:abstractNum w:abstractNumId="5">
    <w:nsid w:val="59FB0796"/>
    <w:multiLevelType w:val="singleLevel"/>
    <w:tmpl w:val="59FB0796"/>
    <w:lvl w:ilvl="0" w:tentative="0">
      <w:start w:val="1"/>
      <w:numFmt w:val="decimal"/>
      <w:suff w:val="nothing"/>
      <w:lvlText w:val="%1、"/>
      <w:lvlJc w:val="left"/>
    </w:lvl>
  </w:abstractNum>
  <w:abstractNum w:abstractNumId="6">
    <w:nsid w:val="742262C1"/>
    <w:multiLevelType w:val="singleLevel"/>
    <w:tmpl w:val="742262C1"/>
    <w:lvl w:ilvl="0" w:tentative="0">
      <w:start w:val="19"/>
      <w:numFmt w:val="decimal"/>
      <w:suff w:val="space"/>
      <w:lvlText w:val="%1."/>
      <w:lvlJc w:val="left"/>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3A3E1146"/>
    <w:rsid w:val="00155E9A"/>
    <w:rsid w:val="00172295"/>
    <w:rsid w:val="001E0333"/>
    <w:rsid w:val="0049132B"/>
    <w:rsid w:val="00494FFB"/>
    <w:rsid w:val="00515C5E"/>
    <w:rsid w:val="005319D6"/>
    <w:rsid w:val="00577718"/>
    <w:rsid w:val="00593490"/>
    <w:rsid w:val="0061348B"/>
    <w:rsid w:val="006C21B0"/>
    <w:rsid w:val="007D3EB8"/>
    <w:rsid w:val="00863B59"/>
    <w:rsid w:val="008E0C60"/>
    <w:rsid w:val="009D3880"/>
    <w:rsid w:val="00A6705F"/>
    <w:rsid w:val="00AF47A5"/>
    <w:rsid w:val="00C11BB0"/>
    <w:rsid w:val="00E46AD2"/>
    <w:rsid w:val="00F931CB"/>
    <w:rsid w:val="0100390C"/>
    <w:rsid w:val="0100630B"/>
    <w:rsid w:val="01156757"/>
    <w:rsid w:val="01477D1C"/>
    <w:rsid w:val="014E7300"/>
    <w:rsid w:val="01541EA9"/>
    <w:rsid w:val="01610878"/>
    <w:rsid w:val="016F283F"/>
    <w:rsid w:val="017460A8"/>
    <w:rsid w:val="018C519F"/>
    <w:rsid w:val="01AD48A5"/>
    <w:rsid w:val="01DA477F"/>
    <w:rsid w:val="01DE1AD3"/>
    <w:rsid w:val="01FD609D"/>
    <w:rsid w:val="021A09FD"/>
    <w:rsid w:val="023B6BC5"/>
    <w:rsid w:val="023D293E"/>
    <w:rsid w:val="02467A44"/>
    <w:rsid w:val="026B74AB"/>
    <w:rsid w:val="02720839"/>
    <w:rsid w:val="02753E85"/>
    <w:rsid w:val="027F153C"/>
    <w:rsid w:val="029B159F"/>
    <w:rsid w:val="02A73BD6"/>
    <w:rsid w:val="02A824AD"/>
    <w:rsid w:val="02B250DA"/>
    <w:rsid w:val="02DA11CE"/>
    <w:rsid w:val="02DF57A3"/>
    <w:rsid w:val="02E4208D"/>
    <w:rsid w:val="02EA3A9D"/>
    <w:rsid w:val="02F76F90"/>
    <w:rsid w:val="030B1CD5"/>
    <w:rsid w:val="030B2A3C"/>
    <w:rsid w:val="03263951"/>
    <w:rsid w:val="034C4B6E"/>
    <w:rsid w:val="03767AF5"/>
    <w:rsid w:val="03870314"/>
    <w:rsid w:val="03B278E6"/>
    <w:rsid w:val="03C6567D"/>
    <w:rsid w:val="03E5590A"/>
    <w:rsid w:val="03E85211"/>
    <w:rsid w:val="040A684F"/>
    <w:rsid w:val="040D0631"/>
    <w:rsid w:val="041575B8"/>
    <w:rsid w:val="04243DB5"/>
    <w:rsid w:val="043438CC"/>
    <w:rsid w:val="046917C8"/>
    <w:rsid w:val="046B5540"/>
    <w:rsid w:val="048B3E34"/>
    <w:rsid w:val="04DA4474"/>
    <w:rsid w:val="05010BC4"/>
    <w:rsid w:val="05101044"/>
    <w:rsid w:val="05175588"/>
    <w:rsid w:val="051F632A"/>
    <w:rsid w:val="05203DC1"/>
    <w:rsid w:val="05235E1B"/>
    <w:rsid w:val="05290E6D"/>
    <w:rsid w:val="052B2F21"/>
    <w:rsid w:val="052F2A11"/>
    <w:rsid w:val="05461B09"/>
    <w:rsid w:val="05812B41"/>
    <w:rsid w:val="05882122"/>
    <w:rsid w:val="05910B93"/>
    <w:rsid w:val="059960DD"/>
    <w:rsid w:val="059E1945"/>
    <w:rsid w:val="05B922DB"/>
    <w:rsid w:val="05C869C2"/>
    <w:rsid w:val="05D666A6"/>
    <w:rsid w:val="05DF774C"/>
    <w:rsid w:val="061301D1"/>
    <w:rsid w:val="062F07EF"/>
    <w:rsid w:val="066E5BC6"/>
    <w:rsid w:val="067A7CBC"/>
    <w:rsid w:val="06916ADF"/>
    <w:rsid w:val="06E11AE9"/>
    <w:rsid w:val="06F63304"/>
    <w:rsid w:val="07181283"/>
    <w:rsid w:val="0749768F"/>
    <w:rsid w:val="07580954"/>
    <w:rsid w:val="075C1AB8"/>
    <w:rsid w:val="07603356"/>
    <w:rsid w:val="076C2DD1"/>
    <w:rsid w:val="077E24E4"/>
    <w:rsid w:val="07834D12"/>
    <w:rsid w:val="078D3673"/>
    <w:rsid w:val="079052BE"/>
    <w:rsid w:val="07B1271A"/>
    <w:rsid w:val="07BB67DE"/>
    <w:rsid w:val="07CA6A21"/>
    <w:rsid w:val="07DA7079"/>
    <w:rsid w:val="07DF3389"/>
    <w:rsid w:val="07FB6BDB"/>
    <w:rsid w:val="08014C21"/>
    <w:rsid w:val="08161480"/>
    <w:rsid w:val="08610359"/>
    <w:rsid w:val="08760957"/>
    <w:rsid w:val="08844E22"/>
    <w:rsid w:val="088A4403"/>
    <w:rsid w:val="08BB6344"/>
    <w:rsid w:val="08CA666F"/>
    <w:rsid w:val="08DD4532"/>
    <w:rsid w:val="08EA726B"/>
    <w:rsid w:val="08F17FDE"/>
    <w:rsid w:val="0911242E"/>
    <w:rsid w:val="09184661"/>
    <w:rsid w:val="091A70EB"/>
    <w:rsid w:val="09206705"/>
    <w:rsid w:val="092B3874"/>
    <w:rsid w:val="0932487E"/>
    <w:rsid w:val="09371E95"/>
    <w:rsid w:val="093F0D49"/>
    <w:rsid w:val="09446F59"/>
    <w:rsid w:val="097C01EF"/>
    <w:rsid w:val="098A290C"/>
    <w:rsid w:val="09954E0D"/>
    <w:rsid w:val="099A391C"/>
    <w:rsid w:val="09C91B1B"/>
    <w:rsid w:val="09DB3168"/>
    <w:rsid w:val="09EF6C13"/>
    <w:rsid w:val="09F00295"/>
    <w:rsid w:val="0A0F4BBF"/>
    <w:rsid w:val="0A117F52"/>
    <w:rsid w:val="0A297BDC"/>
    <w:rsid w:val="0A2F5262"/>
    <w:rsid w:val="0A312D88"/>
    <w:rsid w:val="0A6767AA"/>
    <w:rsid w:val="0A717628"/>
    <w:rsid w:val="0A96708F"/>
    <w:rsid w:val="0A9B3379"/>
    <w:rsid w:val="0AAA2B3A"/>
    <w:rsid w:val="0AAC0660"/>
    <w:rsid w:val="0AD007F3"/>
    <w:rsid w:val="0ADF4592"/>
    <w:rsid w:val="0AEC3153"/>
    <w:rsid w:val="0AF10769"/>
    <w:rsid w:val="0AF225B3"/>
    <w:rsid w:val="0B00285D"/>
    <w:rsid w:val="0B022976"/>
    <w:rsid w:val="0B047D8E"/>
    <w:rsid w:val="0B1B1342"/>
    <w:rsid w:val="0B2B77D7"/>
    <w:rsid w:val="0B2D21BD"/>
    <w:rsid w:val="0B36513E"/>
    <w:rsid w:val="0B381EF4"/>
    <w:rsid w:val="0B5C03AF"/>
    <w:rsid w:val="0B703F6E"/>
    <w:rsid w:val="0B723658"/>
    <w:rsid w:val="0B980BE5"/>
    <w:rsid w:val="0BD32CF6"/>
    <w:rsid w:val="0BDC69EE"/>
    <w:rsid w:val="0BEC07AD"/>
    <w:rsid w:val="0BF12D0A"/>
    <w:rsid w:val="0C101DEE"/>
    <w:rsid w:val="0C225FA5"/>
    <w:rsid w:val="0C4C7576"/>
    <w:rsid w:val="0C52306D"/>
    <w:rsid w:val="0C5C7E64"/>
    <w:rsid w:val="0C72601D"/>
    <w:rsid w:val="0C7B256F"/>
    <w:rsid w:val="0C915D60"/>
    <w:rsid w:val="0C963376"/>
    <w:rsid w:val="0CA43CE5"/>
    <w:rsid w:val="0CC872A8"/>
    <w:rsid w:val="0CCF4ADA"/>
    <w:rsid w:val="0CE17CAE"/>
    <w:rsid w:val="0CE51C08"/>
    <w:rsid w:val="0CFF53BF"/>
    <w:rsid w:val="0D1129FD"/>
    <w:rsid w:val="0D186481"/>
    <w:rsid w:val="0D3A63F7"/>
    <w:rsid w:val="0D3D1A44"/>
    <w:rsid w:val="0D3D37F2"/>
    <w:rsid w:val="0D4B23B2"/>
    <w:rsid w:val="0D682F64"/>
    <w:rsid w:val="0D6C7F50"/>
    <w:rsid w:val="0D74027F"/>
    <w:rsid w:val="0D7A5A18"/>
    <w:rsid w:val="0D7C256C"/>
    <w:rsid w:val="0DA844A6"/>
    <w:rsid w:val="0DC66732"/>
    <w:rsid w:val="0DD7231B"/>
    <w:rsid w:val="0DF02FC6"/>
    <w:rsid w:val="0DFC545B"/>
    <w:rsid w:val="0E601E8E"/>
    <w:rsid w:val="0E721BC1"/>
    <w:rsid w:val="0E794CFD"/>
    <w:rsid w:val="0E7E2314"/>
    <w:rsid w:val="0E925DBF"/>
    <w:rsid w:val="0E991C92"/>
    <w:rsid w:val="0E9F4261"/>
    <w:rsid w:val="0EA07AC5"/>
    <w:rsid w:val="0EC046DA"/>
    <w:rsid w:val="0ECF2DB5"/>
    <w:rsid w:val="0EDE2DB2"/>
    <w:rsid w:val="0EE04D7C"/>
    <w:rsid w:val="0EEA6178"/>
    <w:rsid w:val="0F05649B"/>
    <w:rsid w:val="0F0C5B71"/>
    <w:rsid w:val="0F135152"/>
    <w:rsid w:val="0F145B27"/>
    <w:rsid w:val="0F225629"/>
    <w:rsid w:val="0F227CFE"/>
    <w:rsid w:val="0F377F2C"/>
    <w:rsid w:val="0F381D7B"/>
    <w:rsid w:val="0F475EA9"/>
    <w:rsid w:val="0F4B669A"/>
    <w:rsid w:val="0F517A28"/>
    <w:rsid w:val="0F615EBD"/>
    <w:rsid w:val="0F8200B8"/>
    <w:rsid w:val="0F9207AD"/>
    <w:rsid w:val="0F991365"/>
    <w:rsid w:val="0FA56A89"/>
    <w:rsid w:val="0FD541B5"/>
    <w:rsid w:val="0FF00FEF"/>
    <w:rsid w:val="0FF46A27"/>
    <w:rsid w:val="101C3B92"/>
    <w:rsid w:val="102B7CD1"/>
    <w:rsid w:val="10301ADC"/>
    <w:rsid w:val="1035792C"/>
    <w:rsid w:val="10367256"/>
    <w:rsid w:val="103E61FE"/>
    <w:rsid w:val="10490802"/>
    <w:rsid w:val="10685029"/>
    <w:rsid w:val="106C45FC"/>
    <w:rsid w:val="108A1444"/>
    <w:rsid w:val="10967DE9"/>
    <w:rsid w:val="109B53FF"/>
    <w:rsid w:val="109E41F1"/>
    <w:rsid w:val="10A74BAE"/>
    <w:rsid w:val="10AA4612"/>
    <w:rsid w:val="10B92746"/>
    <w:rsid w:val="10DE353E"/>
    <w:rsid w:val="10F06EDA"/>
    <w:rsid w:val="110D797F"/>
    <w:rsid w:val="111A207B"/>
    <w:rsid w:val="111B209C"/>
    <w:rsid w:val="111E1B8C"/>
    <w:rsid w:val="11333889"/>
    <w:rsid w:val="113C6CB1"/>
    <w:rsid w:val="11427629"/>
    <w:rsid w:val="11643A43"/>
    <w:rsid w:val="1173012A"/>
    <w:rsid w:val="11970B06"/>
    <w:rsid w:val="119F0F1F"/>
    <w:rsid w:val="11BD4180"/>
    <w:rsid w:val="11C10E95"/>
    <w:rsid w:val="11C24C0D"/>
    <w:rsid w:val="11F16D5E"/>
    <w:rsid w:val="11FE3E97"/>
    <w:rsid w:val="12142E4D"/>
    <w:rsid w:val="121865DB"/>
    <w:rsid w:val="1223332E"/>
    <w:rsid w:val="1225502D"/>
    <w:rsid w:val="122574BC"/>
    <w:rsid w:val="12273C58"/>
    <w:rsid w:val="12316C28"/>
    <w:rsid w:val="123A2DE3"/>
    <w:rsid w:val="125B2AB5"/>
    <w:rsid w:val="128D6FC9"/>
    <w:rsid w:val="12AD31C8"/>
    <w:rsid w:val="12BE3627"/>
    <w:rsid w:val="12CB7D62"/>
    <w:rsid w:val="12F36384"/>
    <w:rsid w:val="13365721"/>
    <w:rsid w:val="133833D9"/>
    <w:rsid w:val="13421B62"/>
    <w:rsid w:val="134A310C"/>
    <w:rsid w:val="13617714"/>
    <w:rsid w:val="13631AD8"/>
    <w:rsid w:val="137A57A0"/>
    <w:rsid w:val="137C732D"/>
    <w:rsid w:val="137F7E6F"/>
    <w:rsid w:val="138A0316"/>
    <w:rsid w:val="139614D6"/>
    <w:rsid w:val="13AF55AA"/>
    <w:rsid w:val="13B647DF"/>
    <w:rsid w:val="141F00F5"/>
    <w:rsid w:val="144911CC"/>
    <w:rsid w:val="144E4536"/>
    <w:rsid w:val="14504752"/>
    <w:rsid w:val="14556AED"/>
    <w:rsid w:val="145F04F1"/>
    <w:rsid w:val="149C1746"/>
    <w:rsid w:val="149E0624"/>
    <w:rsid w:val="149F4D92"/>
    <w:rsid w:val="14A22887"/>
    <w:rsid w:val="14A22C13"/>
    <w:rsid w:val="14A36A7A"/>
    <w:rsid w:val="14B946FD"/>
    <w:rsid w:val="14BC5944"/>
    <w:rsid w:val="14D6324F"/>
    <w:rsid w:val="15064E11"/>
    <w:rsid w:val="15341A03"/>
    <w:rsid w:val="1545358A"/>
    <w:rsid w:val="154C4D2C"/>
    <w:rsid w:val="15593193"/>
    <w:rsid w:val="156264EB"/>
    <w:rsid w:val="157D50D3"/>
    <w:rsid w:val="1594066F"/>
    <w:rsid w:val="15AA2C29"/>
    <w:rsid w:val="15AB5EBA"/>
    <w:rsid w:val="15AE34DE"/>
    <w:rsid w:val="15C11704"/>
    <w:rsid w:val="15D3423C"/>
    <w:rsid w:val="15DA0777"/>
    <w:rsid w:val="15E42046"/>
    <w:rsid w:val="15FB06EE"/>
    <w:rsid w:val="15FF30BE"/>
    <w:rsid w:val="1604710E"/>
    <w:rsid w:val="160C6457"/>
    <w:rsid w:val="16165636"/>
    <w:rsid w:val="162437A1"/>
    <w:rsid w:val="16293840"/>
    <w:rsid w:val="164107F7"/>
    <w:rsid w:val="16414353"/>
    <w:rsid w:val="167209B0"/>
    <w:rsid w:val="16726C02"/>
    <w:rsid w:val="16921052"/>
    <w:rsid w:val="16950915"/>
    <w:rsid w:val="1695469E"/>
    <w:rsid w:val="169923E1"/>
    <w:rsid w:val="16B03286"/>
    <w:rsid w:val="16B26FFE"/>
    <w:rsid w:val="16F450E7"/>
    <w:rsid w:val="16F81DA0"/>
    <w:rsid w:val="17063BEF"/>
    <w:rsid w:val="17094A74"/>
    <w:rsid w:val="171C60F0"/>
    <w:rsid w:val="171E6442"/>
    <w:rsid w:val="172B3C4A"/>
    <w:rsid w:val="17365E81"/>
    <w:rsid w:val="17695FA4"/>
    <w:rsid w:val="176C53FF"/>
    <w:rsid w:val="179F452E"/>
    <w:rsid w:val="17A03DC0"/>
    <w:rsid w:val="17AA65AD"/>
    <w:rsid w:val="17C249B3"/>
    <w:rsid w:val="17E7717C"/>
    <w:rsid w:val="17FF389C"/>
    <w:rsid w:val="17FF6273"/>
    <w:rsid w:val="181810E3"/>
    <w:rsid w:val="1820443C"/>
    <w:rsid w:val="18383533"/>
    <w:rsid w:val="18510A99"/>
    <w:rsid w:val="18570964"/>
    <w:rsid w:val="18585984"/>
    <w:rsid w:val="18814EDA"/>
    <w:rsid w:val="188C387F"/>
    <w:rsid w:val="18932E60"/>
    <w:rsid w:val="18A10C75"/>
    <w:rsid w:val="18A62B93"/>
    <w:rsid w:val="18B82B11"/>
    <w:rsid w:val="18CE3E98"/>
    <w:rsid w:val="18EE0096"/>
    <w:rsid w:val="190860B0"/>
    <w:rsid w:val="192B4E46"/>
    <w:rsid w:val="192D0BBE"/>
    <w:rsid w:val="19371A3D"/>
    <w:rsid w:val="19834C82"/>
    <w:rsid w:val="198D3D53"/>
    <w:rsid w:val="199826A2"/>
    <w:rsid w:val="199B7755"/>
    <w:rsid w:val="19AA77DF"/>
    <w:rsid w:val="19B25567"/>
    <w:rsid w:val="19DE162A"/>
    <w:rsid w:val="19EF116A"/>
    <w:rsid w:val="19FF6103"/>
    <w:rsid w:val="1A073B05"/>
    <w:rsid w:val="1A3D3083"/>
    <w:rsid w:val="1A424B3D"/>
    <w:rsid w:val="1A515CFE"/>
    <w:rsid w:val="1A5959E3"/>
    <w:rsid w:val="1A5D2E82"/>
    <w:rsid w:val="1A6908FD"/>
    <w:rsid w:val="1A7D4B23"/>
    <w:rsid w:val="1A80748F"/>
    <w:rsid w:val="1A9058A9"/>
    <w:rsid w:val="1A9F3D3E"/>
    <w:rsid w:val="1A9F789A"/>
    <w:rsid w:val="1AC94917"/>
    <w:rsid w:val="1AFC1190"/>
    <w:rsid w:val="1AFF2A2E"/>
    <w:rsid w:val="1B025B91"/>
    <w:rsid w:val="1B0604F0"/>
    <w:rsid w:val="1B1464DA"/>
    <w:rsid w:val="1B1A5C98"/>
    <w:rsid w:val="1B281F85"/>
    <w:rsid w:val="1B553555"/>
    <w:rsid w:val="1B662AAD"/>
    <w:rsid w:val="1B79633D"/>
    <w:rsid w:val="1BA57132"/>
    <w:rsid w:val="1BB05AD7"/>
    <w:rsid w:val="1BDD7243"/>
    <w:rsid w:val="1BF53514"/>
    <w:rsid w:val="1BFC53B5"/>
    <w:rsid w:val="1BFD0D1C"/>
    <w:rsid w:val="1C136791"/>
    <w:rsid w:val="1C1C7C94"/>
    <w:rsid w:val="1C262333"/>
    <w:rsid w:val="1C3362E1"/>
    <w:rsid w:val="1C5514CB"/>
    <w:rsid w:val="1C632B49"/>
    <w:rsid w:val="1C8D362E"/>
    <w:rsid w:val="1C9753F9"/>
    <w:rsid w:val="1CA97058"/>
    <w:rsid w:val="1CB03FE0"/>
    <w:rsid w:val="1CBB4CEA"/>
    <w:rsid w:val="1CC23D13"/>
    <w:rsid w:val="1CD13F56"/>
    <w:rsid w:val="1CE67A02"/>
    <w:rsid w:val="1CED6FE2"/>
    <w:rsid w:val="1CF80B3B"/>
    <w:rsid w:val="1D1C3424"/>
    <w:rsid w:val="1D225130"/>
    <w:rsid w:val="1D4B5FB6"/>
    <w:rsid w:val="1D5A5F73"/>
    <w:rsid w:val="1D5D190B"/>
    <w:rsid w:val="1D5E11F7"/>
    <w:rsid w:val="1D636E5C"/>
    <w:rsid w:val="1D686669"/>
    <w:rsid w:val="1D7F39B2"/>
    <w:rsid w:val="1D850600"/>
    <w:rsid w:val="1DA638ED"/>
    <w:rsid w:val="1DA8115B"/>
    <w:rsid w:val="1DB34AD2"/>
    <w:rsid w:val="1DD54A47"/>
    <w:rsid w:val="1DDB32DF"/>
    <w:rsid w:val="1E05658C"/>
    <w:rsid w:val="1E1D38F7"/>
    <w:rsid w:val="1E276524"/>
    <w:rsid w:val="1E4B75AE"/>
    <w:rsid w:val="1E4D2A45"/>
    <w:rsid w:val="1E585A9B"/>
    <w:rsid w:val="1E605592"/>
    <w:rsid w:val="1E636E30"/>
    <w:rsid w:val="1E796654"/>
    <w:rsid w:val="1E965458"/>
    <w:rsid w:val="1EAE48FD"/>
    <w:rsid w:val="1EBB3A0B"/>
    <w:rsid w:val="1EBF49AE"/>
    <w:rsid w:val="1EC27FFB"/>
    <w:rsid w:val="1EC71AB5"/>
    <w:rsid w:val="1ED55F80"/>
    <w:rsid w:val="1EDB10BC"/>
    <w:rsid w:val="1EE76503"/>
    <w:rsid w:val="1EFD54D7"/>
    <w:rsid w:val="1F1545CE"/>
    <w:rsid w:val="1F274302"/>
    <w:rsid w:val="1F38650F"/>
    <w:rsid w:val="1F4F2B0F"/>
    <w:rsid w:val="1F6E6D87"/>
    <w:rsid w:val="1F841754"/>
    <w:rsid w:val="1F8D685B"/>
    <w:rsid w:val="1FA91635"/>
    <w:rsid w:val="1FB738D7"/>
    <w:rsid w:val="1FBB33C8"/>
    <w:rsid w:val="1FC3402A"/>
    <w:rsid w:val="1FC5177E"/>
    <w:rsid w:val="1FCF6BD7"/>
    <w:rsid w:val="1FE43FA1"/>
    <w:rsid w:val="20271CC8"/>
    <w:rsid w:val="202F16C0"/>
    <w:rsid w:val="20427F48"/>
    <w:rsid w:val="204D457A"/>
    <w:rsid w:val="207417C9"/>
    <w:rsid w:val="207B2B57"/>
    <w:rsid w:val="20B7160C"/>
    <w:rsid w:val="20B91CE4"/>
    <w:rsid w:val="20C756B8"/>
    <w:rsid w:val="20E73D48"/>
    <w:rsid w:val="20EA55E7"/>
    <w:rsid w:val="20F17CC2"/>
    <w:rsid w:val="20FD17BE"/>
    <w:rsid w:val="211F4A87"/>
    <w:rsid w:val="21220FDB"/>
    <w:rsid w:val="21272A34"/>
    <w:rsid w:val="213B68AD"/>
    <w:rsid w:val="21555156"/>
    <w:rsid w:val="21676C37"/>
    <w:rsid w:val="21976E5D"/>
    <w:rsid w:val="2197751D"/>
    <w:rsid w:val="219E6AFD"/>
    <w:rsid w:val="21C61B60"/>
    <w:rsid w:val="21CD1190"/>
    <w:rsid w:val="21DC7625"/>
    <w:rsid w:val="21EB376C"/>
    <w:rsid w:val="22097F72"/>
    <w:rsid w:val="222D1C2F"/>
    <w:rsid w:val="22435342"/>
    <w:rsid w:val="2254540E"/>
    <w:rsid w:val="226118D9"/>
    <w:rsid w:val="22630287"/>
    <w:rsid w:val="22660462"/>
    <w:rsid w:val="227817C2"/>
    <w:rsid w:val="227B299A"/>
    <w:rsid w:val="22A46395"/>
    <w:rsid w:val="22CE3412"/>
    <w:rsid w:val="22F34C27"/>
    <w:rsid w:val="231B6DD4"/>
    <w:rsid w:val="232C2B22"/>
    <w:rsid w:val="233139A1"/>
    <w:rsid w:val="233A0AA7"/>
    <w:rsid w:val="234522A4"/>
    <w:rsid w:val="235B2F2E"/>
    <w:rsid w:val="23645D40"/>
    <w:rsid w:val="23871813"/>
    <w:rsid w:val="23A14CC0"/>
    <w:rsid w:val="23A94E6A"/>
    <w:rsid w:val="23C91E2B"/>
    <w:rsid w:val="23D20CE0"/>
    <w:rsid w:val="23D405EF"/>
    <w:rsid w:val="23EB4639"/>
    <w:rsid w:val="23F752D7"/>
    <w:rsid w:val="240864B0"/>
    <w:rsid w:val="242157C3"/>
    <w:rsid w:val="24253E98"/>
    <w:rsid w:val="24280900"/>
    <w:rsid w:val="24311EAA"/>
    <w:rsid w:val="246F29D3"/>
    <w:rsid w:val="24727DCD"/>
    <w:rsid w:val="24950F82"/>
    <w:rsid w:val="249661B1"/>
    <w:rsid w:val="249A48C2"/>
    <w:rsid w:val="249D12EE"/>
    <w:rsid w:val="24B403E6"/>
    <w:rsid w:val="24B76319"/>
    <w:rsid w:val="24C74FB8"/>
    <w:rsid w:val="24C76BD4"/>
    <w:rsid w:val="24C90335"/>
    <w:rsid w:val="24D31C46"/>
    <w:rsid w:val="24E16D01"/>
    <w:rsid w:val="24E231A5"/>
    <w:rsid w:val="24ED56A6"/>
    <w:rsid w:val="24F37160"/>
    <w:rsid w:val="24FE78B3"/>
    <w:rsid w:val="25115838"/>
    <w:rsid w:val="25207829"/>
    <w:rsid w:val="252C4420"/>
    <w:rsid w:val="256B319A"/>
    <w:rsid w:val="257D4C7B"/>
    <w:rsid w:val="257F12C3"/>
    <w:rsid w:val="25A246E2"/>
    <w:rsid w:val="25A641D2"/>
    <w:rsid w:val="25B14925"/>
    <w:rsid w:val="25BF34E6"/>
    <w:rsid w:val="25C32FD6"/>
    <w:rsid w:val="25CD5C03"/>
    <w:rsid w:val="25E37751"/>
    <w:rsid w:val="25E82A3D"/>
    <w:rsid w:val="25EA2F9C"/>
    <w:rsid w:val="25FC109E"/>
    <w:rsid w:val="260F3265"/>
    <w:rsid w:val="26255D30"/>
    <w:rsid w:val="265C708D"/>
    <w:rsid w:val="266B541C"/>
    <w:rsid w:val="266D2A28"/>
    <w:rsid w:val="266E3A32"/>
    <w:rsid w:val="267317BA"/>
    <w:rsid w:val="267A29D7"/>
    <w:rsid w:val="267F648B"/>
    <w:rsid w:val="269A2D75"/>
    <w:rsid w:val="26AE6D2F"/>
    <w:rsid w:val="26DA109E"/>
    <w:rsid w:val="26E256DE"/>
    <w:rsid w:val="26FC7E22"/>
    <w:rsid w:val="270C275B"/>
    <w:rsid w:val="27174C5C"/>
    <w:rsid w:val="273870AC"/>
    <w:rsid w:val="27402404"/>
    <w:rsid w:val="276421E5"/>
    <w:rsid w:val="276854B7"/>
    <w:rsid w:val="276C5573"/>
    <w:rsid w:val="27A85B99"/>
    <w:rsid w:val="27B23977"/>
    <w:rsid w:val="27D52B4D"/>
    <w:rsid w:val="27DE7716"/>
    <w:rsid w:val="27ED0F2C"/>
    <w:rsid w:val="27EE1E60"/>
    <w:rsid w:val="27F356C9"/>
    <w:rsid w:val="27FD412F"/>
    <w:rsid w:val="281C69CE"/>
    <w:rsid w:val="28293BEB"/>
    <w:rsid w:val="28490586"/>
    <w:rsid w:val="28497097"/>
    <w:rsid w:val="285223EF"/>
    <w:rsid w:val="28577471"/>
    <w:rsid w:val="287E36F4"/>
    <w:rsid w:val="287E4F92"/>
    <w:rsid w:val="28950E82"/>
    <w:rsid w:val="28A15125"/>
    <w:rsid w:val="28CA467C"/>
    <w:rsid w:val="28E82D54"/>
    <w:rsid w:val="28EC2844"/>
    <w:rsid w:val="28ED036A"/>
    <w:rsid w:val="29023E15"/>
    <w:rsid w:val="29033504"/>
    <w:rsid w:val="29183639"/>
    <w:rsid w:val="292C2C40"/>
    <w:rsid w:val="293E4316"/>
    <w:rsid w:val="294127D7"/>
    <w:rsid w:val="294E6051"/>
    <w:rsid w:val="29787C34"/>
    <w:rsid w:val="29A547A1"/>
    <w:rsid w:val="29C410CB"/>
    <w:rsid w:val="29C6398F"/>
    <w:rsid w:val="29DF1CCB"/>
    <w:rsid w:val="29E17ECF"/>
    <w:rsid w:val="29E90D1D"/>
    <w:rsid w:val="29FD282F"/>
    <w:rsid w:val="2A020CBF"/>
    <w:rsid w:val="2A11688F"/>
    <w:rsid w:val="2A1B0C69"/>
    <w:rsid w:val="2A27165A"/>
    <w:rsid w:val="2A351FC9"/>
    <w:rsid w:val="2A424D20"/>
    <w:rsid w:val="2A4A2EAA"/>
    <w:rsid w:val="2A510807"/>
    <w:rsid w:val="2A522B7B"/>
    <w:rsid w:val="2A5306A1"/>
    <w:rsid w:val="2A6B1546"/>
    <w:rsid w:val="2A7918AF"/>
    <w:rsid w:val="2A897878"/>
    <w:rsid w:val="2A932D82"/>
    <w:rsid w:val="2AAB4039"/>
    <w:rsid w:val="2AAF3B29"/>
    <w:rsid w:val="2AB07B22"/>
    <w:rsid w:val="2AB654B5"/>
    <w:rsid w:val="2AC4736E"/>
    <w:rsid w:val="2AC94BBC"/>
    <w:rsid w:val="2ACD0453"/>
    <w:rsid w:val="2AD029E2"/>
    <w:rsid w:val="2AED223B"/>
    <w:rsid w:val="2AF7102C"/>
    <w:rsid w:val="2AF861BA"/>
    <w:rsid w:val="2B065713"/>
    <w:rsid w:val="2B0D6AA1"/>
    <w:rsid w:val="2B11417F"/>
    <w:rsid w:val="2B3109E2"/>
    <w:rsid w:val="2B367DA6"/>
    <w:rsid w:val="2B454FC8"/>
    <w:rsid w:val="2B512E32"/>
    <w:rsid w:val="2B522706"/>
    <w:rsid w:val="2B5A7C7C"/>
    <w:rsid w:val="2B63442E"/>
    <w:rsid w:val="2B674404"/>
    <w:rsid w:val="2B6C5576"/>
    <w:rsid w:val="2B6D7311"/>
    <w:rsid w:val="2B7177A9"/>
    <w:rsid w:val="2B74267D"/>
    <w:rsid w:val="2B852ADC"/>
    <w:rsid w:val="2B996587"/>
    <w:rsid w:val="2BC17F83"/>
    <w:rsid w:val="2BC5737C"/>
    <w:rsid w:val="2BC902D5"/>
    <w:rsid w:val="2BD355F5"/>
    <w:rsid w:val="2BE01EB4"/>
    <w:rsid w:val="2BE643B4"/>
    <w:rsid w:val="2BEB6DE3"/>
    <w:rsid w:val="2BED3CB8"/>
    <w:rsid w:val="2BF0264B"/>
    <w:rsid w:val="2BF27BB5"/>
    <w:rsid w:val="2BF33EE9"/>
    <w:rsid w:val="2BF65788"/>
    <w:rsid w:val="2C2E3173"/>
    <w:rsid w:val="2C412EA7"/>
    <w:rsid w:val="2C5030EA"/>
    <w:rsid w:val="2C532BDA"/>
    <w:rsid w:val="2C534988"/>
    <w:rsid w:val="2C5A3F68"/>
    <w:rsid w:val="2C6708D1"/>
    <w:rsid w:val="2C6852A9"/>
    <w:rsid w:val="2C792640"/>
    <w:rsid w:val="2C7C3EDF"/>
    <w:rsid w:val="2C8068DD"/>
    <w:rsid w:val="2C972810"/>
    <w:rsid w:val="2C9F3729"/>
    <w:rsid w:val="2CA3146B"/>
    <w:rsid w:val="2CC633AC"/>
    <w:rsid w:val="2CF577ED"/>
    <w:rsid w:val="2D016192"/>
    <w:rsid w:val="2D17277F"/>
    <w:rsid w:val="2D281971"/>
    <w:rsid w:val="2D410C84"/>
    <w:rsid w:val="2D502C75"/>
    <w:rsid w:val="2D5664DE"/>
    <w:rsid w:val="2D6F535B"/>
    <w:rsid w:val="2D766B80"/>
    <w:rsid w:val="2D7971C6"/>
    <w:rsid w:val="2D8E2DF0"/>
    <w:rsid w:val="2D9A4A11"/>
    <w:rsid w:val="2D9B0395"/>
    <w:rsid w:val="2D9C5EBB"/>
    <w:rsid w:val="2DD13DB6"/>
    <w:rsid w:val="2DFB0E33"/>
    <w:rsid w:val="2E114561"/>
    <w:rsid w:val="2E255193"/>
    <w:rsid w:val="2E2A6AAB"/>
    <w:rsid w:val="2E3305CD"/>
    <w:rsid w:val="2E513149"/>
    <w:rsid w:val="2E7F52E1"/>
    <w:rsid w:val="2E9949CD"/>
    <w:rsid w:val="2EA17C2D"/>
    <w:rsid w:val="2EAB3BA0"/>
    <w:rsid w:val="2EBE07DF"/>
    <w:rsid w:val="2EC549F9"/>
    <w:rsid w:val="2EC5717E"/>
    <w:rsid w:val="2ECA7717"/>
    <w:rsid w:val="2ED406E8"/>
    <w:rsid w:val="2EDC6090"/>
    <w:rsid w:val="2EE5393A"/>
    <w:rsid w:val="2EE63891"/>
    <w:rsid w:val="2EE6563F"/>
    <w:rsid w:val="2EE67D35"/>
    <w:rsid w:val="2F034443"/>
    <w:rsid w:val="2F4607D4"/>
    <w:rsid w:val="2F490108"/>
    <w:rsid w:val="2F544078"/>
    <w:rsid w:val="2F634EE2"/>
    <w:rsid w:val="2F81253B"/>
    <w:rsid w:val="2F9B467C"/>
    <w:rsid w:val="2FA07574"/>
    <w:rsid w:val="2FA554FB"/>
    <w:rsid w:val="2FB709B0"/>
    <w:rsid w:val="2FC96724"/>
    <w:rsid w:val="30032221"/>
    <w:rsid w:val="30105F91"/>
    <w:rsid w:val="30405223"/>
    <w:rsid w:val="30506FE0"/>
    <w:rsid w:val="305674EF"/>
    <w:rsid w:val="306A2B50"/>
    <w:rsid w:val="30782C0F"/>
    <w:rsid w:val="307A6987"/>
    <w:rsid w:val="30843362"/>
    <w:rsid w:val="309E2150"/>
    <w:rsid w:val="30A25EDE"/>
    <w:rsid w:val="30A53990"/>
    <w:rsid w:val="30A91A23"/>
    <w:rsid w:val="30B25424"/>
    <w:rsid w:val="30B405AF"/>
    <w:rsid w:val="30B5036B"/>
    <w:rsid w:val="30C70546"/>
    <w:rsid w:val="31087379"/>
    <w:rsid w:val="311E31F3"/>
    <w:rsid w:val="312468F3"/>
    <w:rsid w:val="316E375D"/>
    <w:rsid w:val="31722DE3"/>
    <w:rsid w:val="317A57A7"/>
    <w:rsid w:val="31A17F44"/>
    <w:rsid w:val="31A55C86"/>
    <w:rsid w:val="31A737AC"/>
    <w:rsid w:val="31CB1F89"/>
    <w:rsid w:val="320A7897"/>
    <w:rsid w:val="32130E41"/>
    <w:rsid w:val="321B7CF6"/>
    <w:rsid w:val="321E77E6"/>
    <w:rsid w:val="32297AFD"/>
    <w:rsid w:val="322F3459"/>
    <w:rsid w:val="32346C69"/>
    <w:rsid w:val="32394CA9"/>
    <w:rsid w:val="32435C97"/>
    <w:rsid w:val="32586854"/>
    <w:rsid w:val="32700AC1"/>
    <w:rsid w:val="32721814"/>
    <w:rsid w:val="32806CA0"/>
    <w:rsid w:val="32BA12BD"/>
    <w:rsid w:val="32C15FF8"/>
    <w:rsid w:val="32CC2D9E"/>
    <w:rsid w:val="32D66952"/>
    <w:rsid w:val="32DD3D4A"/>
    <w:rsid w:val="32E96D73"/>
    <w:rsid w:val="32EB483E"/>
    <w:rsid w:val="32F04786"/>
    <w:rsid w:val="331C3D26"/>
    <w:rsid w:val="33291F9F"/>
    <w:rsid w:val="33370FEA"/>
    <w:rsid w:val="333E1EEE"/>
    <w:rsid w:val="335C0083"/>
    <w:rsid w:val="33754C06"/>
    <w:rsid w:val="3378463D"/>
    <w:rsid w:val="337C6572"/>
    <w:rsid w:val="33BC2E13"/>
    <w:rsid w:val="33D463AE"/>
    <w:rsid w:val="33E35BA8"/>
    <w:rsid w:val="34254E5C"/>
    <w:rsid w:val="342804A8"/>
    <w:rsid w:val="346239BA"/>
    <w:rsid w:val="34724719"/>
    <w:rsid w:val="34921223"/>
    <w:rsid w:val="34955FD2"/>
    <w:rsid w:val="3498562E"/>
    <w:rsid w:val="34A30758"/>
    <w:rsid w:val="34BA45C5"/>
    <w:rsid w:val="34BB756E"/>
    <w:rsid w:val="34DC1AF0"/>
    <w:rsid w:val="34E24AFB"/>
    <w:rsid w:val="34FB5BBD"/>
    <w:rsid w:val="34FF56AD"/>
    <w:rsid w:val="351C00C1"/>
    <w:rsid w:val="352E7D40"/>
    <w:rsid w:val="35325A82"/>
    <w:rsid w:val="35337105"/>
    <w:rsid w:val="353C420B"/>
    <w:rsid w:val="355754E9"/>
    <w:rsid w:val="35577297"/>
    <w:rsid w:val="355C7475"/>
    <w:rsid w:val="356D07FD"/>
    <w:rsid w:val="35765431"/>
    <w:rsid w:val="357E0CC8"/>
    <w:rsid w:val="358C3E1D"/>
    <w:rsid w:val="359120CE"/>
    <w:rsid w:val="359C2EFC"/>
    <w:rsid w:val="35A87AF3"/>
    <w:rsid w:val="35C97A69"/>
    <w:rsid w:val="35E36D7D"/>
    <w:rsid w:val="35EF383D"/>
    <w:rsid w:val="36062E3D"/>
    <w:rsid w:val="360C2B63"/>
    <w:rsid w:val="360D5BA8"/>
    <w:rsid w:val="36173C37"/>
    <w:rsid w:val="361A2790"/>
    <w:rsid w:val="364F7F6E"/>
    <w:rsid w:val="365B0D17"/>
    <w:rsid w:val="36653C36"/>
    <w:rsid w:val="3679148F"/>
    <w:rsid w:val="36835E6A"/>
    <w:rsid w:val="368F0E8A"/>
    <w:rsid w:val="36A52284"/>
    <w:rsid w:val="36C941C4"/>
    <w:rsid w:val="36F56D7F"/>
    <w:rsid w:val="371116C7"/>
    <w:rsid w:val="373A0397"/>
    <w:rsid w:val="374C2700"/>
    <w:rsid w:val="37517D16"/>
    <w:rsid w:val="37563943"/>
    <w:rsid w:val="375D1149"/>
    <w:rsid w:val="379C139A"/>
    <w:rsid w:val="37BF18B3"/>
    <w:rsid w:val="37D56B99"/>
    <w:rsid w:val="37F30DCD"/>
    <w:rsid w:val="381807A6"/>
    <w:rsid w:val="382E4232"/>
    <w:rsid w:val="38381034"/>
    <w:rsid w:val="38487848"/>
    <w:rsid w:val="38507FCD"/>
    <w:rsid w:val="38717B72"/>
    <w:rsid w:val="38750761"/>
    <w:rsid w:val="38804D57"/>
    <w:rsid w:val="38B96C99"/>
    <w:rsid w:val="38C84008"/>
    <w:rsid w:val="38F368E2"/>
    <w:rsid w:val="38F92413"/>
    <w:rsid w:val="39406294"/>
    <w:rsid w:val="396E0276"/>
    <w:rsid w:val="397B79C7"/>
    <w:rsid w:val="398C433A"/>
    <w:rsid w:val="39965EB4"/>
    <w:rsid w:val="39972358"/>
    <w:rsid w:val="39987E7E"/>
    <w:rsid w:val="399E5831"/>
    <w:rsid w:val="39C12F31"/>
    <w:rsid w:val="39EB4452"/>
    <w:rsid w:val="39FC040D"/>
    <w:rsid w:val="3A0472C2"/>
    <w:rsid w:val="3A2B0CF2"/>
    <w:rsid w:val="3A303BAF"/>
    <w:rsid w:val="3A321D29"/>
    <w:rsid w:val="3A3E1146"/>
    <w:rsid w:val="3A6D30B9"/>
    <w:rsid w:val="3A790A95"/>
    <w:rsid w:val="3AA02AB4"/>
    <w:rsid w:val="3AAF547F"/>
    <w:rsid w:val="3AD27A96"/>
    <w:rsid w:val="3ADE7B13"/>
    <w:rsid w:val="3AE2791F"/>
    <w:rsid w:val="3AF85078"/>
    <w:rsid w:val="3B0E664A"/>
    <w:rsid w:val="3B0F4119"/>
    <w:rsid w:val="3B4E004F"/>
    <w:rsid w:val="3B5E633C"/>
    <w:rsid w:val="3B6562DF"/>
    <w:rsid w:val="3B7312B9"/>
    <w:rsid w:val="3B847F81"/>
    <w:rsid w:val="3B9E47CD"/>
    <w:rsid w:val="3BB16FD5"/>
    <w:rsid w:val="3BDF7FE6"/>
    <w:rsid w:val="3BF75330"/>
    <w:rsid w:val="3BF770DE"/>
    <w:rsid w:val="3BF84C04"/>
    <w:rsid w:val="3BF87588"/>
    <w:rsid w:val="3C047A4D"/>
    <w:rsid w:val="3C0D06AF"/>
    <w:rsid w:val="3C3420E0"/>
    <w:rsid w:val="3C5A141B"/>
    <w:rsid w:val="3C7C39AC"/>
    <w:rsid w:val="3C8A3384"/>
    <w:rsid w:val="3C9C5234"/>
    <w:rsid w:val="3CA408E8"/>
    <w:rsid w:val="3CA52FDE"/>
    <w:rsid w:val="3CD75376"/>
    <w:rsid w:val="3CEA09F1"/>
    <w:rsid w:val="3CF37BF5"/>
    <w:rsid w:val="3D3F16FF"/>
    <w:rsid w:val="3D485717"/>
    <w:rsid w:val="3D72044D"/>
    <w:rsid w:val="3D90787E"/>
    <w:rsid w:val="3D962926"/>
    <w:rsid w:val="3DBE509A"/>
    <w:rsid w:val="3DC04B01"/>
    <w:rsid w:val="3DD60F75"/>
    <w:rsid w:val="3DE471D9"/>
    <w:rsid w:val="3E1877DF"/>
    <w:rsid w:val="3E2241BA"/>
    <w:rsid w:val="3E2717D1"/>
    <w:rsid w:val="3E38578C"/>
    <w:rsid w:val="3E43485C"/>
    <w:rsid w:val="3E4405D4"/>
    <w:rsid w:val="3E50538B"/>
    <w:rsid w:val="3E543DC7"/>
    <w:rsid w:val="3E5F0F6A"/>
    <w:rsid w:val="3E6842AE"/>
    <w:rsid w:val="3E686071"/>
    <w:rsid w:val="3E6A003B"/>
    <w:rsid w:val="3E774ED1"/>
    <w:rsid w:val="3E7A5DA4"/>
    <w:rsid w:val="3E9560B7"/>
    <w:rsid w:val="3E974BA8"/>
    <w:rsid w:val="3EAD4561"/>
    <w:rsid w:val="3EB5502E"/>
    <w:rsid w:val="3ECA1683"/>
    <w:rsid w:val="3EDA5FC1"/>
    <w:rsid w:val="3F057FEE"/>
    <w:rsid w:val="3F0A35CC"/>
    <w:rsid w:val="3F204B9E"/>
    <w:rsid w:val="3F435726"/>
    <w:rsid w:val="3F591E5E"/>
    <w:rsid w:val="3F5B5BD6"/>
    <w:rsid w:val="3F620D12"/>
    <w:rsid w:val="3F634A8A"/>
    <w:rsid w:val="3F7015CA"/>
    <w:rsid w:val="3F72705C"/>
    <w:rsid w:val="3F781209"/>
    <w:rsid w:val="3F7D78FA"/>
    <w:rsid w:val="3F850EA5"/>
    <w:rsid w:val="3F8714EC"/>
    <w:rsid w:val="3F9F1093"/>
    <w:rsid w:val="3FAC2374"/>
    <w:rsid w:val="3FCC262F"/>
    <w:rsid w:val="3FD33F63"/>
    <w:rsid w:val="3FEC2CD2"/>
    <w:rsid w:val="403D4CF2"/>
    <w:rsid w:val="403E177F"/>
    <w:rsid w:val="40556AC9"/>
    <w:rsid w:val="407C4056"/>
    <w:rsid w:val="4081166C"/>
    <w:rsid w:val="40A435AC"/>
    <w:rsid w:val="40C8729B"/>
    <w:rsid w:val="40D61330"/>
    <w:rsid w:val="411918A4"/>
    <w:rsid w:val="41197C65"/>
    <w:rsid w:val="41214BFD"/>
    <w:rsid w:val="412A1D04"/>
    <w:rsid w:val="413E2C75"/>
    <w:rsid w:val="414C3A28"/>
    <w:rsid w:val="414F52C6"/>
    <w:rsid w:val="417E40C0"/>
    <w:rsid w:val="418A09F4"/>
    <w:rsid w:val="41CA5CC4"/>
    <w:rsid w:val="41F01EAA"/>
    <w:rsid w:val="42297686"/>
    <w:rsid w:val="422B5D33"/>
    <w:rsid w:val="42552980"/>
    <w:rsid w:val="426B25D4"/>
    <w:rsid w:val="426B5681"/>
    <w:rsid w:val="42727268"/>
    <w:rsid w:val="427D5E63"/>
    <w:rsid w:val="42A653BA"/>
    <w:rsid w:val="42C65A5C"/>
    <w:rsid w:val="42C944B4"/>
    <w:rsid w:val="42D02437"/>
    <w:rsid w:val="42F205FF"/>
    <w:rsid w:val="42F23D5F"/>
    <w:rsid w:val="42F44377"/>
    <w:rsid w:val="43071151"/>
    <w:rsid w:val="431247FD"/>
    <w:rsid w:val="431E13F4"/>
    <w:rsid w:val="4326474D"/>
    <w:rsid w:val="436361B0"/>
    <w:rsid w:val="439E42E3"/>
    <w:rsid w:val="43A80903"/>
    <w:rsid w:val="43E20674"/>
    <w:rsid w:val="43EA577A"/>
    <w:rsid w:val="43EB73AA"/>
    <w:rsid w:val="43F565F9"/>
    <w:rsid w:val="44136783"/>
    <w:rsid w:val="44150A49"/>
    <w:rsid w:val="44233E12"/>
    <w:rsid w:val="445350CD"/>
    <w:rsid w:val="446A46FF"/>
    <w:rsid w:val="447D2BAF"/>
    <w:rsid w:val="44833538"/>
    <w:rsid w:val="44935E12"/>
    <w:rsid w:val="44A818BD"/>
    <w:rsid w:val="44C1472D"/>
    <w:rsid w:val="44CD4E80"/>
    <w:rsid w:val="44D22DE7"/>
    <w:rsid w:val="44D426B2"/>
    <w:rsid w:val="44D473C9"/>
    <w:rsid w:val="44E03886"/>
    <w:rsid w:val="44E20B2F"/>
    <w:rsid w:val="44E24DB2"/>
    <w:rsid w:val="44E714C2"/>
    <w:rsid w:val="44EA1B73"/>
    <w:rsid w:val="44EB0FE7"/>
    <w:rsid w:val="44FC39B7"/>
    <w:rsid w:val="450A4C54"/>
    <w:rsid w:val="452A76F8"/>
    <w:rsid w:val="453942C3"/>
    <w:rsid w:val="453A148C"/>
    <w:rsid w:val="45667082"/>
    <w:rsid w:val="456B41CA"/>
    <w:rsid w:val="458B6AE9"/>
    <w:rsid w:val="459C7154"/>
    <w:rsid w:val="45B147A1"/>
    <w:rsid w:val="45CC15DB"/>
    <w:rsid w:val="45CE5353"/>
    <w:rsid w:val="45E36925"/>
    <w:rsid w:val="461B13FB"/>
    <w:rsid w:val="461B710B"/>
    <w:rsid w:val="462676C7"/>
    <w:rsid w:val="466435C2"/>
    <w:rsid w:val="46674E60"/>
    <w:rsid w:val="46732210"/>
    <w:rsid w:val="46771BE6"/>
    <w:rsid w:val="46846EDC"/>
    <w:rsid w:val="46A359CC"/>
    <w:rsid w:val="46B553BE"/>
    <w:rsid w:val="46D01214"/>
    <w:rsid w:val="46D21C8C"/>
    <w:rsid w:val="46D87B0C"/>
    <w:rsid w:val="47134FE8"/>
    <w:rsid w:val="471C1660"/>
    <w:rsid w:val="472E6609"/>
    <w:rsid w:val="47305B9A"/>
    <w:rsid w:val="47713C7F"/>
    <w:rsid w:val="477261B2"/>
    <w:rsid w:val="47783365"/>
    <w:rsid w:val="478D6B48"/>
    <w:rsid w:val="478F41FD"/>
    <w:rsid w:val="479640A9"/>
    <w:rsid w:val="47AC3472"/>
    <w:rsid w:val="47D227AD"/>
    <w:rsid w:val="47E10C1D"/>
    <w:rsid w:val="47EC1AC1"/>
    <w:rsid w:val="482079BC"/>
    <w:rsid w:val="4821760A"/>
    <w:rsid w:val="48291245"/>
    <w:rsid w:val="484E254C"/>
    <w:rsid w:val="485B6C46"/>
    <w:rsid w:val="48662BA5"/>
    <w:rsid w:val="48744696"/>
    <w:rsid w:val="48981C49"/>
    <w:rsid w:val="490B41C9"/>
    <w:rsid w:val="490E3CB9"/>
    <w:rsid w:val="49137521"/>
    <w:rsid w:val="491D3164"/>
    <w:rsid w:val="49303C2F"/>
    <w:rsid w:val="494823F1"/>
    <w:rsid w:val="49553696"/>
    <w:rsid w:val="495A05DD"/>
    <w:rsid w:val="495E69EE"/>
    <w:rsid w:val="49610ABA"/>
    <w:rsid w:val="49B04D70"/>
    <w:rsid w:val="49BB74BE"/>
    <w:rsid w:val="49BD7ADA"/>
    <w:rsid w:val="49C83E68"/>
    <w:rsid w:val="49FC1D63"/>
    <w:rsid w:val="4A2E4398"/>
    <w:rsid w:val="4A301A0D"/>
    <w:rsid w:val="4A350BE4"/>
    <w:rsid w:val="4A421E6C"/>
    <w:rsid w:val="4A4756D4"/>
    <w:rsid w:val="4A8204BA"/>
    <w:rsid w:val="4A8775D1"/>
    <w:rsid w:val="4A8A3813"/>
    <w:rsid w:val="4A8C30E7"/>
    <w:rsid w:val="4AA757D8"/>
    <w:rsid w:val="4AB56AE2"/>
    <w:rsid w:val="4AC41B32"/>
    <w:rsid w:val="4AC558EE"/>
    <w:rsid w:val="4ACE3700"/>
    <w:rsid w:val="4AEC1002"/>
    <w:rsid w:val="4AF55130"/>
    <w:rsid w:val="4AF6380F"/>
    <w:rsid w:val="4B047121"/>
    <w:rsid w:val="4B0C5FD6"/>
    <w:rsid w:val="4B17589E"/>
    <w:rsid w:val="4B3113E2"/>
    <w:rsid w:val="4B391DA4"/>
    <w:rsid w:val="4B492A9E"/>
    <w:rsid w:val="4B5E6486"/>
    <w:rsid w:val="4B6127C6"/>
    <w:rsid w:val="4B63568F"/>
    <w:rsid w:val="4B666BB6"/>
    <w:rsid w:val="4B683B54"/>
    <w:rsid w:val="4B8E10E1"/>
    <w:rsid w:val="4B996BD0"/>
    <w:rsid w:val="4B9D5296"/>
    <w:rsid w:val="4BA3693A"/>
    <w:rsid w:val="4BEF1B80"/>
    <w:rsid w:val="4BF03B4A"/>
    <w:rsid w:val="4BF76C86"/>
    <w:rsid w:val="4BFE0015"/>
    <w:rsid w:val="4C2B6930"/>
    <w:rsid w:val="4C2D0810"/>
    <w:rsid w:val="4C35155C"/>
    <w:rsid w:val="4C3D6D8F"/>
    <w:rsid w:val="4C3F5444"/>
    <w:rsid w:val="4C682E9E"/>
    <w:rsid w:val="4C8D3147"/>
    <w:rsid w:val="4CA7245A"/>
    <w:rsid w:val="4CAE6D08"/>
    <w:rsid w:val="4CBD57DA"/>
    <w:rsid w:val="4CDF7E46"/>
    <w:rsid w:val="4CE25C17"/>
    <w:rsid w:val="4CFF4B86"/>
    <w:rsid w:val="4D165792"/>
    <w:rsid w:val="4D2B629C"/>
    <w:rsid w:val="4D505D9D"/>
    <w:rsid w:val="4D50664E"/>
    <w:rsid w:val="4D565C2E"/>
    <w:rsid w:val="4D603FF5"/>
    <w:rsid w:val="4D7367E0"/>
    <w:rsid w:val="4D7544C6"/>
    <w:rsid w:val="4D7B0486"/>
    <w:rsid w:val="4D7B3677"/>
    <w:rsid w:val="4DAD3AA0"/>
    <w:rsid w:val="4DDD0F66"/>
    <w:rsid w:val="4DEC63D5"/>
    <w:rsid w:val="4E071685"/>
    <w:rsid w:val="4E0A4CE6"/>
    <w:rsid w:val="4E0B4C6B"/>
    <w:rsid w:val="4E361CE8"/>
    <w:rsid w:val="4E4C3CE6"/>
    <w:rsid w:val="4E6F0D56"/>
    <w:rsid w:val="4E740A62"/>
    <w:rsid w:val="4E8642F1"/>
    <w:rsid w:val="4E885413"/>
    <w:rsid w:val="4EA772D4"/>
    <w:rsid w:val="4EB946C7"/>
    <w:rsid w:val="4EC512BE"/>
    <w:rsid w:val="4ED14E60"/>
    <w:rsid w:val="4EDD2163"/>
    <w:rsid w:val="4EE15AE8"/>
    <w:rsid w:val="4EE74D90"/>
    <w:rsid w:val="4EFB6A8D"/>
    <w:rsid w:val="4F1C0718"/>
    <w:rsid w:val="4F1F09CE"/>
    <w:rsid w:val="4F2002A2"/>
    <w:rsid w:val="4F367AC5"/>
    <w:rsid w:val="4F461068"/>
    <w:rsid w:val="4F6603AB"/>
    <w:rsid w:val="4F6C0F32"/>
    <w:rsid w:val="4F7D6837"/>
    <w:rsid w:val="4F8151E4"/>
    <w:rsid w:val="4F980780"/>
    <w:rsid w:val="4F9A2A6C"/>
    <w:rsid w:val="4F9A44F8"/>
    <w:rsid w:val="4F9D514F"/>
    <w:rsid w:val="4F9F38BD"/>
    <w:rsid w:val="4FB15CA7"/>
    <w:rsid w:val="4FB25CF5"/>
    <w:rsid w:val="4FB50D87"/>
    <w:rsid w:val="4FB76E58"/>
    <w:rsid w:val="4FC74BC1"/>
    <w:rsid w:val="4FC926E8"/>
    <w:rsid w:val="4FD6333A"/>
    <w:rsid w:val="4FE13ED5"/>
    <w:rsid w:val="4FE95A43"/>
    <w:rsid w:val="50106568"/>
    <w:rsid w:val="501108E6"/>
    <w:rsid w:val="50111814"/>
    <w:rsid w:val="501E106D"/>
    <w:rsid w:val="50383588"/>
    <w:rsid w:val="50476276"/>
    <w:rsid w:val="504D156B"/>
    <w:rsid w:val="5051457C"/>
    <w:rsid w:val="50525383"/>
    <w:rsid w:val="505A4B1C"/>
    <w:rsid w:val="50620693"/>
    <w:rsid w:val="50667CEE"/>
    <w:rsid w:val="506A211C"/>
    <w:rsid w:val="506B19F1"/>
    <w:rsid w:val="5074015B"/>
    <w:rsid w:val="50747B0E"/>
    <w:rsid w:val="50800F31"/>
    <w:rsid w:val="50812FC2"/>
    <w:rsid w:val="5093166F"/>
    <w:rsid w:val="50BC1CEC"/>
    <w:rsid w:val="50BD225A"/>
    <w:rsid w:val="50C35389"/>
    <w:rsid w:val="50F17972"/>
    <w:rsid w:val="511D7E7F"/>
    <w:rsid w:val="513D338D"/>
    <w:rsid w:val="513F75DA"/>
    <w:rsid w:val="51570C6F"/>
    <w:rsid w:val="517321A0"/>
    <w:rsid w:val="517A6D4B"/>
    <w:rsid w:val="51856AE2"/>
    <w:rsid w:val="519A258E"/>
    <w:rsid w:val="519F4486"/>
    <w:rsid w:val="51A72EFC"/>
    <w:rsid w:val="51A74305"/>
    <w:rsid w:val="51A927D1"/>
    <w:rsid w:val="51C4760A"/>
    <w:rsid w:val="51DE67B7"/>
    <w:rsid w:val="51E41A5B"/>
    <w:rsid w:val="51EB0955"/>
    <w:rsid w:val="51F11A9F"/>
    <w:rsid w:val="51F86065"/>
    <w:rsid w:val="520619D1"/>
    <w:rsid w:val="520839FB"/>
    <w:rsid w:val="522925FF"/>
    <w:rsid w:val="522B1438"/>
    <w:rsid w:val="522C1C1A"/>
    <w:rsid w:val="523429E2"/>
    <w:rsid w:val="52362032"/>
    <w:rsid w:val="523E5D6C"/>
    <w:rsid w:val="523F3135"/>
    <w:rsid w:val="52495D62"/>
    <w:rsid w:val="526B27DD"/>
    <w:rsid w:val="5288688A"/>
    <w:rsid w:val="528D161E"/>
    <w:rsid w:val="52A336C4"/>
    <w:rsid w:val="52B92EE7"/>
    <w:rsid w:val="52D7336D"/>
    <w:rsid w:val="52D84868"/>
    <w:rsid w:val="52E53CDC"/>
    <w:rsid w:val="530103EA"/>
    <w:rsid w:val="53051C89"/>
    <w:rsid w:val="53195734"/>
    <w:rsid w:val="53235D2E"/>
    <w:rsid w:val="53415339"/>
    <w:rsid w:val="53670B95"/>
    <w:rsid w:val="537C2E9C"/>
    <w:rsid w:val="53A05E55"/>
    <w:rsid w:val="53BD6A07"/>
    <w:rsid w:val="53C37D67"/>
    <w:rsid w:val="53C66F72"/>
    <w:rsid w:val="53E126F6"/>
    <w:rsid w:val="53E27438"/>
    <w:rsid w:val="53F305D5"/>
    <w:rsid w:val="53F57F4F"/>
    <w:rsid w:val="542D67DB"/>
    <w:rsid w:val="54316AAD"/>
    <w:rsid w:val="543C3DD0"/>
    <w:rsid w:val="54554569"/>
    <w:rsid w:val="545F361A"/>
    <w:rsid w:val="546E760A"/>
    <w:rsid w:val="546F6F25"/>
    <w:rsid w:val="547468B2"/>
    <w:rsid w:val="548B667E"/>
    <w:rsid w:val="54A85821"/>
    <w:rsid w:val="54CD4A28"/>
    <w:rsid w:val="54D47B64"/>
    <w:rsid w:val="54DA3940"/>
    <w:rsid w:val="54DA7145"/>
    <w:rsid w:val="54DE6C35"/>
    <w:rsid w:val="54E81862"/>
    <w:rsid w:val="54ED345A"/>
    <w:rsid w:val="54F414A4"/>
    <w:rsid w:val="55074B5A"/>
    <w:rsid w:val="55202DAA"/>
    <w:rsid w:val="55376345"/>
    <w:rsid w:val="553E1482"/>
    <w:rsid w:val="554F7B33"/>
    <w:rsid w:val="55530427"/>
    <w:rsid w:val="555A1DC6"/>
    <w:rsid w:val="5579541F"/>
    <w:rsid w:val="55825812"/>
    <w:rsid w:val="5588094F"/>
    <w:rsid w:val="559B0682"/>
    <w:rsid w:val="55BA31FE"/>
    <w:rsid w:val="55D63DB0"/>
    <w:rsid w:val="55D87B28"/>
    <w:rsid w:val="55DA73FC"/>
    <w:rsid w:val="55E42029"/>
    <w:rsid w:val="55FA3DFE"/>
    <w:rsid w:val="560E52F8"/>
    <w:rsid w:val="561C1DF7"/>
    <w:rsid w:val="561D378D"/>
    <w:rsid w:val="561E0347"/>
    <w:rsid w:val="56262CB0"/>
    <w:rsid w:val="563805C7"/>
    <w:rsid w:val="56474C84"/>
    <w:rsid w:val="56786C15"/>
    <w:rsid w:val="56813D1C"/>
    <w:rsid w:val="56921A85"/>
    <w:rsid w:val="56933A4F"/>
    <w:rsid w:val="56A96DCF"/>
    <w:rsid w:val="56B0733F"/>
    <w:rsid w:val="56C562EE"/>
    <w:rsid w:val="56C6140B"/>
    <w:rsid w:val="56C82710"/>
    <w:rsid w:val="56D06A51"/>
    <w:rsid w:val="56EA18C1"/>
    <w:rsid w:val="56EB5639"/>
    <w:rsid w:val="56FA587C"/>
    <w:rsid w:val="57087F99"/>
    <w:rsid w:val="57106E4E"/>
    <w:rsid w:val="573C60CD"/>
    <w:rsid w:val="575415CB"/>
    <w:rsid w:val="577536F9"/>
    <w:rsid w:val="579E445A"/>
    <w:rsid w:val="57B8376D"/>
    <w:rsid w:val="57BD5228"/>
    <w:rsid w:val="57BF5BC4"/>
    <w:rsid w:val="57C975DB"/>
    <w:rsid w:val="580E5A83"/>
    <w:rsid w:val="58164938"/>
    <w:rsid w:val="58213456"/>
    <w:rsid w:val="58240E03"/>
    <w:rsid w:val="5825158A"/>
    <w:rsid w:val="582E3475"/>
    <w:rsid w:val="58371DB9"/>
    <w:rsid w:val="58466D6B"/>
    <w:rsid w:val="584F7EF2"/>
    <w:rsid w:val="586456A3"/>
    <w:rsid w:val="58837E83"/>
    <w:rsid w:val="58896EB8"/>
    <w:rsid w:val="588B70D4"/>
    <w:rsid w:val="58B37ACE"/>
    <w:rsid w:val="58B73599"/>
    <w:rsid w:val="58B75292"/>
    <w:rsid w:val="58BC4D55"/>
    <w:rsid w:val="58BF6D7E"/>
    <w:rsid w:val="58C05D2A"/>
    <w:rsid w:val="58C61EBA"/>
    <w:rsid w:val="594D5C94"/>
    <w:rsid w:val="59981AA8"/>
    <w:rsid w:val="59B5219E"/>
    <w:rsid w:val="59B82194"/>
    <w:rsid w:val="59D851F4"/>
    <w:rsid w:val="59EC2FB2"/>
    <w:rsid w:val="59EF3692"/>
    <w:rsid w:val="5A0C522A"/>
    <w:rsid w:val="5A1651A2"/>
    <w:rsid w:val="5A1D3D5C"/>
    <w:rsid w:val="5A3317D1"/>
    <w:rsid w:val="5A3A2B60"/>
    <w:rsid w:val="5A427C66"/>
    <w:rsid w:val="5A517EA9"/>
    <w:rsid w:val="5A5D23AA"/>
    <w:rsid w:val="5A6C40FE"/>
    <w:rsid w:val="5A8042EB"/>
    <w:rsid w:val="5A8A7E13"/>
    <w:rsid w:val="5A9E067A"/>
    <w:rsid w:val="5AA26283"/>
    <w:rsid w:val="5AB53F94"/>
    <w:rsid w:val="5AC16DDD"/>
    <w:rsid w:val="5ACB7C5C"/>
    <w:rsid w:val="5ACE005D"/>
    <w:rsid w:val="5AE72210"/>
    <w:rsid w:val="5AF50835"/>
    <w:rsid w:val="5B043D7C"/>
    <w:rsid w:val="5B084A0C"/>
    <w:rsid w:val="5B215ACE"/>
    <w:rsid w:val="5B2345DF"/>
    <w:rsid w:val="5B242EC8"/>
    <w:rsid w:val="5B26198F"/>
    <w:rsid w:val="5B270FCB"/>
    <w:rsid w:val="5B286BC6"/>
    <w:rsid w:val="5B286E5C"/>
    <w:rsid w:val="5B321A89"/>
    <w:rsid w:val="5B6065F6"/>
    <w:rsid w:val="5B8A3673"/>
    <w:rsid w:val="5BBB2923"/>
    <w:rsid w:val="5BCA59B2"/>
    <w:rsid w:val="5BCF1086"/>
    <w:rsid w:val="5BDB0397"/>
    <w:rsid w:val="5BDB3ECE"/>
    <w:rsid w:val="5BE23CB3"/>
    <w:rsid w:val="5BE34E7F"/>
    <w:rsid w:val="5BEC49BF"/>
    <w:rsid w:val="5BF907F8"/>
    <w:rsid w:val="5C294C3A"/>
    <w:rsid w:val="5C341831"/>
    <w:rsid w:val="5C350A03"/>
    <w:rsid w:val="5C540CEB"/>
    <w:rsid w:val="5C6043D4"/>
    <w:rsid w:val="5C7B745F"/>
    <w:rsid w:val="5C874A01"/>
    <w:rsid w:val="5C913694"/>
    <w:rsid w:val="5C96601A"/>
    <w:rsid w:val="5C974299"/>
    <w:rsid w:val="5C9F314E"/>
    <w:rsid w:val="5CA40876"/>
    <w:rsid w:val="5D0E3E30"/>
    <w:rsid w:val="5D186A5C"/>
    <w:rsid w:val="5D2A2CDF"/>
    <w:rsid w:val="5D30024A"/>
    <w:rsid w:val="5D356701"/>
    <w:rsid w:val="5D361F20"/>
    <w:rsid w:val="5D3715D8"/>
    <w:rsid w:val="5D42351E"/>
    <w:rsid w:val="5D4567E9"/>
    <w:rsid w:val="5D4635C9"/>
    <w:rsid w:val="5D4855EF"/>
    <w:rsid w:val="5D5A7075"/>
    <w:rsid w:val="5D753247"/>
    <w:rsid w:val="5D973E25"/>
    <w:rsid w:val="5DB04EE7"/>
    <w:rsid w:val="5DBF512A"/>
    <w:rsid w:val="5DDD2180"/>
    <w:rsid w:val="5DEF5A0F"/>
    <w:rsid w:val="5E113BD7"/>
    <w:rsid w:val="5E5B30A5"/>
    <w:rsid w:val="5E6006BB"/>
    <w:rsid w:val="5E6341DD"/>
    <w:rsid w:val="5E734892"/>
    <w:rsid w:val="5E7973F4"/>
    <w:rsid w:val="5E975130"/>
    <w:rsid w:val="5E990595"/>
    <w:rsid w:val="5E9B5B97"/>
    <w:rsid w:val="5EB8080B"/>
    <w:rsid w:val="5EC96260"/>
    <w:rsid w:val="5EE9110F"/>
    <w:rsid w:val="5EFA0B0F"/>
    <w:rsid w:val="5F053F00"/>
    <w:rsid w:val="5F0D1409"/>
    <w:rsid w:val="5F3F6A72"/>
    <w:rsid w:val="5F4F0039"/>
    <w:rsid w:val="5F5003C9"/>
    <w:rsid w:val="5F506981"/>
    <w:rsid w:val="5F5D2E4C"/>
    <w:rsid w:val="5F697A43"/>
    <w:rsid w:val="5F7E34EF"/>
    <w:rsid w:val="5F881C77"/>
    <w:rsid w:val="5FB24F46"/>
    <w:rsid w:val="5FB756AF"/>
    <w:rsid w:val="5FB76F8F"/>
    <w:rsid w:val="5FDF3861"/>
    <w:rsid w:val="5FEC330E"/>
    <w:rsid w:val="5FF4555F"/>
    <w:rsid w:val="5FFE26B1"/>
    <w:rsid w:val="600664AF"/>
    <w:rsid w:val="60365B77"/>
    <w:rsid w:val="603E48FF"/>
    <w:rsid w:val="6045400C"/>
    <w:rsid w:val="604C0D0F"/>
    <w:rsid w:val="60657D45"/>
    <w:rsid w:val="606F1089"/>
    <w:rsid w:val="606F4BE5"/>
    <w:rsid w:val="60726FC9"/>
    <w:rsid w:val="608A5EC3"/>
    <w:rsid w:val="6098238E"/>
    <w:rsid w:val="60A800F7"/>
    <w:rsid w:val="60B464F7"/>
    <w:rsid w:val="60E07891"/>
    <w:rsid w:val="60E2185B"/>
    <w:rsid w:val="60E43A22"/>
    <w:rsid w:val="60F14772"/>
    <w:rsid w:val="610E08A2"/>
    <w:rsid w:val="6110289B"/>
    <w:rsid w:val="61382BD4"/>
    <w:rsid w:val="61630BEE"/>
    <w:rsid w:val="61642270"/>
    <w:rsid w:val="616D55C9"/>
    <w:rsid w:val="61777FF7"/>
    <w:rsid w:val="617821BF"/>
    <w:rsid w:val="61A42FB4"/>
    <w:rsid w:val="61A439AB"/>
    <w:rsid w:val="61A92379"/>
    <w:rsid w:val="61AD3C17"/>
    <w:rsid w:val="61B2747F"/>
    <w:rsid w:val="61BA6334"/>
    <w:rsid w:val="61ED6B42"/>
    <w:rsid w:val="61F963FD"/>
    <w:rsid w:val="62095AF3"/>
    <w:rsid w:val="621243C2"/>
    <w:rsid w:val="621719D8"/>
    <w:rsid w:val="621E4B15"/>
    <w:rsid w:val="621E5CC2"/>
    <w:rsid w:val="62210161"/>
    <w:rsid w:val="622140C6"/>
    <w:rsid w:val="622163B3"/>
    <w:rsid w:val="62496437"/>
    <w:rsid w:val="626968D5"/>
    <w:rsid w:val="628F77C1"/>
    <w:rsid w:val="62A82630"/>
    <w:rsid w:val="62C3746A"/>
    <w:rsid w:val="62E617AF"/>
    <w:rsid w:val="62FB23EA"/>
    <w:rsid w:val="63086863"/>
    <w:rsid w:val="632919C3"/>
    <w:rsid w:val="63381C06"/>
    <w:rsid w:val="633E13D1"/>
    <w:rsid w:val="63554509"/>
    <w:rsid w:val="636E5628"/>
    <w:rsid w:val="63730918"/>
    <w:rsid w:val="637A5D7B"/>
    <w:rsid w:val="63BD398E"/>
    <w:rsid w:val="63D469BA"/>
    <w:rsid w:val="63D97B78"/>
    <w:rsid w:val="63EC39A0"/>
    <w:rsid w:val="63FB0133"/>
    <w:rsid w:val="63FF248C"/>
    <w:rsid w:val="640B731B"/>
    <w:rsid w:val="640E5125"/>
    <w:rsid w:val="640F72BA"/>
    <w:rsid w:val="6410048D"/>
    <w:rsid w:val="641066DF"/>
    <w:rsid w:val="641B57B0"/>
    <w:rsid w:val="641C7510"/>
    <w:rsid w:val="642A4B6E"/>
    <w:rsid w:val="64303E47"/>
    <w:rsid w:val="6433260C"/>
    <w:rsid w:val="64357D9A"/>
    <w:rsid w:val="64391B01"/>
    <w:rsid w:val="643B477A"/>
    <w:rsid w:val="644C3818"/>
    <w:rsid w:val="64544BA2"/>
    <w:rsid w:val="646A4041"/>
    <w:rsid w:val="64BC0CA6"/>
    <w:rsid w:val="64C179D9"/>
    <w:rsid w:val="64D43BB1"/>
    <w:rsid w:val="64D73EDE"/>
    <w:rsid w:val="64E91A94"/>
    <w:rsid w:val="64F36CAE"/>
    <w:rsid w:val="64F41B5D"/>
    <w:rsid w:val="64F6240E"/>
    <w:rsid w:val="651F1286"/>
    <w:rsid w:val="653D3504"/>
    <w:rsid w:val="653E0219"/>
    <w:rsid w:val="654523B9"/>
    <w:rsid w:val="654E74BF"/>
    <w:rsid w:val="65562818"/>
    <w:rsid w:val="65586590"/>
    <w:rsid w:val="6562704F"/>
    <w:rsid w:val="65B17A4E"/>
    <w:rsid w:val="65DC4ACB"/>
    <w:rsid w:val="65E322FD"/>
    <w:rsid w:val="65E87914"/>
    <w:rsid w:val="65FD18F1"/>
    <w:rsid w:val="660D3A72"/>
    <w:rsid w:val="66214BD4"/>
    <w:rsid w:val="662769A1"/>
    <w:rsid w:val="662A2B0C"/>
    <w:rsid w:val="662B5A52"/>
    <w:rsid w:val="662E56E3"/>
    <w:rsid w:val="663A5C95"/>
    <w:rsid w:val="66567AB6"/>
    <w:rsid w:val="66594AA3"/>
    <w:rsid w:val="665A1E94"/>
    <w:rsid w:val="66612F0E"/>
    <w:rsid w:val="66644AC0"/>
    <w:rsid w:val="66682803"/>
    <w:rsid w:val="666D1BC7"/>
    <w:rsid w:val="6679056C"/>
    <w:rsid w:val="667961B0"/>
    <w:rsid w:val="66815672"/>
    <w:rsid w:val="669B0B9D"/>
    <w:rsid w:val="66A355E9"/>
    <w:rsid w:val="66B21CD0"/>
    <w:rsid w:val="66D74F4C"/>
    <w:rsid w:val="66FE6CC3"/>
    <w:rsid w:val="67136C12"/>
    <w:rsid w:val="67240341"/>
    <w:rsid w:val="672801D6"/>
    <w:rsid w:val="67334DA0"/>
    <w:rsid w:val="673821D5"/>
    <w:rsid w:val="67472418"/>
    <w:rsid w:val="67523C88"/>
    <w:rsid w:val="677A0A3F"/>
    <w:rsid w:val="677B0314"/>
    <w:rsid w:val="6796339F"/>
    <w:rsid w:val="67A71109"/>
    <w:rsid w:val="67A902CE"/>
    <w:rsid w:val="67AB5B9E"/>
    <w:rsid w:val="67AF7FBD"/>
    <w:rsid w:val="67B51A77"/>
    <w:rsid w:val="67D30150"/>
    <w:rsid w:val="67EB7247"/>
    <w:rsid w:val="67FC0B68"/>
    <w:rsid w:val="68060525"/>
    <w:rsid w:val="68103152"/>
    <w:rsid w:val="681F15E7"/>
    <w:rsid w:val="68246BFD"/>
    <w:rsid w:val="68370D4F"/>
    <w:rsid w:val="683740E0"/>
    <w:rsid w:val="68476448"/>
    <w:rsid w:val="68611A0A"/>
    <w:rsid w:val="686D2352"/>
    <w:rsid w:val="68815DFE"/>
    <w:rsid w:val="68831B76"/>
    <w:rsid w:val="6897727D"/>
    <w:rsid w:val="689B650E"/>
    <w:rsid w:val="689C2C37"/>
    <w:rsid w:val="68A06E8C"/>
    <w:rsid w:val="68DB066B"/>
    <w:rsid w:val="68E1689C"/>
    <w:rsid w:val="68FB5BB0"/>
    <w:rsid w:val="690C3919"/>
    <w:rsid w:val="690F3409"/>
    <w:rsid w:val="691240E0"/>
    <w:rsid w:val="691B3B5C"/>
    <w:rsid w:val="691D5B26"/>
    <w:rsid w:val="69280027"/>
    <w:rsid w:val="692E35B4"/>
    <w:rsid w:val="69431F17"/>
    <w:rsid w:val="694E3F32"/>
    <w:rsid w:val="695452C0"/>
    <w:rsid w:val="69561038"/>
    <w:rsid w:val="6959539D"/>
    <w:rsid w:val="69731BEA"/>
    <w:rsid w:val="697509FA"/>
    <w:rsid w:val="69872FA0"/>
    <w:rsid w:val="698776CE"/>
    <w:rsid w:val="69935DE8"/>
    <w:rsid w:val="699A7F63"/>
    <w:rsid w:val="69BE02DB"/>
    <w:rsid w:val="69D41F5D"/>
    <w:rsid w:val="69D42762"/>
    <w:rsid w:val="69DB153D"/>
    <w:rsid w:val="69E8675C"/>
    <w:rsid w:val="69F34AD9"/>
    <w:rsid w:val="69F85C4B"/>
    <w:rsid w:val="69FB573C"/>
    <w:rsid w:val="69FE1C76"/>
    <w:rsid w:val="6A0960AB"/>
    <w:rsid w:val="6A0B3BD1"/>
    <w:rsid w:val="6A0E546F"/>
    <w:rsid w:val="6A175A16"/>
    <w:rsid w:val="6A266C5C"/>
    <w:rsid w:val="6A2B4273"/>
    <w:rsid w:val="6A481F03"/>
    <w:rsid w:val="6A9B4D03"/>
    <w:rsid w:val="6AA42BFF"/>
    <w:rsid w:val="6AA67D9D"/>
    <w:rsid w:val="6AAB0F10"/>
    <w:rsid w:val="6AAF6C52"/>
    <w:rsid w:val="6AC41FD2"/>
    <w:rsid w:val="6ADA3A3E"/>
    <w:rsid w:val="6ADD1949"/>
    <w:rsid w:val="6AE461D0"/>
    <w:rsid w:val="6AEA5EDC"/>
    <w:rsid w:val="6AF705F9"/>
    <w:rsid w:val="6B014A19"/>
    <w:rsid w:val="6B160A7F"/>
    <w:rsid w:val="6B273B37"/>
    <w:rsid w:val="6B3B04E6"/>
    <w:rsid w:val="6B572E46"/>
    <w:rsid w:val="6B70570C"/>
    <w:rsid w:val="6B791415"/>
    <w:rsid w:val="6B94551F"/>
    <w:rsid w:val="6BA33A90"/>
    <w:rsid w:val="6BA8544F"/>
    <w:rsid w:val="6BB122F3"/>
    <w:rsid w:val="6BB81B36"/>
    <w:rsid w:val="6BDA5F51"/>
    <w:rsid w:val="6BF52F1B"/>
    <w:rsid w:val="6BFF1513"/>
    <w:rsid w:val="6C186A79"/>
    <w:rsid w:val="6C195BB1"/>
    <w:rsid w:val="6C1A1401"/>
    <w:rsid w:val="6C44161C"/>
    <w:rsid w:val="6C4909E0"/>
    <w:rsid w:val="6C57598C"/>
    <w:rsid w:val="6C812606"/>
    <w:rsid w:val="6C9E6F7E"/>
    <w:rsid w:val="6CA11A31"/>
    <w:rsid w:val="6CA33CEF"/>
    <w:rsid w:val="6CB5251A"/>
    <w:rsid w:val="6CC369E5"/>
    <w:rsid w:val="6CD209D6"/>
    <w:rsid w:val="6CFA7F2C"/>
    <w:rsid w:val="6D011CF4"/>
    <w:rsid w:val="6D062D75"/>
    <w:rsid w:val="6D0D7CC2"/>
    <w:rsid w:val="6D176B31"/>
    <w:rsid w:val="6D4C0636"/>
    <w:rsid w:val="6D617FAC"/>
    <w:rsid w:val="6D723F67"/>
    <w:rsid w:val="6DBE71AC"/>
    <w:rsid w:val="6DC76061"/>
    <w:rsid w:val="6DC9002B"/>
    <w:rsid w:val="6DD644F6"/>
    <w:rsid w:val="6DDD2EE0"/>
    <w:rsid w:val="6E1374F8"/>
    <w:rsid w:val="6E166FE8"/>
    <w:rsid w:val="6E1B5CDB"/>
    <w:rsid w:val="6E2E4332"/>
    <w:rsid w:val="6E30120B"/>
    <w:rsid w:val="6E3630E3"/>
    <w:rsid w:val="6E4B7973"/>
    <w:rsid w:val="6E4C3863"/>
    <w:rsid w:val="6E5B2C4D"/>
    <w:rsid w:val="6E7C5B14"/>
    <w:rsid w:val="6E7F2DDF"/>
    <w:rsid w:val="6E7F693B"/>
    <w:rsid w:val="6E810905"/>
    <w:rsid w:val="6E862D78"/>
    <w:rsid w:val="6EA17E97"/>
    <w:rsid w:val="6EB73CB1"/>
    <w:rsid w:val="6EB83BFB"/>
    <w:rsid w:val="6EC31970"/>
    <w:rsid w:val="6ED0363B"/>
    <w:rsid w:val="6ED749C9"/>
    <w:rsid w:val="6EDC0C2C"/>
    <w:rsid w:val="6EF73894"/>
    <w:rsid w:val="6EF92792"/>
    <w:rsid w:val="6EFC4430"/>
    <w:rsid w:val="6EFF7A7C"/>
    <w:rsid w:val="6F16554D"/>
    <w:rsid w:val="6F1E1004"/>
    <w:rsid w:val="6F2B1FBA"/>
    <w:rsid w:val="6F3040D9"/>
    <w:rsid w:val="6F5C0A2B"/>
    <w:rsid w:val="6F6A3147"/>
    <w:rsid w:val="6F7A60BD"/>
    <w:rsid w:val="6F82445E"/>
    <w:rsid w:val="6F8F7052"/>
    <w:rsid w:val="6FB57A55"/>
    <w:rsid w:val="6FC50CC6"/>
    <w:rsid w:val="6FCD3700"/>
    <w:rsid w:val="6FE0340A"/>
    <w:rsid w:val="702A0B29"/>
    <w:rsid w:val="70657DB3"/>
    <w:rsid w:val="707D6EAA"/>
    <w:rsid w:val="70926DFA"/>
    <w:rsid w:val="70A67F01"/>
    <w:rsid w:val="70AB3A18"/>
    <w:rsid w:val="70E250CE"/>
    <w:rsid w:val="70F27898"/>
    <w:rsid w:val="71193077"/>
    <w:rsid w:val="712B4B58"/>
    <w:rsid w:val="713954C7"/>
    <w:rsid w:val="713C4FB8"/>
    <w:rsid w:val="71791D68"/>
    <w:rsid w:val="71942602"/>
    <w:rsid w:val="719F49E4"/>
    <w:rsid w:val="71A15DCC"/>
    <w:rsid w:val="71CB2A38"/>
    <w:rsid w:val="71D62D16"/>
    <w:rsid w:val="71D84CE0"/>
    <w:rsid w:val="72014BEC"/>
    <w:rsid w:val="72127AC6"/>
    <w:rsid w:val="72181581"/>
    <w:rsid w:val="72226E2C"/>
    <w:rsid w:val="722C0B88"/>
    <w:rsid w:val="722C7F52"/>
    <w:rsid w:val="72444124"/>
    <w:rsid w:val="72491472"/>
    <w:rsid w:val="7249173A"/>
    <w:rsid w:val="726E0878"/>
    <w:rsid w:val="72C40DC1"/>
    <w:rsid w:val="72D52FCE"/>
    <w:rsid w:val="72DA4A88"/>
    <w:rsid w:val="72E94CCB"/>
    <w:rsid w:val="73047407"/>
    <w:rsid w:val="730B69EF"/>
    <w:rsid w:val="730C2768"/>
    <w:rsid w:val="73155AC0"/>
    <w:rsid w:val="73247AB1"/>
    <w:rsid w:val="732934A9"/>
    <w:rsid w:val="732B52E4"/>
    <w:rsid w:val="732E4011"/>
    <w:rsid w:val="73416AB6"/>
    <w:rsid w:val="73463ECB"/>
    <w:rsid w:val="734F3C71"/>
    <w:rsid w:val="73530396"/>
    <w:rsid w:val="735A1725"/>
    <w:rsid w:val="73685BF0"/>
    <w:rsid w:val="736B3932"/>
    <w:rsid w:val="73774085"/>
    <w:rsid w:val="7379604F"/>
    <w:rsid w:val="739D1E6C"/>
    <w:rsid w:val="73B34D2F"/>
    <w:rsid w:val="73B45214"/>
    <w:rsid w:val="73EB6821"/>
    <w:rsid w:val="73FB4CB6"/>
    <w:rsid w:val="73FC1035"/>
    <w:rsid w:val="74031DBD"/>
    <w:rsid w:val="74082F2F"/>
    <w:rsid w:val="740D2C3B"/>
    <w:rsid w:val="74157ED7"/>
    <w:rsid w:val="741B0EB4"/>
    <w:rsid w:val="741D2E7E"/>
    <w:rsid w:val="7431692A"/>
    <w:rsid w:val="74373814"/>
    <w:rsid w:val="74561B17"/>
    <w:rsid w:val="745D14CD"/>
    <w:rsid w:val="746E2840"/>
    <w:rsid w:val="748839B5"/>
    <w:rsid w:val="749F3E77"/>
    <w:rsid w:val="74A50A66"/>
    <w:rsid w:val="74AE3AD6"/>
    <w:rsid w:val="74BD1F6B"/>
    <w:rsid w:val="74C57072"/>
    <w:rsid w:val="74D80B53"/>
    <w:rsid w:val="74F55BA9"/>
    <w:rsid w:val="75156511"/>
    <w:rsid w:val="75181898"/>
    <w:rsid w:val="751853F4"/>
    <w:rsid w:val="75232716"/>
    <w:rsid w:val="75271ADB"/>
    <w:rsid w:val="75466405"/>
    <w:rsid w:val="75495400"/>
    <w:rsid w:val="756E5C8B"/>
    <w:rsid w:val="758C19CA"/>
    <w:rsid w:val="758C50E7"/>
    <w:rsid w:val="759F5B15"/>
    <w:rsid w:val="75A53232"/>
    <w:rsid w:val="75A949BB"/>
    <w:rsid w:val="75B72E5F"/>
    <w:rsid w:val="75BF7F65"/>
    <w:rsid w:val="75DD38A8"/>
    <w:rsid w:val="75E11C8A"/>
    <w:rsid w:val="75E86E8D"/>
    <w:rsid w:val="75F8130B"/>
    <w:rsid w:val="75FE0A8D"/>
    <w:rsid w:val="75FE68CD"/>
    <w:rsid w:val="76100556"/>
    <w:rsid w:val="76116A13"/>
    <w:rsid w:val="76257DC8"/>
    <w:rsid w:val="76394C4B"/>
    <w:rsid w:val="7643770F"/>
    <w:rsid w:val="764F5021"/>
    <w:rsid w:val="765839BD"/>
    <w:rsid w:val="766052A4"/>
    <w:rsid w:val="76865E18"/>
    <w:rsid w:val="76A258BD"/>
    <w:rsid w:val="76B13D52"/>
    <w:rsid w:val="76B82806"/>
    <w:rsid w:val="76F93003"/>
    <w:rsid w:val="77056897"/>
    <w:rsid w:val="771B5BC5"/>
    <w:rsid w:val="771D13E7"/>
    <w:rsid w:val="77242776"/>
    <w:rsid w:val="7736689E"/>
    <w:rsid w:val="77490794"/>
    <w:rsid w:val="774B1AB0"/>
    <w:rsid w:val="775C2F0E"/>
    <w:rsid w:val="775F730A"/>
    <w:rsid w:val="77770AF7"/>
    <w:rsid w:val="777A4144"/>
    <w:rsid w:val="77903967"/>
    <w:rsid w:val="7791148D"/>
    <w:rsid w:val="77972F48"/>
    <w:rsid w:val="77AB254F"/>
    <w:rsid w:val="77C53203"/>
    <w:rsid w:val="77C74EAF"/>
    <w:rsid w:val="77DE61B1"/>
    <w:rsid w:val="77DF48AB"/>
    <w:rsid w:val="77ED6D6B"/>
    <w:rsid w:val="781520BE"/>
    <w:rsid w:val="783267CC"/>
    <w:rsid w:val="784D1858"/>
    <w:rsid w:val="785E73E8"/>
    <w:rsid w:val="7897512C"/>
    <w:rsid w:val="78A418E3"/>
    <w:rsid w:val="78A47CB4"/>
    <w:rsid w:val="78EE0759"/>
    <w:rsid w:val="78FB5758"/>
    <w:rsid w:val="790A599B"/>
    <w:rsid w:val="79144124"/>
    <w:rsid w:val="79172C15"/>
    <w:rsid w:val="792F71B0"/>
    <w:rsid w:val="79444A09"/>
    <w:rsid w:val="79563D5A"/>
    <w:rsid w:val="796E7CD8"/>
    <w:rsid w:val="79773C4C"/>
    <w:rsid w:val="79880533"/>
    <w:rsid w:val="798B6ADC"/>
    <w:rsid w:val="7993773F"/>
    <w:rsid w:val="799C723E"/>
    <w:rsid w:val="79AC325B"/>
    <w:rsid w:val="79BA116F"/>
    <w:rsid w:val="79C124FE"/>
    <w:rsid w:val="79E26407"/>
    <w:rsid w:val="79EB31D2"/>
    <w:rsid w:val="79EF3BFA"/>
    <w:rsid w:val="7A0A5C53"/>
    <w:rsid w:val="7A105D2C"/>
    <w:rsid w:val="7A1563A6"/>
    <w:rsid w:val="7A346A9C"/>
    <w:rsid w:val="7A48677B"/>
    <w:rsid w:val="7A4A18CD"/>
    <w:rsid w:val="7A6115EB"/>
    <w:rsid w:val="7A7371DA"/>
    <w:rsid w:val="7A7A445B"/>
    <w:rsid w:val="7A811C8D"/>
    <w:rsid w:val="7A872C09"/>
    <w:rsid w:val="7A87426C"/>
    <w:rsid w:val="7A8C2505"/>
    <w:rsid w:val="7A8F02BC"/>
    <w:rsid w:val="7AA716F4"/>
    <w:rsid w:val="7AAA4D40"/>
    <w:rsid w:val="7AB20098"/>
    <w:rsid w:val="7ACA3634"/>
    <w:rsid w:val="7AF52EC8"/>
    <w:rsid w:val="7B004782"/>
    <w:rsid w:val="7B082817"/>
    <w:rsid w:val="7B087FDE"/>
    <w:rsid w:val="7B4052F0"/>
    <w:rsid w:val="7B413E20"/>
    <w:rsid w:val="7B474C85"/>
    <w:rsid w:val="7B5D748F"/>
    <w:rsid w:val="7B66335D"/>
    <w:rsid w:val="7B6F0D05"/>
    <w:rsid w:val="7B792C7F"/>
    <w:rsid w:val="7B841A35"/>
    <w:rsid w:val="7B86755B"/>
    <w:rsid w:val="7BAF32A4"/>
    <w:rsid w:val="7BB128AD"/>
    <w:rsid w:val="7BBD0AA3"/>
    <w:rsid w:val="7BDE7397"/>
    <w:rsid w:val="7BF003F6"/>
    <w:rsid w:val="7BF71835"/>
    <w:rsid w:val="7C042B76"/>
    <w:rsid w:val="7C091F3A"/>
    <w:rsid w:val="7C596A1E"/>
    <w:rsid w:val="7C6F6CE6"/>
    <w:rsid w:val="7C7E46D6"/>
    <w:rsid w:val="7C855D2B"/>
    <w:rsid w:val="7C8B6DF3"/>
    <w:rsid w:val="7C9749CF"/>
    <w:rsid w:val="7CA73C2D"/>
    <w:rsid w:val="7CBB0C65"/>
    <w:rsid w:val="7CC3033B"/>
    <w:rsid w:val="7CFE4D0B"/>
    <w:rsid w:val="7D0D584B"/>
    <w:rsid w:val="7D0F532E"/>
    <w:rsid w:val="7D1943FF"/>
    <w:rsid w:val="7D410C4C"/>
    <w:rsid w:val="7D422B20"/>
    <w:rsid w:val="7D4C2119"/>
    <w:rsid w:val="7D644FF4"/>
    <w:rsid w:val="7D692C90"/>
    <w:rsid w:val="7D6C548F"/>
    <w:rsid w:val="7D8775BA"/>
    <w:rsid w:val="7D953281"/>
    <w:rsid w:val="7DA43EDD"/>
    <w:rsid w:val="7DA97531"/>
    <w:rsid w:val="7DAA5057"/>
    <w:rsid w:val="7DB122B5"/>
    <w:rsid w:val="7DC65E60"/>
    <w:rsid w:val="7DD23A56"/>
    <w:rsid w:val="7DD51241"/>
    <w:rsid w:val="7DD520D4"/>
    <w:rsid w:val="7DE642E1"/>
    <w:rsid w:val="7E2F6A52"/>
    <w:rsid w:val="7E357016"/>
    <w:rsid w:val="7E3A287F"/>
    <w:rsid w:val="7E5F22E5"/>
    <w:rsid w:val="7E6E6608"/>
    <w:rsid w:val="7E771BAC"/>
    <w:rsid w:val="7E800BC1"/>
    <w:rsid w:val="7E891110"/>
    <w:rsid w:val="7E8A5C21"/>
    <w:rsid w:val="7EA452E1"/>
    <w:rsid w:val="7EC0795C"/>
    <w:rsid w:val="7ED964CE"/>
    <w:rsid w:val="7EDE76AE"/>
    <w:rsid w:val="7EE76FBE"/>
    <w:rsid w:val="7EEF71C5"/>
    <w:rsid w:val="7F056578"/>
    <w:rsid w:val="7F250E39"/>
    <w:rsid w:val="7F4A1447"/>
    <w:rsid w:val="7F590AE3"/>
    <w:rsid w:val="7F6A2CF0"/>
    <w:rsid w:val="7F786BAA"/>
    <w:rsid w:val="7F7B7C44"/>
    <w:rsid w:val="7F842003"/>
    <w:rsid w:val="7F8E4C30"/>
    <w:rsid w:val="7F945FBF"/>
    <w:rsid w:val="7FA2692E"/>
    <w:rsid w:val="7FCC5758"/>
    <w:rsid w:val="7FD447D6"/>
    <w:rsid w:val="7FDE1E1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iPriority="99"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adjustRightInd w:val="0"/>
      <w:snapToGrid w:val="0"/>
      <w:spacing w:line="360" w:lineRule="auto"/>
      <w:jc w:val="center"/>
      <w:outlineLvl w:val="0"/>
    </w:pPr>
    <w:rPr>
      <w:b/>
      <w:sz w:val="44"/>
    </w:rPr>
  </w:style>
  <w:style w:type="paragraph" w:styleId="3">
    <w:name w:val="heading 2"/>
    <w:basedOn w:val="1"/>
    <w:next w:val="1"/>
    <w:qFormat/>
    <w:uiPriority w:val="99"/>
    <w:pPr>
      <w:keepNext/>
      <w:keepLines/>
      <w:adjustRightInd w:val="0"/>
      <w:snapToGrid w:val="0"/>
      <w:spacing w:line="360" w:lineRule="auto"/>
      <w:jc w:val="center"/>
      <w:outlineLvl w:val="1"/>
    </w:pPr>
    <w:rPr>
      <w:rFonts w:ascii="Arial" w:hAnsi="Arial"/>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420" w:firstLineChars="200"/>
    </w:pPr>
    <w:rPr>
      <w:rFonts w:ascii="Calibri" w:hAnsi="Calibri"/>
      <w:kern w:val="0"/>
      <w:sz w:val="20"/>
    </w:rPr>
  </w:style>
  <w:style w:type="paragraph" w:styleId="8">
    <w:name w:val="toa heading"/>
    <w:basedOn w:val="1"/>
    <w:next w:val="1"/>
    <w:qFormat/>
    <w:uiPriority w:val="0"/>
    <w:pPr>
      <w:spacing w:before="120"/>
    </w:pPr>
    <w:rPr>
      <w:rFonts w:ascii="Arial" w:hAnsi="Arial"/>
      <w:b/>
      <w:bCs/>
    </w:rPr>
  </w:style>
  <w:style w:type="paragraph" w:styleId="9">
    <w:name w:val="annotation text"/>
    <w:basedOn w:val="1"/>
    <w:qFormat/>
    <w:uiPriority w:val="0"/>
    <w:pPr>
      <w:jc w:val="left"/>
    </w:pPr>
    <w:rPr>
      <w:rFonts w:ascii="Times New Roman"/>
      <w:kern w:val="2"/>
      <w:sz w:val="21"/>
    </w:rPr>
  </w:style>
  <w:style w:type="paragraph" w:styleId="10">
    <w:name w:val="Body Text 3"/>
    <w:basedOn w:val="1"/>
    <w:qFormat/>
    <w:uiPriority w:val="99"/>
    <w:pPr>
      <w:spacing w:after="120"/>
    </w:pPr>
    <w:rPr>
      <w:sz w:val="16"/>
      <w:szCs w:val="16"/>
    </w:rPr>
  </w:style>
  <w:style w:type="paragraph" w:styleId="11">
    <w:name w:val="Body Text"/>
    <w:basedOn w:val="1"/>
    <w:next w:val="1"/>
    <w:qFormat/>
    <w:uiPriority w:val="99"/>
    <w:pPr>
      <w:spacing w:after="120"/>
    </w:pPr>
    <w:rPr>
      <w:szCs w:val="24"/>
    </w:rPr>
  </w:style>
  <w:style w:type="paragraph" w:styleId="12">
    <w:name w:val="Body Text Indent"/>
    <w:basedOn w:val="1"/>
    <w:next w:val="11"/>
    <w:qFormat/>
    <w:uiPriority w:val="0"/>
    <w:pPr>
      <w:ind w:left="1083" w:leftChars="30" w:hanging="1020" w:hangingChars="425"/>
    </w:pPr>
    <w:rPr>
      <w:rFonts w:ascii="宋体" w:hAnsi="宋体"/>
      <w:sz w:val="24"/>
    </w:rPr>
  </w:style>
  <w:style w:type="paragraph" w:styleId="13">
    <w:name w:val="List 2"/>
    <w:basedOn w:val="1"/>
    <w:qFormat/>
    <w:uiPriority w:val="0"/>
    <w:pPr>
      <w:spacing w:line="360" w:lineRule="auto"/>
      <w:ind w:left="100" w:leftChars="200" w:hanging="200" w:hangingChars="200"/>
    </w:pPr>
    <w:rPr>
      <w:szCs w:val="20"/>
    </w:rPr>
  </w:style>
  <w:style w:type="paragraph" w:styleId="14">
    <w:name w:val="Block Text"/>
    <w:basedOn w:val="1"/>
    <w:next w:val="1"/>
    <w:qFormat/>
    <w:uiPriority w:val="0"/>
    <w:pPr>
      <w:autoSpaceDE w:val="0"/>
      <w:autoSpaceDN w:val="0"/>
      <w:adjustRightInd w:val="0"/>
      <w:spacing w:line="360" w:lineRule="auto"/>
      <w:ind w:left="237" w:right="216" w:firstLine="420"/>
    </w:pPr>
    <w:rPr>
      <w:rFonts w:ascii="宋体" w:hAnsi="宋体"/>
      <w:kern w:val="0"/>
      <w:sz w:val="24"/>
      <w:szCs w:val="21"/>
    </w:rPr>
  </w:style>
  <w:style w:type="paragraph" w:styleId="15">
    <w:name w:val="Plain Text"/>
    <w:basedOn w:val="1"/>
    <w:next w:val="1"/>
    <w:qFormat/>
    <w:uiPriority w:val="99"/>
    <w:rPr>
      <w:rFonts w:ascii="宋体" w:hAnsi="Courier New"/>
    </w:rPr>
  </w:style>
  <w:style w:type="paragraph" w:styleId="16">
    <w:name w:val="Body Text Indent 2"/>
    <w:basedOn w:val="1"/>
    <w:semiHidden/>
    <w:unhideWhenUsed/>
    <w:qFormat/>
    <w:uiPriority w:val="99"/>
    <w:pPr>
      <w:spacing w:after="120" w:line="480" w:lineRule="auto"/>
      <w:ind w:left="420" w:leftChars="200"/>
    </w:pPr>
  </w:style>
  <w:style w:type="paragraph" w:styleId="17">
    <w:name w:val="footer"/>
    <w:basedOn w:val="1"/>
    <w:next w:val="1"/>
    <w:qFormat/>
    <w:uiPriority w:val="99"/>
    <w:pPr>
      <w:tabs>
        <w:tab w:val="center" w:pos="4153"/>
        <w:tab w:val="right" w:pos="8306"/>
      </w:tabs>
      <w:adjustRightInd w:val="0"/>
      <w:spacing w:line="240" w:lineRule="atLeast"/>
      <w:jc w:val="left"/>
      <w:textAlignment w:val="baseline"/>
    </w:pPr>
    <w:rPr>
      <w:kern w:val="0"/>
      <w:sz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HTML Preformatted"/>
    <w:basedOn w:val="1"/>
    <w:qFormat/>
    <w:uiPriority w:val="0"/>
    <w:rPr>
      <w:rFonts w:ascii="Courier New" w:hAnsi="Courier New"/>
      <w:sz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Body Text First Indent"/>
    <w:basedOn w:val="11"/>
    <w:next w:val="1"/>
    <w:qFormat/>
    <w:uiPriority w:val="0"/>
    <w:pPr>
      <w:adjustRightInd w:val="0"/>
      <w:ind w:firstLine="420"/>
      <w:jc w:val="left"/>
      <w:textAlignment w:val="baseline"/>
    </w:pPr>
    <w:rPr>
      <w:kern w:val="0"/>
      <w:sz w:val="21"/>
    </w:rPr>
  </w:style>
  <w:style w:type="paragraph" w:styleId="25">
    <w:name w:val="Body Text First Indent 2"/>
    <w:basedOn w:val="12"/>
    <w:next w:val="1"/>
    <w:qFormat/>
    <w:uiPriority w:val="0"/>
    <w:pPr>
      <w:ind w:firstLine="420"/>
    </w:pPr>
    <w:rPr>
      <w:rFonts w:hint="eastAsia"/>
      <w:sz w:val="21"/>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99"/>
    <w:rPr>
      <w:rFonts w:cs="Times New Roman"/>
    </w:rPr>
  </w:style>
  <w:style w:type="character" w:styleId="31">
    <w:name w:val="FollowedHyperlink"/>
    <w:basedOn w:val="28"/>
    <w:qFormat/>
    <w:uiPriority w:val="0"/>
    <w:rPr>
      <w:color w:val="551A8B"/>
      <w:u w:val="single"/>
    </w:rPr>
  </w:style>
  <w:style w:type="character" w:styleId="32">
    <w:name w:val="Emphasis"/>
    <w:basedOn w:val="28"/>
    <w:qFormat/>
    <w:uiPriority w:val="0"/>
    <w:rPr>
      <w:color w:val="D73130"/>
      <w:sz w:val="24"/>
      <w:szCs w:val="24"/>
    </w:rPr>
  </w:style>
  <w:style w:type="character" w:styleId="33">
    <w:name w:val="Hyperlink"/>
    <w:basedOn w:val="28"/>
    <w:qFormat/>
    <w:uiPriority w:val="0"/>
    <w:rPr>
      <w:color w:val="0000FF"/>
      <w:u w:val="none"/>
    </w:rPr>
  </w:style>
  <w:style w:type="character" w:styleId="34">
    <w:name w:val="HTML Cite"/>
    <w:basedOn w:val="28"/>
    <w:qFormat/>
    <w:uiPriority w:val="0"/>
    <w:rPr>
      <w:sz w:val="24"/>
      <w:szCs w:val="24"/>
    </w:rPr>
  </w:style>
  <w:style w:type="paragraph" w:customStyle="1" w:styleId="35">
    <w:name w:val="引文目录1"/>
    <w:basedOn w:val="1"/>
    <w:next w:val="1"/>
    <w:autoRedefine/>
    <w:qFormat/>
    <w:uiPriority w:val="0"/>
    <w:pPr>
      <w:ind w:left="420" w:leftChars="200"/>
    </w:pPr>
    <w:rPr>
      <w:szCs w:val="32"/>
    </w:rPr>
  </w:style>
  <w:style w:type="paragraph" w:customStyle="1" w:styleId="36">
    <w:name w:val="正文缩进1"/>
    <w:basedOn w:val="1"/>
    <w:qFormat/>
    <w:uiPriority w:val="0"/>
    <w:pPr>
      <w:ind w:firstLine="420" w:firstLineChars="200"/>
    </w:p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8">
    <w:name w:val="List Paragraph"/>
    <w:basedOn w:val="1"/>
    <w:next w:val="39"/>
    <w:qFormat/>
    <w:uiPriority w:val="34"/>
    <w:pPr>
      <w:ind w:firstLine="420" w:firstLineChars="200"/>
    </w:pPr>
    <w:rPr>
      <w:rFonts w:ascii="Calibri" w:hAnsi="Calibri"/>
      <w:szCs w:val="22"/>
    </w:rPr>
  </w:style>
  <w:style w:type="paragraph" w:customStyle="1" w:styleId="39">
    <w:name w:val="正文1"/>
    <w:next w:val="23"/>
    <w:qFormat/>
    <w:uiPriority w:val="99"/>
    <w:pPr>
      <w:widowControl w:val="0"/>
      <w:adjustRightInd w:val="0"/>
      <w:spacing w:line="312" w:lineRule="atLeast"/>
      <w:jc w:val="both"/>
      <w:textAlignment w:val="baseline"/>
    </w:pPr>
    <w:rPr>
      <w:rFonts w:ascii="宋体" w:hAnsi="Calibri" w:eastAsia="宋体" w:cs="Times New Roman"/>
      <w:kern w:val="2"/>
      <w:sz w:val="34"/>
      <w:szCs w:val="22"/>
      <w:lang w:val="en-US" w:eastAsia="zh-CN" w:bidi="ar-SA"/>
    </w:rPr>
  </w:style>
  <w:style w:type="paragraph" w:customStyle="1" w:styleId="40">
    <w:name w:val="正式文本"/>
    <w:basedOn w:val="1"/>
    <w:qFormat/>
    <w:uiPriority w:val="0"/>
    <w:pPr>
      <w:spacing w:line="540" w:lineRule="exact"/>
      <w:ind w:firstLine="200" w:firstLineChars="200"/>
    </w:pPr>
    <w:rPr>
      <w:rFonts w:ascii="宋体" w:hAnsi="Arial Narrow" w:eastAsia="宋体" w:cs="Times New Roman"/>
      <w:sz w:val="28"/>
      <w:szCs w:val="24"/>
    </w:rPr>
  </w:style>
  <w:style w:type="paragraph" w:customStyle="1" w:styleId="41">
    <w:name w:val="WPSOffice手动目录 1"/>
    <w:qFormat/>
    <w:uiPriority w:val="0"/>
    <w:rPr>
      <w:rFonts w:ascii="Calibri" w:hAnsi="Calibri" w:eastAsia="宋体" w:cs="Times New Roman"/>
      <w:lang w:val="en-US" w:eastAsia="zh-CN" w:bidi="ar-SA"/>
    </w:rPr>
  </w:style>
  <w:style w:type="paragraph" w:customStyle="1" w:styleId="42">
    <w:name w:val="WPSOffice手动目录 2"/>
    <w:qFormat/>
    <w:uiPriority w:val="0"/>
    <w:pPr>
      <w:ind w:left="200" w:leftChars="200"/>
    </w:pPr>
    <w:rPr>
      <w:rFonts w:ascii="Calibri" w:hAnsi="Calibri" w:eastAsia="宋体" w:cs="Times New Roman"/>
      <w:lang w:val="en-US" w:eastAsia="zh-CN" w:bidi="ar-SA"/>
    </w:rPr>
  </w:style>
  <w:style w:type="paragraph" w:customStyle="1" w:styleId="43">
    <w:name w:val="List Paragraph1"/>
    <w:qFormat/>
    <w:uiPriority w:val="99"/>
    <w:pPr>
      <w:ind w:firstLine="420" w:firstLineChars="200"/>
    </w:pPr>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3"/>
    <w:qFormat/>
    <w:uiPriority w:val="99"/>
    <w:pPr>
      <w:spacing w:before="100" w:line="400" w:lineRule="exact"/>
    </w:pPr>
    <w:rPr>
      <w:rFonts w:ascii="Times New Roman" w:hAnsi="Times New Roman" w:cs="宋体"/>
      <w:b w:val="0"/>
      <w:kern w:val="0"/>
      <w:sz w:val="28"/>
    </w:rPr>
  </w:style>
  <w:style w:type="paragraph" w:customStyle="1" w:styleId="45">
    <w:name w:val="样式 标题 3 + (中文) 黑体 小四 非加粗 段前: 7.8 磅 段后: 0 磅 行距: 固定值 20 磅"/>
    <w:basedOn w:val="4"/>
    <w:next w:val="1"/>
    <w:qFormat/>
    <w:uiPriority w:val="99"/>
    <w:pPr>
      <w:spacing w:before="0" w:after="0" w:line="400" w:lineRule="exact"/>
    </w:pPr>
    <w:rPr>
      <w:rFonts w:hAnsi="Calibri" w:eastAsia="黑体" w:cs="宋体"/>
      <w:b w:val="0"/>
      <w:sz w:val="24"/>
    </w:rPr>
  </w:style>
  <w:style w:type="paragraph" w:customStyle="1" w:styleId="46">
    <w:name w:val="目录"/>
    <w:basedOn w:val="1"/>
    <w:qFormat/>
    <w:uiPriority w:val="99"/>
    <w:pPr>
      <w:jc w:val="center"/>
    </w:pPr>
    <w:rPr>
      <w:rFonts w:ascii="宋体" w:hAnsi="Calibri"/>
      <w:b/>
      <w:sz w:val="36"/>
      <w:szCs w:val="22"/>
    </w:rPr>
  </w:style>
  <w:style w:type="paragraph" w:customStyle="1" w:styleId="47">
    <w:name w:val="正文样式"/>
    <w:basedOn w:val="1"/>
    <w:qFormat/>
    <w:uiPriority w:val="0"/>
    <w:pPr>
      <w:tabs>
        <w:tab w:val="left" w:pos="1560"/>
      </w:tabs>
      <w:spacing w:before="163" w:after="163" w:line="300" w:lineRule="auto"/>
      <w:ind w:left="1560" w:hanging="360" w:firstLineChars="200"/>
    </w:pPr>
    <w:rPr>
      <w:rFonts w:ascii="宋体" w:hAnsi="等线" w:eastAsia="等线"/>
      <w:sz w:val="24"/>
    </w:rPr>
  </w:style>
  <w:style w:type="paragraph" w:customStyle="1" w:styleId="48">
    <w:name w:val="首行缩进"/>
    <w:basedOn w:val="1"/>
    <w:qFormat/>
    <w:uiPriority w:val="0"/>
    <w:pPr>
      <w:spacing w:line="360" w:lineRule="auto"/>
      <w:ind w:firstLine="480" w:firstLineChars="200"/>
    </w:pPr>
    <w:rPr>
      <w:sz w:val="24"/>
      <w:szCs w:val="22"/>
      <w:lang w:val="zh-CN"/>
    </w:rPr>
  </w:style>
  <w:style w:type="paragraph" w:customStyle="1" w:styleId="49">
    <w:name w:val="Table Paragraph"/>
    <w:basedOn w:val="1"/>
    <w:qFormat/>
    <w:uiPriority w:val="1"/>
    <w:rPr>
      <w:rFonts w:ascii="仿宋" w:hAnsi="仿宋" w:eastAsia="仿宋" w:cs="仿宋"/>
      <w:lang w:val="zh-CN" w:eastAsia="zh-CN" w:bidi="zh-CN"/>
    </w:rPr>
  </w:style>
  <w:style w:type="paragraph" w:customStyle="1" w:styleId="50">
    <w:name w:val="Default"/>
    <w:basedOn w:val="1"/>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table" w:customStyle="1" w:styleId="51">
    <w:name w:val="Table Normal"/>
    <w:unhideWhenUsed/>
    <w:qFormat/>
    <w:uiPriority w:val="0"/>
    <w:tblPr>
      <w:tblCellMar>
        <w:top w:w="0" w:type="dxa"/>
        <w:left w:w="0" w:type="dxa"/>
        <w:bottom w:w="0" w:type="dxa"/>
        <w:right w:w="0" w:type="dxa"/>
      </w:tblCellMar>
    </w:tblPr>
  </w:style>
  <w:style w:type="character" w:customStyle="1" w:styleId="52">
    <w:name w:val="font11"/>
    <w:basedOn w:val="28"/>
    <w:qFormat/>
    <w:uiPriority w:val="0"/>
    <w:rPr>
      <w:rFonts w:hint="eastAsia" w:ascii="宋体" w:hAnsi="宋体" w:eastAsia="宋体" w:cs="宋体"/>
      <w:color w:val="000000"/>
      <w:sz w:val="24"/>
      <w:szCs w:val="24"/>
      <w:u w:val="none"/>
    </w:rPr>
  </w:style>
  <w:style w:type="paragraph" w:customStyle="1" w:styleId="53">
    <w:name w:val="Fließtext"/>
    <w:basedOn w:val="1"/>
    <w:qFormat/>
    <w:uiPriority w:val="0"/>
    <w:pPr>
      <w:overflowPunct w:val="0"/>
      <w:autoSpaceDE w:val="0"/>
      <w:autoSpaceDN w:val="0"/>
      <w:adjustRightInd w:val="0"/>
      <w:textAlignment w:val="baseline"/>
    </w:pPr>
    <w:rPr>
      <w:kern w:val="28"/>
      <w:sz w:val="28"/>
      <w:szCs w:val="20"/>
    </w:rPr>
  </w:style>
  <w:style w:type="paragraph" w:customStyle="1" w:styleId="54">
    <w:name w:val="正文（缩进 2 字符）"/>
    <w:basedOn w:val="1"/>
    <w:qFormat/>
    <w:uiPriority w:val="0"/>
    <w:pPr>
      <w:ind w:firstLine="200" w:firstLineChars="200"/>
    </w:pPr>
  </w:style>
  <w:style w:type="paragraph" w:customStyle="1" w:styleId="55">
    <w:name w:val="列出段落1"/>
    <w:basedOn w:val="1"/>
    <w:qFormat/>
    <w:uiPriority w:val="99"/>
    <w:pPr>
      <w:ind w:firstLine="420" w:firstLineChars="200"/>
    </w:pPr>
  </w:style>
  <w:style w:type="paragraph" w:customStyle="1" w:styleId="56">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14887</Words>
  <Characters>16687</Characters>
  <Lines>0</Lines>
  <Paragraphs>0</Paragraphs>
  <TotalTime>2</TotalTime>
  <ScaleCrop>false</ScaleCrop>
  <LinksUpToDate>false</LinksUpToDate>
  <CharactersWithSpaces>16963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2020-09-29T01:13:00Z</dcterms:created>
  <dc:creator>Administrator</dc:creator>
  <cp:lastModifiedBy>黑曼巴</cp:lastModifiedBy>
  <cp:lastPrinted>2023-09-25T02:57:00Z</cp:lastPrinted>
  <dcterms:modified xsi:type="dcterms:W3CDTF">2025-10-24T09:59:49Z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3E5956233BF540509749E2086CC5C2C6_13</vt:lpwstr>
  </property>
  <property fmtid="{D5CDD505-2E9C-101B-9397-08002B2CF9AE}" pid="4" name="KSOTemplateDocerSaveRecord">
    <vt:lpwstr>eyJoZGlkIjoiZmFjMzI4NDRiNmE3YjkzOTJiMjQ4NDY4ZjAyZDIyNjAiLCJ1c2VySWQiOiIyMTIyOTgxMjcifQ==</vt:lpwstr>
  </property>
</Properties>
</file>