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022BEA">
      <w:pPr>
        <w:spacing w:line="480" w:lineRule="auto"/>
        <w:ind w:firstLine="2718" w:firstLineChars="846"/>
        <w:outlineLvl w:val="0"/>
        <w:rPr>
          <w:rFonts w:ascii="宋体"/>
          <w:b/>
          <w:sz w:val="30"/>
          <w:szCs w:val="30"/>
        </w:rPr>
      </w:pPr>
      <w:bookmarkStart w:id="0" w:name="_Toc466304786"/>
      <w:bookmarkStart w:id="1" w:name="_Toc32605"/>
      <w:bookmarkStart w:id="2" w:name="_Toc9846"/>
      <w:bookmarkStart w:id="8" w:name="_GoBack"/>
      <w:bookmarkEnd w:id="8"/>
      <w:r>
        <w:rPr>
          <w:rStyle w:val="5"/>
          <w:sz w:val="32"/>
          <w:szCs w:val="32"/>
        </w:rPr>
        <w:t xml:space="preserve"> </w:t>
      </w:r>
      <w:bookmarkEnd w:id="0"/>
      <w:bookmarkEnd w:id="1"/>
      <w:r>
        <w:rPr>
          <w:rStyle w:val="5"/>
          <w:rFonts w:hint="eastAsia"/>
          <w:sz w:val="32"/>
          <w:szCs w:val="32"/>
        </w:rPr>
        <w:t>磋商内容及要求</w:t>
      </w:r>
      <w:bookmarkEnd w:id="2"/>
    </w:p>
    <w:p w14:paraId="7F4F147C">
      <w:pPr>
        <w:spacing w:line="360" w:lineRule="auto"/>
        <w:rPr>
          <w:rFonts w:ascii="宋体" w:hAnsi="宋体"/>
          <w:b/>
          <w:sz w:val="24"/>
          <w:szCs w:val="24"/>
        </w:rPr>
      </w:pPr>
      <w:r>
        <w:rPr>
          <w:rFonts w:hint="eastAsia" w:ascii="宋体" w:hAnsi="宋体"/>
          <w:b/>
          <w:sz w:val="24"/>
          <w:szCs w:val="24"/>
        </w:rPr>
        <w:t>一、招标要求</w:t>
      </w:r>
    </w:p>
    <w:p w14:paraId="4CAEFC88">
      <w:pPr>
        <w:spacing w:line="360" w:lineRule="auto"/>
        <w:rPr>
          <w:rFonts w:ascii="宋体" w:hAnsi="宋体" w:cs="宋体"/>
          <w:sz w:val="24"/>
          <w:szCs w:val="24"/>
        </w:rPr>
      </w:pPr>
      <w:r>
        <w:rPr>
          <w:rFonts w:hint="eastAsia" w:ascii="宋体" w:hAnsi="宋体" w:cs="宋体"/>
          <w:sz w:val="24"/>
          <w:szCs w:val="24"/>
        </w:rPr>
        <w:t xml:space="preserve">1、项目名称：咸阳师范学院体育学院室外篮球场地维修改造项目 </w:t>
      </w:r>
    </w:p>
    <w:p w14:paraId="3F4E6C6E">
      <w:pPr>
        <w:spacing w:line="360" w:lineRule="auto"/>
        <w:rPr>
          <w:rFonts w:ascii="宋体" w:hAnsi="宋体" w:cs="宋体"/>
          <w:sz w:val="24"/>
          <w:szCs w:val="24"/>
        </w:rPr>
      </w:pPr>
      <w:r>
        <w:rPr>
          <w:rFonts w:hint="eastAsia" w:ascii="宋体" w:hAnsi="宋体" w:cs="宋体"/>
          <w:sz w:val="24"/>
          <w:szCs w:val="24"/>
        </w:rPr>
        <w:t>2、工程地点：咸阳师范学院渭城校区室外篮球场</w:t>
      </w:r>
    </w:p>
    <w:p w14:paraId="1DB43142">
      <w:pPr>
        <w:spacing w:line="360" w:lineRule="auto"/>
        <w:rPr>
          <w:rFonts w:ascii="宋体" w:hAnsi="宋体" w:cs="宋体"/>
          <w:sz w:val="24"/>
          <w:szCs w:val="24"/>
        </w:rPr>
      </w:pPr>
      <w:r>
        <w:rPr>
          <w:rFonts w:hint="eastAsia" w:ascii="宋体" w:hAnsi="宋体" w:cs="宋体"/>
          <w:sz w:val="24"/>
          <w:szCs w:val="24"/>
        </w:rPr>
        <w:t>3、</w:t>
      </w:r>
      <w:r>
        <w:rPr>
          <w:rFonts w:hint="eastAsia" w:ascii="宋体" w:hAnsi="宋体" w:cs="宋体"/>
          <w:kern w:val="0"/>
          <w:sz w:val="24"/>
          <w:szCs w:val="24"/>
        </w:rPr>
        <w:t>工期</w:t>
      </w:r>
      <w:r>
        <w:rPr>
          <w:rFonts w:hint="eastAsia" w:ascii="宋体" w:hAnsi="宋体" w:cs="宋体"/>
          <w:sz w:val="24"/>
          <w:szCs w:val="24"/>
        </w:rPr>
        <w:t>：30天</w:t>
      </w:r>
    </w:p>
    <w:p w14:paraId="534EC965">
      <w:pPr>
        <w:spacing w:line="360" w:lineRule="auto"/>
        <w:rPr>
          <w:rFonts w:ascii="宋体" w:hAnsi="宋体" w:cs="宋体"/>
          <w:sz w:val="24"/>
          <w:szCs w:val="24"/>
        </w:rPr>
      </w:pPr>
      <w:r>
        <w:rPr>
          <w:rFonts w:hint="eastAsia" w:ascii="宋体" w:hAnsi="宋体" w:cs="宋体"/>
          <w:sz w:val="24"/>
          <w:szCs w:val="24"/>
        </w:rPr>
        <w:t>4、质保期：</w:t>
      </w:r>
      <w:r>
        <w:rPr>
          <w:rFonts w:hint="eastAsia" w:ascii="宋体" w:hAnsi="宋体" w:cs="宋体"/>
          <w:bCs/>
          <w:sz w:val="24"/>
          <w:szCs w:val="24"/>
        </w:rPr>
        <w:t>2年</w:t>
      </w:r>
    </w:p>
    <w:p w14:paraId="7A050907">
      <w:pPr>
        <w:spacing w:line="360" w:lineRule="auto"/>
        <w:rPr>
          <w:rFonts w:ascii="宋体" w:hAnsi="宋体" w:cs="宋体"/>
          <w:sz w:val="24"/>
          <w:szCs w:val="24"/>
        </w:rPr>
      </w:pPr>
      <w:r>
        <w:rPr>
          <w:rFonts w:hint="eastAsia" w:ascii="宋体" w:hAnsi="宋体" w:cs="宋体"/>
          <w:sz w:val="24"/>
          <w:szCs w:val="24"/>
        </w:rPr>
        <w:t>5、工程质量：合格</w:t>
      </w:r>
    </w:p>
    <w:p w14:paraId="011FA55F">
      <w:pPr>
        <w:spacing w:line="360" w:lineRule="auto"/>
        <w:rPr>
          <w:rFonts w:ascii="宋体" w:hAnsi="宋体"/>
          <w:b/>
          <w:sz w:val="24"/>
          <w:szCs w:val="24"/>
        </w:rPr>
      </w:pPr>
      <w:r>
        <w:rPr>
          <w:rFonts w:hint="eastAsia" w:ascii="宋体" w:hAnsi="宋体"/>
          <w:b/>
          <w:sz w:val="24"/>
          <w:szCs w:val="24"/>
        </w:rPr>
        <w:t>二、</w:t>
      </w:r>
      <w:r>
        <w:fldChar w:fldCharType="begin"/>
      </w:r>
      <w:r>
        <w:instrText xml:space="preserve"> HYPERLINK \l "_bookmark1" </w:instrText>
      </w:r>
      <w:r>
        <w:fldChar w:fldCharType="separate"/>
      </w:r>
      <w:r>
        <w:rPr>
          <w:rFonts w:hint="eastAsia" w:ascii="宋体" w:hAnsi="宋体"/>
          <w:b/>
          <w:sz w:val="24"/>
          <w:szCs w:val="24"/>
        </w:rPr>
        <w:t>项目情况</w:t>
      </w:r>
      <w:r>
        <w:rPr>
          <w:rFonts w:hint="eastAsia" w:ascii="宋体" w:hAnsi="宋体"/>
          <w:b/>
          <w:sz w:val="24"/>
          <w:szCs w:val="24"/>
        </w:rPr>
        <w:fldChar w:fldCharType="end"/>
      </w:r>
    </w:p>
    <w:p w14:paraId="3617E64F">
      <w:pPr>
        <w:spacing w:line="360" w:lineRule="auto"/>
        <w:ind w:firstLine="480" w:firstLineChars="200"/>
        <w:rPr>
          <w:rFonts w:ascii="宋体" w:hAnsi="宋体" w:cs="宋体"/>
          <w:sz w:val="24"/>
          <w:szCs w:val="24"/>
        </w:rPr>
      </w:pPr>
      <w:r>
        <w:rPr>
          <w:rFonts w:hint="eastAsia" w:ascii="宋体" w:hAnsi="宋体" w:cs="宋体"/>
          <w:sz w:val="24"/>
          <w:szCs w:val="24"/>
        </w:rPr>
        <w:t>体育学院室外篮球场年久失修，篮球场地水泥地面已经出现严重开裂，多块场地已凹凸不平，已形成较大安全隐患，严重影响正常的教学活动和课后活动，特对部分场地进行维修改造。</w:t>
      </w:r>
    </w:p>
    <w:p w14:paraId="44D35327">
      <w:pPr>
        <w:spacing w:line="360" w:lineRule="auto"/>
        <w:ind w:firstLine="480" w:firstLineChars="200"/>
        <w:rPr>
          <w:rFonts w:ascii="宋体" w:hAnsi="宋体" w:cs="宋体"/>
          <w:sz w:val="24"/>
          <w:szCs w:val="24"/>
        </w:rPr>
      </w:pPr>
      <w:r>
        <w:rPr>
          <w:rFonts w:hint="eastAsia" w:ascii="宋体" w:hAnsi="宋体" w:cs="宋体"/>
          <w:sz w:val="24"/>
          <w:szCs w:val="24"/>
        </w:rPr>
        <w:t>维修改造内容：篮球场</w:t>
      </w:r>
      <w:bookmarkStart w:id="3" w:name="OLE_LINK6"/>
      <w:r>
        <w:rPr>
          <w:rFonts w:hint="eastAsia" w:ascii="宋体" w:hAnsi="宋体" w:cs="宋体"/>
          <w:sz w:val="24"/>
          <w:szCs w:val="24"/>
        </w:rPr>
        <w:t>（10个标准篮球场地）</w:t>
      </w:r>
      <w:bookmarkEnd w:id="3"/>
      <w:r>
        <w:rPr>
          <w:rFonts w:hint="eastAsia" w:ascii="宋体" w:hAnsi="宋体" w:cs="宋体"/>
          <w:sz w:val="24"/>
          <w:szCs w:val="24"/>
        </w:rPr>
        <w:t>的一半（南面5个标准篮球场地）铺设硅pu篮球场地。</w:t>
      </w:r>
    </w:p>
    <w:p w14:paraId="7A29CCB7">
      <w:pPr>
        <w:spacing w:line="360" w:lineRule="auto"/>
        <w:rPr>
          <w:rFonts w:ascii="宋体" w:hAnsi="宋体"/>
          <w:b/>
          <w:sz w:val="24"/>
          <w:szCs w:val="24"/>
        </w:rPr>
      </w:pPr>
      <w:r>
        <w:rPr>
          <w:rFonts w:hint="eastAsia" w:ascii="宋体" w:hAnsi="宋体"/>
          <w:b/>
          <w:sz w:val="24"/>
          <w:szCs w:val="24"/>
        </w:rPr>
        <w:t>三、编制依据</w:t>
      </w:r>
    </w:p>
    <w:p w14:paraId="38E4BC56">
      <w:pPr>
        <w:spacing w:line="360" w:lineRule="auto"/>
        <w:ind w:left="559" w:leftChars="266"/>
        <w:rPr>
          <w:rFonts w:ascii="宋体" w:hAnsi="宋体" w:cs="宋体"/>
          <w:sz w:val="24"/>
          <w:szCs w:val="24"/>
        </w:rPr>
      </w:pPr>
      <w:r>
        <w:rPr>
          <w:rFonts w:hint="eastAsia" w:ascii="宋体" w:hAnsi="宋体" w:cs="宋体"/>
          <w:sz w:val="24"/>
          <w:szCs w:val="24"/>
        </w:rPr>
        <w:t>《</w:t>
      </w:r>
      <w:r>
        <w:rPr>
          <w:rFonts w:ascii="宋体" w:hAnsi="宋体" w:cs="宋体"/>
          <w:sz w:val="24"/>
          <w:szCs w:val="24"/>
        </w:rPr>
        <w:t>体育场地使用要求及检验方法 第4部分：合成面层篮球场地</w:t>
      </w:r>
      <w:r>
        <w:rPr>
          <w:rFonts w:hint="eastAsia" w:ascii="宋体" w:hAnsi="宋体" w:cs="宋体"/>
          <w:sz w:val="24"/>
          <w:szCs w:val="24"/>
        </w:rPr>
        <w:t xml:space="preserve">》 </w:t>
      </w:r>
      <w:r>
        <w:rPr>
          <w:rFonts w:ascii="宋体" w:hAnsi="宋体" w:cs="宋体"/>
          <w:sz w:val="24"/>
          <w:szCs w:val="24"/>
        </w:rPr>
        <w:t xml:space="preserve">       </w:t>
      </w:r>
    </w:p>
    <w:p w14:paraId="4822CC45">
      <w:pPr>
        <w:spacing w:line="360" w:lineRule="auto"/>
        <w:ind w:left="559" w:leftChars="266" w:firstLine="4560" w:firstLineChars="1900"/>
        <w:rPr>
          <w:rFonts w:ascii="宋体" w:hAnsi="宋体" w:cs="宋体"/>
          <w:sz w:val="24"/>
          <w:szCs w:val="24"/>
        </w:rPr>
      </w:pPr>
      <w:r>
        <w:rPr>
          <w:rFonts w:ascii="宋体" w:hAnsi="宋体" w:cs="宋体"/>
          <w:sz w:val="24"/>
          <w:szCs w:val="24"/>
        </w:rPr>
        <w:t>GB/T 22517.4-2017</w:t>
      </w:r>
    </w:p>
    <w:p w14:paraId="23DC7B8C">
      <w:pPr>
        <w:spacing w:line="360" w:lineRule="auto"/>
        <w:ind w:left="559" w:leftChars="266"/>
        <w:rPr>
          <w:rFonts w:ascii="宋体" w:hAnsi="宋体" w:cs="宋体"/>
          <w:sz w:val="24"/>
          <w:szCs w:val="24"/>
        </w:rPr>
      </w:pPr>
      <w:r>
        <w:rPr>
          <w:rFonts w:hint="eastAsia" w:ascii="宋体" w:hAnsi="宋体" w:cs="宋体"/>
          <w:sz w:val="24"/>
          <w:szCs w:val="24"/>
        </w:rPr>
        <w:t xml:space="preserve">《合成材料运动场地面层》 </w:t>
      </w:r>
      <w:r>
        <w:rPr>
          <w:rFonts w:ascii="宋体" w:hAnsi="宋体" w:cs="宋体"/>
          <w:sz w:val="24"/>
          <w:szCs w:val="24"/>
        </w:rPr>
        <w:t xml:space="preserve">             </w:t>
      </w:r>
      <w:r>
        <w:rPr>
          <w:rFonts w:hint="eastAsia" w:ascii="宋体" w:hAnsi="宋体" w:cs="宋体"/>
          <w:sz w:val="24"/>
          <w:szCs w:val="24"/>
        </w:rPr>
        <w:t>GB∕T 14833-2020</w:t>
      </w:r>
    </w:p>
    <w:p w14:paraId="36937F04">
      <w:pPr>
        <w:spacing w:line="360" w:lineRule="auto"/>
        <w:ind w:left="559" w:firstLine="1"/>
        <w:rPr>
          <w:rFonts w:ascii="宋体" w:hAnsi="宋体" w:cs="宋体"/>
          <w:sz w:val="24"/>
          <w:szCs w:val="24"/>
        </w:rPr>
      </w:pPr>
      <w:r>
        <w:rPr>
          <w:rFonts w:hint="eastAsia" w:ascii="宋体" w:hAnsi="宋体" w:cs="宋体"/>
          <w:sz w:val="24"/>
          <w:szCs w:val="24"/>
        </w:rPr>
        <w:t>《</w:t>
      </w:r>
      <w:r>
        <w:rPr>
          <w:rFonts w:ascii="宋体" w:hAnsi="宋体" w:cs="宋体"/>
          <w:sz w:val="24"/>
          <w:szCs w:val="24"/>
        </w:rPr>
        <w:t>建筑地面工程施工质量验收规范</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GB 50209-2010</w:t>
      </w:r>
      <w:bookmarkStart w:id="4" w:name="OLE_LINK3"/>
    </w:p>
    <w:p w14:paraId="4A23F222">
      <w:pPr>
        <w:spacing w:line="360" w:lineRule="auto"/>
        <w:ind w:left="559" w:firstLine="1"/>
        <w:rPr>
          <w:rFonts w:ascii="宋体" w:hAnsi="宋体" w:cs="宋体"/>
          <w:sz w:val="24"/>
          <w:szCs w:val="24"/>
        </w:rPr>
      </w:pPr>
      <w:r>
        <w:rPr>
          <w:rFonts w:hint="eastAsia" w:ascii="宋体" w:hAnsi="宋体" w:cs="宋体"/>
          <w:sz w:val="24"/>
          <w:szCs w:val="24"/>
        </w:rPr>
        <w:t>《</w:t>
      </w:r>
      <w:r>
        <w:rPr>
          <w:rFonts w:ascii="宋体" w:hAnsi="宋体" w:cs="宋体"/>
          <w:sz w:val="24"/>
          <w:szCs w:val="24"/>
        </w:rPr>
        <w:t>小篮球场地建设与器材配备规范</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 xml:space="preserve"> </w:t>
      </w:r>
      <w:r>
        <w:rPr>
          <w:rFonts w:ascii="宋体" w:hAnsi="宋体" w:cs="宋体"/>
          <w:sz w:val="24"/>
          <w:szCs w:val="24"/>
        </w:rPr>
        <w:t xml:space="preserve"> JY/T 0627-2020</w:t>
      </w:r>
      <w:bookmarkEnd w:id="4"/>
    </w:p>
    <w:p w14:paraId="219122C0">
      <w:pPr>
        <w:spacing w:line="360" w:lineRule="auto"/>
        <w:ind w:firstLine="480" w:firstLineChars="200"/>
        <w:rPr>
          <w:rFonts w:ascii="宋体" w:hAnsi="宋体" w:cs="宋体"/>
          <w:sz w:val="24"/>
          <w:szCs w:val="24"/>
        </w:rPr>
      </w:pPr>
      <w:r>
        <w:rPr>
          <w:rFonts w:hint="eastAsia" w:ascii="宋体" w:hAnsi="宋体" w:cs="宋体"/>
          <w:sz w:val="24"/>
          <w:szCs w:val="24"/>
        </w:rPr>
        <w:t>《</w:t>
      </w:r>
      <w:r>
        <w:rPr>
          <w:rFonts w:ascii="宋体" w:hAnsi="宋体" w:cs="宋体"/>
          <w:sz w:val="24"/>
          <w:szCs w:val="24"/>
        </w:rPr>
        <w:t>体育场地与设施（一）</w:t>
      </w:r>
      <w:bookmarkStart w:id="5" w:name="OLE_LINK5"/>
      <w:r>
        <w:rPr>
          <w:rFonts w:hint="eastAsia" w:ascii="宋体" w:hAnsi="宋体" w:cs="宋体"/>
          <w:sz w:val="24"/>
          <w:szCs w:val="24"/>
        </w:rPr>
        <w:t>》</w:t>
      </w:r>
      <w:bookmarkEnd w:id="5"/>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08J933-1</w:t>
      </w:r>
    </w:p>
    <w:p w14:paraId="193A2CE5">
      <w:pPr>
        <w:spacing w:line="360" w:lineRule="auto"/>
        <w:ind w:left="5359" w:leftChars="266" w:hanging="4800" w:hangingChars="2000"/>
        <w:rPr>
          <w:rFonts w:ascii="宋体" w:hAnsi="宋体" w:cs="宋体"/>
          <w:sz w:val="24"/>
          <w:szCs w:val="24"/>
        </w:rPr>
      </w:pPr>
      <w:r>
        <w:rPr>
          <w:rFonts w:hint="eastAsia" w:ascii="宋体" w:hAnsi="宋体" w:cs="宋体"/>
          <w:sz w:val="24"/>
          <w:szCs w:val="24"/>
        </w:rPr>
        <w:t>《</w:t>
      </w:r>
      <w:r>
        <w:rPr>
          <w:rFonts w:ascii="宋体" w:hAnsi="宋体" w:cs="宋体"/>
          <w:sz w:val="24"/>
          <w:szCs w:val="24"/>
        </w:rPr>
        <w:t>运动场地地面冲击衰减的安全性能要求和试验方法</w:t>
      </w:r>
      <w:r>
        <w:rPr>
          <w:rFonts w:hint="eastAsia" w:ascii="宋体" w:hAnsi="宋体" w:cs="宋体"/>
          <w:sz w:val="24"/>
          <w:szCs w:val="24"/>
        </w:rPr>
        <w:t>》</w:t>
      </w:r>
      <w:r>
        <w:rPr>
          <w:rFonts w:ascii="宋体" w:hAnsi="宋体" w:cs="宋体"/>
          <w:sz w:val="24"/>
          <w:szCs w:val="24"/>
        </w:rPr>
        <w:t>GB/T30228-2013</w:t>
      </w:r>
    </w:p>
    <w:p w14:paraId="338B5384">
      <w:pPr>
        <w:spacing w:line="360" w:lineRule="auto"/>
        <w:ind w:firstLine="480" w:firstLineChars="200"/>
        <w:rPr>
          <w:rFonts w:ascii="宋体" w:hAnsi="宋体" w:cs="宋体"/>
          <w:sz w:val="24"/>
          <w:szCs w:val="24"/>
        </w:rPr>
      </w:pPr>
      <w:r>
        <w:rPr>
          <w:rFonts w:ascii="宋体" w:hAnsi="宋体" w:cs="宋体"/>
          <w:sz w:val="24"/>
          <w:szCs w:val="24"/>
        </w:rPr>
        <w:t>《体育建筑设计规范》</w:t>
      </w:r>
      <w:r>
        <w:rPr>
          <w:rFonts w:hint="eastAsia" w:ascii="宋体" w:hAnsi="宋体" w:cs="宋体"/>
          <w:sz w:val="24"/>
          <w:szCs w:val="24"/>
        </w:rPr>
        <w:t xml:space="preserve">                   </w:t>
      </w:r>
      <w:r>
        <w:rPr>
          <w:rFonts w:ascii="宋体" w:hAnsi="宋体" w:cs="宋体"/>
          <w:sz w:val="24"/>
          <w:szCs w:val="24"/>
        </w:rPr>
        <w:t>JGJ 31-2003</w:t>
      </w:r>
    </w:p>
    <w:p w14:paraId="3CF189C9">
      <w:pPr>
        <w:spacing w:line="360" w:lineRule="auto"/>
        <w:rPr>
          <w:rFonts w:ascii="宋体" w:hAnsi="宋体"/>
          <w:b/>
          <w:sz w:val="24"/>
          <w:szCs w:val="24"/>
        </w:rPr>
      </w:pPr>
      <w:r>
        <w:fldChar w:fldCharType="begin"/>
      </w:r>
      <w:r>
        <w:instrText xml:space="preserve"> HYPERLINK \l "_bookmark11" </w:instrText>
      </w:r>
      <w:r>
        <w:fldChar w:fldCharType="separate"/>
      </w:r>
      <w:r>
        <w:rPr>
          <w:rFonts w:hint="eastAsia" w:ascii="宋体" w:hAnsi="宋体"/>
          <w:b/>
          <w:sz w:val="24"/>
          <w:szCs w:val="24"/>
        </w:rPr>
        <w:t xml:space="preserve">四、项目改造方案 </w:t>
      </w:r>
      <w:r>
        <w:rPr>
          <w:rFonts w:hint="eastAsia" w:ascii="宋体" w:hAnsi="宋体"/>
          <w:b/>
          <w:sz w:val="24"/>
          <w:szCs w:val="24"/>
        </w:rPr>
        <w:fldChar w:fldCharType="end"/>
      </w:r>
    </w:p>
    <w:p w14:paraId="407AA896">
      <w:pPr>
        <w:spacing w:line="360" w:lineRule="auto"/>
        <w:ind w:firstLine="480" w:firstLineChars="200"/>
        <w:rPr>
          <w:rFonts w:ascii="宋体" w:hAnsi="宋体" w:cs="宋体"/>
          <w:sz w:val="24"/>
          <w:szCs w:val="24"/>
        </w:rPr>
      </w:pPr>
      <w:r>
        <w:rPr>
          <w:rFonts w:hint="eastAsia" w:ascii="宋体" w:hAnsi="宋体" w:cs="宋体"/>
          <w:sz w:val="24"/>
          <w:szCs w:val="24"/>
        </w:rPr>
        <w:t>篮球场一半（原十个标准篮球场地南面五个标准篮球场地区域）铺设硅pu篮球场地2865 m</w:t>
      </w:r>
      <w:r>
        <w:rPr>
          <w:rFonts w:hint="eastAsia" w:ascii="宋体" w:hAnsi="宋体" w:cs="宋体"/>
          <w:sz w:val="24"/>
          <w:szCs w:val="24"/>
          <w:vertAlign w:val="superscript"/>
        </w:rPr>
        <w:t>2</w:t>
      </w:r>
      <w:r>
        <w:rPr>
          <w:rFonts w:hint="eastAsia" w:ascii="宋体" w:hAnsi="宋体" w:cs="宋体"/>
          <w:sz w:val="24"/>
          <w:szCs w:val="24"/>
        </w:rPr>
        <w:t>（整个篮球场地为梯形，北侧边长为92.4m，南侧边长为90.9m，场地整体宽度为62.5m铺设宽度为31.52m）。硅pu篮球场地采用硅改性聚氨酯材料,规格为5mm厚。</w:t>
      </w:r>
    </w:p>
    <w:p w14:paraId="3C83678E">
      <w:pPr>
        <w:spacing w:line="360" w:lineRule="auto"/>
        <w:ind w:firstLine="560" w:firstLineChars="200"/>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59264" behindDoc="0" locked="0" layoutInCell="1" allowOverlap="1">
                <wp:simplePos x="0" y="0"/>
                <wp:positionH relativeFrom="column">
                  <wp:posOffset>1371600</wp:posOffset>
                </wp:positionH>
                <wp:positionV relativeFrom="paragraph">
                  <wp:posOffset>2028825</wp:posOffset>
                </wp:positionV>
                <wp:extent cx="3409950" cy="923925"/>
                <wp:effectExtent l="19050" t="19050" r="19050" b="28575"/>
                <wp:wrapNone/>
                <wp:docPr id="1250045394" name="矩形 1250045394"/>
                <wp:cNvGraphicFramePr/>
                <a:graphic xmlns:a="http://schemas.openxmlformats.org/drawingml/2006/main">
                  <a:graphicData uri="http://schemas.microsoft.com/office/word/2010/wordprocessingShape">
                    <wps:wsp>
                      <wps:cNvSpPr/>
                      <wps:spPr>
                        <a:xfrm>
                          <a:off x="0" y="0"/>
                          <a:ext cx="3409950" cy="923925"/>
                        </a:xfrm>
                        <a:prstGeom prst="rect">
                          <a:avLst/>
                        </a:prstGeom>
                        <a:solidFill>
                          <a:srgbClr val="4BACC6">
                            <a:alpha val="50000"/>
                          </a:srgbClr>
                        </a:solidFill>
                        <a:ln w="38100">
                          <a:solidFill>
                            <a:srgbClr val="C00000"/>
                          </a:solidFill>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8pt;margin-top:159.75pt;height:72.75pt;width:268.5pt;z-index:251659264;v-text-anchor:middle;mso-width-relative:page;mso-height-relative:page;" fillcolor="#4BACC6" filled="t" stroked="t" coordsize="21600,21600" o:gfxdata="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OaU/G9oAAAALAQAADwAAAAAAAAABACAAAAAiAAAAZHJzL2Rvd25yZXYueG1sUEsB&#10;AhQAFAAAAAgAh07iQG8WgvdlAgAA5AQAAA4AAAAAAAAAAQAgAAAAKQEAAGRycy9lMm9Eb2MueG1s&#10;UEsFBgAAAAAGAAYAWQEAAAAGAAAAAA==&#10;">
                <v:path/>
                <v:fill on="t" opacity="32768f" focussize="0,0"/>
                <v:stroke weight="3pt" color="#C00000" joinstyle="round"/>
                <v:imagedata o:title=""/>
                <o:lock v:ext="edit"/>
              </v:rect>
            </w:pict>
          </mc:Fallback>
        </mc:AlternateContent>
      </w:r>
      <w:r>
        <w:rPr>
          <w:rFonts w:ascii="仿宋" w:hAnsi="仿宋" w:eastAsia="仿宋"/>
          <w:sz w:val="28"/>
          <w:szCs w:val="28"/>
        </w:rPr>
        <mc:AlternateContent>
          <mc:Choice Requires="wps">
            <w:drawing>
              <wp:anchor distT="0" distB="0" distL="114300" distR="114300" simplePos="0" relativeHeight="251659264" behindDoc="0" locked="0" layoutInCell="1" allowOverlap="1">
                <wp:simplePos x="0" y="0"/>
                <wp:positionH relativeFrom="margin">
                  <wp:posOffset>2836545</wp:posOffset>
                </wp:positionH>
                <wp:positionV relativeFrom="paragraph">
                  <wp:posOffset>3072765</wp:posOffset>
                </wp:positionV>
                <wp:extent cx="765175" cy="247650"/>
                <wp:effectExtent l="4445" t="4445" r="11430" b="14605"/>
                <wp:wrapNone/>
                <wp:docPr id="341694857" name="文本框 341694857"/>
                <wp:cNvGraphicFramePr/>
                <a:graphic xmlns:a="http://schemas.openxmlformats.org/drawingml/2006/main">
                  <a:graphicData uri="http://schemas.microsoft.com/office/word/2010/wordprocessingShape">
                    <wps:wsp>
                      <wps:cNvSpPr txBox="1"/>
                      <wps:spPr>
                        <a:xfrm>
                          <a:off x="0" y="0"/>
                          <a:ext cx="765017" cy="247791"/>
                        </a:xfrm>
                        <a:prstGeom prst="rect">
                          <a:avLst/>
                        </a:prstGeom>
                        <a:noFill/>
                        <a:ln w="6350">
                          <a:solidFill>
                            <a:prstClr val="black"/>
                          </a:solidFill>
                        </a:ln>
                        <a:effectLst/>
                      </wps:spPr>
                      <wps:txbx>
                        <w:txbxContent>
                          <w:p w14:paraId="5555D4C3">
                            <w:pPr>
                              <w:rPr>
                                <w:color w:val="FFFFFF"/>
                              </w:rPr>
                            </w:pPr>
                            <w:r>
                              <w:rPr>
                                <w:rFonts w:hint="eastAsia"/>
                                <w:color w:val="FFFFFF"/>
                              </w:rPr>
                              <w:t>90900</w:t>
                            </w:r>
                          </w:p>
                          <w:p w14:paraId="58D01F4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35pt;margin-top:241.95pt;height:19.5pt;width:60.25pt;mso-position-horizontal-relative:margin;z-index:251659264;mso-width-relative:page;mso-height-relative:page;" filled="f" coordsize="21600,21600" o:gfxdata="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q7zHZ2wAAAAsBAAAPAAAAAAAAAAEAIAAAACIAAABkcnMvZG93bnJldi54bWxQSwECFAAU&#10;AAAACACHTuJAle5YVGACAACrBAAADgAAAAAAAAABACAAAAAqAQAAZHJzL2Uyb0RvYy54bWxQSwUG&#10;AAAAAAYABgBZAQAA/AUAAAAA&#10;">
                <v:path/>
                <v:fill on="f" focussize="0,0"/>
                <v:stroke weight="0.5pt" joinstyle="round"/>
                <v:imagedata o:title=""/>
                <o:lock v:ext="edit"/>
                <v:textbox>
                  <w:txbxContent>
                    <w:p w14:paraId="5555D4C3">
                      <w:pPr>
                        <w:rPr>
                          <w:color w:val="FFFFFF"/>
                        </w:rPr>
                      </w:pPr>
                      <w:r>
                        <w:rPr>
                          <w:rFonts w:hint="eastAsia"/>
                          <w:color w:val="FFFFFF"/>
                        </w:rPr>
                        <w:t>90900</w:t>
                      </w:r>
                    </w:p>
                    <w:p w14:paraId="58D01F4B"/>
                  </w:txbxContent>
                </v:textbox>
              </v:shape>
            </w:pict>
          </mc:Fallback>
        </mc:AlternateContent>
      </w:r>
      <w:r>
        <w:rPr>
          <w:rFonts w:ascii="仿宋" w:hAnsi="仿宋" w:eastAsia="仿宋"/>
          <w:sz w:val="28"/>
          <w:szCs w:val="28"/>
        </w:rPr>
        <mc:AlternateContent>
          <mc:Choice Requires="wps">
            <w:drawing>
              <wp:anchor distT="0" distB="0" distL="114300" distR="114300" simplePos="0" relativeHeight="251659264" behindDoc="0" locked="0" layoutInCell="1" allowOverlap="1">
                <wp:simplePos x="0" y="0"/>
                <wp:positionH relativeFrom="margin">
                  <wp:posOffset>2720975</wp:posOffset>
                </wp:positionH>
                <wp:positionV relativeFrom="paragraph">
                  <wp:posOffset>720090</wp:posOffset>
                </wp:positionV>
                <wp:extent cx="765175" cy="247650"/>
                <wp:effectExtent l="4445" t="4445" r="11430" b="14605"/>
                <wp:wrapNone/>
                <wp:docPr id="1256783197" name="文本框 1256783197"/>
                <wp:cNvGraphicFramePr/>
                <a:graphic xmlns:a="http://schemas.openxmlformats.org/drawingml/2006/main">
                  <a:graphicData uri="http://schemas.microsoft.com/office/word/2010/wordprocessingShape">
                    <wps:wsp>
                      <wps:cNvSpPr txBox="1"/>
                      <wps:spPr>
                        <a:xfrm>
                          <a:off x="0" y="0"/>
                          <a:ext cx="765017" cy="247791"/>
                        </a:xfrm>
                        <a:prstGeom prst="rect">
                          <a:avLst/>
                        </a:prstGeom>
                        <a:noFill/>
                        <a:ln w="6350">
                          <a:solidFill>
                            <a:prstClr val="black"/>
                          </a:solidFill>
                        </a:ln>
                        <a:effectLst/>
                      </wps:spPr>
                      <wps:txbx>
                        <w:txbxContent>
                          <w:p w14:paraId="228B384F">
                            <w:pPr>
                              <w:rPr>
                                <w:color w:val="FFFFFF"/>
                              </w:rPr>
                            </w:pPr>
                            <w:r>
                              <w:rPr>
                                <w:rFonts w:hint="eastAsia"/>
                                <w:color w:val="FFFFFF"/>
                              </w:rPr>
                              <w:t>92400</w:t>
                            </w:r>
                          </w:p>
                          <w:p w14:paraId="51FBF80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25pt;margin-top:56.7pt;height:19.5pt;width:60.25pt;mso-position-horizontal-relative:margin;z-index:251659264;mso-width-relative:page;mso-height-relative:page;" filled="f" coordsize="21600,21600" o:gfxdata="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MVo6baAAAACwEAAA8AAAAAAAAAAQAgAAAAIgAAAGRycy9kb3ducmV2LnhtbFBLAQIUABQA&#10;AAAIAIdO4kDnuMO/YAIAAK0EAAAOAAAAAAAAAAEAIAAAACkBAABkcnMvZTJvRG9jLnhtbFBLBQYA&#10;AAAABgAGAFkBAAD7BQAAAAA=&#10;">
                <v:path/>
                <v:fill on="f" focussize="0,0"/>
                <v:stroke weight="0.5pt" joinstyle="round"/>
                <v:imagedata o:title=""/>
                <o:lock v:ext="edit"/>
                <v:textbox>
                  <w:txbxContent>
                    <w:p w14:paraId="228B384F">
                      <w:pPr>
                        <w:rPr>
                          <w:color w:val="FFFFFF"/>
                        </w:rPr>
                      </w:pPr>
                      <w:r>
                        <w:rPr>
                          <w:rFonts w:hint="eastAsia"/>
                          <w:color w:val="FFFFFF"/>
                        </w:rPr>
                        <w:t>92400</w:t>
                      </w:r>
                    </w:p>
                    <w:p w14:paraId="51FBF80E"/>
                  </w:txbxContent>
                </v:textbox>
              </v:shape>
            </w:pict>
          </mc:Fallback>
        </mc:AlternateContent>
      </w:r>
      <w:r>
        <w:rPr>
          <w:rFonts w:ascii="仿宋" w:hAnsi="仿宋" w:eastAsia="仿宋"/>
          <w:sz w:val="28"/>
          <w:szCs w:val="2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1826895</wp:posOffset>
                </wp:positionV>
                <wp:extent cx="765175" cy="247650"/>
                <wp:effectExtent l="55880" t="18415" r="58420" b="35560"/>
                <wp:wrapNone/>
                <wp:docPr id="1838809967" name="文本框 1838809967"/>
                <wp:cNvGraphicFramePr/>
                <a:graphic xmlns:a="http://schemas.openxmlformats.org/drawingml/2006/main">
                  <a:graphicData uri="http://schemas.microsoft.com/office/word/2010/wordprocessingShape">
                    <wps:wsp>
                      <wps:cNvSpPr txBox="1"/>
                      <wps:spPr>
                        <a:xfrm rot="15730695">
                          <a:off x="0" y="0"/>
                          <a:ext cx="765017" cy="247791"/>
                        </a:xfrm>
                        <a:prstGeom prst="rect">
                          <a:avLst/>
                        </a:prstGeom>
                        <a:noFill/>
                        <a:ln w="6350">
                          <a:solidFill>
                            <a:prstClr val="black"/>
                          </a:solidFill>
                        </a:ln>
                        <a:effectLst/>
                      </wps:spPr>
                      <wps:txbx>
                        <w:txbxContent>
                          <w:p w14:paraId="10856260">
                            <w:pPr>
                              <w:rPr>
                                <w:color w:val="FFFFFF"/>
                              </w:rPr>
                            </w:pPr>
                            <w:r>
                              <w:rPr>
                                <w:rFonts w:hint="eastAsia"/>
                                <w:color w:val="FFFFFF"/>
                              </w:rPr>
                              <w:t>62500</w:t>
                            </w:r>
                          </w:p>
                          <w:p w14:paraId="27E06BD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43.85pt;height:19.5pt;width:60.25pt;mso-position-horizontal:right;mso-position-horizontal-relative:margin;rotation:-6410846f;z-index:251659264;mso-width-relative:page;mso-height-relative:page;" filled="f" coordsize="21600,21600" o:gfxdata="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Tx07vZAAAACAEAAA8AAAAAAAAAAQAgAAAAIgAAAGRycy9kb3ducmV2LnhtbFBL&#10;AQIUABQAAAAIAIdO4kBI1PndZwIAALwEAAAOAAAAAAAAAAEAIAAAACgBAABkcnMvZTJvRG9jLnht&#10;bFBLBQYAAAAABgAGAFkBAAABBgAAAAA=&#10;">
                <v:path/>
                <v:fill on="f" focussize="0,0"/>
                <v:stroke weight="0.5pt" joinstyle="round"/>
                <v:imagedata o:title=""/>
                <o:lock v:ext="edit"/>
                <v:textbox>
                  <w:txbxContent>
                    <w:p w14:paraId="10856260">
                      <w:pPr>
                        <w:rPr>
                          <w:color w:val="FFFFFF"/>
                        </w:rPr>
                      </w:pPr>
                      <w:r>
                        <w:rPr>
                          <w:rFonts w:hint="eastAsia"/>
                          <w:color w:val="FFFFFF"/>
                        </w:rPr>
                        <w:t>62500</w:t>
                      </w:r>
                    </w:p>
                    <w:p w14:paraId="27E06BD9"/>
                  </w:txbxContent>
                </v:textbox>
              </v:shape>
            </w:pict>
          </mc:Fallback>
        </mc:AlternateContent>
      </w:r>
      <w:r>
        <w:rPr>
          <w:rFonts w:ascii="仿宋" w:hAnsi="仿宋" w:eastAsia="仿宋"/>
          <w:sz w:val="28"/>
          <w:szCs w:val="28"/>
        </w:rPr>
        <w:drawing>
          <wp:inline distT="0" distB="0" distL="114300" distR="114300">
            <wp:extent cx="5267325" cy="3476625"/>
            <wp:effectExtent l="0" t="0" r="952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267325" cy="3476625"/>
                    </a:xfrm>
                    <a:prstGeom prst="rect">
                      <a:avLst/>
                    </a:prstGeom>
                    <a:noFill/>
                    <a:ln>
                      <a:noFill/>
                    </a:ln>
                  </pic:spPr>
                </pic:pic>
              </a:graphicData>
            </a:graphic>
          </wp:inline>
        </w:drawing>
      </w:r>
    </w:p>
    <w:p w14:paraId="3AEE03DD">
      <w:pPr>
        <w:spacing w:line="360" w:lineRule="auto"/>
        <w:ind w:firstLine="480" w:firstLineChars="200"/>
        <w:jc w:val="left"/>
        <w:rPr>
          <w:rFonts w:ascii="宋体" w:hAnsi="宋体" w:cs="宋体"/>
          <w:sz w:val="24"/>
          <w:szCs w:val="24"/>
        </w:rPr>
      </w:pPr>
      <w:r>
        <w:rPr>
          <w:rFonts w:hint="eastAsia" w:ascii="宋体" w:hAnsi="宋体" w:cs="宋体"/>
          <w:sz w:val="24"/>
          <w:szCs w:val="24"/>
        </w:rPr>
        <w:t>1)清理原有混凝土地面，修补原有凹凸地面约20 m</w:t>
      </w:r>
      <w:r>
        <w:rPr>
          <w:rFonts w:hint="eastAsia" w:ascii="宋体" w:hAnsi="宋体" w:cs="宋体"/>
          <w:sz w:val="24"/>
          <w:szCs w:val="24"/>
          <w:vertAlign w:val="superscript"/>
        </w:rPr>
        <w:t>2</w:t>
      </w:r>
      <w:r>
        <w:rPr>
          <w:rFonts w:hint="eastAsia" w:ascii="宋体" w:hAnsi="宋体" w:cs="宋体"/>
          <w:sz w:val="24"/>
          <w:szCs w:val="24"/>
        </w:rPr>
        <w:t>，铲除后重新用C15细石混凝土浇筑, 厚度为150mm，具体厚度以现场实际为准。</w:t>
      </w:r>
    </w:p>
    <w:p w14:paraId="4E1BB5ED">
      <w:pPr>
        <w:spacing w:line="360" w:lineRule="auto"/>
        <w:ind w:firstLine="480" w:firstLineChars="200"/>
        <w:jc w:val="left"/>
        <w:rPr>
          <w:rFonts w:ascii="宋体" w:hAnsi="宋体" w:cs="宋体"/>
          <w:sz w:val="24"/>
          <w:szCs w:val="24"/>
        </w:rPr>
      </w:pPr>
      <w:r>
        <w:rPr>
          <w:rFonts w:hint="eastAsia" w:ascii="宋体" w:hAnsi="宋体" w:cs="宋体"/>
          <w:sz w:val="24"/>
          <w:szCs w:val="24"/>
        </w:rPr>
        <w:t>2)由厂家铺设5mm厚硅pu篮球场专用地面材料，并绘制5个标准篮球场地标识线。</w:t>
      </w:r>
    </w:p>
    <w:p w14:paraId="5817047C">
      <w:pPr>
        <w:spacing w:line="360" w:lineRule="auto"/>
        <w:ind w:leftChars="-472" w:hanging="991" w:hangingChars="354"/>
        <w:jc w:val="left"/>
        <w:rPr>
          <w:rFonts w:ascii="仿宋" w:hAnsi="仿宋" w:eastAsia="仿宋"/>
          <w:sz w:val="28"/>
          <w:szCs w:val="28"/>
        </w:rPr>
      </w:pPr>
      <w:r>
        <w:rPr>
          <w:rFonts w:ascii="仿宋" w:hAnsi="仿宋" w:eastAsia="仿宋"/>
          <w:sz w:val="28"/>
          <w:szCs w:val="28"/>
        </w:rPr>
        <w:drawing>
          <wp:inline distT="0" distB="0" distL="114300" distR="114300">
            <wp:extent cx="8115300" cy="60769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stretch>
                      <a:fillRect/>
                    </a:stretch>
                  </pic:blipFill>
                  <pic:spPr>
                    <a:xfrm rot="5400000">
                      <a:off x="0" y="0"/>
                      <a:ext cx="8115300" cy="6076950"/>
                    </a:xfrm>
                    <a:prstGeom prst="rect">
                      <a:avLst/>
                    </a:prstGeom>
                    <a:noFill/>
                    <a:ln>
                      <a:noFill/>
                    </a:ln>
                  </pic:spPr>
                </pic:pic>
              </a:graphicData>
            </a:graphic>
          </wp:inline>
        </w:drawing>
      </w:r>
    </w:p>
    <w:p w14:paraId="44ADBEDB">
      <w:pPr>
        <w:spacing w:line="360" w:lineRule="auto"/>
        <w:ind w:firstLine="560" w:firstLineChars="200"/>
        <w:jc w:val="center"/>
        <w:rPr>
          <w:rFonts w:ascii="仿宋" w:hAnsi="仿宋" w:eastAsia="仿宋"/>
          <w:sz w:val="28"/>
          <w:szCs w:val="28"/>
        </w:rPr>
      </w:pPr>
      <w:bookmarkStart w:id="6" w:name="OLE_LINK1"/>
      <w:r>
        <w:rPr>
          <w:rFonts w:hint="eastAsia" w:ascii="仿宋" w:hAnsi="仿宋" w:eastAsia="仿宋"/>
          <w:sz w:val="28"/>
          <w:szCs w:val="28"/>
        </w:rPr>
        <w:t>篮球场整体平面布置图（阴影区不在改造范围）</w:t>
      </w:r>
    </w:p>
    <w:bookmarkEnd w:id="6"/>
    <w:p w14:paraId="1E9B454A">
      <w:pPr>
        <w:spacing w:line="360" w:lineRule="auto"/>
        <w:ind w:left="-3" w:leftChars="-337" w:hanging="705" w:hangingChars="252"/>
        <w:jc w:val="left"/>
        <w:rPr>
          <w:rFonts w:ascii="仿宋" w:hAnsi="仿宋" w:eastAsia="仿宋"/>
          <w:sz w:val="28"/>
          <w:szCs w:val="28"/>
        </w:rPr>
      </w:pPr>
      <w:r>
        <w:rPr>
          <w:rFonts w:ascii="仿宋" w:hAnsi="仿宋" w:eastAsia="仿宋"/>
          <w:sz w:val="28"/>
          <w:szCs w:val="28"/>
        </w:rPr>
        <w:drawing>
          <wp:inline distT="0" distB="0" distL="114300" distR="114300">
            <wp:extent cx="6600825" cy="4714875"/>
            <wp:effectExtent l="0" t="0" r="9525" b="952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rcRect l="5565" t="3703" r="6052" b="6923"/>
                    <a:stretch>
                      <a:fillRect/>
                    </a:stretch>
                  </pic:blipFill>
                  <pic:spPr>
                    <a:xfrm>
                      <a:off x="0" y="0"/>
                      <a:ext cx="6600825" cy="4714875"/>
                    </a:xfrm>
                    <a:prstGeom prst="rect">
                      <a:avLst/>
                    </a:prstGeom>
                    <a:noFill/>
                    <a:ln>
                      <a:noFill/>
                    </a:ln>
                  </pic:spPr>
                </pic:pic>
              </a:graphicData>
            </a:graphic>
          </wp:inline>
        </w:drawing>
      </w:r>
    </w:p>
    <w:p w14:paraId="25AD3BF2">
      <w:pPr>
        <w:spacing w:line="360" w:lineRule="auto"/>
        <w:ind w:firstLine="560" w:firstLineChars="200"/>
        <w:jc w:val="center"/>
        <w:rPr>
          <w:rFonts w:ascii="仿宋" w:hAnsi="仿宋" w:eastAsia="仿宋"/>
          <w:sz w:val="28"/>
          <w:szCs w:val="28"/>
        </w:rPr>
      </w:pPr>
      <w:r>
        <w:rPr>
          <w:rFonts w:hint="eastAsia" w:ascii="仿宋" w:hAnsi="仿宋" w:eastAsia="仿宋"/>
          <w:sz w:val="28"/>
          <w:szCs w:val="28"/>
        </w:rPr>
        <w:t>单个篮球场平面布置图</w:t>
      </w:r>
    </w:p>
    <w:p w14:paraId="0613E2AA">
      <w:pPr>
        <w:spacing w:line="360" w:lineRule="auto"/>
        <w:rPr>
          <w:rFonts w:ascii="宋体" w:hAnsi="宋体"/>
          <w:b/>
          <w:sz w:val="24"/>
          <w:szCs w:val="24"/>
        </w:rPr>
      </w:pPr>
      <w:r>
        <w:rPr>
          <w:rFonts w:hint="eastAsia" w:ascii="宋体" w:hAnsi="宋体"/>
          <w:b/>
          <w:sz w:val="24"/>
          <w:szCs w:val="24"/>
        </w:rPr>
        <w:t>五、注意事项：</w:t>
      </w:r>
    </w:p>
    <w:p w14:paraId="43EB5086">
      <w:pPr>
        <w:spacing w:line="360" w:lineRule="auto"/>
        <w:ind w:firstLine="480" w:firstLineChars="200"/>
        <w:jc w:val="left"/>
        <w:rPr>
          <w:rFonts w:ascii="宋体" w:hAnsi="宋体" w:cs="宋体"/>
          <w:sz w:val="24"/>
          <w:szCs w:val="24"/>
        </w:rPr>
      </w:pPr>
      <w:r>
        <w:rPr>
          <w:rFonts w:hint="eastAsia" w:ascii="宋体" w:hAnsi="宋体" w:cs="宋体"/>
          <w:sz w:val="24"/>
          <w:szCs w:val="24"/>
        </w:rPr>
        <w:t>1.施工前仔细查看材料包装上的使用说明。</w:t>
      </w:r>
    </w:p>
    <w:p w14:paraId="357D0A6F">
      <w:pPr>
        <w:spacing w:line="360" w:lineRule="auto"/>
        <w:ind w:firstLine="480" w:firstLineChars="200"/>
        <w:jc w:val="left"/>
        <w:rPr>
          <w:rFonts w:ascii="宋体" w:hAnsi="宋体" w:cs="宋体"/>
          <w:sz w:val="24"/>
          <w:szCs w:val="24"/>
        </w:rPr>
      </w:pPr>
      <w:r>
        <w:rPr>
          <w:rFonts w:hint="eastAsia" w:ascii="宋体" w:hAnsi="宋体" w:cs="宋体"/>
          <w:sz w:val="24"/>
          <w:szCs w:val="24"/>
        </w:rPr>
        <w:t>2.施工现场应保持干燥、不应有明火等火源。</w:t>
      </w:r>
    </w:p>
    <w:p w14:paraId="1906116E">
      <w:pPr>
        <w:spacing w:line="360" w:lineRule="auto"/>
        <w:ind w:firstLine="480" w:firstLineChars="200"/>
        <w:jc w:val="left"/>
        <w:rPr>
          <w:rFonts w:ascii="宋体" w:hAnsi="宋体" w:cs="宋体"/>
          <w:sz w:val="24"/>
          <w:szCs w:val="24"/>
        </w:rPr>
      </w:pPr>
      <w:r>
        <w:rPr>
          <w:rFonts w:hint="eastAsia" w:ascii="宋体" w:hAnsi="宋体" w:cs="宋体"/>
          <w:sz w:val="24"/>
          <w:szCs w:val="24"/>
        </w:rPr>
        <w:t>3</w:t>
      </w:r>
      <w:r>
        <w:rPr>
          <w:rFonts w:ascii="宋体" w:hAnsi="宋体" w:cs="宋体"/>
          <w:sz w:val="24"/>
          <w:szCs w:val="24"/>
        </w:rPr>
        <w:t>.</w:t>
      </w:r>
      <w:r>
        <w:rPr>
          <w:rFonts w:hint="eastAsia" w:ascii="宋体" w:hAnsi="宋体" w:cs="宋体"/>
          <w:sz w:val="24"/>
          <w:szCs w:val="24"/>
        </w:rPr>
        <w:t>基础处理：基础要求平整度好，无裂缝、脱皮等情况，如是水泥混凝土基面的，要在其表面做一道底漆处理。旧的水泥地面需进行打磨和补平，保证地面光滑无粉尘，增强球场硅PU层与水泥地面的粘和性。</w:t>
      </w:r>
    </w:p>
    <w:p w14:paraId="18D758EB">
      <w:pPr>
        <w:spacing w:line="360" w:lineRule="auto"/>
        <w:ind w:firstLine="480" w:firstLineChars="200"/>
        <w:jc w:val="left"/>
        <w:rPr>
          <w:rFonts w:ascii="宋体" w:hAnsi="宋体" w:cs="宋体"/>
          <w:sz w:val="24"/>
          <w:szCs w:val="24"/>
        </w:rPr>
      </w:pPr>
      <w:r>
        <w:rPr>
          <w:rFonts w:hint="eastAsia" w:ascii="宋体" w:hAnsi="宋体" w:cs="宋体"/>
          <w:sz w:val="24"/>
          <w:szCs w:val="24"/>
        </w:rPr>
        <w:t>4</w:t>
      </w:r>
      <w:r>
        <w:rPr>
          <w:rFonts w:ascii="宋体" w:hAnsi="宋体" w:cs="宋体"/>
          <w:sz w:val="24"/>
          <w:szCs w:val="24"/>
        </w:rPr>
        <w:t>.</w:t>
      </w:r>
      <w:r>
        <w:rPr>
          <w:rFonts w:hint="eastAsia" w:ascii="宋体" w:hAnsi="宋体" w:cs="宋体"/>
          <w:sz w:val="24"/>
          <w:szCs w:val="24"/>
        </w:rPr>
        <w:t>弹性层施工：弹性层施工前应仔细检查确认基础处理完后方能进行弹性层施工，弹性层为单组份材料，只需用稀释剂调节合适施工稠度，用齿刮板涂于基面，每道涂刮厚度不能超过2.0mm，每道涂刮时间间隔以前一道干固为准（一般约10小时，具体视现场天气情况而定）直至涂刮至所需厚度。涂刮时注意流平效果，若不能流平刮齿痕迹，需多加稀释剂以保证表面流平。弹性层干固后，用积水法测试表面平整度，积水处修补平整，表面若有粒状杂物或堆积处需用磨机或其它工具修整平后才能进行加强层施工。</w:t>
      </w:r>
    </w:p>
    <w:p w14:paraId="187AEC71">
      <w:pPr>
        <w:spacing w:line="360" w:lineRule="auto"/>
        <w:ind w:firstLine="480" w:firstLineChars="200"/>
        <w:jc w:val="left"/>
        <w:rPr>
          <w:rFonts w:ascii="宋体" w:hAnsi="宋体" w:cs="宋体"/>
          <w:sz w:val="24"/>
          <w:szCs w:val="24"/>
        </w:rPr>
      </w:pPr>
      <w:r>
        <w:rPr>
          <w:rFonts w:hint="eastAsia" w:ascii="宋体" w:hAnsi="宋体" w:cs="宋体"/>
          <w:sz w:val="24"/>
          <w:szCs w:val="24"/>
        </w:rPr>
        <w:t>5</w:t>
      </w:r>
      <w:bookmarkStart w:id="7" w:name="OLE_LINK2"/>
      <w:r>
        <w:rPr>
          <w:rFonts w:ascii="宋体" w:hAnsi="宋体" w:cs="宋体"/>
          <w:sz w:val="24"/>
          <w:szCs w:val="24"/>
        </w:rPr>
        <w:t>.</w:t>
      </w:r>
      <w:r>
        <w:rPr>
          <w:rFonts w:hint="eastAsia" w:ascii="宋体" w:hAnsi="宋体" w:cs="宋体"/>
          <w:sz w:val="24"/>
          <w:szCs w:val="24"/>
        </w:rPr>
        <w:t>面层施工：面层为双组份水性材料，必须按规定比例</w:t>
      </w:r>
      <w:r>
        <w:rPr>
          <w:rFonts w:hint="eastAsia" w:ascii="宋体" w:hAnsi="宋体" w:cs="宋体"/>
          <w:b/>
          <w:bCs/>
          <w:sz w:val="24"/>
          <w:szCs w:val="24"/>
        </w:rPr>
        <w:t>（</w:t>
      </w:r>
      <w:r>
        <w:rPr>
          <w:rFonts w:hint="eastAsia" w:ascii="宋体" w:hAnsi="宋体" w:cs="宋体"/>
          <w:sz w:val="24"/>
          <w:szCs w:val="24"/>
        </w:rPr>
        <w:t>A组：B组=9：1（重量比）</w:t>
      </w:r>
      <w:r>
        <w:rPr>
          <w:rFonts w:hint="eastAsia" w:ascii="宋体" w:hAnsi="宋体" w:cs="宋体"/>
          <w:b/>
          <w:bCs/>
          <w:sz w:val="24"/>
          <w:szCs w:val="24"/>
        </w:rPr>
        <w:t>）</w:t>
      </w:r>
      <w:r>
        <w:rPr>
          <w:rFonts w:hint="eastAsia" w:ascii="宋体" w:hAnsi="宋体" w:cs="宋体"/>
          <w:sz w:val="24"/>
          <w:szCs w:val="24"/>
        </w:rPr>
        <w:t>把两组份充分搅拌均匀，（配比不准会影响面层的固化效果，直接影响面层的使用性能）加水稀释施工稠度，一般加入50~80%（TB-205重量计算，根据现场实际情况而定），用专用喷枪分多道喷涂于加强层面上。需表面粗糙的加入专用砂进行喷涂便可。</w:t>
      </w:r>
      <w:bookmarkEnd w:id="7"/>
    </w:p>
    <w:p w14:paraId="2DA6063E">
      <w:pPr>
        <w:spacing w:line="360" w:lineRule="auto"/>
        <w:ind w:firstLine="480" w:firstLineChars="200"/>
        <w:jc w:val="left"/>
        <w:rPr>
          <w:rFonts w:ascii="宋体" w:hAnsi="宋体" w:cs="宋体"/>
          <w:sz w:val="24"/>
          <w:szCs w:val="24"/>
        </w:rPr>
      </w:pPr>
      <w:r>
        <w:rPr>
          <w:rFonts w:hint="eastAsia" w:ascii="宋体" w:hAnsi="宋体" w:cs="宋体"/>
          <w:sz w:val="24"/>
          <w:szCs w:val="24"/>
        </w:rPr>
        <w:t>6</w:t>
      </w:r>
      <w:r>
        <w:rPr>
          <w:rFonts w:ascii="宋体" w:hAnsi="宋体" w:cs="宋体"/>
          <w:sz w:val="24"/>
          <w:szCs w:val="24"/>
        </w:rPr>
        <w:t>.</w:t>
      </w:r>
      <w:r>
        <w:rPr>
          <w:rFonts w:hint="eastAsia" w:ascii="宋体" w:hAnsi="宋体" w:cs="宋体"/>
          <w:sz w:val="24"/>
          <w:szCs w:val="24"/>
        </w:rPr>
        <w:t>划线：按标准尺寸量度定位，标出界线位置，用美纹纸沿界线两边贴在球场上，用专用划线漆（TB—207）涂刷于美纹纸间，待表面干后撕掉美纹纸。为双组份材料，必须按规定比例（A：B=9：1）把A、B两组份充分混合均匀，分两道涂刷。</w:t>
      </w:r>
    </w:p>
    <w:p w14:paraId="5BAA8C91">
      <w:pPr>
        <w:spacing w:line="360" w:lineRule="auto"/>
        <w:ind w:firstLine="480" w:firstLineChars="200"/>
        <w:jc w:val="left"/>
        <w:rPr>
          <w:rFonts w:ascii="宋体" w:hAnsi="宋体" w:cs="宋体"/>
          <w:sz w:val="24"/>
          <w:szCs w:val="24"/>
        </w:rPr>
      </w:pPr>
      <w:r>
        <w:rPr>
          <w:rFonts w:hint="eastAsia" w:ascii="宋体" w:hAnsi="宋体" w:cs="宋体"/>
          <w:sz w:val="24"/>
          <w:szCs w:val="24"/>
        </w:rPr>
        <w:t>7</w:t>
      </w:r>
      <w:r>
        <w:rPr>
          <w:rFonts w:ascii="宋体" w:hAnsi="宋体" w:cs="宋体"/>
          <w:sz w:val="24"/>
          <w:szCs w:val="24"/>
        </w:rPr>
        <w:t>.</w:t>
      </w:r>
      <w:r>
        <w:rPr>
          <w:rFonts w:hint="eastAsia" w:ascii="宋体" w:hAnsi="宋体" w:cs="宋体"/>
          <w:sz w:val="24"/>
          <w:szCs w:val="24"/>
        </w:rPr>
        <w:t>在施工过程中要严格遵守安全操作规程，并确保施工现场的通风良好。</w:t>
      </w:r>
    </w:p>
    <w:p w14:paraId="4D70B34F">
      <w:pPr>
        <w:spacing w:line="360" w:lineRule="auto"/>
        <w:ind w:firstLine="480" w:firstLineChars="200"/>
        <w:jc w:val="left"/>
        <w:rPr>
          <w:rFonts w:ascii="宋体" w:hAnsi="宋体" w:cs="宋体"/>
          <w:sz w:val="24"/>
          <w:szCs w:val="24"/>
        </w:rPr>
      </w:pPr>
      <w:r>
        <w:rPr>
          <w:rFonts w:hint="eastAsia" w:ascii="宋体" w:hAnsi="宋体" w:cs="宋体"/>
          <w:sz w:val="24"/>
          <w:szCs w:val="24"/>
        </w:rPr>
        <w:t>8.施工完成后应将施工现场用抹布或吸尘器彻底清理干净。</w:t>
      </w:r>
    </w:p>
    <w:p w14:paraId="3ECD5FF3">
      <w:pPr>
        <w:spacing w:line="360" w:lineRule="auto"/>
        <w:rPr>
          <w:rFonts w:ascii="宋体" w:hAnsi="宋体"/>
          <w:b/>
          <w:sz w:val="24"/>
          <w:szCs w:val="24"/>
        </w:rPr>
      </w:pPr>
      <w:r>
        <w:rPr>
          <w:rFonts w:hint="eastAsia" w:ascii="宋体" w:hAnsi="宋体"/>
          <w:b/>
          <w:sz w:val="24"/>
          <w:szCs w:val="24"/>
        </w:rPr>
        <w:t>六、质量标准及要求</w:t>
      </w:r>
    </w:p>
    <w:p w14:paraId="67E6D041">
      <w:pPr>
        <w:spacing w:line="360" w:lineRule="auto"/>
        <w:ind w:firstLine="480" w:firstLineChars="200"/>
        <w:jc w:val="left"/>
        <w:rPr>
          <w:rFonts w:ascii="宋体" w:hAnsi="宋体" w:cs="宋体"/>
          <w:sz w:val="24"/>
          <w:szCs w:val="24"/>
        </w:rPr>
      </w:pPr>
      <w:r>
        <w:rPr>
          <w:rFonts w:hint="eastAsia" w:ascii="宋体" w:hAnsi="宋体" w:cs="宋体"/>
          <w:sz w:val="24"/>
          <w:szCs w:val="24"/>
        </w:rPr>
        <w:t>工程质量标准：严格执行《</w:t>
      </w:r>
      <w:r>
        <w:rPr>
          <w:rFonts w:hint="eastAsia" w:ascii="宋体" w:hAnsi="宋体" w:cs="宋体"/>
          <w:b/>
          <w:bCs/>
          <w:sz w:val="24"/>
          <w:szCs w:val="24"/>
        </w:rPr>
        <w:t>建筑地面工程施工质量验收规范GB</w:t>
      </w:r>
      <w:r>
        <w:rPr>
          <w:rFonts w:hint="eastAsia" w:ascii="宋体" w:hAnsi="宋体" w:cs="宋体"/>
          <w:sz w:val="24"/>
          <w:szCs w:val="24"/>
        </w:rPr>
        <w:t>》GB50209 - 2010及行业相关规范要求。</w:t>
      </w:r>
    </w:p>
    <w:p w14:paraId="7DF88016">
      <w:pPr>
        <w:spacing w:line="360" w:lineRule="auto"/>
        <w:rPr>
          <w:rFonts w:ascii="宋体" w:hAnsi="宋体"/>
          <w:b/>
          <w:sz w:val="24"/>
          <w:szCs w:val="24"/>
        </w:rPr>
      </w:pPr>
      <w:r>
        <w:rPr>
          <w:rFonts w:hint="eastAsia" w:ascii="宋体" w:hAnsi="宋体"/>
          <w:b/>
          <w:sz w:val="24"/>
          <w:szCs w:val="24"/>
        </w:rPr>
        <w:t>七、文明施工要求</w:t>
      </w:r>
    </w:p>
    <w:p w14:paraId="4156C7ED">
      <w:pPr>
        <w:spacing w:line="360" w:lineRule="auto"/>
        <w:ind w:firstLine="480" w:firstLineChars="200"/>
        <w:jc w:val="left"/>
        <w:rPr>
          <w:rFonts w:ascii="宋体" w:hAnsi="宋体" w:cs="宋体"/>
          <w:sz w:val="24"/>
          <w:szCs w:val="24"/>
        </w:rPr>
      </w:pPr>
      <w:r>
        <w:rPr>
          <w:rFonts w:hint="eastAsia" w:ascii="宋体" w:hAnsi="宋体" w:cs="宋体"/>
          <w:sz w:val="24"/>
          <w:szCs w:val="24"/>
        </w:rPr>
        <w:t>1.施工单位必须建立完善安全管理制度，开工前必须进行安全技术交底。</w:t>
      </w:r>
    </w:p>
    <w:p w14:paraId="3940935C">
      <w:pPr>
        <w:spacing w:line="360" w:lineRule="auto"/>
        <w:ind w:firstLine="480" w:firstLineChars="200"/>
        <w:jc w:val="left"/>
        <w:rPr>
          <w:rFonts w:ascii="宋体" w:hAnsi="宋体" w:cs="宋体"/>
          <w:sz w:val="24"/>
          <w:szCs w:val="24"/>
        </w:rPr>
      </w:pPr>
      <w:r>
        <w:rPr>
          <w:rFonts w:hint="eastAsia" w:ascii="宋体" w:hAnsi="宋体" w:cs="宋体"/>
          <w:sz w:val="24"/>
          <w:szCs w:val="24"/>
        </w:rPr>
        <w:t>2.施工现场进行封闭管理，场地内材料用具堆放整齐，做到工完料净场清。</w:t>
      </w:r>
    </w:p>
    <w:p w14:paraId="7D61F61A">
      <w:pPr>
        <w:spacing w:line="360" w:lineRule="auto"/>
        <w:ind w:firstLine="480" w:firstLineChars="200"/>
        <w:jc w:val="left"/>
        <w:rPr>
          <w:rFonts w:ascii="宋体" w:hAnsi="宋体" w:cs="宋体"/>
          <w:sz w:val="24"/>
          <w:szCs w:val="24"/>
        </w:rPr>
      </w:pPr>
      <w:r>
        <w:rPr>
          <w:rFonts w:hint="eastAsia" w:ascii="宋体" w:hAnsi="宋体" w:cs="宋体"/>
          <w:sz w:val="24"/>
          <w:szCs w:val="24"/>
        </w:rPr>
        <w:t>3.施工应考虑垃圾外运及除尘降霾措施。</w:t>
      </w:r>
    </w:p>
    <w:p w14:paraId="58065D3E">
      <w:pPr>
        <w:spacing w:line="360" w:lineRule="auto"/>
        <w:rPr>
          <w:rFonts w:ascii="宋体" w:hAnsi="宋体" w:cs="宋体"/>
          <w:b/>
          <w:sz w:val="24"/>
          <w:szCs w:val="24"/>
        </w:rPr>
      </w:pPr>
      <w:r>
        <w:rPr>
          <w:rFonts w:hint="eastAsia" w:ascii="宋体" w:hAnsi="宋体" w:cs="宋体"/>
          <w:b/>
          <w:sz w:val="24"/>
          <w:szCs w:val="24"/>
        </w:rPr>
        <w:t>八、售后要求</w:t>
      </w:r>
    </w:p>
    <w:p w14:paraId="64352EE3">
      <w:pPr>
        <w:spacing w:line="360" w:lineRule="auto"/>
        <w:ind w:firstLine="480" w:firstLineChars="200"/>
        <w:rPr>
          <w:rFonts w:ascii="宋体" w:hAnsi="宋体" w:cs="宋体"/>
          <w:sz w:val="24"/>
          <w:szCs w:val="24"/>
        </w:rPr>
      </w:pPr>
      <w:r>
        <w:rPr>
          <w:rFonts w:hint="eastAsia" w:ascii="宋体" w:hAnsi="宋体" w:cs="宋体"/>
          <w:sz w:val="24"/>
          <w:szCs w:val="24"/>
        </w:rPr>
        <w:t>自工程竣工验收合格之日起进入免费保修期，免费保修内容为由承包人负责的本工程全部质量问题。</w:t>
      </w:r>
    </w:p>
    <w:p w14:paraId="17CA7373">
      <w:pPr>
        <w:spacing w:line="360" w:lineRule="auto"/>
        <w:ind w:firstLine="480" w:firstLineChars="200"/>
        <w:rPr>
          <w:rFonts w:ascii="宋体" w:hAnsi="宋体" w:cs="宋体"/>
          <w:sz w:val="24"/>
          <w:szCs w:val="24"/>
        </w:rPr>
      </w:pPr>
      <w:r>
        <w:rPr>
          <w:rFonts w:hint="eastAsia" w:ascii="宋体" w:hAnsi="宋体" w:cs="宋体"/>
          <w:sz w:val="24"/>
          <w:szCs w:val="24"/>
        </w:rPr>
        <w:t>承包人收到保修通知并到达工程现场的合理时间：响应时间为正常工作日一小时内答复，二小时内到现场处理。节假日及法定休息日三小时内答复，六小时内到现场处理。</w:t>
      </w:r>
    </w:p>
    <w:p w14:paraId="07C45231">
      <w:pPr>
        <w:spacing w:line="360" w:lineRule="auto"/>
        <w:rPr>
          <w:rFonts w:ascii="宋体" w:hAnsi="宋体" w:cs="宋体"/>
          <w:b/>
          <w:sz w:val="24"/>
          <w:szCs w:val="24"/>
        </w:rPr>
      </w:pPr>
      <w:r>
        <w:rPr>
          <w:rFonts w:hint="eastAsia" w:ascii="宋体" w:hAnsi="宋体" w:cs="宋体"/>
          <w:b/>
          <w:sz w:val="24"/>
          <w:szCs w:val="24"/>
        </w:rPr>
        <w:t>九、附件</w:t>
      </w:r>
    </w:p>
    <w:p w14:paraId="7E8E7012">
      <w:pPr>
        <w:spacing w:line="360" w:lineRule="auto"/>
        <w:rPr>
          <w:rFonts w:ascii="宋体" w:hAnsi="宋体" w:cs="宋体"/>
          <w:b/>
          <w:sz w:val="24"/>
          <w:szCs w:val="24"/>
        </w:rPr>
      </w:pPr>
    </w:p>
    <w:p w14:paraId="4481BDC9">
      <w:pPr>
        <w:spacing w:line="360" w:lineRule="auto"/>
        <w:rPr>
          <w:rFonts w:ascii="宋体" w:hAnsi="宋体" w:cs="宋体"/>
          <w:b/>
          <w:sz w:val="24"/>
          <w:szCs w:val="24"/>
        </w:rPr>
      </w:pPr>
      <w:r>
        <w:rPr>
          <w:rFonts w:hint="eastAsia" w:ascii="宋体" w:hAnsi="宋体" w:cs="宋体"/>
          <w:b/>
          <w:sz w:val="24"/>
          <w:szCs w:val="24"/>
        </w:rPr>
        <w:object>
          <v:shape id="_x0000_i1028" o:spt="75" type="#_x0000_t75" style="height:66pt;width:72.75pt;" o:ole="t" filled="f" o:preferrelative="t" stroked="f" coordsize="21600,21600">
            <v:path/>
            <v:fill on="f" focussize="0,0"/>
            <v:stroke on="f" joinstyle="miter"/>
            <v:imagedata r:id="rId8" o:title=""/>
            <o:lock v:ext="edit" aspectratio="t"/>
            <w10:wrap type="none"/>
            <w10:anchorlock/>
          </v:shape>
          <o:OLEObject Type="Embed" ProgID="Word.Document.12" ShapeID="_x0000_i1028" DrawAspect="Icon" ObjectID="_1468075725" r:id="rId7">
            <o:LockedField>false</o:LockedField>
          </o:OLEObject>
        </w:object>
      </w:r>
      <w:r>
        <w:rPr>
          <w:rFonts w:hint="eastAsia" w:ascii="宋体" w:hAnsi="宋体" w:cs="宋体"/>
          <w:b/>
          <w:sz w:val="24"/>
          <w:szCs w:val="24"/>
        </w:rPr>
        <w:t xml:space="preserve">    </w:t>
      </w:r>
    </w:p>
    <w:p w14:paraId="5EB365C0">
      <w:pPr>
        <w:spacing w:line="360" w:lineRule="auto"/>
        <w:rPr>
          <w:rFonts w:ascii="宋体" w:hAnsi="宋体" w:cs="宋体"/>
          <w:sz w:val="24"/>
          <w:szCs w:val="24"/>
        </w:rPr>
      </w:pPr>
      <w:r>
        <w:rPr>
          <w:rFonts w:hint="eastAsia" w:ascii="宋体" w:hAnsi="宋体" w:cs="宋体"/>
          <w:b/>
          <w:sz w:val="24"/>
          <w:szCs w:val="24"/>
          <w:highlight w:val="yellow"/>
        </w:rPr>
        <w:t>十、工程量清单另附</w:t>
      </w:r>
      <w:r>
        <w:rPr>
          <w:rFonts w:hint="eastAsia" w:ascii="宋体" w:hAnsi="宋体" w:cs="宋体"/>
          <w:b/>
          <w:sz w:val="24"/>
          <w:szCs w:val="24"/>
        </w:rPr>
        <w:t xml:space="preserve">         </w:t>
      </w:r>
    </w:p>
    <w:p w14:paraId="2113D5F7"/>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580C04"/>
    <w:rsid w:val="0D580C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
    <w:qFormat/>
    <w:uiPriority w:val="99"/>
    <w:pPr>
      <w:keepNext/>
      <w:keepLines/>
      <w:spacing w:before="120" w:after="120" w:line="360" w:lineRule="auto"/>
      <w:jc w:val="center"/>
      <w:outlineLvl w:val="0"/>
    </w:pPr>
    <w:rPr>
      <w:b/>
      <w:bCs/>
      <w:kern w:val="44"/>
      <w:sz w:val="30"/>
      <w:szCs w:val="44"/>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customStyle="1" w:styleId="5">
    <w:name w:val="标题 1 字符"/>
    <w:link w:val="2"/>
    <w:autoRedefine/>
    <w:qFormat/>
    <w:locked/>
    <w:uiPriority w:val="99"/>
    <w:rPr>
      <w:b/>
      <w:bCs/>
      <w:kern w:val="44"/>
      <w:sz w:val="30"/>
      <w:szCs w:val="4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emf"/><Relationship Id="rId7" Type="http://schemas.openxmlformats.org/officeDocument/2006/relationships/package" Target="embeddings/Document1.docx"/><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0</TotalTime>
  <ScaleCrop>false</ScaleCrop>
  <LinksUpToDate>false</LinksUpToDate>
  <CharactersWithSpaces>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2025-11-03T02:18:00Z</dcterms:created>
  <dc:creator>安安</dc:creator>
  <cp:lastModifiedBy>安安</cp:lastModifiedBy>
  <dcterms:modified xsi:type="dcterms:W3CDTF">2025-11-03T02:19:34Z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7F705BD8F49A46EE9D91AA54719355DA_11</vt:lpwstr>
  </property>
  <property fmtid="{D5CDD505-2E9C-101B-9397-08002B2CF9AE}" pid="4" name="KSOTemplateDocerSaveRecord">
    <vt:lpwstr>eyJoZGlkIjoiN2Q1ZTU0ZDdkN2MxZjY1NWFiOTI3MTM4NjgwY2VkOWYiLCJ1c2VySWQiOiIxMTQ2NDU0OTA0In0=</vt:lpwstr>
  </property>
</Properties>
</file>