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674C3">
      <w:pPr>
        <w:rPr>
          <w:rFonts w:hAnsi="宋体" w:cs="宋体"/>
          <w:b/>
          <w:color w:val="auto"/>
          <w:sz w:val="36"/>
          <w:highlight w:val="none"/>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SXZCZB2025-ZCCS-1028</w:t>
      </w: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5D9D2E8F">
      <w:pPr>
        <w:bidi w:val="0"/>
        <w:jc w:val="center"/>
        <w:rPr>
          <w:rFonts w:hint="eastAsia"/>
          <w:b/>
          <w:bCs/>
          <w:sz w:val="56"/>
          <w:szCs w:val="44"/>
          <w:lang w:eastAsia="zh-CN"/>
        </w:rPr>
      </w:pPr>
      <w:r>
        <w:rPr>
          <w:rFonts w:hint="eastAsia"/>
          <w:b/>
          <w:bCs/>
          <w:sz w:val="56"/>
          <w:szCs w:val="44"/>
          <w:lang w:eastAsia="zh-CN"/>
        </w:rPr>
        <w:t>杨地镇老街和新街改造提升工程(新街段)</w:t>
      </w:r>
    </w:p>
    <w:p w14:paraId="0E31F197">
      <w:pPr>
        <w:pStyle w:val="2"/>
        <w:rPr>
          <w:rFonts w:hint="eastAsia"/>
          <w:lang w:eastAsia="zh-CN"/>
        </w:rPr>
      </w:pPr>
    </w:p>
    <w:p w14:paraId="638AE379"/>
    <w:p w14:paraId="2C2EC859">
      <w:pPr>
        <w:spacing w:line="780" w:lineRule="auto"/>
        <w:jc w:val="center"/>
        <w:rPr>
          <w:rFonts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1ACC081A">
      <w:pPr>
        <w:pStyle w:val="11"/>
        <w:rPr>
          <w:color w:val="auto"/>
          <w:highlight w:val="none"/>
        </w:rPr>
      </w:pPr>
    </w:p>
    <w:p w14:paraId="304BFCAF">
      <w:pPr>
        <w:rPr>
          <w:rFonts w:hAnsi="宋体" w:cs="宋体"/>
          <w:b/>
          <w:color w:val="auto"/>
          <w:sz w:val="36"/>
          <w:szCs w:val="36"/>
          <w:highlight w:val="none"/>
        </w:rPr>
      </w:pPr>
    </w:p>
    <w:p w14:paraId="30D2364E">
      <w:pPr>
        <w:pStyle w:val="11"/>
        <w:jc w:val="center"/>
        <w:rPr>
          <w:rFonts w:hAnsi="宋体" w:cs="宋体"/>
          <w:b/>
          <w:color w:val="auto"/>
          <w:sz w:val="32"/>
          <w:szCs w:val="32"/>
          <w:highlight w:val="none"/>
        </w:rPr>
      </w:pPr>
    </w:p>
    <w:p w14:paraId="1B6A956D">
      <w:pPr>
        <w:ind w:left="0" w:leftChars="0" w:firstLine="1928" w:firstLineChars="600"/>
        <w:jc w:val="both"/>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人：山阳县杨地镇人民政府（本级）</w:t>
      </w:r>
    </w:p>
    <w:p w14:paraId="74ED0637">
      <w:pPr>
        <w:ind w:left="0" w:leftChars="0" w:firstLine="1928" w:firstLineChars="600"/>
        <w:jc w:val="both"/>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11"/>
        <w:spacing w:after="0"/>
        <w:ind w:left="0" w:leftChars="0" w:firstLine="1928" w:firstLineChars="600"/>
        <w:jc w:val="both"/>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十</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2EE937B6">
      <w:pPr>
        <w:pStyle w:val="5"/>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75467182">
      <w:pPr>
        <w:pStyle w:val="19"/>
        <w:keepNext w:val="0"/>
        <w:keepLines w:val="0"/>
        <w:pageBreakBefore w:val="0"/>
        <w:widowControl w:val="0"/>
        <w:tabs>
          <w:tab w:val="right" w:leader="dot" w:pos="9071"/>
        </w:tabs>
        <w:kinsoku/>
        <w:wordWrap/>
        <w:overflowPunct/>
        <w:topLinePunct w:val="0"/>
        <w:autoSpaceDE/>
        <w:autoSpaceDN/>
        <w:bidi w:val="0"/>
        <w:adjustRightInd/>
        <w:snapToGrid/>
        <w:spacing w:line="360" w:lineRule="auto"/>
        <w:textAlignment w:val="auto"/>
        <w:rPr>
          <w:sz w:val="28"/>
          <w:szCs w:val="21"/>
        </w:rPr>
      </w:pPr>
      <w:bookmarkStart w:id="1" w:name="_Toc5293"/>
      <w:bookmarkStart w:id="2" w:name="_Toc389582033"/>
      <w:bookmarkStart w:id="3" w:name="_Toc16218"/>
      <w:bookmarkStart w:id="4" w:name="_Toc21518"/>
      <w:bookmarkStart w:id="5" w:name="_Toc20858"/>
      <w:bookmarkStart w:id="6" w:name="_Toc20652"/>
      <w:bookmarkStart w:id="7" w:name="_Toc19886"/>
      <w:bookmarkStart w:id="8" w:name="_Toc27420"/>
      <w:bookmarkStart w:id="9" w:name="_Toc403077638"/>
      <w:bookmarkStart w:id="10" w:name="_Toc363473971"/>
      <w:bookmarkStart w:id="11" w:name="_Toc363474016"/>
      <w:r>
        <w:rPr>
          <w:rFonts w:hint="eastAsia" w:hAnsi="宋体" w:cs="宋体"/>
          <w:bCs/>
          <w:color w:val="auto"/>
          <w:sz w:val="32"/>
          <w:szCs w:val="32"/>
          <w:highlight w:val="none"/>
        </w:rPr>
        <w:fldChar w:fldCharType="begin"/>
      </w:r>
      <w:r>
        <w:rPr>
          <w:rFonts w:hint="eastAsia" w:hAnsi="宋体" w:cs="宋体"/>
          <w:bCs/>
          <w:color w:val="auto"/>
          <w:sz w:val="32"/>
          <w:szCs w:val="32"/>
          <w:highlight w:val="none"/>
        </w:rPr>
        <w:instrText xml:space="preserve">TOC \o "1-2" \h \u </w:instrText>
      </w:r>
      <w:r>
        <w:rPr>
          <w:rFonts w:hint="eastAsia" w:hAnsi="宋体" w:cs="宋体"/>
          <w:bCs/>
          <w:color w:val="auto"/>
          <w:sz w:val="32"/>
          <w:szCs w:val="32"/>
          <w:highlight w:val="none"/>
        </w:rPr>
        <w:fldChar w:fldCharType="separate"/>
      </w: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_Toc6200 </w:instrText>
      </w:r>
      <w:r>
        <w:rPr>
          <w:rFonts w:hint="eastAsia" w:hAnsi="宋体" w:cs="宋体"/>
          <w:bCs/>
          <w:sz w:val="28"/>
          <w:szCs w:val="32"/>
          <w:highlight w:val="none"/>
        </w:rPr>
        <w:fldChar w:fldCharType="separate"/>
      </w:r>
      <w:r>
        <w:rPr>
          <w:rFonts w:hint="eastAsia" w:ascii="宋体" w:eastAsia="宋体" w:cs="宋体"/>
          <w:bCs/>
          <w:sz w:val="28"/>
          <w:szCs w:val="36"/>
          <w:highlight w:val="none"/>
        </w:rPr>
        <w:t>第一章  竞争性磋商公告</w:t>
      </w:r>
      <w:r>
        <w:rPr>
          <w:sz w:val="28"/>
          <w:szCs w:val="21"/>
        </w:rPr>
        <w:tab/>
      </w:r>
      <w:r>
        <w:rPr>
          <w:sz w:val="28"/>
          <w:szCs w:val="21"/>
        </w:rPr>
        <w:fldChar w:fldCharType="begin"/>
      </w:r>
      <w:r>
        <w:rPr>
          <w:sz w:val="28"/>
          <w:szCs w:val="21"/>
        </w:rPr>
        <w:instrText xml:space="preserve"> PAGEREF _Toc6200 \h </w:instrText>
      </w:r>
      <w:r>
        <w:rPr>
          <w:sz w:val="28"/>
          <w:szCs w:val="21"/>
        </w:rPr>
        <w:fldChar w:fldCharType="separate"/>
      </w:r>
      <w:r>
        <w:rPr>
          <w:sz w:val="28"/>
          <w:szCs w:val="21"/>
        </w:rPr>
        <w:t>1</w:t>
      </w:r>
      <w:r>
        <w:rPr>
          <w:sz w:val="28"/>
          <w:szCs w:val="21"/>
        </w:rPr>
        <w:fldChar w:fldCharType="end"/>
      </w:r>
      <w:r>
        <w:rPr>
          <w:rFonts w:hint="eastAsia" w:hAnsi="宋体" w:cs="宋体"/>
          <w:bCs/>
          <w:color w:val="auto"/>
          <w:sz w:val="28"/>
          <w:szCs w:val="32"/>
          <w:highlight w:val="none"/>
        </w:rPr>
        <w:fldChar w:fldCharType="end"/>
      </w:r>
    </w:p>
    <w:p w14:paraId="510FBF19">
      <w:pPr>
        <w:pStyle w:val="19"/>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_Toc28183 </w:instrText>
      </w:r>
      <w:r>
        <w:rPr>
          <w:rFonts w:hint="eastAsia" w:hAnsi="宋体" w:cs="宋体"/>
          <w:bCs/>
          <w:sz w:val="28"/>
          <w:szCs w:val="32"/>
          <w:highlight w:val="none"/>
        </w:rPr>
        <w:fldChar w:fldCharType="separate"/>
      </w:r>
      <w:r>
        <w:rPr>
          <w:rFonts w:hint="eastAsia" w:hAnsi="宋体" w:cs="宋体"/>
          <w:bCs/>
          <w:kern w:val="2"/>
          <w:sz w:val="28"/>
          <w:szCs w:val="36"/>
          <w:highlight w:val="none"/>
        </w:rPr>
        <w:t>第二章  供应商须知</w:t>
      </w:r>
      <w:r>
        <w:rPr>
          <w:sz w:val="28"/>
          <w:szCs w:val="21"/>
        </w:rPr>
        <w:tab/>
      </w:r>
      <w:r>
        <w:rPr>
          <w:sz w:val="28"/>
          <w:szCs w:val="21"/>
        </w:rPr>
        <w:fldChar w:fldCharType="begin"/>
      </w:r>
      <w:r>
        <w:rPr>
          <w:sz w:val="28"/>
          <w:szCs w:val="21"/>
        </w:rPr>
        <w:instrText xml:space="preserve"> PAGEREF _Toc28183 \h </w:instrText>
      </w:r>
      <w:r>
        <w:rPr>
          <w:sz w:val="28"/>
          <w:szCs w:val="21"/>
        </w:rPr>
        <w:fldChar w:fldCharType="separate"/>
      </w:r>
      <w:r>
        <w:rPr>
          <w:sz w:val="28"/>
          <w:szCs w:val="21"/>
        </w:rPr>
        <w:t>5</w:t>
      </w:r>
      <w:r>
        <w:rPr>
          <w:sz w:val="28"/>
          <w:szCs w:val="21"/>
        </w:rPr>
        <w:fldChar w:fldCharType="end"/>
      </w:r>
      <w:r>
        <w:rPr>
          <w:rFonts w:hint="eastAsia" w:hAnsi="宋体" w:cs="宋体"/>
          <w:bCs/>
          <w:color w:val="auto"/>
          <w:sz w:val="28"/>
          <w:szCs w:val="32"/>
          <w:highlight w:val="none"/>
        </w:rPr>
        <w:fldChar w:fldCharType="end"/>
      </w:r>
    </w:p>
    <w:p w14:paraId="195D9984">
      <w:pPr>
        <w:pStyle w:val="21"/>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_Toc20984 </w:instrText>
      </w:r>
      <w:r>
        <w:rPr>
          <w:rFonts w:hint="eastAsia" w:hAnsi="宋体" w:cs="宋体"/>
          <w:bCs/>
          <w:sz w:val="28"/>
          <w:szCs w:val="32"/>
          <w:highlight w:val="none"/>
        </w:rPr>
        <w:fldChar w:fldCharType="separate"/>
      </w:r>
      <w:r>
        <w:rPr>
          <w:rFonts w:hint="eastAsia" w:ascii="宋体" w:hAnsi="宋体" w:cs="宋体"/>
          <w:sz w:val="28"/>
          <w:szCs w:val="21"/>
          <w:highlight w:val="none"/>
        </w:rPr>
        <w:t>供应商须知前附表</w:t>
      </w:r>
      <w:r>
        <w:rPr>
          <w:sz w:val="28"/>
          <w:szCs w:val="21"/>
        </w:rPr>
        <w:tab/>
      </w:r>
      <w:r>
        <w:rPr>
          <w:sz w:val="28"/>
          <w:szCs w:val="21"/>
        </w:rPr>
        <w:fldChar w:fldCharType="begin"/>
      </w:r>
      <w:r>
        <w:rPr>
          <w:sz w:val="28"/>
          <w:szCs w:val="21"/>
        </w:rPr>
        <w:instrText xml:space="preserve"> PAGEREF _Toc20984 \h </w:instrText>
      </w:r>
      <w:r>
        <w:rPr>
          <w:sz w:val="28"/>
          <w:szCs w:val="21"/>
        </w:rPr>
        <w:fldChar w:fldCharType="separate"/>
      </w:r>
      <w:r>
        <w:rPr>
          <w:sz w:val="28"/>
          <w:szCs w:val="21"/>
        </w:rPr>
        <w:t>5</w:t>
      </w:r>
      <w:r>
        <w:rPr>
          <w:sz w:val="28"/>
          <w:szCs w:val="21"/>
        </w:rPr>
        <w:fldChar w:fldCharType="end"/>
      </w:r>
      <w:r>
        <w:rPr>
          <w:rFonts w:hint="eastAsia" w:hAnsi="宋体" w:cs="宋体"/>
          <w:bCs/>
          <w:color w:val="auto"/>
          <w:sz w:val="28"/>
          <w:szCs w:val="32"/>
          <w:highlight w:val="none"/>
        </w:rPr>
        <w:fldChar w:fldCharType="end"/>
      </w:r>
    </w:p>
    <w:p w14:paraId="40F44606">
      <w:pPr>
        <w:pStyle w:val="19"/>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_Toc6730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 xml:space="preserve">第三章  </w:t>
      </w:r>
      <w:r>
        <w:rPr>
          <w:rFonts w:hint="eastAsia" w:ascii="宋体" w:eastAsia="宋体" w:cs="宋体"/>
          <w:bCs/>
          <w:sz w:val="28"/>
          <w:szCs w:val="36"/>
          <w:highlight w:val="none"/>
        </w:rPr>
        <w:t>评审</w:t>
      </w:r>
      <w:r>
        <w:rPr>
          <w:rFonts w:hint="eastAsia" w:ascii="宋体" w:eastAsia="宋体" w:cs="宋体"/>
          <w:bCs/>
          <w:sz w:val="28"/>
          <w:szCs w:val="40"/>
          <w:highlight w:val="none"/>
        </w:rPr>
        <w:t>方法</w:t>
      </w:r>
      <w:r>
        <w:rPr>
          <w:sz w:val="28"/>
          <w:szCs w:val="21"/>
        </w:rPr>
        <w:tab/>
      </w:r>
      <w:r>
        <w:rPr>
          <w:sz w:val="28"/>
          <w:szCs w:val="21"/>
        </w:rPr>
        <w:fldChar w:fldCharType="begin"/>
      </w:r>
      <w:r>
        <w:rPr>
          <w:sz w:val="28"/>
          <w:szCs w:val="21"/>
        </w:rPr>
        <w:instrText xml:space="preserve"> PAGEREF _Toc6730 \h </w:instrText>
      </w:r>
      <w:r>
        <w:rPr>
          <w:sz w:val="28"/>
          <w:szCs w:val="21"/>
        </w:rPr>
        <w:fldChar w:fldCharType="separate"/>
      </w:r>
      <w:r>
        <w:rPr>
          <w:sz w:val="28"/>
          <w:szCs w:val="21"/>
        </w:rPr>
        <w:t>23</w:t>
      </w:r>
      <w:r>
        <w:rPr>
          <w:sz w:val="28"/>
          <w:szCs w:val="21"/>
        </w:rPr>
        <w:fldChar w:fldCharType="end"/>
      </w:r>
      <w:r>
        <w:rPr>
          <w:rFonts w:hint="eastAsia" w:hAnsi="宋体" w:cs="宋体"/>
          <w:bCs/>
          <w:color w:val="auto"/>
          <w:sz w:val="28"/>
          <w:szCs w:val="32"/>
          <w:highlight w:val="none"/>
        </w:rPr>
        <w:fldChar w:fldCharType="end"/>
      </w:r>
    </w:p>
    <w:p w14:paraId="2F07E2F9">
      <w:pPr>
        <w:pStyle w:val="19"/>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_Toc14372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第四章  合同条款及格式</w:t>
      </w:r>
      <w:r>
        <w:rPr>
          <w:sz w:val="28"/>
          <w:szCs w:val="21"/>
        </w:rPr>
        <w:tab/>
      </w:r>
      <w:r>
        <w:rPr>
          <w:sz w:val="28"/>
          <w:szCs w:val="21"/>
        </w:rPr>
        <w:fldChar w:fldCharType="begin"/>
      </w:r>
      <w:r>
        <w:rPr>
          <w:sz w:val="28"/>
          <w:szCs w:val="21"/>
        </w:rPr>
        <w:instrText xml:space="preserve"> PAGEREF _Toc14372 \h </w:instrText>
      </w:r>
      <w:r>
        <w:rPr>
          <w:sz w:val="28"/>
          <w:szCs w:val="21"/>
        </w:rPr>
        <w:fldChar w:fldCharType="separate"/>
      </w:r>
      <w:r>
        <w:rPr>
          <w:sz w:val="28"/>
          <w:szCs w:val="21"/>
        </w:rPr>
        <w:t>29</w:t>
      </w:r>
      <w:r>
        <w:rPr>
          <w:sz w:val="28"/>
          <w:szCs w:val="21"/>
        </w:rPr>
        <w:fldChar w:fldCharType="end"/>
      </w:r>
      <w:r>
        <w:rPr>
          <w:rFonts w:hint="eastAsia" w:hAnsi="宋体" w:cs="宋体"/>
          <w:bCs/>
          <w:color w:val="auto"/>
          <w:sz w:val="28"/>
          <w:szCs w:val="32"/>
          <w:highlight w:val="none"/>
        </w:rPr>
        <w:fldChar w:fldCharType="end"/>
      </w:r>
    </w:p>
    <w:p w14:paraId="5BE4D7CE">
      <w:pPr>
        <w:pStyle w:val="21"/>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_Toc16916 </w:instrText>
      </w:r>
      <w:r>
        <w:rPr>
          <w:rFonts w:hint="eastAsia" w:hAnsi="宋体" w:cs="宋体"/>
          <w:bCs/>
          <w:sz w:val="28"/>
          <w:szCs w:val="32"/>
          <w:highlight w:val="none"/>
        </w:rPr>
        <w:fldChar w:fldCharType="separate"/>
      </w:r>
      <w:r>
        <w:rPr>
          <w:rFonts w:hint="eastAsia" w:ascii="宋体" w:hAnsi="宋体"/>
          <w:sz w:val="28"/>
          <w:szCs w:val="21"/>
          <w:highlight w:val="none"/>
        </w:rPr>
        <w:t>合同条款及格式前附表</w:t>
      </w:r>
      <w:r>
        <w:rPr>
          <w:sz w:val="28"/>
          <w:szCs w:val="21"/>
        </w:rPr>
        <w:tab/>
      </w:r>
      <w:r>
        <w:rPr>
          <w:sz w:val="28"/>
          <w:szCs w:val="21"/>
        </w:rPr>
        <w:fldChar w:fldCharType="begin"/>
      </w:r>
      <w:r>
        <w:rPr>
          <w:sz w:val="28"/>
          <w:szCs w:val="21"/>
        </w:rPr>
        <w:instrText xml:space="preserve"> PAGEREF _Toc16916 \h </w:instrText>
      </w:r>
      <w:r>
        <w:rPr>
          <w:sz w:val="28"/>
          <w:szCs w:val="21"/>
        </w:rPr>
        <w:fldChar w:fldCharType="separate"/>
      </w:r>
      <w:r>
        <w:rPr>
          <w:sz w:val="28"/>
          <w:szCs w:val="21"/>
        </w:rPr>
        <w:t>29</w:t>
      </w:r>
      <w:r>
        <w:rPr>
          <w:sz w:val="28"/>
          <w:szCs w:val="21"/>
        </w:rPr>
        <w:fldChar w:fldCharType="end"/>
      </w:r>
      <w:r>
        <w:rPr>
          <w:rFonts w:hint="eastAsia" w:hAnsi="宋体" w:cs="宋体"/>
          <w:bCs/>
          <w:color w:val="auto"/>
          <w:sz w:val="28"/>
          <w:szCs w:val="32"/>
          <w:highlight w:val="none"/>
        </w:rPr>
        <w:fldChar w:fldCharType="end"/>
      </w:r>
    </w:p>
    <w:p w14:paraId="69DFFF2C">
      <w:pPr>
        <w:pStyle w:val="19"/>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_Toc25085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第五章  磋商内容及技术要求</w:t>
      </w:r>
      <w:r>
        <w:rPr>
          <w:sz w:val="28"/>
          <w:szCs w:val="21"/>
        </w:rPr>
        <w:tab/>
      </w:r>
      <w:r>
        <w:rPr>
          <w:sz w:val="28"/>
          <w:szCs w:val="21"/>
        </w:rPr>
        <w:fldChar w:fldCharType="begin"/>
      </w:r>
      <w:r>
        <w:rPr>
          <w:sz w:val="28"/>
          <w:szCs w:val="21"/>
        </w:rPr>
        <w:instrText xml:space="preserve"> PAGEREF _Toc25085 \h </w:instrText>
      </w:r>
      <w:r>
        <w:rPr>
          <w:sz w:val="28"/>
          <w:szCs w:val="21"/>
        </w:rPr>
        <w:fldChar w:fldCharType="separate"/>
      </w:r>
      <w:r>
        <w:rPr>
          <w:sz w:val="28"/>
          <w:szCs w:val="21"/>
        </w:rPr>
        <w:t>58</w:t>
      </w:r>
      <w:r>
        <w:rPr>
          <w:sz w:val="28"/>
          <w:szCs w:val="21"/>
        </w:rPr>
        <w:fldChar w:fldCharType="end"/>
      </w:r>
      <w:r>
        <w:rPr>
          <w:rFonts w:hint="eastAsia" w:hAnsi="宋体" w:cs="宋体"/>
          <w:bCs/>
          <w:color w:val="auto"/>
          <w:sz w:val="28"/>
          <w:szCs w:val="32"/>
          <w:highlight w:val="none"/>
        </w:rPr>
        <w:fldChar w:fldCharType="end"/>
      </w:r>
    </w:p>
    <w:p w14:paraId="4625884B">
      <w:pPr>
        <w:pStyle w:val="19"/>
        <w:tabs>
          <w:tab w:val="right" w:leader="dot" w:pos="9071"/>
        </w:tabs>
        <w:rPr>
          <w:sz w:val="28"/>
          <w:szCs w:val="21"/>
        </w:rPr>
      </w:pPr>
      <w:r>
        <w:rPr>
          <w:rFonts w:hint="eastAsia" w:hAnsi="宋体" w:cs="宋体"/>
          <w:bCs/>
          <w:color w:val="auto"/>
          <w:sz w:val="28"/>
          <w:szCs w:val="32"/>
          <w:highlight w:val="none"/>
        </w:rPr>
        <w:fldChar w:fldCharType="begin"/>
      </w:r>
      <w:r>
        <w:rPr>
          <w:rFonts w:hint="eastAsia" w:hAnsi="宋体" w:cs="宋体"/>
          <w:bCs/>
          <w:sz w:val="28"/>
          <w:szCs w:val="32"/>
          <w:highlight w:val="none"/>
        </w:rPr>
        <w:instrText xml:space="preserve"> HYPERLINK \l _Toc20608 </w:instrText>
      </w:r>
      <w:r>
        <w:rPr>
          <w:rFonts w:hint="eastAsia" w:hAnsi="宋体" w:cs="宋体"/>
          <w:bCs/>
          <w:sz w:val="28"/>
          <w:szCs w:val="32"/>
          <w:highlight w:val="none"/>
        </w:rPr>
        <w:fldChar w:fldCharType="separate"/>
      </w:r>
      <w:r>
        <w:rPr>
          <w:rFonts w:hint="eastAsia" w:ascii="宋体" w:eastAsia="宋体" w:cs="宋体"/>
          <w:bCs/>
          <w:sz w:val="28"/>
          <w:szCs w:val="40"/>
          <w:highlight w:val="none"/>
        </w:rPr>
        <w:t>第六章  竞争性磋商响应文件格式</w:t>
      </w:r>
      <w:r>
        <w:rPr>
          <w:sz w:val="28"/>
          <w:szCs w:val="21"/>
        </w:rPr>
        <w:tab/>
      </w:r>
      <w:r>
        <w:rPr>
          <w:sz w:val="28"/>
          <w:szCs w:val="21"/>
        </w:rPr>
        <w:fldChar w:fldCharType="begin"/>
      </w:r>
      <w:r>
        <w:rPr>
          <w:sz w:val="28"/>
          <w:szCs w:val="21"/>
        </w:rPr>
        <w:instrText xml:space="preserve"> PAGEREF _Toc20608 \h </w:instrText>
      </w:r>
      <w:r>
        <w:rPr>
          <w:sz w:val="28"/>
          <w:szCs w:val="21"/>
        </w:rPr>
        <w:fldChar w:fldCharType="separate"/>
      </w:r>
      <w:r>
        <w:rPr>
          <w:sz w:val="28"/>
          <w:szCs w:val="21"/>
        </w:rPr>
        <w:t>70</w:t>
      </w:r>
      <w:r>
        <w:rPr>
          <w:sz w:val="28"/>
          <w:szCs w:val="21"/>
        </w:rPr>
        <w:fldChar w:fldCharType="end"/>
      </w:r>
      <w:r>
        <w:rPr>
          <w:rFonts w:hint="eastAsia" w:hAnsi="宋体" w:cs="宋体"/>
          <w:bCs/>
          <w:color w:val="auto"/>
          <w:sz w:val="28"/>
          <w:szCs w:val="32"/>
          <w:highlight w:val="none"/>
        </w:rPr>
        <w:fldChar w:fldCharType="end"/>
      </w:r>
    </w:p>
    <w:p w14:paraId="35C1115D">
      <w:pPr>
        <w:pStyle w:val="19"/>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32"/>
          <w:highlight w:val="none"/>
        </w:rPr>
        <w:fldChar w:fldCharType="end"/>
      </w:r>
    </w:p>
    <w:p w14:paraId="539020FB">
      <w:pPr>
        <w:pStyle w:val="4"/>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fmt="decimal" w:start="1"/>
          <w:cols w:space="720" w:num="1"/>
          <w:titlePg/>
          <w:docGrid w:type="lines" w:linePitch="312" w:charSpace="0"/>
        </w:sectPr>
      </w:pPr>
      <w:bookmarkStart w:id="643" w:name="_GoBack"/>
      <w:bookmarkEnd w:id="643"/>
    </w:p>
    <w:p w14:paraId="4B383042">
      <w:pPr>
        <w:pStyle w:val="4"/>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6200"/>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1D0C180D">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bookmarkStart w:id="14" w:name="_Toc2929"/>
      <w:bookmarkStart w:id="15" w:name="_Toc389582035"/>
      <w:bookmarkStart w:id="16" w:name="_Toc423973072"/>
      <w:bookmarkStart w:id="17" w:name="_Toc29249"/>
      <w:r>
        <w:rPr>
          <w:rFonts w:hint="eastAsia" w:ascii="宋体" w:hAnsi="宋体" w:eastAsia="宋体" w:cs="宋体"/>
          <w:b/>
          <w:bCs/>
          <w:i w:val="0"/>
          <w:iCs w:val="0"/>
          <w:caps w:val="0"/>
          <w:color w:val="333333"/>
          <w:spacing w:val="0"/>
          <w:sz w:val="24"/>
          <w:szCs w:val="24"/>
          <w:shd w:val="clear" w:fill="FFFFFF"/>
          <w:lang w:val="en-US" w:eastAsia="zh-CN"/>
        </w:rPr>
        <w:t xml:space="preserve"> 项目概况</w:t>
      </w:r>
    </w:p>
    <w:p w14:paraId="00CBF5A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杨地镇老街和新街改造提升工程(新街段)采购项目的潜在供应商应在陕西省西安市经济技术开发区未央路171-1号银池道拉斯财富中心21楼03室获取采购文件，并于 2025年10月31日 14时00分 （北京时间）前提交响应文件。</w:t>
      </w:r>
    </w:p>
    <w:p w14:paraId="298D2D3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一、项目基本情况</w:t>
      </w:r>
    </w:p>
    <w:p w14:paraId="205DAC6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项目编号：SXZCZB2025-ZCCS-1028</w:t>
      </w:r>
    </w:p>
    <w:p w14:paraId="4AD8BF8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项目名称：杨地镇老街和新街改造提升工程(新街段)</w:t>
      </w:r>
    </w:p>
    <w:p w14:paraId="636C6B2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采购方式：竞争性磋商</w:t>
      </w:r>
    </w:p>
    <w:p w14:paraId="06B873C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预算金额：839,546.54元</w:t>
      </w:r>
    </w:p>
    <w:p w14:paraId="7D1706C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采购需求：</w:t>
      </w:r>
    </w:p>
    <w:p w14:paraId="1E461F9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合同包1(杨地镇老街和新街改造提升工程(新街段)):</w:t>
      </w:r>
    </w:p>
    <w:p w14:paraId="712EFDC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合同包预算金额：839,546.54元</w:t>
      </w:r>
    </w:p>
    <w:p w14:paraId="7F6A675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合同包最高限价：839,546.54元</w:t>
      </w:r>
    </w:p>
    <w:tbl>
      <w:tblPr>
        <w:tblStyle w:val="25"/>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5A623A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vAlign w:val="center"/>
          </w:tcPr>
          <w:p w14:paraId="7D77965C">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品目号</w:t>
            </w:r>
          </w:p>
        </w:tc>
        <w:tc>
          <w:tcPr>
            <w:tcW w:w="833" w:type="pct"/>
            <w:vAlign w:val="center"/>
          </w:tcPr>
          <w:p w14:paraId="5E2BE3B6">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品目名称</w:t>
            </w:r>
          </w:p>
        </w:tc>
        <w:tc>
          <w:tcPr>
            <w:tcW w:w="833" w:type="pct"/>
            <w:vAlign w:val="center"/>
          </w:tcPr>
          <w:p w14:paraId="57502C0F">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采购标的</w:t>
            </w:r>
          </w:p>
        </w:tc>
        <w:tc>
          <w:tcPr>
            <w:tcW w:w="833" w:type="pct"/>
            <w:vAlign w:val="center"/>
          </w:tcPr>
          <w:p w14:paraId="42A1D2CD">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数量（单位）</w:t>
            </w:r>
          </w:p>
        </w:tc>
        <w:tc>
          <w:tcPr>
            <w:tcW w:w="833" w:type="pct"/>
            <w:vAlign w:val="center"/>
          </w:tcPr>
          <w:p w14:paraId="2619A593">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技术规格、参数及要求</w:t>
            </w:r>
          </w:p>
        </w:tc>
        <w:tc>
          <w:tcPr>
            <w:tcW w:w="833" w:type="pct"/>
            <w:vAlign w:val="center"/>
          </w:tcPr>
          <w:p w14:paraId="5DECA234">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品目预算(元)</w:t>
            </w:r>
          </w:p>
        </w:tc>
      </w:tr>
      <w:tr w14:paraId="3EC96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3" w:type="pct"/>
            <w:vAlign w:val="center"/>
          </w:tcPr>
          <w:p w14:paraId="3D4248C7">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w:t>
            </w:r>
          </w:p>
        </w:tc>
        <w:tc>
          <w:tcPr>
            <w:tcW w:w="833" w:type="pct"/>
            <w:vAlign w:val="center"/>
          </w:tcPr>
          <w:p w14:paraId="6396BFB5">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其他建筑工程</w:t>
            </w:r>
          </w:p>
        </w:tc>
        <w:tc>
          <w:tcPr>
            <w:tcW w:w="833" w:type="pct"/>
            <w:vAlign w:val="center"/>
          </w:tcPr>
          <w:p w14:paraId="2CDB96D5">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杨地镇老街和新街改造提升工程(新街段)</w:t>
            </w:r>
          </w:p>
        </w:tc>
        <w:tc>
          <w:tcPr>
            <w:tcW w:w="833" w:type="pct"/>
            <w:vAlign w:val="center"/>
          </w:tcPr>
          <w:p w14:paraId="172DD5C9">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1(项)</w:t>
            </w:r>
          </w:p>
        </w:tc>
        <w:tc>
          <w:tcPr>
            <w:tcW w:w="833" w:type="pct"/>
            <w:vAlign w:val="center"/>
          </w:tcPr>
          <w:p w14:paraId="2397B1CB">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详见采购文件</w:t>
            </w:r>
          </w:p>
        </w:tc>
        <w:tc>
          <w:tcPr>
            <w:tcW w:w="833" w:type="pct"/>
            <w:vAlign w:val="center"/>
          </w:tcPr>
          <w:p w14:paraId="5B0F0CA5">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jc w:val="center"/>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839,546.54</w:t>
            </w:r>
          </w:p>
        </w:tc>
      </w:tr>
    </w:tbl>
    <w:p w14:paraId="7E26DBD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 xml:space="preserve"> 本合同包不接受联合体投标</w:t>
      </w:r>
    </w:p>
    <w:p w14:paraId="7739069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 xml:space="preserve"> 合同履行期限：详见采购文件</w:t>
      </w:r>
    </w:p>
    <w:p w14:paraId="5EE34CB9">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二、申请人的资格要求：</w:t>
      </w:r>
    </w:p>
    <w:p w14:paraId="62CCEAA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1.满足《中华人民共和国政府采购法》第二十二条规定;</w:t>
      </w:r>
    </w:p>
    <w:p w14:paraId="4A7557E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2.落实政府采购政策需满足的资格要求：</w:t>
      </w:r>
    </w:p>
    <w:p w14:paraId="72666C4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合同包1(杨地镇老街和新街改造提升工程(新街段))落实政府采购政策需满足的资格要求如下:</w:t>
      </w:r>
    </w:p>
    <w:p w14:paraId="327C1C4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（1）《政府采购促进中小企业发展管理办法》（财库〔2020〕46号）；</w:t>
      </w:r>
    </w:p>
    <w:p w14:paraId="580B39E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（2）《财政部司法部关于政府采购支持监狱企业发展有关问题的通知》（财库〔2014〕68号）；</w:t>
      </w:r>
    </w:p>
    <w:p w14:paraId="710FFFE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（3）《关于促进残疾人就业政府采购政策的通知》（财库〔2017〕141号）；</w:t>
      </w:r>
    </w:p>
    <w:p w14:paraId="0D7F2DC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（4）《节能产品政府采购实施意见》（财库〔2004〕185号）；</w:t>
      </w:r>
    </w:p>
    <w:p w14:paraId="600C26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（5）《环境标志产品政府采购实施的意见》（财库〔2006〕90号）；</w:t>
      </w:r>
    </w:p>
    <w:p w14:paraId="4E83F2B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（6）《国务院办公厅关于建立政府强制采购节能产品制度的通知》（国办发〔2007〕51号）；</w:t>
      </w:r>
    </w:p>
    <w:p w14:paraId="5FA4C85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（7）财政部发展改革委生态环境部市场监管总局关于调整优化节能产品、环境标志产品政府采购执行机制的通知（财库〔2019〕9 号）；</w:t>
      </w:r>
    </w:p>
    <w:p w14:paraId="2A2AEA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（8）《关于印发环境标志产品政府采购品目清单的通知》--（财库〔2019〕18号）；</w:t>
      </w:r>
    </w:p>
    <w:p w14:paraId="49CFC7C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（9）《关于印发节能产品政府采购品目清单的通知》--（财库〔2019〕19号）；</w:t>
      </w:r>
    </w:p>
    <w:p w14:paraId="746ADC7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（10）《市场监管总局关于发布参与实施政府采购节能产品、环境标志产品认证机构名录的公告》—2019年第16号；</w:t>
      </w:r>
    </w:p>
    <w:p w14:paraId="2A0C081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（11）《关于运用政府采购政策支持乡村产业振兴的通知》（财库〔2021〕19号）；</w:t>
      </w:r>
    </w:p>
    <w:p w14:paraId="79800B7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（12）陕西省财政厅关于印发《陕西省中小企业政府采购信用融资办法》（陕财办采〔2018〕23号），相关政策、业务流程、办理 平台（详见http://www.ccgp-shaanxi.gov.cn/zcd</w:t>
      </w:r>
    </w:p>
    <w:p w14:paraId="10E13E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service/zcd/shanxi/）；</w:t>
      </w:r>
    </w:p>
    <w:p w14:paraId="093A8E4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（13）《陕西省财政厅关于加快推进我省中小企业政府采购信用融资工作的通知》（陕财办采〔2020〕15号）；</w:t>
      </w:r>
    </w:p>
    <w:p w14:paraId="2C34913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（14）《关于进一步加强政府绿色采购有关问题的通知》（陕财办采〔2021〕29号）；</w:t>
      </w:r>
    </w:p>
    <w:p w14:paraId="3B95B5B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（15）《陕西省财政厅陕西省工业和信息化厅关于运用政府采购政策支持首台（套）及创新产品有关事项的通知》（陕财办采〔2021〕17号）；</w:t>
      </w:r>
    </w:p>
    <w:p w14:paraId="7D948FA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（16）《关于进一步加大政府采购支持中小企业力度的通知》（财库〔2022〕19号）、《关于落实政府采购支持中小企业政策有关 事项的通知》（陕财办采函〔2022〕10号）；</w:t>
      </w:r>
    </w:p>
    <w:p w14:paraId="5CC5D7D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（17）其他需要落实的政府采购政策。</w:t>
      </w:r>
    </w:p>
    <w:p w14:paraId="44028D3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3.本项目的特定资格要求：</w:t>
      </w:r>
    </w:p>
    <w:p w14:paraId="45540D0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合同包1(杨地镇老街和新街改造提升工程(新街段))特定资格要求如下:</w:t>
      </w:r>
    </w:p>
    <w:p w14:paraId="4B42DE4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1、提供合格有效的法人或者其他组织的营业执照等证明文件，自然人的身份证明。</w:t>
      </w:r>
    </w:p>
    <w:p w14:paraId="7F3A8CC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2、提供法定代表人授权书（附法定代表人、被授权人身份证复印件），（法定代表人直接参加磋商，须提供法定代表人身份证明）；</w:t>
      </w:r>
    </w:p>
    <w:p w14:paraId="536EFB7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p>
    <w:p w14:paraId="1E90D0D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4、税收缴纳证明：提供磋商截止日前一年内已缴纳的至少一个月的纳税证明或完税证明（任意税种），依法免税的单位应提供相关证明材料；</w:t>
      </w:r>
    </w:p>
    <w:p w14:paraId="494BA61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3D83316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6、供应商须具备【市政公用工程施工总承包三级（含）】及以上资质，并提供有效的安全生产许可证；</w:t>
      </w:r>
    </w:p>
    <w:p w14:paraId="6189536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7、供应商拟派项目经理须具备市政工程专业二级（含二级）及以上注册建造师资质、具有安全生产考核合格证（B证），且无在建工程（提供无在建承诺书）；</w:t>
      </w:r>
    </w:p>
    <w:p w14:paraId="71A9B93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8、提供具有履行本合同所必需的设备和专业技术能力的说明及承诺书；</w:t>
      </w:r>
    </w:p>
    <w:p w14:paraId="6DB4769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9、供应商应通过“信用中国”网站(www.creditchina.gov.cn)、中国政府采购网(www.ccgp.gov.cn)查询相关主体信用记录；</w:t>
      </w:r>
    </w:p>
    <w:p w14:paraId="0A1CFCE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10、参加政府采购活动前3年内，在经营活动中没有重大违法记录的书面声明；</w:t>
      </w:r>
    </w:p>
    <w:p w14:paraId="4EC6C15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11、供应商须提供中小企业声明函；</w:t>
      </w:r>
    </w:p>
    <w:p w14:paraId="45668F7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12、本项目不接受联合体磋商。</w:t>
      </w:r>
    </w:p>
    <w:p w14:paraId="63E8C5FA">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三、获取采购文件</w:t>
      </w:r>
    </w:p>
    <w:p w14:paraId="1268623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时间： 2025年10月21日 至 2025年10月27日 ，每天上午 09:00:00 至 12:00:00 ，下午 14:00:00 至 18:00:00 （北京时间）</w:t>
      </w:r>
    </w:p>
    <w:p w14:paraId="2CF2907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途径：陕西省西安市经济技术开发区未央路171-1号银池道拉斯财富中心21楼03室</w:t>
      </w:r>
    </w:p>
    <w:p w14:paraId="6D53639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方式：现场获取</w:t>
      </w:r>
    </w:p>
    <w:p w14:paraId="24BC8E8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售价： 0元</w:t>
      </w:r>
    </w:p>
    <w:p w14:paraId="4D9A7E2B">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四、响应文件提交</w:t>
      </w:r>
    </w:p>
    <w:p w14:paraId="497FC70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截止时间： 2025年10月31日 14时00分00秒 （北京时间）</w:t>
      </w:r>
    </w:p>
    <w:p w14:paraId="0BBBEC2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地点：陕西省西安市经济技术开发区未央路171-1号银池道拉斯财富中心21楼03室</w:t>
      </w:r>
    </w:p>
    <w:p w14:paraId="10F1D597">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五、开启</w:t>
      </w:r>
    </w:p>
    <w:p w14:paraId="1BD3BB9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时间： 2025年10月31日14时00分00秒 （北京时间）</w:t>
      </w:r>
    </w:p>
    <w:p w14:paraId="0B2EE26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地点：陕西省西安市经济技术开发区未央路171-1号银池道拉斯财富中心21楼03室</w:t>
      </w:r>
    </w:p>
    <w:p w14:paraId="74365013">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六、公告期限</w:t>
      </w:r>
    </w:p>
    <w:p w14:paraId="005FB7C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自本公告发布之日起3个工作日。</w:t>
      </w:r>
    </w:p>
    <w:p w14:paraId="393CC98D">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七、其他补充事宜</w:t>
      </w:r>
    </w:p>
    <w:p w14:paraId="1A9E77F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（1）供应商领取磋商文件时，请携带单位介绍信及经办人身份证原件及复印件加盖公章；</w:t>
      </w:r>
    </w:p>
    <w:p w14:paraId="0B1C9C8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（2）请供应商按照《陕西省财政厅关于政府采购供应商注册登记有关事项的通知》中的要求，通过陕西省政府采购网（http://www.ccgp-shaanxi.gov.cn/）注册登记加入陕西省政府采购供应商库；</w:t>
      </w:r>
    </w:p>
    <w:p w14:paraId="2A1D521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（3）本项目专门面向中小企业采购。</w:t>
      </w:r>
    </w:p>
    <w:p w14:paraId="49AE7C16">
      <w:pPr>
        <w:keepNext w:val="0"/>
        <w:keepLines w:val="0"/>
        <w:pageBreakBefore w:val="0"/>
        <w:kinsoku/>
        <w:overflowPunct/>
        <w:topLinePunct w:val="0"/>
        <w:autoSpaceDE/>
        <w:autoSpaceDN/>
        <w:bidi w:val="0"/>
        <w:adjustRightInd/>
        <w:snapToGrid w:val="0"/>
        <w:spacing w:line="360" w:lineRule="auto"/>
        <w:ind w:left="0" w:firstLine="482" w:firstLineChars="200"/>
        <w:jc w:val="left"/>
        <w:textAlignment w:val="auto"/>
        <w:outlineLvl w:val="9"/>
        <w:rPr>
          <w:rFonts w:hint="eastAsia" w:ascii="宋体" w:hAnsi="宋体" w:eastAsia="宋体" w:cs="宋体"/>
          <w:b/>
          <w:bCs/>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八、对本次招标提出询问，请按以下方式联系。</w:t>
      </w:r>
    </w:p>
    <w:p w14:paraId="75916DF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1.采购人信息</w:t>
      </w:r>
    </w:p>
    <w:p w14:paraId="1B8AE0B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名称：山阳县杨地镇人民政府（本级）</w:t>
      </w:r>
    </w:p>
    <w:p w14:paraId="76AA092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地址：杨地镇龙潭村街道</w:t>
      </w:r>
    </w:p>
    <w:p w14:paraId="104B75C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联系方式：0914-8733314</w:t>
      </w:r>
    </w:p>
    <w:p w14:paraId="5FC80F5E">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2.采购代理机构信息</w:t>
      </w:r>
    </w:p>
    <w:p w14:paraId="35A272D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名称：陕西至诚项目管理集团有限公司</w:t>
      </w:r>
    </w:p>
    <w:p w14:paraId="2907CEB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地址：陕西省西安市经济技术开发区未央路171-1号银池道拉斯财富中心21楼</w:t>
      </w:r>
    </w:p>
    <w:p w14:paraId="3AFF717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联系方式：029-88219779</w:t>
      </w:r>
    </w:p>
    <w:p w14:paraId="198075AC">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3.项目联系方式</w:t>
      </w:r>
    </w:p>
    <w:p w14:paraId="7C861F7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项目联系人：康乐、孙洋、常瑛</w:t>
      </w:r>
    </w:p>
    <w:p w14:paraId="0489632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电话：029-88219779</w:t>
      </w:r>
    </w:p>
    <w:p w14:paraId="5CEC6710">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陕西至诚项目管理集团有限公司</w:t>
      </w:r>
    </w:p>
    <w:p w14:paraId="0BB69ED3">
      <w:pPr>
        <w:keepNext w:val="0"/>
        <w:keepLines w:val="0"/>
        <w:pageBreakBefore w:val="0"/>
        <w:kinsoku/>
        <w:overflowPunct/>
        <w:topLinePunct w:val="0"/>
        <w:autoSpaceDE/>
        <w:autoSpaceDN/>
        <w:bidi w:val="0"/>
        <w:adjustRightInd/>
        <w:snapToGrid w:val="0"/>
        <w:spacing w:line="360" w:lineRule="auto"/>
        <w:ind w:left="0" w:firstLine="480" w:firstLineChars="200"/>
        <w:jc w:val="righ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2025年</w:t>
      </w:r>
      <w:r>
        <w:rPr>
          <w:rFonts w:hint="eastAsia" w:hAnsi="宋体" w:cs="宋体"/>
          <w:i w:val="0"/>
          <w:iCs w:val="0"/>
          <w:caps w:val="0"/>
          <w:color w:val="333333"/>
          <w:spacing w:val="0"/>
          <w:sz w:val="24"/>
          <w:szCs w:val="24"/>
          <w:shd w:val="clear" w:fill="FFFFFF"/>
          <w:lang w:val="en-US" w:eastAsia="zh-CN"/>
        </w:rPr>
        <w:t>10</w:t>
      </w:r>
      <w:r>
        <w:rPr>
          <w:rFonts w:hint="eastAsia" w:ascii="宋体" w:hAnsi="宋体" w:eastAsia="宋体" w:cs="宋体"/>
          <w:i w:val="0"/>
          <w:iCs w:val="0"/>
          <w:caps w:val="0"/>
          <w:color w:val="333333"/>
          <w:spacing w:val="0"/>
          <w:sz w:val="24"/>
          <w:szCs w:val="24"/>
          <w:shd w:val="clear" w:fill="FFFFFF"/>
          <w:lang w:val="en-US" w:eastAsia="zh-CN"/>
        </w:rPr>
        <w:t>月2</w:t>
      </w:r>
      <w:r>
        <w:rPr>
          <w:rFonts w:hint="eastAsia" w:hAnsi="宋体" w:cs="宋体"/>
          <w:i w:val="0"/>
          <w:iCs w:val="0"/>
          <w:caps w:val="0"/>
          <w:color w:val="333333"/>
          <w:spacing w:val="0"/>
          <w:sz w:val="24"/>
          <w:szCs w:val="24"/>
          <w:shd w:val="clear" w:fill="FFFFFF"/>
          <w:lang w:val="en-US" w:eastAsia="zh-CN"/>
        </w:rPr>
        <w:t>0</w:t>
      </w:r>
      <w:r>
        <w:rPr>
          <w:rFonts w:hint="eastAsia" w:ascii="宋体" w:hAnsi="宋体" w:eastAsia="宋体" w:cs="宋体"/>
          <w:i w:val="0"/>
          <w:iCs w:val="0"/>
          <w:caps w:val="0"/>
          <w:color w:val="333333"/>
          <w:spacing w:val="0"/>
          <w:sz w:val="24"/>
          <w:szCs w:val="24"/>
          <w:shd w:val="clear" w:fill="FFFFFF"/>
          <w:lang w:val="en-US" w:eastAsia="zh-CN"/>
        </w:rPr>
        <w:t>日</w:t>
      </w:r>
      <w:r>
        <w:rPr>
          <w:rFonts w:hint="eastAsia" w:ascii="宋体" w:hAnsi="宋体" w:eastAsia="宋体" w:cs="宋体"/>
          <w:i w:val="0"/>
          <w:iCs w:val="0"/>
          <w:caps w:val="0"/>
          <w:color w:val="333333"/>
          <w:spacing w:val="0"/>
          <w:sz w:val="24"/>
          <w:szCs w:val="24"/>
          <w:shd w:val="clear" w:fill="FFFFFF"/>
          <w:lang w:val="en-US" w:eastAsia="zh-CN"/>
        </w:rPr>
        <w:br w:type="textWrapping"/>
      </w:r>
    </w:p>
    <w:p w14:paraId="76D6918C">
      <w:pPr>
        <w:keepNext w:val="0"/>
        <w:keepLines w:val="0"/>
        <w:pageBreakBefore w:val="0"/>
        <w:kinsoku/>
        <w:overflowPunct/>
        <w:topLinePunct w:val="0"/>
        <w:autoSpaceDE/>
        <w:autoSpaceDN/>
        <w:bidi w:val="0"/>
        <w:adjustRightInd/>
        <w:snapToGrid w:val="0"/>
        <w:spacing w:line="360" w:lineRule="auto"/>
        <w:ind w:left="0" w:firstLine="720" w:firstLineChars="200"/>
        <w:jc w:val="center"/>
        <w:textAlignment w:val="auto"/>
        <w:outlineLvl w:val="9"/>
        <w:rPr>
          <w:rFonts w:hAnsi="宋体" w:cs="宋体"/>
          <w:bCs/>
          <w:color w:val="auto"/>
          <w:sz w:val="36"/>
          <w:szCs w:val="36"/>
          <w:highlight w:val="none"/>
        </w:rPr>
      </w:pPr>
      <w:r>
        <w:rPr>
          <w:rFonts w:hint="eastAsia" w:hAnsi="宋体" w:cs="宋体"/>
          <w:bCs/>
          <w:color w:val="auto"/>
          <w:sz w:val="36"/>
          <w:szCs w:val="36"/>
          <w:highlight w:val="none"/>
        </w:rPr>
        <w:br w:type="page"/>
      </w:r>
    </w:p>
    <w:p w14:paraId="6FEE90F8">
      <w:pPr>
        <w:spacing w:line="348" w:lineRule="auto"/>
        <w:ind w:right="119"/>
        <w:jc w:val="center"/>
        <w:outlineLvl w:val="0"/>
        <w:rPr>
          <w:rFonts w:hAnsi="宋体" w:cs="宋体"/>
          <w:bCs/>
          <w:color w:val="auto"/>
          <w:sz w:val="32"/>
          <w:szCs w:val="32"/>
          <w:highlight w:val="none"/>
        </w:rPr>
      </w:pPr>
      <w:bookmarkStart w:id="18" w:name="_Toc28183"/>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5"/>
        <w:widowControl w:val="0"/>
        <w:spacing w:before="120" w:after="120" w:line="360" w:lineRule="auto"/>
        <w:ind w:left="0"/>
        <w:jc w:val="center"/>
        <w:rPr>
          <w:rFonts w:ascii="宋体" w:hAnsi="宋体" w:cs="宋体"/>
          <w:color w:val="auto"/>
          <w:sz w:val="32"/>
          <w:highlight w:val="none"/>
        </w:rPr>
      </w:pPr>
      <w:bookmarkStart w:id="20" w:name="_Toc20984"/>
      <w:bookmarkStart w:id="21" w:name="_Toc19364"/>
      <w:bookmarkStart w:id="22" w:name="_Toc423973073"/>
      <w:bookmarkStart w:id="23" w:name="OLE_LINK2"/>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人：山阳县杨地镇人民政府（本级）</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地        址：陕西省西安市经济技术开发区未央路171-1号银池道拉斯财富中心21楼</w:t>
            </w:r>
            <w:r>
              <w:rPr>
                <w:rFonts w:hint="eastAsia" w:hAnsi="宋体" w:cs="宋体"/>
                <w:color w:val="auto"/>
                <w:szCs w:val="24"/>
                <w:highlight w:val="none"/>
                <w:lang w:val="en-US" w:eastAsia="zh-CN"/>
              </w:rPr>
              <w:t>03室</w:t>
            </w:r>
          </w:p>
          <w:p w14:paraId="02707F5A">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邮        编：7100</w:t>
            </w:r>
            <w:r>
              <w:rPr>
                <w:rFonts w:hint="eastAsia" w:hAnsi="宋体" w:cs="宋体"/>
                <w:color w:val="auto"/>
                <w:szCs w:val="24"/>
                <w:highlight w:val="none"/>
                <w:lang w:val="en-US" w:eastAsia="zh-CN"/>
              </w:rPr>
              <w:t>00</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本次磋商的最小单元为“项目”，供应商可根据自身的资质情况和经营范围对本次项目进行磋商，不得将其子目再行分解或只对本次项目中的品目进行不完全磋商，任何不完全的响应将会被拒绝。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b/>
                <w:bCs/>
                <w:color w:val="auto"/>
                <w:szCs w:val="24"/>
                <w:highlight w:val="none"/>
              </w:rPr>
            </w:pPr>
            <w:r>
              <w:rPr>
                <w:rFonts w:hint="eastAsia" w:hAnsi="宋体" w:cs="宋体"/>
                <w:b/>
                <w:bCs/>
                <w:color w:val="auto"/>
                <w:szCs w:val="24"/>
                <w:highlight w:val="none"/>
              </w:rPr>
              <w:t>特定资格证明文件：</w:t>
            </w:r>
          </w:p>
          <w:p w14:paraId="34A7E48F">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1、提供合格有效的法人或者其他组织的营业执照等证明文件，自然人的身份证明。</w:t>
            </w:r>
          </w:p>
          <w:p w14:paraId="1775AA17">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2、提供法定代表人授权书（附法定代表人、被授权人身份证复印件），（法定代表人直接参加磋商，须提供法定代表人身份证明）；</w:t>
            </w:r>
          </w:p>
          <w:p w14:paraId="38184E9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p>
          <w:p w14:paraId="2ADE0D9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4、税收缴纳证明：提供磋商截止日前一年内已缴纳的至少一个月的纳税证明或完税证明（任意税种），依法免税的单位应提供相关证明材料；</w:t>
            </w:r>
          </w:p>
          <w:p w14:paraId="67336BDD">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4FA7151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6、供应商须具备【市政公用工程施工总承包三级（含）】及以上资质，并提供有效的安全生产许可证；</w:t>
            </w:r>
          </w:p>
          <w:p w14:paraId="4CD5B2C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7、供应商拟派项目经理须具备市政工程专业二级（含二级）及以上注册建造师资质、具有安全生产考核合格证（B证），且无在建工程（提供无在建承诺书）；</w:t>
            </w:r>
          </w:p>
          <w:p w14:paraId="4DD9DE8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8、提供具有履行本合同所必需的设备和专业技术能力的说明及承诺书；</w:t>
            </w:r>
          </w:p>
          <w:p w14:paraId="4544062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9、供应商应通过“信用中国”网站(www.creditchina.gov.cn)、中国政府采购网(www.ccgp.gov.cn)查询相关主体信用记录；</w:t>
            </w:r>
          </w:p>
          <w:p w14:paraId="267FCC61">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10、参加政府采购活动前3年内，在经营活动中没有重大违法记录的书面声明；</w:t>
            </w:r>
          </w:p>
          <w:p w14:paraId="2E3170E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11、供应商须提供中小企业声明函；</w:t>
            </w:r>
          </w:p>
          <w:p w14:paraId="1F56593A">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磋商保证金：无</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）。磋商保证金到达采购代理机构指定账户后，供应商须与陕西至诚项目管理集团有限公司财务部联系确认到账后（联系电话029-88219779），将磋商保证金缴纳凭证复印件粘贴于磋商响应文件规定处。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numPr>
                <w:ilvl w:val="0"/>
                <w:numId w:val="1"/>
              </w:numPr>
              <w:spacing w:line="360" w:lineRule="auto"/>
              <w:ind w:firstLine="720" w:firstLineChars="300"/>
              <w:rPr>
                <w:rFonts w:hAnsi="宋体"/>
                <w:color w:val="auto"/>
                <w:szCs w:val="24"/>
                <w:highlight w:val="none"/>
              </w:rPr>
            </w:pP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2)</w:t>
            </w:r>
            <w:r>
              <w:rPr>
                <w:rFonts w:hint="eastAsia" w:hAnsi="宋体"/>
                <w:color w:val="auto"/>
                <w:szCs w:val="24"/>
                <w:highlight w:val="none"/>
                <w:lang w:val="en-US" w:eastAsia="zh-CN"/>
              </w:rPr>
              <w:t xml:space="preserve">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int="default" w:hAnsi="宋体" w:eastAsia="宋体" w:cs="宋体"/>
                <w:color w:val="auto"/>
                <w:szCs w:val="24"/>
                <w:highlight w:val="none"/>
                <w:lang w:val="en-US" w:eastAsia="zh-CN"/>
              </w:rPr>
            </w:pPr>
            <w:r>
              <w:rPr>
                <w:rFonts w:hint="eastAsia" w:hAnsi="宋体" w:cs="宋体"/>
                <w:color w:val="auto"/>
                <w:szCs w:val="24"/>
                <w:highlight w:val="none"/>
              </w:rPr>
              <w:t>磋商响应文件递交地址：</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rPr>
              <w:t>陕西省西安市经济技术开发区未央路171-1号银池道拉斯财富中心21楼</w:t>
            </w:r>
            <w:r>
              <w:rPr>
                <w:rFonts w:hint="eastAsia" w:cs="宋体"/>
                <w:color w:val="auto"/>
                <w:highlight w:val="none"/>
                <w:shd w:val="clear" w:color="auto" w:fill="FFFFFF"/>
                <w:lang w:val="en-US" w:eastAsia="zh-CN"/>
              </w:rPr>
              <w:t>03室</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EB9263C">
            <w:pPr>
              <w:spacing w:after="159" w:afterLines="50" w:line="360" w:lineRule="auto"/>
              <w:jc w:val="left"/>
              <w:rPr>
                <w:rFonts w:hint="eastAsia"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w:t>
            </w:r>
          </w:p>
          <w:p w14:paraId="418791FE">
            <w:pPr>
              <w:spacing w:after="159" w:afterLines="50" w:line="360" w:lineRule="auto"/>
              <w:jc w:val="left"/>
              <w:rPr>
                <w:rFonts w:hAnsi="宋体" w:cs="宋体"/>
                <w:color w:val="auto"/>
                <w:szCs w:val="24"/>
                <w:highlight w:val="none"/>
              </w:rPr>
            </w:pPr>
            <w:r>
              <w:rPr>
                <w:rFonts w:hint="eastAsia" w:hAnsi="宋体" w:cs="宋体"/>
                <w:color w:val="auto"/>
                <w:szCs w:val="24"/>
                <w:highlight w:val="none"/>
                <w:lang w:val="en-US" w:eastAsia="zh-CN"/>
              </w:rPr>
              <w:t>29.</w:t>
            </w:r>
            <w:r>
              <w:rPr>
                <w:rFonts w:hint="eastAsia" w:hAnsi="宋体" w:cs="宋体"/>
                <w:color w:val="auto"/>
                <w:szCs w:val="24"/>
                <w:highlight w:val="none"/>
              </w:rPr>
              <w:t>2、本项目代理服务费由</w:t>
            </w:r>
            <w:r>
              <w:rPr>
                <w:rFonts w:hint="eastAsia" w:hAnsi="宋体" w:cs="宋体"/>
                <w:color w:val="auto"/>
                <w:szCs w:val="24"/>
                <w:highlight w:val="none"/>
                <w:lang w:val="en-US" w:eastAsia="zh-CN"/>
              </w:rPr>
              <w:t>中标单位</w:t>
            </w:r>
            <w:r>
              <w:rPr>
                <w:rFonts w:hint="eastAsia" w:hAnsi="宋体" w:cs="宋体"/>
                <w:color w:val="auto"/>
                <w:szCs w:val="24"/>
                <w:highlight w:val="none"/>
              </w:rPr>
              <w:t>支付，中标单位应依据成交金额向招标代理机构交纳招标代理服务费。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numPr>
                <w:ilvl w:val="0"/>
                <w:numId w:val="2"/>
              </w:numPr>
              <w:spacing w:line="520" w:lineRule="exact"/>
              <w:rPr>
                <w:rFonts w:hAnsi="宋体" w:cs="宋体"/>
                <w:b/>
                <w:bCs/>
                <w:color w:val="auto"/>
                <w:szCs w:val="24"/>
                <w:highlight w:val="none"/>
              </w:rPr>
            </w:pP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11"/>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b/>
                <w:bCs/>
                <w:color w:val="auto"/>
                <w:szCs w:val="24"/>
                <w:highlight w:val="none"/>
              </w:rPr>
            </w:pPr>
            <w:r>
              <w:rPr>
                <w:rFonts w:hint="eastAsia" w:hAnsi="宋体" w:cs="宋体"/>
                <w:b/>
                <w:bCs/>
                <w:color w:val="auto"/>
                <w:szCs w:val="24"/>
                <w:highlight w:val="none"/>
              </w:rPr>
              <w:t>18</w:t>
            </w:r>
          </w:p>
        </w:tc>
        <w:tc>
          <w:tcPr>
            <w:tcW w:w="951" w:type="dxa"/>
            <w:vAlign w:val="center"/>
          </w:tcPr>
          <w:p w14:paraId="1BC9B2B8">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最高</w:t>
            </w:r>
          </w:p>
          <w:p w14:paraId="5A55CB56">
            <w:pPr>
              <w:spacing w:line="360" w:lineRule="auto"/>
              <w:jc w:val="center"/>
              <w:rPr>
                <w:rFonts w:hAnsi="宋体" w:cs="宋体"/>
                <w:b/>
                <w:bCs/>
                <w:color w:val="auto"/>
                <w:kern w:val="2"/>
                <w:szCs w:val="24"/>
                <w:highlight w:val="none"/>
              </w:rPr>
            </w:pPr>
            <w:r>
              <w:rPr>
                <w:rFonts w:hint="eastAsia" w:hAnsi="宋体" w:cs="宋体"/>
                <w:b/>
                <w:bCs/>
                <w:color w:val="auto"/>
                <w:kern w:val="2"/>
                <w:szCs w:val="24"/>
                <w:highlight w:val="none"/>
              </w:rPr>
              <w:t>限价</w:t>
            </w:r>
          </w:p>
        </w:tc>
        <w:tc>
          <w:tcPr>
            <w:tcW w:w="7354" w:type="dxa"/>
            <w:vAlign w:val="center"/>
          </w:tcPr>
          <w:p w14:paraId="267B2804">
            <w:pPr>
              <w:spacing w:line="360" w:lineRule="auto"/>
              <w:rPr>
                <w:rFonts w:hint="eastAsia" w:eastAsia="宋体"/>
                <w:b/>
                <w:bCs/>
                <w:color w:val="auto"/>
                <w:szCs w:val="22"/>
                <w:highlight w:val="none"/>
                <w:lang w:eastAsia="zh-CN"/>
              </w:rPr>
            </w:pPr>
            <w:r>
              <w:rPr>
                <w:rFonts w:hint="eastAsia" w:eastAsia="宋体"/>
                <w:b/>
                <w:bCs/>
                <w:color w:val="auto"/>
                <w:szCs w:val="22"/>
                <w:highlight w:val="none"/>
                <w:lang w:eastAsia="zh-CN"/>
              </w:rPr>
              <w:t>839,546.54元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b/>
                <w:bCs/>
                <w:color w:val="auto"/>
                <w:szCs w:val="24"/>
                <w:highlight w:val="none"/>
              </w:rPr>
            </w:pPr>
            <w:r>
              <w:rPr>
                <w:rFonts w:hint="eastAsia" w:hAnsi="宋体" w:cs="宋体"/>
                <w:b/>
                <w:bCs/>
                <w:color w:val="auto"/>
                <w:szCs w:val="24"/>
                <w:highlight w:val="none"/>
              </w:rPr>
              <w:t>19</w:t>
            </w:r>
          </w:p>
        </w:tc>
        <w:tc>
          <w:tcPr>
            <w:tcW w:w="951" w:type="dxa"/>
            <w:vAlign w:val="center"/>
          </w:tcPr>
          <w:p w14:paraId="100DF02F">
            <w:pPr>
              <w:widowControl/>
              <w:spacing w:line="360" w:lineRule="auto"/>
              <w:jc w:val="center"/>
              <w:rPr>
                <w:rFonts w:hAnsi="宋体"/>
                <w:b/>
                <w:bCs/>
                <w:color w:val="auto"/>
                <w:szCs w:val="24"/>
                <w:highlight w:val="none"/>
              </w:rPr>
            </w:pPr>
            <w:r>
              <w:rPr>
                <w:rFonts w:hint="eastAsia" w:hAnsi="宋体"/>
                <w:b/>
                <w:bCs/>
                <w:color w:val="auto"/>
                <w:szCs w:val="24"/>
                <w:highlight w:val="none"/>
              </w:rPr>
              <w:t>项目</w:t>
            </w:r>
          </w:p>
          <w:p w14:paraId="3C0FE26A">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rPr>
              <w:t>性质</w:t>
            </w:r>
          </w:p>
        </w:tc>
        <w:tc>
          <w:tcPr>
            <w:tcW w:w="7354" w:type="dxa"/>
            <w:vAlign w:val="center"/>
          </w:tcPr>
          <w:p w14:paraId="5F400297">
            <w:pPr>
              <w:widowControl/>
              <w:spacing w:line="360" w:lineRule="auto"/>
              <w:rPr>
                <w:b/>
                <w:bCs/>
                <w:color w:val="auto"/>
                <w:szCs w:val="22"/>
                <w:highlight w:val="none"/>
              </w:rPr>
            </w:pPr>
            <w:r>
              <w:rPr>
                <w:rFonts w:hint="eastAsia" w:hAnsi="宋体"/>
                <w:b/>
                <w:bCs/>
                <w:color w:val="auto"/>
                <w:szCs w:val="24"/>
                <w:highlight w:val="none"/>
              </w:rPr>
              <w:t>本项目专门面向</w:t>
            </w:r>
            <w:r>
              <w:rPr>
                <w:rFonts w:hint="eastAsia" w:hAnsi="宋体"/>
                <w:b/>
                <w:bCs/>
                <w:color w:val="auto"/>
                <w:szCs w:val="24"/>
                <w:highlight w:val="none"/>
                <w:lang w:val="en-US" w:eastAsia="zh-CN"/>
              </w:rPr>
              <w:t>中小</w:t>
            </w:r>
            <w:r>
              <w:rPr>
                <w:rFonts w:hint="eastAsia" w:hAnsi="宋体"/>
                <w:b/>
                <w:bCs/>
                <w:color w:val="auto"/>
                <w:szCs w:val="24"/>
                <w:highlight w:val="none"/>
              </w:rPr>
              <w:t>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b/>
                <w:bCs/>
                <w:color w:val="auto"/>
                <w:szCs w:val="24"/>
                <w:highlight w:val="none"/>
              </w:rPr>
            </w:pPr>
            <w:bookmarkStart w:id="24" w:name="_Toc363473972"/>
            <w:bookmarkStart w:id="25" w:name="_Toc363474017"/>
            <w:bookmarkStart w:id="26" w:name="_Toc403077639"/>
            <w:r>
              <w:rPr>
                <w:rFonts w:hint="eastAsia" w:hAnsi="宋体" w:cs="宋体"/>
                <w:b/>
                <w:bCs/>
                <w:color w:val="auto"/>
                <w:szCs w:val="24"/>
                <w:highlight w:val="none"/>
              </w:rPr>
              <w:t>20</w:t>
            </w:r>
          </w:p>
        </w:tc>
        <w:tc>
          <w:tcPr>
            <w:tcW w:w="951" w:type="dxa"/>
            <w:vAlign w:val="center"/>
          </w:tcPr>
          <w:p w14:paraId="08AD3CDC">
            <w:pPr>
              <w:widowControl/>
              <w:spacing w:line="360" w:lineRule="auto"/>
              <w:jc w:val="center"/>
              <w:rPr>
                <w:rFonts w:hAnsi="宋体" w:cs="宋体"/>
                <w:b/>
                <w:bCs/>
                <w:color w:val="auto"/>
                <w:kern w:val="2"/>
                <w:szCs w:val="24"/>
                <w:highlight w:val="none"/>
              </w:rPr>
            </w:pPr>
            <w:r>
              <w:rPr>
                <w:rFonts w:hint="eastAsia" w:hAnsi="宋体"/>
                <w:b/>
                <w:bCs/>
                <w:color w:val="auto"/>
                <w:szCs w:val="24"/>
                <w:highlight w:val="none"/>
                <w:lang w:val="en-US" w:eastAsia="zh-CN"/>
              </w:rPr>
              <w:t>项目</w:t>
            </w:r>
            <w:r>
              <w:rPr>
                <w:rFonts w:hint="eastAsia" w:hAnsi="宋体"/>
                <w:b/>
                <w:bCs/>
                <w:color w:val="auto"/>
                <w:szCs w:val="24"/>
                <w:highlight w:val="none"/>
              </w:rPr>
              <w:t>所属行业</w:t>
            </w:r>
          </w:p>
        </w:tc>
        <w:tc>
          <w:tcPr>
            <w:tcW w:w="7354" w:type="dxa"/>
            <w:vAlign w:val="center"/>
          </w:tcPr>
          <w:p w14:paraId="5E97FBD8">
            <w:pPr>
              <w:widowControl/>
              <w:spacing w:line="360" w:lineRule="auto"/>
              <w:rPr>
                <w:b/>
                <w:bCs/>
                <w:color w:val="auto"/>
                <w:szCs w:val="22"/>
                <w:highlight w:val="none"/>
              </w:rPr>
            </w:pPr>
            <w:r>
              <w:rPr>
                <w:rFonts w:hint="eastAsia"/>
                <w:b/>
                <w:bCs/>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w:t>
            </w:r>
            <w:r>
              <w:rPr>
                <w:rFonts w:hint="eastAsia" w:hAnsi="宋体"/>
                <w:color w:val="auto"/>
                <w:szCs w:val="24"/>
                <w:highlight w:val="none"/>
                <w:lang w:val="en-US" w:eastAsia="zh-CN"/>
              </w:rPr>
              <w:t>面向中小</w:t>
            </w:r>
            <w:r>
              <w:rPr>
                <w:rFonts w:hint="eastAsia" w:hAnsi="宋体"/>
                <w:color w:val="auto"/>
                <w:szCs w:val="24"/>
                <w:highlight w:val="none"/>
              </w:rPr>
              <w:t>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4"/>
      <w:bookmarkEnd w:id="25"/>
      <w:bookmarkEnd w:id="26"/>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财政拨款</w:t>
      </w:r>
      <w:r>
        <w:rPr>
          <w:rFonts w:hint="eastAsia" w:hAnsi="宋体" w:cs="宋体"/>
          <w:color w:val="auto"/>
          <w:szCs w:val="24"/>
          <w:highlight w:val="none"/>
        </w:rPr>
        <w:t>支付，资金已落实到位。</w:t>
      </w:r>
    </w:p>
    <w:p w14:paraId="45369EEE">
      <w:pPr>
        <w:numPr>
          <w:ilvl w:val="0"/>
          <w:numId w:val="3"/>
        </w:numPr>
        <w:spacing w:line="500" w:lineRule="exact"/>
        <w:rPr>
          <w:rFonts w:hAnsi="宋体" w:cs="宋体"/>
          <w:b/>
          <w:color w:val="auto"/>
          <w:szCs w:val="24"/>
          <w:highlight w:val="none"/>
        </w:rPr>
      </w:pPr>
      <w:bookmarkStart w:id="27" w:name="_Toc403077640"/>
      <w:bookmarkStart w:id="28" w:name="_Toc363473973"/>
      <w:bookmarkStart w:id="29" w:name="_Toc363474018"/>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val="en-US" w:eastAsia="zh-CN"/>
        </w:rPr>
      </w:pPr>
      <w:r>
        <w:rPr>
          <w:rFonts w:hint="eastAsia" w:hAnsi="宋体" w:cs="宋体"/>
          <w:color w:val="auto"/>
          <w:szCs w:val="22"/>
          <w:highlight w:val="none"/>
        </w:rPr>
        <w:t>2.1采购人：山阳县杨地镇人民政府（本级）</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w:t>
      </w:r>
      <w:r>
        <w:rPr>
          <w:rFonts w:hint="eastAsia" w:hAnsi="宋体" w:cs="宋体"/>
          <w:color w:val="auto"/>
          <w:highlight w:val="none"/>
          <w:lang w:eastAsia="zh-CN"/>
        </w:rPr>
        <w:t>〔2007〕119号</w:t>
      </w:r>
      <w:r>
        <w:rPr>
          <w:rFonts w:hint="eastAsia" w:hAnsi="宋体" w:cs="宋体"/>
          <w:color w:val="auto"/>
          <w:highlight w:val="none"/>
        </w:rPr>
        <w:t>)。</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w:t>
      </w:r>
      <w:r>
        <w:rPr>
          <w:rFonts w:hint="eastAsia" w:hAnsi="宋体" w:cs="宋体"/>
          <w:color w:val="auto"/>
          <w:highlight w:val="none"/>
          <w:lang w:eastAsia="zh-CN"/>
        </w:rPr>
        <w:t>〔2011〕300号</w:t>
      </w:r>
      <w:r>
        <w:rPr>
          <w:rFonts w:hint="eastAsia" w:hAnsi="宋体" w:cs="宋体"/>
          <w:color w:val="auto"/>
          <w:highlight w:val="none"/>
        </w:rPr>
        <w:t>）规定的对中小企业的划分标准的企业。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7"/>
      <w:bookmarkEnd w:id="28"/>
      <w:bookmarkEnd w:id="29"/>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0" w:name="_Toc363473974"/>
      <w:bookmarkStart w:id="31" w:name="_Toc403077641"/>
      <w:bookmarkStart w:id="32" w:name="_Toc363474019"/>
      <w:r>
        <w:rPr>
          <w:rFonts w:hint="eastAsia" w:hAnsi="宋体" w:cs="宋体"/>
          <w:b/>
          <w:color w:val="auto"/>
          <w:sz w:val="32"/>
          <w:szCs w:val="32"/>
          <w:highlight w:val="none"/>
        </w:rPr>
        <w:t>三.磋商响应文件的编制</w:t>
      </w:r>
      <w:bookmarkEnd w:id="30"/>
      <w:bookmarkEnd w:id="31"/>
      <w:bookmarkEnd w:id="32"/>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3"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3"/>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4" w:name="_Toc403077643"/>
      <w:bookmarkStart w:id="35" w:name="_Toc363473976"/>
      <w:bookmarkStart w:id="36" w:name="_Toc363474021"/>
      <w:r>
        <w:rPr>
          <w:rFonts w:hint="eastAsia" w:hAnsi="宋体" w:cs="宋体"/>
          <w:b/>
          <w:color w:val="auto"/>
          <w:sz w:val="32"/>
          <w:szCs w:val="32"/>
          <w:highlight w:val="none"/>
        </w:rPr>
        <w:t>五.磋商与评标</w:t>
      </w:r>
      <w:bookmarkEnd w:id="34"/>
      <w:bookmarkEnd w:id="35"/>
      <w:bookmarkEnd w:id="36"/>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w:t>
      </w:r>
      <w:r>
        <w:rPr>
          <w:rFonts w:hint="eastAsia" w:hAnsi="宋体" w:cs="宋体"/>
          <w:color w:val="auto"/>
          <w:szCs w:val="24"/>
          <w:highlight w:val="none"/>
          <w:lang w:eastAsia="zh-CN"/>
        </w:rPr>
        <w:t>不符</w:t>
      </w:r>
      <w:r>
        <w:rPr>
          <w:rFonts w:hint="eastAsia" w:hAnsi="宋体" w:cs="宋体"/>
          <w:color w:val="auto"/>
          <w:szCs w:val="24"/>
          <w:highlight w:val="none"/>
        </w:rPr>
        <w:t>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jc w:val="left"/>
        <w:rPr>
          <w:rFonts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2D81BC2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1、代理服务费：以中标金额为基数，依据国家计委颁发的《招标代理服务收费管理暂行办法》（计价格〔2002〕1980号）及国家发展和改革委员会办公厅颁发的《关于招标代理服务收费有关问题的通知》（发改办价格〔2003〕857号）的有关规定执行。</w:t>
      </w:r>
    </w:p>
    <w:p w14:paraId="691405BD">
      <w:pPr>
        <w:spacing w:line="360" w:lineRule="auto"/>
        <w:ind w:firstLine="480" w:firstLineChars="200"/>
        <w:rPr>
          <w:rFonts w:hint="eastAsia" w:hAnsi="宋体" w:cs="宋体"/>
          <w:b w:val="0"/>
          <w:bCs w:val="0"/>
          <w:color w:val="auto"/>
          <w:szCs w:val="24"/>
          <w:highlight w:val="none"/>
        </w:rPr>
      </w:pPr>
      <w:r>
        <w:rPr>
          <w:rFonts w:hint="eastAsia" w:hAnsi="宋体" w:cs="宋体"/>
          <w:b w:val="0"/>
          <w:bCs w:val="0"/>
          <w:color w:val="auto"/>
          <w:szCs w:val="24"/>
          <w:highlight w:val="none"/>
          <w:lang w:val="en-US" w:eastAsia="zh-CN"/>
        </w:rPr>
        <w:t>29.</w:t>
      </w:r>
      <w:r>
        <w:rPr>
          <w:rFonts w:hint="eastAsia" w:hAnsi="宋体" w:cs="宋体"/>
          <w:b w:val="0"/>
          <w:bCs w:val="0"/>
          <w:color w:val="auto"/>
          <w:szCs w:val="24"/>
          <w:highlight w:val="none"/>
        </w:rPr>
        <w:t>2、本项目代理服务费由</w:t>
      </w:r>
      <w:r>
        <w:rPr>
          <w:rFonts w:hint="eastAsia" w:hAnsi="宋体" w:cs="宋体"/>
          <w:b w:val="0"/>
          <w:bCs w:val="0"/>
          <w:color w:val="auto"/>
          <w:szCs w:val="24"/>
          <w:highlight w:val="none"/>
          <w:lang w:val="en-US" w:eastAsia="zh-CN"/>
        </w:rPr>
        <w:t>中标单位</w:t>
      </w:r>
      <w:r>
        <w:rPr>
          <w:rFonts w:hint="eastAsia" w:hAnsi="宋体" w:cs="宋体"/>
          <w:b w:val="0"/>
          <w:bCs w:val="0"/>
          <w:color w:val="auto"/>
          <w:szCs w:val="24"/>
          <w:highlight w:val="none"/>
        </w:rPr>
        <w:t>支付，中标单位应依据成交金额向招标代理机构交纳招标代理服务费。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11"/>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4"/>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4"/>
        <w:jc w:val="center"/>
        <w:rPr>
          <w:rFonts w:ascii="宋体" w:eastAsia="宋体" w:cs="宋体"/>
          <w:bCs/>
          <w:color w:val="auto"/>
          <w:szCs w:val="24"/>
          <w:highlight w:val="none"/>
        </w:rPr>
      </w:pPr>
      <w:bookmarkStart w:id="37" w:name="_Toc403077645"/>
      <w:bookmarkStart w:id="38" w:name="_Toc423973074"/>
      <w:bookmarkStart w:id="39" w:name="_Toc25783"/>
      <w:bookmarkStart w:id="40" w:name="_Toc363474023"/>
      <w:r>
        <w:rPr>
          <w:rFonts w:hint="eastAsia" w:ascii="宋体" w:eastAsia="宋体" w:cs="宋体"/>
          <w:bCs/>
          <w:color w:val="auto"/>
          <w:sz w:val="36"/>
          <w:szCs w:val="36"/>
          <w:highlight w:val="none"/>
        </w:rPr>
        <w:br w:type="page"/>
      </w:r>
      <w:bookmarkStart w:id="41" w:name="_Toc6730"/>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1"/>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5"/>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11"/>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int="eastAsia"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325"/>
        <w:gridCol w:w="6794"/>
      </w:tblGrid>
      <w:tr w14:paraId="3621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24" w:type="pct"/>
            <w:noWrap w:val="0"/>
            <w:vAlign w:val="center"/>
          </w:tcPr>
          <w:p w14:paraId="51187779">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名称</w:t>
            </w:r>
          </w:p>
        </w:tc>
        <w:tc>
          <w:tcPr>
            <w:tcW w:w="714" w:type="pct"/>
            <w:noWrap w:val="0"/>
            <w:vAlign w:val="center"/>
          </w:tcPr>
          <w:p w14:paraId="04FD68FF">
            <w:pPr>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分值</w:t>
            </w:r>
          </w:p>
        </w:tc>
        <w:tc>
          <w:tcPr>
            <w:tcW w:w="3660" w:type="pct"/>
            <w:noWrap w:val="0"/>
            <w:vAlign w:val="center"/>
          </w:tcPr>
          <w:p w14:paraId="78266156">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评审要素</w:t>
            </w:r>
          </w:p>
        </w:tc>
      </w:tr>
      <w:tr w14:paraId="48FB2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2033558">
            <w:pPr>
              <w:jc w:val="center"/>
              <w:rPr>
                <w:rFonts w:hint="default" w:ascii="宋体" w:hAnsi="宋体" w:eastAsia="宋体" w:cs="宋体"/>
                <w:sz w:val="24"/>
                <w:szCs w:val="24"/>
                <w:highlight w:val="none"/>
                <w:lang w:val="en-US"/>
              </w:rPr>
            </w:pPr>
            <w:r>
              <w:rPr>
                <w:rFonts w:hint="eastAsia" w:hAnsi="宋体" w:cs="宋体"/>
                <w:sz w:val="24"/>
                <w:szCs w:val="24"/>
                <w:highlight w:val="none"/>
                <w:lang w:val="en-US" w:eastAsia="zh-CN"/>
              </w:rPr>
              <w:t>磋商报价</w:t>
            </w:r>
          </w:p>
        </w:tc>
        <w:tc>
          <w:tcPr>
            <w:tcW w:w="714" w:type="pct"/>
            <w:noWrap w:val="0"/>
            <w:vAlign w:val="center"/>
          </w:tcPr>
          <w:p w14:paraId="01CF16FE">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30分</w:t>
            </w:r>
          </w:p>
        </w:tc>
        <w:tc>
          <w:tcPr>
            <w:tcW w:w="3660" w:type="pct"/>
            <w:noWrap w:val="0"/>
            <w:vAlign w:val="center"/>
          </w:tcPr>
          <w:p w14:paraId="531B8A81">
            <w:pPr>
              <w:rPr>
                <w:rFonts w:hint="eastAsia" w:ascii="宋体" w:hAnsi="宋体" w:eastAsia="宋体" w:cs="宋体"/>
                <w:sz w:val="24"/>
                <w:szCs w:val="24"/>
                <w:highlight w:val="none"/>
              </w:rPr>
            </w:pPr>
            <w:r>
              <w:rPr>
                <w:rFonts w:hint="eastAsia" w:ascii="宋体" w:hAnsi="宋体" w:eastAsia="宋体" w:cs="宋体"/>
                <w:sz w:val="24"/>
                <w:szCs w:val="24"/>
                <w:highlight w:val="none"/>
              </w:rPr>
              <w:t>满足磋商文件要求且最后报价最低的供应商的价格为磋商基准价得30分，其他各供应商的最后磋商报价得分按下列公式计算：</w:t>
            </w:r>
          </w:p>
          <w:p w14:paraId="73B7A171">
            <w:pPr>
              <w:rPr>
                <w:rFonts w:hint="eastAsia" w:ascii="宋体" w:hAnsi="宋体" w:eastAsia="宋体" w:cs="宋体"/>
                <w:sz w:val="24"/>
                <w:szCs w:val="24"/>
                <w:highlight w:val="none"/>
              </w:rPr>
            </w:pPr>
            <w:r>
              <w:rPr>
                <w:rFonts w:hint="eastAsia" w:ascii="宋体" w:hAnsi="宋体" w:eastAsia="宋体" w:cs="宋体"/>
                <w:sz w:val="24"/>
                <w:szCs w:val="24"/>
                <w:highlight w:val="none"/>
              </w:rPr>
              <w:t>（磋商基准价/最后磋商报价）×30%×100。</w:t>
            </w:r>
          </w:p>
        </w:tc>
      </w:tr>
      <w:tr w14:paraId="226E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65A3D80A">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54E4A109">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部署</w:t>
            </w:r>
          </w:p>
        </w:tc>
        <w:tc>
          <w:tcPr>
            <w:tcW w:w="714" w:type="pct"/>
            <w:noWrap w:val="0"/>
            <w:vAlign w:val="center"/>
          </w:tcPr>
          <w:p w14:paraId="65D7A0A2">
            <w:pPr>
              <w:adjustRightInd w:val="0"/>
              <w:snapToGrid w:val="0"/>
              <w:jc w:val="center"/>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w:t>
            </w:r>
            <w:r>
              <w:rPr>
                <w:rFonts w:hint="eastAsia" w:hAnsi="宋体" w:cs="宋体"/>
                <w:bCs/>
                <w:sz w:val="24"/>
                <w:szCs w:val="24"/>
                <w:highlight w:val="none"/>
                <w:lang w:val="en-US" w:eastAsia="zh-CN"/>
              </w:rPr>
              <w:t>6</w:t>
            </w:r>
            <w:r>
              <w:rPr>
                <w:rFonts w:hint="eastAsia" w:ascii="宋体" w:hAnsi="宋体" w:eastAsia="宋体" w:cs="宋体"/>
                <w:bCs/>
                <w:sz w:val="24"/>
                <w:szCs w:val="24"/>
                <w:highlight w:val="none"/>
              </w:rPr>
              <w:t>分</w:t>
            </w:r>
            <w:r>
              <w:rPr>
                <w:rFonts w:hint="eastAsia" w:ascii="宋体" w:hAnsi="宋体" w:eastAsia="宋体" w:cs="宋体"/>
                <w:bCs/>
                <w:sz w:val="24"/>
                <w:szCs w:val="24"/>
                <w:highlight w:val="none"/>
                <w:lang w:val="zh-CN"/>
              </w:rPr>
              <w:t>）</w:t>
            </w:r>
          </w:p>
        </w:tc>
        <w:tc>
          <w:tcPr>
            <w:tcW w:w="3660" w:type="pct"/>
            <w:noWrap w:val="0"/>
            <w:vAlign w:val="center"/>
          </w:tcPr>
          <w:p w14:paraId="472E89C3">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一、评审内容</w:t>
            </w:r>
          </w:p>
          <w:p w14:paraId="48C21231">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供应商针对本项目编制完善的施工部署，内容包含：①施工目标:成本目标、工期目标、质量目标②施工准备：技术准备、材料准备③施工平面布置与安排：现场围挡及</w:t>
            </w:r>
            <w:r>
              <w:rPr>
                <w:rFonts w:hint="eastAsia" w:hAnsi="宋体" w:cs="宋体"/>
                <w:sz w:val="24"/>
                <w:szCs w:val="24"/>
                <w:highlight w:val="none"/>
                <w:lang w:val="en-US" w:eastAsia="zh-CN"/>
              </w:rPr>
              <w:t>出</w:t>
            </w:r>
            <w:r>
              <w:rPr>
                <w:rFonts w:hint="eastAsia" w:ascii="宋体" w:hAnsi="宋体" w:eastAsia="宋体" w:cs="宋体"/>
                <w:sz w:val="24"/>
                <w:szCs w:val="24"/>
                <w:highlight w:val="none"/>
                <w:lang w:val="zh-CN"/>
              </w:rPr>
              <w:t>入口管理、交通组织安排、消防及道路安排。</w:t>
            </w:r>
          </w:p>
          <w:p w14:paraId="5B013DF5">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二、评审标准</w:t>
            </w:r>
          </w:p>
          <w:p w14:paraId="69273A3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1、完整性：方案必须全面，对评审内容中的各项要求有详细描述；</w:t>
            </w:r>
          </w:p>
          <w:p w14:paraId="726B38E8">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2、可实施性：切合本项目实际情况，提出步骤清晰、合理的方案；</w:t>
            </w:r>
          </w:p>
          <w:p w14:paraId="1F61BF64">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3、针对性：方案能够紧扣项目实际情况，内容科学合理。</w:t>
            </w:r>
          </w:p>
          <w:p w14:paraId="565A905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三、赋分标准（满分</w:t>
            </w:r>
            <w:r>
              <w:rPr>
                <w:rFonts w:hint="eastAsia" w:hAnsi="宋体" w:cs="宋体"/>
                <w:sz w:val="24"/>
                <w:szCs w:val="24"/>
                <w:highlight w:val="none"/>
                <w:lang w:val="en-US" w:eastAsia="zh-CN"/>
              </w:rPr>
              <w:t>6</w:t>
            </w:r>
            <w:r>
              <w:rPr>
                <w:rFonts w:hint="eastAsia" w:ascii="宋体" w:hAnsi="宋体" w:eastAsia="宋体" w:cs="宋体"/>
                <w:sz w:val="24"/>
                <w:szCs w:val="24"/>
                <w:highlight w:val="none"/>
                <w:lang w:val="zh-CN"/>
              </w:rPr>
              <w:t>分）</w:t>
            </w:r>
          </w:p>
          <w:p w14:paraId="42F89B9D">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①施工目标：每完全满足一个评审标准得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zh-CN"/>
              </w:rPr>
              <w:t>分，</w:t>
            </w:r>
            <w:r>
              <w:rPr>
                <w:rFonts w:hint="eastAsia" w:ascii="宋体" w:hAnsi="宋体" w:eastAsia="宋体" w:cs="宋体"/>
                <w:szCs w:val="24"/>
                <w:lang w:val="zh-CN" w:eastAsia="zh-CN"/>
              </w:rPr>
              <w:t>不完全满足一个评审标准0-1分，</w:t>
            </w:r>
            <w:r>
              <w:rPr>
                <w:rFonts w:hint="eastAsia" w:ascii="宋体" w:hAnsi="宋体" w:eastAsia="宋体" w:cs="宋体"/>
                <w:sz w:val="24"/>
                <w:szCs w:val="24"/>
                <w:highlight w:val="none"/>
                <w:lang w:val="zh-CN"/>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zh-CN"/>
              </w:rPr>
              <w:t>分；</w:t>
            </w:r>
          </w:p>
          <w:p w14:paraId="0AC681C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②施工准备：每完全满足一个评审标准得0.5分，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zh-CN"/>
              </w:rPr>
              <w:t>满分1.5分；</w:t>
            </w:r>
          </w:p>
          <w:p w14:paraId="1CF74EAE">
            <w:pPr>
              <w:adjustRightInd w:val="0"/>
              <w:snapToGrid w:val="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③施工平面布置与安排：每完全满足一个评审标准得0.5分，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zh-CN"/>
              </w:rPr>
              <w:t>满分1.5分。</w:t>
            </w:r>
          </w:p>
        </w:tc>
      </w:tr>
      <w:tr w14:paraId="5B1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0" w:hRule="atLeast"/>
          <w:jc w:val="center"/>
        </w:trPr>
        <w:tc>
          <w:tcPr>
            <w:tcW w:w="624" w:type="pct"/>
            <w:noWrap w:val="0"/>
            <w:vAlign w:val="center"/>
          </w:tcPr>
          <w:p w14:paraId="0736254B">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施工</w:t>
            </w:r>
          </w:p>
          <w:p w14:paraId="429448D5">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进度</w:t>
            </w:r>
          </w:p>
          <w:p w14:paraId="76DBD538">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计划</w:t>
            </w:r>
          </w:p>
        </w:tc>
        <w:tc>
          <w:tcPr>
            <w:tcW w:w="714" w:type="pct"/>
            <w:noWrap w:val="0"/>
            <w:vAlign w:val="center"/>
          </w:tcPr>
          <w:p w14:paraId="50759636">
            <w:pPr>
              <w:adjustRightInd w:val="0"/>
              <w:snapToGrid w:val="0"/>
              <w:jc w:val="center"/>
              <w:rPr>
                <w:rFonts w:hint="default" w:ascii="宋体" w:hAnsi="宋体" w:eastAsia="宋体" w:cs="宋体"/>
                <w:bCs/>
                <w:sz w:val="24"/>
                <w:szCs w:val="24"/>
                <w:highlight w:val="none"/>
                <w:lang w:val="en-US" w:eastAsia="zh-CN"/>
              </w:rPr>
            </w:pPr>
            <w:r>
              <w:rPr>
                <w:rFonts w:hint="eastAsia" w:hAnsi="宋体" w:cs="宋体"/>
                <w:bCs/>
                <w:sz w:val="24"/>
                <w:szCs w:val="24"/>
                <w:highlight w:val="none"/>
                <w:lang w:val="en-US" w:eastAsia="zh-CN"/>
              </w:rPr>
              <w:t>（9分）</w:t>
            </w:r>
          </w:p>
        </w:tc>
        <w:tc>
          <w:tcPr>
            <w:tcW w:w="3660" w:type="pct"/>
            <w:noWrap w:val="0"/>
            <w:vAlign w:val="center"/>
          </w:tcPr>
          <w:p w14:paraId="626B859B">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一、评审内容</w:t>
            </w:r>
          </w:p>
          <w:p w14:paraId="4F7F9C8F">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供应商针对本项目编制完善的施工进度计划，内容包含：①施工进度计划横道图②进度计划保证措施。</w:t>
            </w:r>
          </w:p>
          <w:p w14:paraId="69FBB1E5">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二、评审标准</w:t>
            </w:r>
          </w:p>
          <w:p w14:paraId="7CB8F07D">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1、完整性：方案必须全面，对评审内容中的各项要求有详细描述；</w:t>
            </w:r>
          </w:p>
          <w:p w14:paraId="187F144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2、可实施性：切合本项目实际情况，提出步骤清晰、合理的方案；</w:t>
            </w:r>
          </w:p>
          <w:p w14:paraId="7B172153">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3、针对性：方案能够紧扣项目实际情况，内容科学合理。</w:t>
            </w:r>
          </w:p>
          <w:p w14:paraId="3585B581">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三、赋分标准（满分9分）</w:t>
            </w:r>
          </w:p>
          <w:p w14:paraId="4EC76EA8">
            <w:pPr>
              <w:tabs>
                <w:tab w:val="left" w:pos="1264"/>
              </w:tabs>
              <w:adjustRightInd w:val="0"/>
              <w:snapToGrid w:val="0"/>
              <w:jc w:val="left"/>
              <w:rPr>
                <w:rFonts w:hint="eastAsia" w:hAnsi="宋体" w:cs="宋体"/>
                <w:sz w:val="24"/>
                <w:szCs w:val="24"/>
                <w:highlight w:val="none"/>
                <w:lang w:val="zh-CN"/>
              </w:rPr>
            </w:pPr>
            <w:r>
              <w:rPr>
                <w:rFonts w:hint="eastAsia" w:hAnsi="宋体" w:cs="宋体"/>
                <w:sz w:val="24"/>
                <w:szCs w:val="24"/>
                <w:highlight w:val="none"/>
                <w:lang w:val="zh-CN"/>
              </w:rPr>
              <w:t>①施工进度计划图：每完全满足一个评审标准得</w:t>
            </w:r>
            <w:r>
              <w:rPr>
                <w:rFonts w:hint="eastAsia" w:hAnsi="宋体" w:cs="宋体"/>
                <w:sz w:val="24"/>
                <w:szCs w:val="24"/>
                <w:highlight w:val="none"/>
                <w:lang w:val="en-US" w:eastAsia="zh-CN"/>
              </w:rPr>
              <w:t>2</w:t>
            </w:r>
            <w:r>
              <w:rPr>
                <w:rFonts w:hint="eastAsia" w:hAnsi="宋体" w:cs="宋体"/>
                <w:sz w:val="24"/>
                <w:szCs w:val="24"/>
                <w:highlight w:val="none"/>
                <w:lang w:val="zh-CN"/>
              </w:rPr>
              <w:t>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2</w:t>
            </w:r>
            <w:r>
              <w:rPr>
                <w:rFonts w:hint="eastAsia" w:ascii="宋体" w:hAnsi="宋体" w:eastAsia="宋体" w:cs="宋体"/>
                <w:szCs w:val="24"/>
                <w:lang w:val="zh-CN" w:eastAsia="zh-CN"/>
              </w:rPr>
              <w:t>分，</w:t>
            </w:r>
            <w:r>
              <w:rPr>
                <w:rFonts w:hint="eastAsia" w:hAnsi="宋体" w:cs="宋体"/>
                <w:sz w:val="24"/>
                <w:szCs w:val="24"/>
                <w:highlight w:val="none"/>
                <w:lang w:val="zh-CN"/>
              </w:rPr>
              <w:t>满分</w:t>
            </w:r>
            <w:r>
              <w:rPr>
                <w:rFonts w:hint="eastAsia" w:hAnsi="宋体" w:cs="宋体"/>
                <w:sz w:val="24"/>
                <w:szCs w:val="24"/>
                <w:highlight w:val="none"/>
                <w:lang w:val="en-US" w:eastAsia="zh-CN"/>
              </w:rPr>
              <w:t>6</w:t>
            </w:r>
            <w:r>
              <w:rPr>
                <w:rFonts w:hint="eastAsia" w:hAnsi="宋体" w:cs="宋体"/>
                <w:sz w:val="24"/>
                <w:szCs w:val="24"/>
                <w:highlight w:val="none"/>
                <w:lang w:val="zh-CN"/>
              </w:rPr>
              <w:t>分；</w:t>
            </w:r>
          </w:p>
          <w:p w14:paraId="039189DA">
            <w:pPr>
              <w:tabs>
                <w:tab w:val="left" w:pos="1264"/>
              </w:tabs>
              <w:adjustRightInd w:val="0"/>
              <w:snapToGrid w:val="0"/>
              <w:jc w:val="left"/>
              <w:rPr>
                <w:rFonts w:hint="eastAsia" w:ascii="宋体" w:hAnsi="宋体" w:eastAsia="宋体" w:cs="宋体"/>
                <w:sz w:val="24"/>
                <w:szCs w:val="24"/>
                <w:highlight w:val="none"/>
                <w:lang w:val="zh-CN"/>
              </w:rPr>
            </w:pPr>
            <w:r>
              <w:rPr>
                <w:rFonts w:hint="eastAsia" w:hAnsi="宋体" w:cs="宋体"/>
                <w:sz w:val="24"/>
                <w:szCs w:val="24"/>
                <w:highlight w:val="none"/>
                <w:lang w:val="zh-CN"/>
              </w:rPr>
              <w:t>②进度计划保证措施：每完全满足一个评审标准得1分，</w:t>
            </w:r>
            <w:r>
              <w:rPr>
                <w:rFonts w:hint="eastAsia" w:ascii="宋体" w:hAnsi="宋体" w:eastAsia="宋体" w:cs="宋体"/>
                <w:szCs w:val="24"/>
                <w:lang w:val="zh-CN" w:eastAsia="zh-CN"/>
              </w:rPr>
              <w:t>不完全满足一个评审标准0-1分，</w:t>
            </w:r>
            <w:r>
              <w:rPr>
                <w:rFonts w:hint="eastAsia" w:hAnsi="宋体" w:cs="宋体"/>
                <w:sz w:val="24"/>
                <w:szCs w:val="24"/>
                <w:highlight w:val="none"/>
                <w:lang w:val="zh-CN"/>
              </w:rPr>
              <w:t>满分3分；</w:t>
            </w:r>
          </w:p>
        </w:tc>
      </w:tr>
      <w:tr w14:paraId="114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3050A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9FAC0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w:t>
            </w:r>
          </w:p>
        </w:tc>
        <w:tc>
          <w:tcPr>
            <w:tcW w:w="714" w:type="pct"/>
            <w:noWrap w:val="0"/>
            <w:vAlign w:val="center"/>
          </w:tcPr>
          <w:p w14:paraId="4038562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cs="宋体"/>
                <w:sz w:val="24"/>
                <w:szCs w:val="24"/>
                <w:highlight w:val="none"/>
                <w:lang w:val="en-US" w:eastAsia="zh-CN"/>
              </w:rPr>
              <w:t>9</w:t>
            </w:r>
            <w:r>
              <w:rPr>
                <w:rFonts w:hint="eastAsia" w:ascii="宋体" w:hAnsi="宋体" w:eastAsia="宋体" w:cs="宋体"/>
                <w:sz w:val="24"/>
                <w:szCs w:val="24"/>
                <w:highlight w:val="none"/>
              </w:rPr>
              <w:t>分）</w:t>
            </w:r>
          </w:p>
        </w:tc>
        <w:tc>
          <w:tcPr>
            <w:tcW w:w="3660" w:type="pct"/>
            <w:noWrap w:val="0"/>
            <w:vAlign w:val="center"/>
          </w:tcPr>
          <w:p w14:paraId="65CA9F34">
            <w:pPr>
              <w:numPr>
                <w:ilvl w:val="0"/>
                <w:numId w:val="6"/>
              </w:numPr>
              <w:adjustRightInd w:val="0"/>
              <w:snapToGrid w:val="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评审内容：</w:t>
            </w:r>
          </w:p>
          <w:p w14:paraId="012B31E3">
            <w:pPr>
              <w:keepNext w:val="0"/>
              <w:keepLines w:val="0"/>
              <w:widowControl/>
              <w:suppressLineNumbers w:val="0"/>
              <w:jc w:val="left"/>
              <w:rPr>
                <w:highlight w:val="none"/>
              </w:rPr>
            </w:pPr>
            <w:r>
              <w:rPr>
                <w:rFonts w:hint="eastAsia"/>
                <w:sz w:val="24"/>
                <w:szCs w:val="24"/>
                <w:highlight w:val="none"/>
                <w:lang w:val="en-US" w:eastAsia="zh-CN"/>
              </w:rPr>
              <w:t>供应商针对本项目编制完善的施工方案内容包含：①工程重难点及解决措施②工程施工方法</w:t>
            </w:r>
            <w:r>
              <w:rPr>
                <w:rFonts w:hint="eastAsia"/>
                <w:highlight w:val="none"/>
                <w:lang w:val="en-US" w:eastAsia="zh-CN"/>
              </w:rPr>
              <w:t>③施工质量通病防治措施。</w:t>
            </w:r>
          </w:p>
          <w:p w14:paraId="6848813E">
            <w:pPr>
              <w:pStyle w:val="24"/>
              <w:numPr>
                <w:ilvl w:val="0"/>
                <w:numId w:val="0"/>
              </w:numPr>
              <w:ind w:leftChars="0"/>
              <w:rPr>
                <w:rFonts w:hint="eastAsia"/>
                <w:b w:val="0"/>
                <w:bCs/>
                <w:sz w:val="24"/>
                <w:szCs w:val="24"/>
                <w:highlight w:val="none"/>
                <w:lang w:val="en-US" w:eastAsia="zh-CN"/>
              </w:rPr>
            </w:pPr>
            <w:r>
              <w:rPr>
                <w:rFonts w:hint="eastAsia"/>
                <w:b w:val="0"/>
                <w:bCs/>
                <w:sz w:val="24"/>
                <w:szCs w:val="24"/>
                <w:highlight w:val="none"/>
                <w:lang w:val="en-US" w:eastAsia="zh-CN"/>
              </w:rPr>
              <w:t>二、评审标准</w:t>
            </w:r>
          </w:p>
          <w:p w14:paraId="43F67828">
            <w:pPr>
              <w:numPr>
                <w:ilvl w:val="0"/>
                <w:numId w:val="0"/>
              </w:numPr>
              <w:ind w:leftChars="0"/>
              <w:rPr>
                <w:rFonts w:hint="default"/>
                <w:highlight w:val="none"/>
                <w:lang w:val="en-US" w:eastAsia="zh-CN"/>
              </w:rPr>
            </w:pPr>
            <w:r>
              <w:rPr>
                <w:rFonts w:hint="default"/>
                <w:highlight w:val="none"/>
                <w:lang w:val="en-US" w:eastAsia="zh-CN"/>
              </w:rPr>
              <w:t>1、完整性：方案必须全面，对评审内容中的各项要求有详细描述；</w:t>
            </w:r>
          </w:p>
          <w:p w14:paraId="2D9F19FE">
            <w:pPr>
              <w:numPr>
                <w:ilvl w:val="0"/>
                <w:numId w:val="0"/>
              </w:numPr>
              <w:ind w:leftChars="0"/>
              <w:rPr>
                <w:rFonts w:hint="default"/>
                <w:highlight w:val="none"/>
                <w:lang w:val="en-US" w:eastAsia="zh-CN"/>
              </w:rPr>
            </w:pPr>
            <w:r>
              <w:rPr>
                <w:rFonts w:hint="default"/>
                <w:highlight w:val="none"/>
                <w:lang w:val="en-US" w:eastAsia="zh-CN"/>
              </w:rPr>
              <w:t>2、可实施性：切合本项目实际情况，提出步骤清晰、合理的方案；</w:t>
            </w:r>
          </w:p>
          <w:p w14:paraId="4E6E6986">
            <w:pPr>
              <w:numPr>
                <w:ilvl w:val="0"/>
                <w:numId w:val="0"/>
              </w:numPr>
              <w:ind w:leftChars="0"/>
              <w:rPr>
                <w:rFonts w:hint="default"/>
                <w:highlight w:val="none"/>
                <w:lang w:val="en-US" w:eastAsia="zh-CN"/>
              </w:rPr>
            </w:pPr>
            <w:r>
              <w:rPr>
                <w:rFonts w:hint="default"/>
                <w:highlight w:val="none"/>
                <w:lang w:val="en-US" w:eastAsia="zh-CN"/>
              </w:rPr>
              <w:t>3、针对性：方案能够紧扣项目实际情况，内容科学合理。</w:t>
            </w:r>
          </w:p>
          <w:p w14:paraId="22C430F2">
            <w:pPr>
              <w:pStyle w:val="2"/>
              <w:ind w:left="0" w:leftChars="0" w:firstLine="0" w:firstLineChars="0"/>
              <w:rPr>
                <w:rFonts w:hint="default"/>
                <w:sz w:val="24"/>
                <w:szCs w:val="24"/>
                <w:highlight w:val="none"/>
                <w:lang w:val="en-US" w:eastAsia="zh-CN"/>
              </w:rPr>
            </w:pPr>
            <w:r>
              <w:rPr>
                <w:rFonts w:hint="default"/>
                <w:sz w:val="24"/>
                <w:szCs w:val="24"/>
                <w:highlight w:val="none"/>
                <w:lang w:val="en-US" w:eastAsia="zh-CN"/>
              </w:rPr>
              <w:t>三、赋分标准</w:t>
            </w:r>
            <w:r>
              <w:rPr>
                <w:rFonts w:hint="eastAsia"/>
                <w:sz w:val="24"/>
                <w:szCs w:val="24"/>
                <w:highlight w:val="none"/>
                <w:lang w:val="en-US" w:eastAsia="zh-CN"/>
              </w:rPr>
              <w:t>（9分）</w:t>
            </w:r>
          </w:p>
          <w:p w14:paraId="5C17E338">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①工程重难点及解决措施：每完全满足一个评审标准得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Cs w:val="24"/>
                <w:lang w:val="zh-CN" w:eastAsia="zh-CN"/>
              </w:rPr>
              <w:t>不完全满足一个评审标准0-1分，</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0028B58B">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②工程施工方法：每完全满足一个评审标准得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Cs w:val="24"/>
                <w:lang w:val="zh-CN" w:eastAsia="zh-CN"/>
              </w:rPr>
              <w:t>不完全满足一个评审标准0-1分，</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p w14:paraId="5B00AB8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③施工质量通病防治措施：每完全满足一个评审标准得1分，</w:t>
            </w:r>
            <w:r>
              <w:rPr>
                <w:rFonts w:hint="eastAsia" w:ascii="宋体" w:hAnsi="宋体" w:eastAsia="宋体" w:cs="宋体"/>
                <w:szCs w:val="24"/>
                <w:lang w:val="zh-CN" w:eastAsia="zh-CN"/>
              </w:rPr>
              <w:t>不完全满足一个评审标准0-1分，</w:t>
            </w:r>
            <w:r>
              <w:rPr>
                <w:rFonts w:hint="eastAsia" w:ascii="宋体" w:hAnsi="宋体" w:eastAsia="宋体" w:cs="宋体"/>
                <w:sz w:val="24"/>
                <w:szCs w:val="24"/>
                <w:highlight w:val="none"/>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rPr>
              <w:t>分。</w:t>
            </w:r>
          </w:p>
        </w:tc>
      </w:tr>
      <w:tr w14:paraId="0F09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9DD82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w:t>
            </w:r>
          </w:p>
          <w:p w14:paraId="7784F61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保证</w:t>
            </w:r>
          </w:p>
          <w:p w14:paraId="09C8EB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1EA3EEEC">
            <w:pPr>
              <w:jc w:val="center"/>
              <w:rPr>
                <w:rFonts w:hint="default" w:ascii="宋体" w:hAnsi="宋体" w:eastAsia="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26D42CEC">
            <w:pPr>
              <w:jc w:val="both"/>
              <w:rPr>
                <w:rFonts w:hint="eastAsia" w:hAnsi="宋体" w:cs="宋体"/>
                <w:sz w:val="24"/>
                <w:szCs w:val="24"/>
                <w:highlight w:val="none"/>
                <w:lang w:eastAsia="zh-CN"/>
              </w:rPr>
            </w:pPr>
            <w:r>
              <w:rPr>
                <w:rFonts w:hint="eastAsia" w:hAnsi="宋体" w:cs="宋体"/>
                <w:sz w:val="24"/>
                <w:szCs w:val="24"/>
                <w:highlight w:val="none"/>
                <w:lang w:eastAsia="zh-CN"/>
              </w:rPr>
              <w:t>一、评审内容</w:t>
            </w:r>
          </w:p>
          <w:p w14:paraId="288F33A4">
            <w:pPr>
              <w:jc w:val="both"/>
              <w:rPr>
                <w:rFonts w:hint="eastAsia" w:hAnsi="宋体" w:cs="宋体"/>
                <w:sz w:val="24"/>
                <w:szCs w:val="24"/>
                <w:highlight w:val="none"/>
                <w:lang w:eastAsia="zh-CN"/>
              </w:rPr>
            </w:pPr>
            <w:r>
              <w:rPr>
                <w:rFonts w:hint="eastAsia" w:hAnsi="宋体" w:cs="宋体"/>
                <w:sz w:val="24"/>
                <w:szCs w:val="24"/>
                <w:highlight w:val="none"/>
                <w:lang w:eastAsia="zh-CN"/>
              </w:rPr>
              <w:t>供应商针对本项目编制完善的质量保证措施，内容包含：①质量目标管理体系②施工质量的检验制度③确保质量的技术组织措施④施工质量控制措施。</w:t>
            </w:r>
            <w:r>
              <w:rPr>
                <w:rFonts w:hint="eastAsia" w:hAnsi="宋体" w:cs="宋体"/>
                <w:sz w:val="24"/>
                <w:szCs w:val="24"/>
                <w:highlight w:val="none"/>
                <w:lang w:val="en-US" w:eastAsia="zh-CN"/>
              </w:rPr>
              <w:t xml:space="preserve"> </w:t>
            </w:r>
          </w:p>
          <w:p w14:paraId="4FBB4DF9">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二、评审标准 </w:t>
            </w:r>
          </w:p>
          <w:p w14:paraId="7F279128">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1、完整性：方案必须全面，对评审内容中的各项要求有详细描述； </w:t>
            </w:r>
          </w:p>
          <w:p w14:paraId="3211E5A1">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2、可实施性：切合本项目实际情况，提出步骤清晰、合理的方案； </w:t>
            </w:r>
          </w:p>
          <w:p w14:paraId="67B7328B">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3、针对性：方案能够紧扣项目实际情况，内容科学合理。 </w:t>
            </w:r>
          </w:p>
          <w:p w14:paraId="4235A26C">
            <w:pPr>
              <w:jc w:val="both"/>
              <w:rPr>
                <w:rFonts w:hint="eastAsia" w:hAnsi="宋体" w:cs="宋体"/>
                <w:sz w:val="24"/>
                <w:szCs w:val="24"/>
                <w:highlight w:val="none"/>
                <w:lang w:eastAsia="zh-CN"/>
              </w:rPr>
            </w:pPr>
            <w:r>
              <w:rPr>
                <w:rFonts w:hint="eastAsia" w:hAnsi="宋体" w:cs="宋体"/>
                <w:sz w:val="24"/>
                <w:szCs w:val="24"/>
                <w:highlight w:val="none"/>
                <w:lang w:val="en-US" w:eastAsia="zh-CN"/>
              </w:rPr>
              <w:t xml:space="preserve">三、赋分标准（满分6分） </w:t>
            </w:r>
          </w:p>
          <w:p w14:paraId="3EB011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①质量目标管理体系：每完全满足一个评审标准得0.5分，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7E5E31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②施工质量检验制度：每完全满足一个评审标准得0.5分，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466469F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③确保质量的技术组织措施：每完全满足一个评审标准得0.5分，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159F542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④施工质量控制措施：每完全满足一个评审标准得0.5分，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tc>
      </w:tr>
      <w:tr w14:paraId="3FF3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1ED7FBA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w:t>
            </w:r>
          </w:p>
          <w:p w14:paraId="6EAAE6E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3331C2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3FFC2DD8">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511B9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07999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供应商针对本项目编制完整的安全施工措施，内容包含：①安全生产管理制度②安全施工措施③安全应急预案④安全生产教育。</w:t>
            </w:r>
          </w:p>
          <w:p w14:paraId="06E6285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29BB32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038E23D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D7355F7">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02193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06C65C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①安全生产管理制度：每完全满足一个评审标准得0.5分，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5C3453C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②安全施工措施：每完全满足一个评审标准得0.5分，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2C5DB2F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③安全应急预案：每完全满足一个评审标准得0.5分，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66881AB2">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④安全生产教育：每完全满足一个评审标准得0.5分，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tc>
      </w:tr>
      <w:tr w14:paraId="20B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20863E9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w:t>
            </w:r>
          </w:p>
          <w:p w14:paraId="4B0D2D7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w:t>
            </w:r>
          </w:p>
          <w:p w14:paraId="0728170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6C2A081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5893E71C">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一、评审内容 </w:t>
            </w:r>
          </w:p>
          <w:p w14:paraId="1AE23749">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供应商编制完善的文明施工措施，内容包含：①安全文明施工目标及施工现场的临时管理措施②文明施工保障措施。 </w:t>
            </w:r>
          </w:p>
          <w:p w14:paraId="267C2520">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二、评审标准 </w:t>
            </w:r>
          </w:p>
          <w:p w14:paraId="79B663C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F1377E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3E0042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35B12FD4">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三、赋分标准（满分3分） </w:t>
            </w:r>
          </w:p>
          <w:p w14:paraId="0AC021F7">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①安全文明施工目标及施工现场的临时管理措施：每完全满足一个评审标准得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en-US" w:eastAsia="zh-CN"/>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 xml:space="preserve">分； </w:t>
            </w:r>
          </w:p>
          <w:p w14:paraId="68580EE7">
            <w:pPr>
              <w:jc w:val="left"/>
              <w:rPr>
                <w:rFonts w:hint="eastAsia" w:hAnsi="宋体" w:cs="宋体"/>
                <w:sz w:val="24"/>
                <w:szCs w:val="24"/>
                <w:highlight w:val="none"/>
                <w:lang w:val="en-US" w:eastAsia="zh-CN"/>
              </w:rPr>
            </w:pPr>
            <w:r>
              <w:rPr>
                <w:rFonts w:hint="eastAsia" w:ascii="宋体" w:hAnsi="宋体" w:eastAsia="宋体" w:cs="宋体"/>
                <w:sz w:val="24"/>
                <w:szCs w:val="24"/>
                <w:highlight w:val="none"/>
                <w:lang w:val="en-US" w:eastAsia="zh-CN"/>
              </w:rPr>
              <w:t>②文明施工保障措施：每完全满足一个评审标准得</w:t>
            </w:r>
            <w:r>
              <w:rPr>
                <w:rFonts w:hint="eastAsia" w:hAnsi="宋体" w:cs="宋体"/>
                <w:sz w:val="24"/>
                <w:szCs w:val="24"/>
                <w:highlight w:val="none"/>
                <w:lang w:val="en-US" w:eastAsia="zh-CN"/>
              </w:rPr>
              <w:t>1</w:t>
            </w:r>
            <w:r>
              <w:rPr>
                <w:rFonts w:hint="eastAsia" w:ascii="宋体" w:hAnsi="宋体" w:eastAsia="宋体" w:cs="宋体"/>
                <w:sz w:val="24"/>
                <w:szCs w:val="24"/>
                <w:highlight w:val="none"/>
                <w:lang w:val="en-US" w:eastAsia="zh-CN"/>
              </w:rPr>
              <w:t>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en-US" w:eastAsia="zh-CN"/>
              </w:rPr>
              <w:t>满分</w:t>
            </w:r>
            <w:r>
              <w:rPr>
                <w:rFonts w:hint="eastAsia"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p>
        </w:tc>
      </w:tr>
      <w:tr w14:paraId="66C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D562E4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环境</w:t>
            </w:r>
          </w:p>
          <w:p w14:paraId="410B621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保护</w:t>
            </w:r>
          </w:p>
          <w:p w14:paraId="4B71C40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措施</w:t>
            </w:r>
          </w:p>
        </w:tc>
        <w:tc>
          <w:tcPr>
            <w:tcW w:w="714" w:type="pct"/>
            <w:noWrap w:val="0"/>
            <w:vAlign w:val="center"/>
          </w:tcPr>
          <w:p w14:paraId="24A48EE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6C17595B">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一、评审内容</w:t>
            </w:r>
          </w:p>
          <w:p w14:paraId="197C78B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供应商编制完善的环境保护措施，内容包含：①环境保护管理体系②环保控制措施：污染物及废弃物处理的排放、噪音控制、防尘及扬尘的控制措施。</w:t>
            </w:r>
          </w:p>
          <w:p w14:paraId="6B2C9A6E">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二、评审标准</w:t>
            </w:r>
          </w:p>
          <w:p w14:paraId="4F13E74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7CB1173">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68DD516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5A525F1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三、赋分标准（满分6分）</w:t>
            </w:r>
          </w:p>
          <w:p w14:paraId="270AC93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①环境保护管理体系：每完全满足一个评审标准得1分，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en-US" w:eastAsia="zh-CN"/>
              </w:rPr>
              <w:t>满分3分；</w:t>
            </w:r>
          </w:p>
          <w:p w14:paraId="685C05FA">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②环保控制措施：每完全满足一个评审标准1分，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ascii="宋体" w:hAnsi="宋体" w:eastAsia="宋体" w:cs="宋体"/>
                <w:sz w:val="24"/>
                <w:szCs w:val="24"/>
                <w:highlight w:val="none"/>
                <w:lang w:val="en-US" w:eastAsia="zh-CN"/>
              </w:rPr>
              <w:t>满分3分。</w:t>
            </w:r>
          </w:p>
        </w:tc>
      </w:tr>
      <w:tr w14:paraId="5C2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32926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p w14:paraId="6C518DC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14:paraId="2AB39B8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机构</w:t>
            </w:r>
          </w:p>
        </w:tc>
        <w:tc>
          <w:tcPr>
            <w:tcW w:w="714" w:type="pct"/>
            <w:noWrap w:val="0"/>
            <w:vAlign w:val="center"/>
          </w:tcPr>
          <w:p w14:paraId="2BF56F2C">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（6分）</w:t>
            </w:r>
          </w:p>
        </w:tc>
        <w:tc>
          <w:tcPr>
            <w:tcW w:w="3660" w:type="pct"/>
            <w:noWrap w:val="0"/>
            <w:vAlign w:val="center"/>
          </w:tcPr>
          <w:p w14:paraId="70B205DD">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19E08155">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供应商针对本项目编制科学的项目管理机构，内容包含：①管理机构的配备计划②组织机构的岗位职责。</w:t>
            </w:r>
          </w:p>
          <w:p w14:paraId="2AAC520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7E9A4BA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5152451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0F09A3E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0B158D7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三、赋分标准（满分6分）</w:t>
            </w:r>
          </w:p>
          <w:p w14:paraId="7039BF1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①管理机构的配备计划：每完全满足一个评审标准得1分，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满分3分；</w:t>
            </w:r>
          </w:p>
          <w:p w14:paraId="5F63075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②组织机构的岗位职责：每完全满足一个评审标准得1分，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满分3分。</w:t>
            </w:r>
          </w:p>
        </w:tc>
      </w:tr>
      <w:tr w14:paraId="4B4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66D9D3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新材</w:t>
            </w:r>
          </w:p>
          <w:p w14:paraId="64362D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料新</w:t>
            </w:r>
          </w:p>
          <w:p w14:paraId="4DB3ACF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工艺</w:t>
            </w:r>
          </w:p>
        </w:tc>
        <w:tc>
          <w:tcPr>
            <w:tcW w:w="714" w:type="pct"/>
            <w:noWrap w:val="0"/>
            <w:vAlign w:val="center"/>
          </w:tcPr>
          <w:p w14:paraId="2D7293AA">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7D137B5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440BDED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针对本项目具有①新材料②新技术和新工艺的应用情况。</w:t>
            </w:r>
          </w:p>
          <w:p w14:paraId="61EF583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386A7BD4">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4224078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426E24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53A5861">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3FDC5FE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①新材料：每完全满足一个评审标准得0.5分，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p w14:paraId="734B924E">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②新技术和新工艺：每完全满足一个评审标准得0.5分，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0.5</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满分1.5分。</w:t>
            </w:r>
          </w:p>
        </w:tc>
      </w:tr>
      <w:tr w14:paraId="058F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5D09AFB5">
            <w:pPr>
              <w:spacing w:line="36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lang w:val="zh-CN"/>
              </w:rPr>
              <w:t>施工承诺</w:t>
            </w:r>
          </w:p>
        </w:tc>
        <w:tc>
          <w:tcPr>
            <w:tcW w:w="714" w:type="pct"/>
            <w:noWrap w:val="0"/>
            <w:vAlign w:val="center"/>
          </w:tcPr>
          <w:p w14:paraId="44771B7C">
            <w:pPr>
              <w:jc w:val="center"/>
              <w:rPr>
                <w:rFonts w:hint="eastAsia" w:hAnsi="宋体" w:cs="宋体"/>
                <w:sz w:val="24"/>
                <w:szCs w:val="24"/>
                <w:highlight w:val="none"/>
                <w:lang w:val="en-US" w:eastAsia="zh-CN"/>
              </w:rPr>
            </w:pPr>
            <w:r>
              <w:rPr>
                <w:rFonts w:hint="eastAsia" w:hAnsi="宋体" w:cs="宋体"/>
                <w:sz w:val="24"/>
                <w:szCs w:val="24"/>
                <w:highlight w:val="none"/>
                <w:lang w:val="en-US" w:eastAsia="zh-CN"/>
              </w:rPr>
              <w:t>（3分）</w:t>
            </w:r>
          </w:p>
        </w:tc>
        <w:tc>
          <w:tcPr>
            <w:tcW w:w="3660" w:type="pct"/>
            <w:noWrap w:val="0"/>
            <w:vAlign w:val="center"/>
          </w:tcPr>
          <w:p w14:paraId="0801DE3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一、评审内容</w:t>
            </w:r>
          </w:p>
          <w:p w14:paraId="5465F2B8">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针对本项目具有①工程施工承诺（主要体现不得拖欠施工人员工资、给施工人员缴纳保险、工程质量等）。</w:t>
            </w:r>
          </w:p>
          <w:p w14:paraId="228BB2DC">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二、评审标准</w:t>
            </w:r>
          </w:p>
          <w:p w14:paraId="171EFFCB">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1、完整性：方案必须全面，对评审内容中的各项要求有详细描述；</w:t>
            </w:r>
          </w:p>
          <w:p w14:paraId="617C0B0F">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2、可实施性：切合本项目实际情况，提出步骤清晰、合理的方案；</w:t>
            </w:r>
          </w:p>
          <w:p w14:paraId="4F09A909">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3、针对性：方案能够紧扣项目实际情况，内容科学合理。</w:t>
            </w:r>
          </w:p>
          <w:p w14:paraId="131B22FA">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三、赋分标准（满分3分）</w:t>
            </w:r>
          </w:p>
          <w:p w14:paraId="72496696">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①工程施工承诺：每完全满足一个评审标准得1分，</w:t>
            </w:r>
            <w:r>
              <w:rPr>
                <w:rFonts w:hint="eastAsia" w:ascii="宋体" w:hAnsi="宋体" w:eastAsia="宋体" w:cs="宋体"/>
                <w:szCs w:val="24"/>
                <w:lang w:val="zh-CN" w:eastAsia="zh-CN"/>
              </w:rPr>
              <w:t>不完全满足一个评审标准0-</w:t>
            </w:r>
            <w:r>
              <w:rPr>
                <w:rFonts w:hint="eastAsia" w:ascii="宋体" w:hAnsi="宋体" w:eastAsia="宋体" w:cs="宋体"/>
                <w:szCs w:val="24"/>
                <w:lang w:val="en-US" w:eastAsia="zh-CN"/>
              </w:rPr>
              <w:t>1</w:t>
            </w:r>
            <w:r>
              <w:rPr>
                <w:rFonts w:hint="eastAsia" w:ascii="宋体" w:hAnsi="宋体" w:eastAsia="宋体" w:cs="宋体"/>
                <w:szCs w:val="24"/>
                <w:lang w:val="zh-CN" w:eastAsia="zh-CN"/>
              </w:rPr>
              <w:t>分，</w:t>
            </w:r>
            <w:r>
              <w:rPr>
                <w:rFonts w:hint="eastAsia" w:hAnsi="宋体" w:cs="宋体"/>
                <w:sz w:val="24"/>
                <w:szCs w:val="24"/>
                <w:highlight w:val="none"/>
                <w:lang w:val="en-US" w:eastAsia="zh-CN"/>
              </w:rPr>
              <w:t>满分3分；</w:t>
            </w:r>
          </w:p>
        </w:tc>
      </w:tr>
      <w:tr w14:paraId="24F6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410AFD1D">
            <w:pPr>
              <w:spacing w:line="360" w:lineRule="auto"/>
              <w:jc w:val="center"/>
              <w:rPr>
                <w:rFonts w:hint="eastAsia" w:ascii="宋体" w:hAnsi="宋体" w:eastAsia="宋体" w:cs="宋体"/>
                <w:sz w:val="24"/>
                <w:szCs w:val="24"/>
                <w:highlight w:val="none"/>
                <w:lang w:val="en-US" w:eastAsia="zh-CN"/>
              </w:rPr>
            </w:pPr>
            <w:r>
              <w:rPr>
                <w:rFonts w:hint="eastAsia" w:hAnsi="宋体" w:cs="宋体"/>
                <w:sz w:val="24"/>
                <w:szCs w:val="24"/>
                <w:highlight w:val="none"/>
                <w:lang w:val="en-US" w:eastAsia="zh-CN"/>
              </w:rPr>
              <w:t>业绩</w:t>
            </w:r>
          </w:p>
        </w:tc>
        <w:tc>
          <w:tcPr>
            <w:tcW w:w="714" w:type="pct"/>
            <w:noWrap w:val="0"/>
            <w:vAlign w:val="center"/>
          </w:tcPr>
          <w:p w14:paraId="4A6CA652">
            <w:pPr>
              <w:jc w:val="center"/>
              <w:rPr>
                <w:rFonts w:hint="default" w:hAnsi="宋体" w:cs="宋体"/>
                <w:sz w:val="24"/>
                <w:szCs w:val="24"/>
                <w:highlight w:val="none"/>
                <w:lang w:val="en-US" w:eastAsia="zh-CN"/>
              </w:rPr>
            </w:pPr>
            <w:r>
              <w:rPr>
                <w:rFonts w:hint="eastAsia" w:hAnsi="宋体" w:cs="宋体"/>
                <w:sz w:val="24"/>
                <w:szCs w:val="24"/>
                <w:highlight w:val="none"/>
                <w:lang w:val="en-US" w:eastAsia="zh-CN"/>
              </w:rPr>
              <w:t>（10分）</w:t>
            </w:r>
          </w:p>
        </w:tc>
        <w:tc>
          <w:tcPr>
            <w:tcW w:w="3660" w:type="pct"/>
            <w:noWrap w:val="0"/>
            <w:vAlign w:val="center"/>
          </w:tcPr>
          <w:p w14:paraId="33BFB270">
            <w:pPr>
              <w:jc w:val="left"/>
              <w:rPr>
                <w:rFonts w:hint="eastAsia" w:hAnsi="宋体" w:cs="宋体"/>
                <w:sz w:val="24"/>
                <w:szCs w:val="24"/>
                <w:highlight w:val="none"/>
                <w:lang w:val="en-US" w:eastAsia="zh-CN"/>
              </w:rPr>
            </w:pPr>
            <w:r>
              <w:rPr>
                <w:rFonts w:hint="eastAsia" w:hAnsi="宋体" w:cs="宋体"/>
                <w:sz w:val="24"/>
                <w:szCs w:val="24"/>
                <w:highlight w:val="none"/>
                <w:lang w:val="en-US" w:eastAsia="zh-CN"/>
              </w:rPr>
              <w:t>1、投标人应提供2022年1月起至今的类似业绩证明材料，时间以合同签订日期为准，（文件中附成交/中标通知书或合同复印件，原件备查），每提供一项上述业绩的得2分，最高得10分。不提供或缺项不得分。</w:t>
            </w:r>
          </w:p>
        </w:tc>
      </w:tr>
      <w:tr w14:paraId="27D0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4" w:type="pct"/>
            <w:noWrap w:val="0"/>
            <w:vAlign w:val="center"/>
          </w:tcPr>
          <w:p w14:paraId="7E71554E">
            <w:pPr>
              <w:spacing w:line="360" w:lineRule="auto"/>
              <w:jc w:val="center"/>
              <w:rPr>
                <w:rFonts w:hint="eastAsia" w:ascii="宋体" w:hAnsi="宋体" w:eastAsia="宋体" w:cs="宋体"/>
                <w:sz w:val="24"/>
                <w:szCs w:val="24"/>
                <w:highlight w:val="none"/>
              </w:rPr>
            </w:pPr>
            <w:r>
              <w:rPr>
                <w:rFonts w:hint="eastAsia" w:hAnsi="宋体" w:cs="宋体"/>
                <w:sz w:val="24"/>
                <w:szCs w:val="24"/>
                <w:highlight w:val="none"/>
                <w:lang w:val="en-US" w:eastAsia="zh-CN"/>
              </w:rPr>
              <w:t>说明</w:t>
            </w:r>
          </w:p>
        </w:tc>
        <w:tc>
          <w:tcPr>
            <w:tcW w:w="4375" w:type="pct"/>
            <w:gridSpan w:val="2"/>
            <w:noWrap w:val="0"/>
            <w:vAlign w:val="center"/>
          </w:tcPr>
          <w:p w14:paraId="3F5FFEC2">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磋商小组成员必须按照本评审要素据实打分。</w:t>
            </w: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20"/>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4"/>
        <w:jc w:val="center"/>
        <w:rPr>
          <w:rFonts w:ascii="宋体" w:eastAsia="宋体" w:cs="宋体"/>
          <w:bCs/>
          <w:color w:val="auto"/>
          <w:szCs w:val="36"/>
          <w:highlight w:val="none"/>
        </w:rPr>
      </w:pPr>
      <w:bookmarkStart w:id="42" w:name="_Toc14372"/>
      <w:r>
        <w:rPr>
          <w:rFonts w:hint="eastAsia" w:ascii="宋体" w:eastAsia="宋体" w:cs="宋体"/>
          <w:bCs/>
          <w:color w:val="auto"/>
          <w:szCs w:val="36"/>
          <w:highlight w:val="none"/>
        </w:rPr>
        <w:t>第四章  合同条款及格式</w:t>
      </w:r>
      <w:bookmarkEnd w:id="37"/>
      <w:bookmarkEnd w:id="38"/>
      <w:bookmarkEnd w:id="39"/>
      <w:bookmarkEnd w:id="42"/>
      <w:bookmarkStart w:id="43" w:name="_Toc19199"/>
      <w:bookmarkStart w:id="44" w:name="_Toc31520"/>
      <w:bookmarkStart w:id="45" w:name="_Toc26595"/>
      <w:bookmarkStart w:id="46" w:name="_Toc4679"/>
      <w:bookmarkStart w:id="47" w:name="_Toc29888"/>
      <w:bookmarkStart w:id="48" w:name="_Toc19246"/>
      <w:bookmarkStart w:id="49" w:name="_Toc423973075"/>
      <w:bookmarkStart w:id="50" w:name="_Toc389582037"/>
      <w:bookmarkStart w:id="51" w:name="_Toc8333"/>
    </w:p>
    <w:p w14:paraId="69412191">
      <w:pPr>
        <w:pStyle w:val="5"/>
        <w:jc w:val="center"/>
        <w:rPr>
          <w:rFonts w:ascii="宋体" w:hAnsi="宋体"/>
          <w:color w:val="auto"/>
          <w:highlight w:val="none"/>
        </w:rPr>
      </w:pPr>
      <w:bookmarkStart w:id="52" w:name="_Toc16916"/>
      <w:bookmarkStart w:id="53" w:name="_Toc6935"/>
      <w:bookmarkStart w:id="54" w:name="_Toc30560"/>
      <w:r>
        <w:rPr>
          <w:rFonts w:hint="eastAsia" w:ascii="宋体" w:hAnsi="宋体"/>
          <w:color w:val="auto"/>
          <w:highlight w:val="none"/>
        </w:rPr>
        <w:t>合同条款及格式前附表</w:t>
      </w:r>
      <w:bookmarkEnd w:id="52"/>
      <w:bookmarkEnd w:id="53"/>
      <w:bookmarkEnd w:id="54"/>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2"/>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val="en-US" w:eastAsia="zh-CN"/>
              </w:rPr>
            </w:pPr>
            <w:r>
              <w:rPr>
                <w:rFonts w:hint="eastAsia" w:hAnsi="宋体" w:cs="宋体"/>
                <w:color w:val="auto"/>
                <w:szCs w:val="21"/>
                <w:highlight w:val="none"/>
              </w:rPr>
              <w:t>采购人：山阳县杨地镇人民政府（本级）</w:t>
            </w:r>
          </w:p>
          <w:p w14:paraId="5FE42A23">
            <w:pPr>
              <w:spacing w:line="360" w:lineRule="auto"/>
              <w:rPr>
                <w:rFonts w:hAnsi="宋体" w:cs="宋体"/>
                <w:color w:val="auto"/>
                <w:szCs w:val="21"/>
                <w:highlight w:val="none"/>
              </w:rPr>
            </w:pPr>
            <w:r>
              <w:rPr>
                <w:rFonts w:hint="eastAsia" w:hAnsi="宋体" w:cs="宋体"/>
                <w:color w:val="auto"/>
                <w:szCs w:val="21"/>
                <w:highlight w:val="none"/>
              </w:rPr>
              <w:t>地址：杨地镇龙潭村街道</w:t>
            </w:r>
          </w:p>
          <w:p w14:paraId="5AACAE78">
            <w:pPr>
              <w:spacing w:line="360" w:lineRule="auto"/>
              <w:rPr>
                <w:rFonts w:hint="eastAsia" w:hAnsi="宋体" w:cs="宋体"/>
                <w:color w:val="auto"/>
                <w:szCs w:val="21"/>
                <w:highlight w:val="none"/>
              </w:rPr>
            </w:pPr>
            <w:r>
              <w:rPr>
                <w:rFonts w:hint="eastAsia" w:hAnsi="宋体" w:cs="宋体"/>
                <w:color w:val="auto"/>
                <w:szCs w:val="21"/>
                <w:highlight w:val="none"/>
              </w:rPr>
              <w:t>项目名称：杨地镇老街和新街改造提升工程(新街段)</w:t>
            </w:r>
          </w:p>
          <w:p w14:paraId="5F4AC650">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其他财政资金</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jc w:val="both"/>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jc w:val="both"/>
              <w:rPr>
                <w:rFonts w:hAnsi="宋体" w:cs="宋体"/>
                <w:color w:val="auto"/>
                <w:szCs w:val="21"/>
                <w:highlight w:val="none"/>
              </w:rPr>
            </w:pPr>
            <w:r>
              <w:rPr>
                <w:rFonts w:hint="eastAsia" w:hAnsi="宋体" w:cs="宋体"/>
                <w:b/>
                <w:bCs/>
                <w:color w:val="auto"/>
                <w:szCs w:val="21"/>
                <w:highlight w:val="none"/>
              </w:rPr>
              <w:t>工期：</w:t>
            </w:r>
            <w:r>
              <w:rPr>
                <w:rFonts w:hint="eastAsia" w:hAnsi="宋体" w:cs="宋体"/>
                <w:b/>
                <w:bCs/>
                <w:color w:val="auto"/>
                <w:szCs w:val="21"/>
                <w:highlight w:val="none"/>
                <w:lang w:val="en-US" w:eastAsia="zh-CN"/>
              </w:rPr>
              <w:t>合同签订后30日历日</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11"/>
              <w:jc w:val="both"/>
              <w:rPr>
                <w:rFonts w:ascii="宋体" w:hAnsi="宋体" w:cs="宋体"/>
                <w:color w:val="auto"/>
                <w:kern w:val="0"/>
                <w:sz w:val="24"/>
                <w:szCs w:val="21"/>
                <w:highlight w:val="none"/>
              </w:rPr>
            </w:pPr>
            <w:r>
              <w:rPr>
                <w:rFonts w:hint="eastAsia" w:ascii="宋体" w:hAnsi="宋体" w:cs="宋体"/>
                <w:b/>
                <w:bCs/>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jc w:val="both"/>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w:t>
            </w:r>
            <w:r>
              <w:rPr>
                <w:rFonts w:hint="eastAsia" w:hAnsi="宋体" w:cs="宋体"/>
                <w:color w:val="auto"/>
                <w:szCs w:val="21"/>
                <w:highlight w:val="none"/>
                <w:lang w:val="en-US" w:eastAsia="zh-CN"/>
              </w:rPr>
              <w:t>3</w:t>
            </w:r>
            <w:r>
              <w:rPr>
                <w:rFonts w:hint="eastAsia" w:hAnsi="宋体" w:cs="宋体"/>
                <w:color w:val="auto"/>
                <w:szCs w:val="21"/>
                <w:highlight w:val="none"/>
              </w:rPr>
              <w:t>）付款方式：</w:t>
            </w:r>
          </w:p>
          <w:p w14:paraId="3FAB5BE0">
            <w:pPr>
              <w:spacing w:line="360" w:lineRule="auto"/>
              <w:ind w:firstLine="482" w:firstLineChars="200"/>
              <w:rPr>
                <w:color w:val="auto"/>
                <w:szCs w:val="22"/>
                <w:highlight w:val="none"/>
              </w:rPr>
            </w:pPr>
            <w:r>
              <w:rPr>
                <w:rFonts w:hint="eastAsia"/>
                <w:b/>
                <w:bCs/>
                <w:color w:val="auto"/>
                <w:szCs w:val="22"/>
                <w:highlight w:val="none"/>
              </w:rPr>
              <w:t>施工项目完成后支付至合同价的80%，工程结算审计（核）完毕后，支付到工程结算审核金额的97%，剩余工程款3%作为质量保证金，缺陷责任期满后，无任何质量问题一次性无息结清。（具体以合同签订为准）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rPr>
                <w:rFonts w:hint="eastAsia" w:hAnsi="宋体" w:cs="宋体"/>
                <w:b/>
                <w:color w:val="auto"/>
                <w:szCs w:val="21"/>
                <w:highlight w:val="none"/>
              </w:rPr>
            </w:pPr>
            <w:r>
              <w:rPr>
                <w:rFonts w:hint="eastAsia" w:hAnsi="宋体" w:cs="宋体"/>
                <w:b/>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w:t>
            </w:r>
            <w:r>
              <w:rPr>
                <w:rFonts w:hint="eastAsia" w:hAnsi="宋体" w:cs="宋体"/>
                <w:color w:val="auto"/>
                <w:szCs w:val="21"/>
                <w:highlight w:val="none"/>
                <w:lang w:val="en-US" w:eastAsia="zh-CN"/>
              </w:rPr>
              <w:t>按照</w:t>
            </w:r>
            <w:r>
              <w:rPr>
                <w:rFonts w:hint="eastAsia" w:hAnsi="宋体" w:cs="宋体"/>
                <w:color w:val="auto"/>
                <w:szCs w:val="21"/>
                <w:highlight w:val="none"/>
              </w:rPr>
              <w:t>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7"/>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7"/>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7"/>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3"/>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4"/>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3"/>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5" w:name="_Toc205891759"/>
      <w:bookmarkEnd w:id="55"/>
      <w:bookmarkStart w:id="56" w:name="_Toc107194479"/>
      <w:bookmarkEnd w:id="56"/>
      <w:bookmarkStart w:id="57" w:name="_Toc209339595"/>
      <w:bookmarkEnd w:id="57"/>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58" w:name="_Toc351203480"/>
      <w:bookmarkStart w:id="59" w:name="_Toc296503025"/>
      <w:bookmarkStart w:id="60" w:name="_Toc296890982"/>
      <w:r>
        <w:rPr>
          <w:rFonts w:hint="eastAsia" w:ascii="宋体" w:hAnsi="宋体" w:cs="宋体"/>
          <w:bCs/>
          <w:sz w:val="32"/>
          <w:szCs w:val="32"/>
          <w:highlight w:val="none"/>
        </w:rPr>
        <w:t>第一部分 合同协议书</w:t>
      </w:r>
      <w:bookmarkEnd w:id="58"/>
      <w:bookmarkEnd w:id="59"/>
      <w:bookmarkEnd w:id="60"/>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ascii="宋体" w:hAnsi="宋体" w:cs="宋体"/>
          <w:bCs/>
          <w:sz w:val="24"/>
          <w:highlight w:val="none"/>
          <w:u w:val="single"/>
        </w:rPr>
        <w:t xml:space="preserve">山阳县杨地镇人民政府（本级）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杨地镇老街和新街改造提升工程(新街段)</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1"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1"/>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ascii="宋体" w:hAnsi="宋体" w:cs="宋体"/>
          <w:bCs/>
          <w:sz w:val="24"/>
          <w:highlight w:val="none"/>
          <w:u w:val="single"/>
          <w:lang w:val="en-US" w:eastAsia="zh-CN"/>
        </w:rPr>
        <w:t>杨地镇老街和新街改造提升工程(新街段)</w:t>
      </w:r>
      <w:r>
        <w:rPr>
          <w:rFonts w:hint="eastAsia" w:ascii="宋体" w:hAnsi="宋体" w:cs="宋体"/>
          <w:bCs/>
          <w:sz w:val="24"/>
          <w:highlight w:val="none"/>
          <w:u w:val="singl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2"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2"/>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3" w:name="_Toc351203483"/>
      <w:r>
        <w:rPr>
          <w:rFonts w:hint="eastAsia" w:ascii="宋体" w:hAnsi="宋体" w:cs="宋体"/>
          <w:bCs/>
          <w:sz w:val="24"/>
          <w:highlight w:val="none"/>
        </w:rPr>
        <w:t>三、质量标准</w:t>
      </w:r>
      <w:bookmarkEnd w:id="63"/>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4" w:name="_Toc351203484"/>
      <w:r>
        <w:rPr>
          <w:rFonts w:hint="eastAsia" w:ascii="宋体" w:hAnsi="宋体" w:cs="宋体"/>
          <w:bCs/>
          <w:sz w:val="24"/>
          <w:highlight w:val="none"/>
        </w:rPr>
        <w:t>四、签约合同价与合同价格形式</w:t>
      </w:r>
      <w:bookmarkEnd w:id="64"/>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5"/>
      <w:r>
        <w:rPr>
          <w:rFonts w:hint="eastAsia" w:ascii="宋体" w:hAnsi="宋体" w:cs="宋体"/>
          <w:bCs/>
          <w:sz w:val="24"/>
          <w:highlight w:val="none"/>
        </w:rPr>
        <w:t>五、</w:t>
      </w:r>
      <w:bookmarkEnd w:id="65"/>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6"/>
      <w:r>
        <w:rPr>
          <w:rFonts w:hint="eastAsia" w:ascii="宋体" w:hAnsi="宋体" w:cs="宋体"/>
          <w:bCs/>
          <w:sz w:val="24"/>
          <w:highlight w:val="none"/>
        </w:rPr>
        <w:t>六、合同文件构成</w:t>
      </w:r>
      <w:bookmarkEnd w:id="66"/>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7"/>
      <w:r>
        <w:rPr>
          <w:rFonts w:hint="eastAsia" w:ascii="宋体" w:hAnsi="宋体" w:cs="宋体"/>
          <w:bCs/>
          <w:sz w:val="24"/>
          <w:highlight w:val="none"/>
        </w:rPr>
        <w:t>七、承诺</w:t>
      </w:r>
      <w:bookmarkEnd w:id="67"/>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68" w:name="_Toc351203488"/>
      <w:r>
        <w:rPr>
          <w:rFonts w:hint="eastAsia" w:ascii="宋体" w:hAnsi="宋体" w:cs="宋体"/>
          <w:bCs/>
          <w:sz w:val="24"/>
          <w:highlight w:val="none"/>
        </w:rPr>
        <w:t xml:space="preserve">    八、词语含义</w:t>
      </w:r>
      <w:bookmarkEnd w:id="68"/>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9"/>
      <w:r>
        <w:rPr>
          <w:rFonts w:hint="eastAsia" w:ascii="宋体" w:hAnsi="宋体" w:cs="宋体"/>
          <w:bCs/>
          <w:sz w:val="24"/>
          <w:highlight w:val="none"/>
        </w:rPr>
        <w:t>九、签订时间</w:t>
      </w:r>
      <w:bookmarkEnd w:id="69"/>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0" w:name="_Toc351203490"/>
      <w:r>
        <w:rPr>
          <w:rFonts w:hint="eastAsia" w:ascii="宋体" w:hAnsi="宋体" w:cs="宋体"/>
          <w:bCs/>
          <w:sz w:val="24"/>
          <w:highlight w:val="none"/>
        </w:rPr>
        <w:t>十、签订地点</w:t>
      </w:r>
      <w:bookmarkEnd w:id="70"/>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91"/>
      <w:r>
        <w:rPr>
          <w:rFonts w:hint="eastAsia" w:ascii="宋体" w:hAnsi="宋体" w:cs="宋体"/>
          <w:bCs/>
          <w:sz w:val="24"/>
          <w:highlight w:val="none"/>
        </w:rPr>
        <w:t>十一、补充协议</w:t>
      </w:r>
      <w:bookmarkEnd w:id="71"/>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2"/>
      <w:r>
        <w:rPr>
          <w:rFonts w:hint="eastAsia" w:ascii="宋体" w:hAnsi="宋体" w:cs="宋体"/>
          <w:bCs/>
          <w:sz w:val="24"/>
          <w:highlight w:val="none"/>
        </w:rPr>
        <w:t>十二、合同生效</w:t>
      </w:r>
      <w:bookmarkEnd w:id="72"/>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3"/>
      <w:r>
        <w:rPr>
          <w:rFonts w:hint="eastAsia" w:ascii="宋体" w:hAnsi="宋体" w:cs="宋体"/>
          <w:bCs/>
          <w:sz w:val="24"/>
          <w:highlight w:val="none"/>
        </w:rPr>
        <w:t>十三、合同份数</w:t>
      </w:r>
      <w:bookmarkEnd w:id="73"/>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4"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4"/>
      <w:bookmarkStart w:id="75"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76CF4417">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5"/>
    <w:p w14:paraId="60B42135">
      <w:pPr>
        <w:rPr>
          <w:rFonts w:hint="eastAsia" w:ascii="宋体" w:hAnsi="宋体" w:cs="宋体"/>
          <w:bCs/>
          <w:sz w:val="32"/>
          <w:szCs w:val="32"/>
          <w:highlight w:val="none"/>
        </w:rPr>
      </w:pPr>
      <w:bookmarkStart w:id="76"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6"/>
    </w:p>
    <w:p w14:paraId="2FB52F0D">
      <w:pPr>
        <w:spacing w:before="120" w:after="120" w:line="360" w:lineRule="auto"/>
        <w:jc w:val="left"/>
        <w:rPr>
          <w:rFonts w:hint="eastAsia" w:ascii="宋体" w:hAnsi="宋体" w:cs="宋体"/>
          <w:bCs/>
          <w:sz w:val="24"/>
          <w:highlight w:val="none"/>
        </w:rPr>
      </w:pPr>
      <w:bookmarkStart w:id="77" w:name="_Toc351203633"/>
      <w:r>
        <w:rPr>
          <w:rFonts w:hint="eastAsia" w:ascii="宋体" w:hAnsi="宋体" w:cs="宋体"/>
          <w:bCs/>
          <w:sz w:val="24"/>
          <w:highlight w:val="none"/>
        </w:rPr>
        <w:t>1</w:t>
      </w:r>
      <w:bookmarkStart w:id="78" w:name="_Toc296890984"/>
      <w:bookmarkStart w:id="79" w:name="_Toc292559866"/>
      <w:bookmarkStart w:id="80" w:name="_Toc296347155"/>
      <w:bookmarkStart w:id="81" w:name="_Toc296944495"/>
      <w:bookmarkStart w:id="82" w:name="_Toc297120456"/>
      <w:bookmarkStart w:id="83" w:name="_Toc296503156"/>
      <w:bookmarkStart w:id="84" w:name="_Toc292559361"/>
      <w:bookmarkStart w:id="85" w:name="_Toc296346657"/>
      <w:bookmarkStart w:id="86" w:name="_Toc297048342"/>
      <w:bookmarkStart w:id="87" w:name="_Toc296891196"/>
      <w:r>
        <w:rPr>
          <w:rFonts w:hint="eastAsia" w:ascii="宋体" w:hAnsi="宋体" w:cs="宋体"/>
          <w:bCs/>
          <w:sz w:val="24"/>
          <w:highlight w:val="none"/>
        </w:rPr>
        <w:t>. 一般约定</w:t>
      </w:r>
      <w:bookmarkEnd w:id="77"/>
    </w:p>
    <w:bookmarkEnd w:id="78"/>
    <w:bookmarkEnd w:id="79"/>
    <w:bookmarkEnd w:id="80"/>
    <w:bookmarkEnd w:id="81"/>
    <w:bookmarkEnd w:id="82"/>
    <w:bookmarkEnd w:id="83"/>
    <w:bookmarkEnd w:id="84"/>
    <w:bookmarkEnd w:id="85"/>
    <w:bookmarkEnd w:id="86"/>
    <w:bookmarkEnd w:id="87"/>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88" w:name="_Toc303539100"/>
      <w:bookmarkStart w:id="89" w:name="_Toc312677986"/>
      <w:bookmarkStart w:id="90" w:name="_Toc304295521"/>
      <w:bookmarkStart w:id="91" w:name="_Toc300934943"/>
      <w:bookmarkStart w:id="92" w:name="_Toc318581155"/>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88"/>
    <w:bookmarkEnd w:id="89"/>
    <w:bookmarkEnd w:id="90"/>
    <w:bookmarkEnd w:id="91"/>
    <w:bookmarkEnd w:id="92"/>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3" w:name="_Toc304295522"/>
      <w:bookmarkStart w:id="94" w:name="_Toc303539101"/>
      <w:bookmarkStart w:id="95" w:name="_Toc312677987"/>
      <w:bookmarkStart w:id="96" w:name="_Toc318581156"/>
      <w:bookmarkStart w:id="97" w:name="_Toc300934944"/>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3"/>
      <w:bookmarkEnd w:id="94"/>
      <w:bookmarkEnd w:id="95"/>
      <w:bookmarkEnd w:id="96"/>
      <w:bookmarkEnd w:id="97"/>
      <w:r>
        <w:rPr>
          <w:rFonts w:hint="eastAsia" w:ascii="宋体" w:hAnsi="宋体" w:cs="宋体"/>
          <w:bCs/>
          <w:sz w:val="24"/>
          <w:highlight w:val="none"/>
        </w:rPr>
        <w:t xml:space="preserve">  </w:t>
      </w:r>
      <w:bookmarkStart w:id="98"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98"/>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99" w:name="_Toc351203634"/>
      <w:r>
        <w:rPr>
          <w:rFonts w:hint="eastAsia" w:ascii="宋体" w:hAnsi="宋体" w:cs="宋体"/>
          <w:bCs/>
          <w:sz w:val="24"/>
          <w:highlight w:val="none"/>
        </w:rPr>
        <w:t>2</w:t>
      </w:r>
      <w:bookmarkStart w:id="100" w:name="_Toc292559867"/>
      <w:bookmarkStart w:id="101" w:name="_Toc296891197"/>
      <w:bookmarkStart w:id="102" w:name="_Toc297120457"/>
      <w:bookmarkStart w:id="103" w:name="_Toc297048343"/>
      <w:bookmarkStart w:id="104" w:name="_Toc296890985"/>
      <w:bookmarkStart w:id="105" w:name="_Toc292559362"/>
      <w:bookmarkStart w:id="106" w:name="_Toc296944496"/>
      <w:bookmarkStart w:id="107" w:name="_Toc296346658"/>
      <w:bookmarkStart w:id="108" w:name="_Toc296503157"/>
      <w:bookmarkStart w:id="109" w:name="_Toc296347156"/>
      <w:r>
        <w:rPr>
          <w:rFonts w:hint="eastAsia" w:ascii="宋体" w:hAnsi="宋体" w:cs="宋体"/>
          <w:bCs/>
          <w:sz w:val="24"/>
          <w:highlight w:val="none"/>
        </w:rPr>
        <w:t>. 发包人</w:t>
      </w:r>
      <w:bookmarkEnd w:id="99"/>
    </w:p>
    <w:bookmarkEnd w:id="100"/>
    <w:bookmarkEnd w:id="101"/>
    <w:bookmarkEnd w:id="102"/>
    <w:bookmarkEnd w:id="103"/>
    <w:bookmarkEnd w:id="104"/>
    <w:bookmarkEnd w:id="105"/>
    <w:bookmarkEnd w:id="106"/>
    <w:bookmarkEnd w:id="107"/>
    <w:bookmarkEnd w:id="108"/>
    <w:bookmarkEnd w:id="109"/>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0" w:name="_Toc351203635"/>
      <w:r>
        <w:rPr>
          <w:rFonts w:hint="eastAsia" w:ascii="宋体" w:hAnsi="宋体" w:cs="宋体"/>
          <w:bCs/>
          <w:sz w:val="24"/>
          <w:highlight w:val="none"/>
        </w:rPr>
        <w:t>3</w:t>
      </w:r>
      <w:bookmarkStart w:id="111" w:name="_Toc296346659"/>
      <w:bookmarkStart w:id="112" w:name="_Toc292559363"/>
      <w:bookmarkStart w:id="113" w:name="_Toc296503158"/>
      <w:bookmarkStart w:id="114" w:name="_Toc296347157"/>
      <w:bookmarkStart w:id="115" w:name="_Toc292559868"/>
      <w:bookmarkStart w:id="116" w:name="_Toc297048344"/>
      <w:bookmarkStart w:id="117" w:name="_Toc296944497"/>
      <w:bookmarkStart w:id="118" w:name="_Toc297120458"/>
      <w:bookmarkStart w:id="119" w:name="_Toc296891198"/>
      <w:bookmarkStart w:id="120" w:name="_Toc296890986"/>
      <w:r>
        <w:rPr>
          <w:rFonts w:hint="eastAsia" w:ascii="宋体" w:hAnsi="宋体" w:cs="宋体"/>
          <w:bCs/>
          <w:sz w:val="24"/>
          <w:highlight w:val="none"/>
        </w:rPr>
        <w:t>. 承包人</w:t>
      </w:r>
      <w:bookmarkEnd w:id="110"/>
    </w:p>
    <w:bookmarkEnd w:id="111"/>
    <w:bookmarkEnd w:id="112"/>
    <w:bookmarkEnd w:id="113"/>
    <w:bookmarkEnd w:id="114"/>
    <w:bookmarkEnd w:id="115"/>
    <w:bookmarkEnd w:id="116"/>
    <w:bookmarkEnd w:id="117"/>
    <w:bookmarkEnd w:id="118"/>
    <w:bookmarkEnd w:id="119"/>
    <w:bookmarkEnd w:id="120"/>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2"/>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2"/>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2"/>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2"/>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1" w:name="_Toc304295523"/>
      <w:bookmarkStart w:id="122" w:name="_Toc296346660"/>
      <w:bookmarkStart w:id="123" w:name="_Toc296891199"/>
      <w:bookmarkStart w:id="124" w:name="_Toc303539102"/>
      <w:bookmarkStart w:id="125" w:name="_Toc297120459"/>
      <w:bookmarkStart w:id="126" w:name="_Toc296890987"/>
      <w:bookmarkStart w:id="127" w:name="_Toc297048345"/>
      <w:bookmarkStart w:id="128" w:name="_Toc300934945"/>
      <w:bookmarkStart w:id="129" w:name="_Toc297123492"/>
      <w:bookmarkStart w:id="130" w:name="_Toc292559364"/>
      <w:bookmarkStart w:id="131" w:name="_Toc296944498"/>
      <w:bookmarkStart w:id="132" w:name="_Toc312677988"/>
      <w:bookmarkStart w:id="133" w:name="_Toc292559869"/>
      <w:bookmarkStart w:id="134" w:name="_Toc297216151"/>
      <w:bookmarkStart w:id="135" w:name="_Toc296503159"/>
      <w:bookmarkStart w:id="136" w:name="_Toc296347158"/>
      <w:r>
        <w:rPr>
          <w:rFonts w:hint="eastAsia" w:ascii="宋体" w:hAnsi="宋体" w:cs="宋体"/>
          <w:bCs/>
          <w:sz w:val="24"/>
          <w:highlight w:val="none"/>
        </w:rPr>
        <w:t>.5 分包</w:t>
      </w: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7" w:name="_Toc297120460"/>
      <w:bookmarkStart w:id="138" w:name="_Toc297048346"/>
      <w:bookmarkStart w:id="139" w:name="_Toc296944499"/>
      <w:bookmarkStart w:id="140" w:name="_Toc300934946"/>
      <w:bookmarkStart w:id="141" w:name="_Toc296890988"/>
      <w:bookmarkStart w:id="142" w:name="_Toc297216152"/>
      <w:bookmarkStart w:id="143" w:name="_Toc296346661"/>
      <w:bookmarkStart w:id="144" w:name="_Toc304295524"/>
      <w:bookmarkStart w:id="145" w:name="_Toc297123493"/>
      <w:bookmarkStart w:id="146" w:name="_Toc303539103"/>
      <w:bookmarkStart w:id="147" w:name="_Toc296347159"/>
      <w:bookmarkStart w:id="148" w:name="_Toc296503160"/>
      <w:bookmarkStart w:id="149" w:name="_Toc296891200"/>
      <w:bookmarkStart w:id="150" w:name="_Toc292559870"/>
      <w:bookmarkStart w:id="151" w:name="_Toc292559365"/>
      <w:bookmarkStart w:id="152" w:name="_Toc312677989"/>
      <w:bookmarkStart w:id="153" w:name="_Toc318581158"/>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Start w:id="154" w:name="_Toc303539104"/>
      <w:bookmarkStart w:id="155" w:name="_Toc304295525"/>
      <w:bookmarkStart w:id="156" w:name="_Toc296503161"/>
      <w:bookmarkStart w:id="157" w:name="_Toc297216153"/>
      <w:bookmarkStart w:id="158" w:name="_Toc297048347"/>
      <w:bookmarkStart w:id="159" w:name="_Toc296890989"/>
      <w:bookmarkStart w:id="160" w:name="_Toc297120461"/>
      <w:bookmarkStart w:id="161" w:name="_Toc296891201"/>
      <w:bookmarkStart w:id="162" w:name="_Toc300934947"/>
      <w:bookmarkStart w:id="163" w:name="_Toc296346662"/>
      <w:bookmarkStart w:id="164" w:name="_Toc296944500"/>
      <w:bookmarkStart w:id="165" w:name="_Toc297123494"/>
      <w:bookmarkStart w:id="166" w:name="_Toc296347160"/>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7" w:name="_Toc312677990"/>
      <w:bookmarkStart w:id="168"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7"/>
    <w:bookmarkEnd w:id="168"/>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69" w:name="_Toc351203636"/>
      <w:r>
        <w:rPr>
          <w:rFonts w:hint="eastAsia" w:ascii="宋体" w:hAnsi="宋体" w:cs="宋体"/>
          <w:bCs/>
          <w:sz w:val="24"/>
          <w:highlight w:val="none"/>
        </w:rPr>
        <w:t>4</w:t>
      </w:r>
      <w:bookmarkStart w:id="170" w:name="_Toc296346663"/>
      <w:bookmarkStart w:id="171" w:name="_Toc292559871"/>
      <w:bookmarkStart w:id="172" w:name="_Toc296891202"/>
      <w:bookmarkStart w:id="173" w:name="_Toc297048348"/>
      <w:bookmarkStart w:id="174" w:name="_Toc296503162"/>
      <w:bookmarkStart w:id="175" w:name="_Toc296890990"/>
      <w:bookmarkStart w:id="176" w:name="_Toc267251413"/>
      <w:bookmarkStart w:id="177" w:name="_Toc296944501"/>
      <w:bookmarkStart w:id="178" w:name="_Toc297120462"/>
      <w:bookmarkStart w:id="179" w:name="_Toc292559366"/>
      <w:bookmarkStart w:id="180" w:name="_Toc296347161"/>
      <w:r>
        <w:rPr>
          <w:rFonts w:hint="eastAsia" w:ascii="宋体" w:hAnsi="宋体" w:cs="宋体"/>
          <w:bCs/>
          <w:sz w:val="24"/>
          <w:highlight w:val="none"/>
        </w:rPr>
        <w:t>. 监</w:t>
      </w:r>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Cs/>
          <w:sz w:val="24"/>
          <w:highlight w:val="none"/>
        </w:rPr>
        <w:t>理人</w:t>
      </w:r>
      <w:bookmarkEnd w:id="169"/>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1"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2" w:name="_Toc351203637"/>
      <w:r>
        <w:rPr>
          <w:rFonts w:hint="eastAsia" w:ascii="宋体" w:hAnsi="宋体" w:cs="宋体"/>
          <w:bCs/>
          <w:sz w:val="24"/>
          <w:highlight w:val="none"/>
        </w:rPr>
        <w:t>5</w:t>
      </w:r>
      <w:bookmarkEnd w:id="181"/>
      <w:bookmarkStart w:id="183" w:name="_Toc297048349"/>
      <w:bookmarkStart w:id="184" w:name="_Toc296503163"/>
      <w:bookmarkStart w:id="185" w:name="_Toc296891203"/>
      <w:bookmarkStart w:id="186" w:name="_Toc296346664"/>
      <w:bookmarkStart w:id="187" w:name="_Toc296944502"/>
      <w:bookmarkStart w:id="188" w:name="_Toc296890991"/>
      <w:bookmarkStart w:id="189" w:name="_Toc292559367"/>
      <w:bookmarkStart w:id="190" w:name="_Toc296347162"/>
      <w:bookmarkStart w:id="191" w:name="_Toc297120463"/>
      <w:bookmarkStart w:id="192" w:name="_Toc292559872"/>
      <w:r>
        <w:rPr>
          <w:rFonts w:hint="eastAsia" w:ascii="宋体" w:hAnsi="宋体" w:cs="宋体"/>
          <w:bCs/>
          <w:sz w:val="24"/>
          <w:highlight w:val="none"/>
        </w:rPr>
        <w:t>. 工程质量</w:t>
      </w:r>
      <w:bookmarkEnd w:id="182"/>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3" w:name="_Toc303539106"/>
      <w:bookmarkStart w:id="194" w:name="_Toc318581164"/>
      <w:bookmarkStart w:id="195" w:name="_Toc304295527"/>
      <w:bookmarkStart w:id="196" w:name="_Toc297123496"/>
      <w:bookmarkStart w:id="197" w:name="_Toc300934949"/>
      <w:bookmarkStart w:id="198" w:name="_Toc297216155"/>
      <w:bookmarkStart w:id="199" w:name="_Toc312677997"/>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0" w:name="_Toc351203638"/>
      <w:r>
        <w:rPr>
          <w:rFonts w:hint="eastAsia" w:ascii="宋体" w:hAnsi="宋体" w:cs="宋体"/>
          <w:bCs/>
          <w:sz w:val="24"/>
          <w:highlight w:val="none"/>
        </w:rPr>
        <w:t>6. 安全文明施工与环境保护</w:t>
      </w:r>
      <w:bookmarkEnd w:id="200"/>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3"/>
    <w:bookmarkEnd w:id="194"/>
    <w:bookmarkEnd w:id="195"/>
    <w:bookmarkEnd w:id="196"/>
    <w:bookmarkEnd w:id="197"/>
    <w:bookmarkEnd w:id="198"/>
    <w:bookmarkEnd w:id="199"/>
    <w:p w14:paraId="2879DE2F">
      <w:pPr>
        <w:spacing w:before="120" w:after="120" w:line="360" w:lineRule="auto"/>
        <w:ind w:firstLine="480" w:firstLineChars="200"/>
        <w:jc w:val="left"/>
        <w:rPr>
          <w:rFonts w:hint="eastAsia" w:ascii="宋体" w:hAnsi="宋体" w:cs="宋体"/>
          <w:bCs/>
          <w:sz w:val="24"/>
          <w:highlight w:val="none"/>
        </w:rPr>
      </w:pPr>
      <w:bookmarkStart w:id="201" w:name="_Toc351203639"/>
      <w:r>
        <w:rPr>
          <w:rFonts w:hint="eastAsia" w:ascii="宋体" w:hAnsi="宋体" w:cs="宋体"/>
          <w:bCs/>
          <w:sz w:val="24"/>
          <w:highlight w:val="none"/>
        </w:rPr>
        <w:t>7. 工期和进度</w:t>
      </w:r>
      <w:bookmarkEnd w:id="201"/>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2" w:name="_Toc297123514"/>
      <w:bookmarkStart w:id="203" w:name="_Toc312678005"/>
      <w:bookmarkStart w:id="204" w:name="_Toc312677479"/>
      <w:bookmarkStart w:id="205" w:name="_Toc300934966"/>
      <w:bookmarkStart w:id="206" w:name="_Toc303539123"/>
      <w:bookmarkStart w:id="207" w:name="_Toc304295541"/>
      <w:bookmarkStart w:id="208" w:name="_Toc297216173"/>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2"/>
    <w:bookmarkEnd w:id="203"/>
    <w:bookmarkEnd w:id="204"/>
    <w:bookmarkEnd w:id="205"/>
    <w:bookmarkEnd w:id="206"/>
    <w:bookmarkEnd w:id="207"/>
    <w:bookmarkEnd w:id="208"/>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9" w:name="_Toc297123516"/>
      <w:bookmarkStart w:id="210" w:name="_Toc312677484"/>
      <w:bookmarkStart w:id="211" w:name="_Toc312678010"/>
      <w:bookmarkStart w:id="212" w:name="_Toc297216175"/>
      <w:bookmarkStart w:id="213" w:name="_Toc303539125"/>
      <w:bookmarkStart w:id="214" w:name="_Toc300934968"/>
      <w:bookmarkStart w:id="215" w:name="_Toc304295546"/>
      <w:r>
        <w:rPr>
          <w:rFonts w:hint="eastAsia" w:ascii="宋体" w:hAnsi="宋体" w:cs="宋体"/>
          <w:bCs/>
          <w:sz w:val="24"/>
          <w:highlight w:val="none"/>
        </w:rPr>
        <w:t>.5 工期延误</w:t>
      </w:r>
    </w:p>
    <w:bookmarkEnd w:id="209"/>
    <w:bookmarkEnd w:id="210"/>
    <w:bookmarkEnd w:id="211"/>
    <w:bookmarkEnd w:id="212"/>
    <w:bookmarkEnd w:id="213"/>
    <w:bookmarkEnd w:id="214"/>
    <w:bookmarkEnd w:id="215"/>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6" w:name="_Toc318581169"/>
      <w:bookmarkStart w:id="217" w:name="_Toc312677486"/>
      <w:bookmarkStart w:id="218" w:name="_Toc312678012"/>
      <w:bookmarkStart w:id="219" w:name="_Toc303539127"/>
      <w:bookmarkStart w:id="220" w:name="_Toc297123518"/>
      <w:bookmarkStart w:id="221" w:name="_Toc304295548"/>
      <w:bookmarkStart w:id="222" w:name="_Toc297216177"/>
      <w:bookmarkStart w:id="223" w:name="_Toc300934970"/>
      <w:r>
        <w:rPr>
          <w:rFonts w:hint="eastAsia" w:ascii="宋体" w:hAnsi="宋体" w:cs="宋体"/>
          <w:bCs/>
          <w:sz w:val="24"/>
          <w:highlight w:val="none"/>
        </w:rPr>
        <w:t>.5.2 因承包人原因导致工期延误</w:t>
      </w:r>
    </w:p>
    <w:bookmarkEnd w:id="216"/>
    <w:bookmarkEnd w:id="217"/>
    <w:bookmarkEnd w:id="218"/>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4" w:name="_Toc312678013"/>
      <w:bookmarkStart w:id="225" w:name="_Toc312677487"/>
      <w:bookmarkStart w:id="226"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19"/>
      <w:bookmarkEnd w:id="220"/>
      <w:bookmarkEnd w:id="221"/>
      <w:bookmarkEnd w:id="222"/>
      <w:bookmarkEnd w:id="223"/>
      <w:bookmarkEnd w:id="224"/>
      <w:bookmarkEnd w:id="225"/>
    </w:p>
    <w:bookmarkEnd w:id="226"/>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7" w:name="_Toc312678014"/>
      <w:bookmarkStart w:id="228"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7"/>
    <w:bookmarkEnd w:id="228"/>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29" w:name="_Toc300934971"/>
      <w:bookmarkStart w:id="230" w:name="_Toc297123519"/>
      <w:bookmarkStart w:id="231" w:name="_Toc312678015"/>
      <w:bookmarkStart w:id="232" w:name="_Toc304295549"/>
      <w:bookmarkStart w:id="233" w:name="_Toc297216178"/>
      <w:bookmarkStart w:id="234" w:name="_Toc303539128"/>
      <w:r>
        <w:rPr>
          <w:rFonts w:hint="eastAsia" w:ascii="宋体" w:hAnsi="宋体" w:cs="宋体"/>
          <w:bCs/>
          <w:sz w:val="24"/>
          <w:highlight w:val="none"/>
        </w:rPr>
        <w:t>.6 不</w:t>
      </w:r>
      <w:bookmarkEnd w:id="229"/>
      <w:bookmarkEnd w:id="230"/>
      <w:bookmarkEnd w:id="231"/>
      <w:bookmarkEnd w:id="232"/>
      <w:bookmarkEnd w:id="233"/>
      <w:bookmarkEnd w:id="234"/>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5" w:name="_Toc300934972"/>
      <w:bookmarkStart w:id="236" w:name="_Toc304295550"/>
      <w:bookmarkStart w:id="237" w:name="_Toc297216179"/>
      <w:bookmarkStart w:id="238" w:name="_Toc297123520"/>
      <w:bookmarkStart w:id="239" w:name="_Toc318581172"/>
      <w:bookmarkStart w:id="240" w:name="_Toc312678016"/>
      <w:bookmarkStart w:id="241" w:name="_Toc303539129"/>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5"/>
    <w:bookmarkEnd w:id="236"/>
    <w:bookmarkEnd w:id="237"/>
    <w:bookmarkEnd w:id="238"/>
    <w:bookmarkEnd w:id="239"/>
    <w:bookmarkEnd w:id="240"/>
    <w:bookmarkEnd w:id="241"/>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2" w:name="_Toc300934973"/>
      <w:bookmarkStart w:id="243" w:name="_Toc312678017"/>
      <w:bookmarkStart w:id="244" w:name="_Toc297216180"/>
      <w:bookmarkStart w:id="245" w:name="_Toc304295551"/>
      <w:bookmarkStart w:id="246" w:name="_Toc297123521"/>
      <w:bookmarkStart w:id="247" w:name="_Toc303539130"/>
      <w:r>
        <w:rPr>
          <w:rFonts w:hint="eastAsia" w:ascii="宋体" w:hAnsi="宋体" w:cs="宋体"/>
          <w:bCs/>
          <w:sz w:val="24"/>
          <w:highlight w:val="none"/>
        </w:rPr>
        <w:t>.7异常恶劣的气候条件</w:t>
      </w:r>
    </w:p>
    <w:bookmarkEnd w:id="242"/>
    <w:bookmarkEnd w:id="243"/>
    <w:bookmarkEnd w:id="244"/>
    <w:bookmarkEnd w:id="245"/>
    <w:bookmarkEnd w:id="246"/>
    <w:bookmarkEnd w:id="247"/>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48" w:name="_Toc351203640"/>
      <w:r>
        <w:rPr>
          <w:rFonts w:hint="eastAsia" w:ascii="宋体" w:hAnsi="宋体" w:cs="宋体"/>
          <w:bCs/>
          <w:sz w:val="24"/>
          <w:highlight w:val="none"/>
        </w:rPr>
        <w:t>8. 材料与设备</w:t>
      </w:r>
      <w:bookmarkEnd w:id="248"/>
    </w:p>
    <w:bookmarkEnd w:id="183"/>
    <w:bookmarkEnd w:id="184"/>
    <w:bookmarkEnd w:id="185"/>
    <w:bookmarkEnd w:id="186"/>
    <w:bookmarkEnd w:id="187"/>
    <w:bookmarkEnd w:id="188"/>
    <w:bookmarkEnd w:id="189"/>
    <w:bookmarkEnd w:id="190"/>
    <w:bookmarkEnd w:id="191"/>
    <w:bookmarkEnd w:id="192"/>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49" w:name="_Toc296503167"/>
      <w:bookmarkStart w:id="250" w:name="_Toc312678019"/>
      <w:bookmarkStart w:id="251" w:name="_Toc296346668"/>
      <w:bookmarkStart w:id="252" w:name="_Toc312677493"/>
      <w:bookmarkStart w:id="253" w:name="_Toc297123527"/>
      <w:bookmarkStart w:id="254" w:name="_Toc292559877"/>
      <w:bookmarkStart w:id="255" w:name="_Toc303539136"/>
      <w:bookmarkStart w:id="256" w:name="_Toc296944506"/>
      <w:bookmarkStart w:id="257" w:name="_Toc300934979"/>
      <w:bookmarkStart w:id="258" w:name="_Toc296347166"/>
      <w:bookmarkStart w:id="259" w:name="_Toc296891207"/>
      <w:bookmarkStart w:id="260" w:name="_Toc297120467"/>
      <w:bookmarkStart w:id="261" w:name="_Toc304295556"/>
      <w:bookmarkStart w:id="262" w:name="_Toc280868654"/>
      <w:bookmarkStart w:id="263" w:name="_Toc297048353"/>
      <w:bookmarkStart w:id="264" w:name="_Toc296890995"/>
      <w:bookmarkStart w:id="265" w:name="_Toc292559372"/>
      <w:bookmarkStart w:id="266" w:name="_Toc297216186"/>
      <w:bookmarkStart w:id="267" w:name="_Toc280868655"/>
      <w:bookmarkStart w:id="268" w:name="_Toc267251424"/>
      <w:bookmarkStart w:id="269" w:name="_Toc280868656"/>
      <w:r>
        <w:rPr>
          <w:rFonts w:hint="eastAsia" w:ascii="宋体" w:hAnsi="宋体" w:cs="宋体"/>
          <w:bCs/>
          <w:sz w:val="24"/>
          <w:highlight w:val="none"/>
        </w:rPr>
        <w:t>.4材料与工程设备的保管与使用</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0" w:name="_Toc292559878"/>
      <w:bookmarkStart w:id="271" w:name="_Toc292559373"/>
      <w:bookmarkStart w:id="272" w:name="_Toc297120468"/>
      <w:bookmarkStart w:id="273" w:name="_Toc296944507"/>
      <w:bookmarkStart w:id="274" w:name="_Toc296890996"/>
      <w:bookmarkStart w:id="275" w:name="_Toc300934980"/>
      <w:bookmarkStart w:id="276" w:name="_Toc303539137"/>
      <w:bookmarkStart w:id="277" w:name="_Toc297048354"/>
      <w:bookmarkStart w:id="278" w:name="_Toc318581173"/>
      <w:bookmarkStart w:id="279" w:name="_Toc296347167"/>
      <w:bookmarkStart w:id="280" w:name="_Toc297123528"/>
      <w:bookmarkStart w:id="281" w:name="_Toc296346669"/>
      <w:bookmarkStart w:id="282" w:name="_Toc304295557"/>
      <w:bookmarkStart w:id="283" w:name="_Toc296503168"/>
      <w:bookmarkStart w:id="284" w:name="_Toc312678020"/>
      <w:bookmarkStart w:id="285" w:name="_Toc312677494"/>
      <w:bookmarkStart w:id="286" w:name="_Toc296891208"/>
      <w:bookmarkStart w:id="287" w:name="_Toc297216187"/>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0"/>
      <w:bookmarkEnd w:id="271"/>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14:paraId="767DD7F3">
      <w:pPr>
        <w:spacing w:before="120" w:after="120" w:line="360" w:lineRule="auto"/>
        <w:jc w:val="left"/>
        <w:rPr>
          <w:rFonts w:hint="eastAsia" w:ascii="宋体" w:hAnsi="宋体" w:cs="宋体"/>
          <w:bCs/>
          <w:sz w:val="24"/>
          <w:highlight w:val="none"/>
        </w:rPr>
      </w:pPr>
      <w:bookmarkStart w:id="288" w:name="_Toc351203641"/>
      <w:r>
        <w:rPr>
          <w:rFonts w:hint="eastAsia" w:ascii="宋体" w:hAnsi="宋体" w:cs="宋体"/>
          <w:bCs/>
          <w:sz w:val="24"/>
          <w:highlight w:val="none"/>
        </w:rPr>
        <w:t>9</w:t>
      </w:r>
      <w:bookmarkEnd w:id="267"/>
      <w:bookmarkEnd w:id="268"/>
      <w:bookmarkEnd w:id="269"/>
      <w:bookmarkStart w:id="289" w:name="_Toc297216192"/>
      <w:bookmarkStart w:id="290" w:name="_Toc312678021"/>
      <w:bookmarkStart w:id="291" w:name="_Toc300934982"/>
      <w:bookmarkStart w:id="292" w:name="_Toc297123533"/>
      <w:bookmarkStart w:id="293" w:name="_Toc312677495"/>
      <w:bookmarkStart w:id="294" w:name="_Toc303539139"/>
      <w:bookmarkStart w:id="295" w:name="_Toc304295559"/>
      <w:bookmarkStart w:id="296" w:name="_Toc296891001"/>
      <w:bookmarkStart w:id="297" w:name="_Toc296944512"/>
      <w:bookmarkStart w:id="298" w:name="_Toc296347172"/>
      <w:bookmarkStart w:id="299" w:name="_Toc296503173"/>
      <w:bookmarkStart w:id="300" w:name="_Toc292559883"/>
      <w:bookmarkStart w:id="301" w:name="_Toc296346674"/>
      <w:bookmarkStart w:id="302" w:name="_Toc297120473"/>
      <w:bookmarkStart w:id="303" w:name="_Toc267251427"/>
      <w:bookmarkStart w:id="304" w:name="_Toc297048359"/>
      <w:bookmarkStart w:id="305" w:name="_Toc292559378"/>
      <w:bookmarkStart w:id="306" w:name="_Toc267251428"/>
      <w:bookmarkStart w:id="307" w:name="_Toc296891213"/>
      <w:r>
        <w:rPr>
          <w:rFonts w:hint="eastAsia" w:ascii="宋体" w:hAnsi="宋体" w:cs="宋体"/>
          <w:bCs/>
          <w:sz w:val="24"/>
          <w:highlight w:val="none"/>
        </w:rPr>
        <w:t>. 试验与检验</w:t>
      </w:r>
      <w:bookmarkEnd w:id="288"/>
    </w:p>
    <w:bookmarkEnd w:id="289"/>
    <w:bookmarkEnd w:id="290"/>
    <w:bookmarkEnd w:id="291"/>
    <w:bookmarkEnd w:id="292"/>
    <w:bookmarkEnd w:id="293"/>
    <w:bookmarkEnd w:id="294"/>
    <w:bookmarkEnd w:id="295"/>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08" w:name="_Toc303539140"/>
      <w:bookmarkStart w:id="309" w:name="_Toc297123534"/>
      <w:bookmarkStart w:id="310" w:name="_Toc297216193"/>
      <w:bookmarkStart w:id="311" w:name="_Toc300934983"/>
      <w:bookmarkStart w:id="312" w:name="_Toc304295560"/>
      <w:bookmarkStart w:id="313" w:name="_Toc312678022"/>
      <w:bookmarkStart w:id="314" w:name="_Toc312677496"/>
      <w:r>
        <w:rPr>
          <w:rFonts w:hint="eastAsia" w:ascii="宋体" w:hAnsi="宋体" w:cs="宋体"/>
          <w:bCs/>
          <w:sz w:val="24"/>
          <w:highlight w:val="none"/>
        </w:rPr>
        <w:t>.1试验设备与试验人员</w:t>
      </w:r>
    </w:p>
    <w:bookmarkEnd w:id="308"/>
    <w:bookmarkEnd w:id="309"/>
    <w:bookmarkEnd w:id="310"/>
    <w:bookmarkEnd w:id="311"/>
    <w:bookmarkEnd w:id="312"/>
    <w:bookmarkEnd w:id="313"/>
    <w:bookmarkEnd w:id="314"/>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5" w:name="_Toc297123535"/>
      <w:bookmarkStart w:id="316" w:name="_Toc300934984"/>
      <w:bookmarkStart w:id="317" w:name="_Toc297216194"/>
      <w:bookmarkStart w:id="318" w:name="_Toc312678023"/>
      <w:bookmarkStart w:id="319" w:name="_Toc304295561"/>
      <w:bookmarkStart w:id="320" w:name="_Toc312677497"/>
      <w:bookmarkStart w:id="321" w:name="_Toc303539141"/>
      <w:bookmarkStart w:id="322"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5"/>
      <w:bookmarkEnd w:id="316"/>
      <w:bookmarkEnd w:id="317"/>
      <w:bookmarkEnd w:id="318"/>
      <w:bookmarkEnd w:id="319"/>
      <w:bookmarkEnd w:id="320"/>
      <w:bookmarkEnd w:id="321"/>
      <w:bookmarkStart w:id="323" w:name="_Toc297216195"/>
      <w:bookmarkStart w:id="324" w:name="_Toc304295562"/>
      <w:bookmarkStart w:id="325" w:name="_Toc312677498"/>
      <w:bookmarkStart w:id="326" w:name="_Toc303539142"/>
      <w:bookmarkStart w:id="327" w:name="_Toc297123536"/>
      <w:bookmarkStart w:id="328" w:name="_Toc312678024"/>
      <w:bookmarkStart w:id="329" w:name="_Toc300934985"/>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2"/>
    <w:bookmarkEnd w:id="323"/>
    <w:bookmarkEnd w:id="324"/>
    <w:bookmarkEnd w:id="325"/>
    <w:bookmarkEnd w:id="326"/>
    <w:bookmarkEnd w:id="327"/>
    <w:bookmarkEnd w:id="328"/>
    <w:bookmarkEnd w:id="329"/>
    <w:p w14:paraId="221F72CD">
      <w:pPr>
        <w:spacing w:before="120" w:after="120" w:line="360" w:lineRule="auto"/>
        <w:jc w:val="left"/>
        <w:rPr>
          <w:rFonts w:hint="eastAsia" w:ascii="宋体" w:hAnsi="宋体" w:cs="宋体"/>
          <w:bCs/>
          <w:sz w:val="24"/>
          <w:highlight w:val="none"/>
        </w:rPr>
      </w:pPr>
      <w:bookmarkStart w:id="330" w:name="_Toc351203642"/>
      <w:r>
        <w:rPr>
          <w:rFonts w:hint="eastAsia" w:ascii="宋体" w:hAnsi="宋体" w:cs="宋体"/>
          <w:bCs/>
          <w:sz w:val="24"/>
          <w:highlight w:val="none"/>
        </w:rPr>
        <w:t>1</w:t>
      </w:r>
      <w:bookmarkEnd w:id="296"/>
      <w:bookmarkEnd w:id="297"/>
      <w:bookmarkEnd w:id="298"/>
      <w:bookmarkEnd w:id="299"/>
      <w:bookmarkEnd w:id="300"/>
      <w:bookmarkEnd w:id="301"/>
      <w:bookmarkEnd w:id="302"/>
      <w:bookmarkEnd w:id="303"/>
      <w:bookmarkEnd w:id="304"/>
      <w:bookmarkEnd w:id="305"/>
      <w:bookmarkEnd w:id="306"/>
      <w:bookmarkEnd w:id="307"/>
      <w:bookmarkStart w:id="331" w:name="_Toc300934989"/>
      <w:bookmarkStart w:id="332" w:name="_Toc296891021"/>
      <w:bookmarkStart w:id="333" w:name="_Toc297120493"/>
      <w:bookmarkStart w:id="334" w:name="_Toc303539146"/>
      <w:bookmarkStart w:id="335" w:name="_Toc292559903"/>
      <w:bookmarkStart w:id="336" w:name="_Toc296503193"/>
      <w:bookmarkStart w:id="337" w:name="_Toc296944532"/>
      <w:bookmarkStart w:id="338" w:name="_Toc304295566"/>
      <w:bookmarkStart w:id="339" w:name="_Toc296347192"/>
      <w:bookmarkStart w:id="340" w:name="_Toc292559398"/>
      <w:bookmarkStart w:id="341" w:name="_Toc297123540"/>
      <w:bookmarkStart w:id="342" w:name="_Toc296891233"/>
      <w:bookmarkStart w:id="343" w:name="_Toc297048379"/>
      <w:bookmarkStart w:id="344" w:name="_Toc296346694"/>
      <w:bookmarkStart w:id="345" w:name="_Toc297216199"/>
      <w:bookmarkStart w:id="346" w:name="_Toc312677499"/>
      <w:bookmarkStart w:id="347" w:name="_Toc312678025"/>
      <w:bookmarkStart w:id="348" w:name="_Toc267251439"/>
      <w:bookmarkStart w:id="349" w:name="_Toc267251433"/>
      <w:bookmarkStart w:id="350" w:name="_Toc267251435"/>
      <w:bookmarkStart w:id="351" w:name="_Toc267251437"/>
      <w:bookmarkStart w:id="352" w:name="_Toc267251440"/>
      <w:bookmarkStart w:id="353" w:name="_Toc267251441"/>
      <w:bookmarkStart w:id="354" w:name="_Toc267251442"/>
      <w:r>
        <w:rPr>
          <w:rFonts w:hint="eastAsia" w:ascii="宋体" w:hAnsi="宋体" w:cs="宋体"/>
          <w:bCs/>
          <w:sz w:val="24"/>
          <w:highlight w:val="none"/>
        </w:rPr>
        <w:t>0. 变更</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bookmarkEnd w:id="346"/>
    <w:bookmarkEnd w:id="347"/>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5" w:name="_Toc296347193"/>
      <w:bookmarkStart w:id="356" w:name="_Toc297048380"/>
      <w:bookmarkStart w:id="357" w:name="_Toc312678026"/>
      <w:bookmarkStart w:id="358" w:name="_Toc296891234"/>
      <w:bookmarkStart w:id="359" w:name="_Toc296346695"/>
      <w:bookmarkStart w:id="360" w:name="_Toc300934990"/>
      <w:bookmarkStart w:id="361" w:name="_Toc292559399"/>
      <w:bookmarkStart w:id="362" w:name="_Toc303539147"/>
      <w:bookmarkStart w:id="363" w:name="_Toc296944533"/>
      <w:bookmarkStart w:id="364" w:name="_Toc296891022"/>
      <w:bookmarkStart w:id="365" w:name="_Toc297216200"/>
      <w:bookmarkStart w:id="366" w:name="_Toc296503194"/>
      <w:bookmarkStart w:id="367" w:name="_Toc304295567"/>
      <w:bookmarkStart w:id="368" w:name="_Toc297120494"/>
      <w:bookmarkStart w:id="369" w:name="_Toc297123541"/>
      <w:bookmarkStart w:id="370" w:name="_Toc292559904"/>
      <w:bookmarkStart w:id="371" w:name="_Toc312677500"/>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Start w:id="372" w:name="_Toc296347196"/>
      <w:bookmarkStart w:id="373" w:name="_Toc296891025"/>
      <w:bookmarkStart w:id="374" w:name="_Toc300934993"/>
      <w:bookmarkStart w:id="375" w:name="_Toc292559907"/>
      <w:bookmarkStart w:id="376" w:name="_Toc296944536"/>
      <w:bookmarkStart w:id="377" w:name="_Toc296891237"/>
      <w:bookmarkStart w:id="378" w:name="_Toc297048383"/>
      <w:bookmarkStart w:id="379" w:name="_Toc297120497"/>
      <w:bookmarkStart w:id="380" w:name="_Toc296346698"/>
      <w:bookmarkStart w:id="381" w:name="_Toc292559402"/>
      <w:bookmarkStart w:id="382" w:name="_Toc303539150"/>
      <w:bookmarkStart w:id="383" w:name="_Toc296503197"/>
      <w:bookmarkStart w:id="384" w:name="_Toc297123544"/>
      <w:bookmarkStart w:id="385" w:name="_Toc297216203"/>
      <w:bookmarkStart w:id="386" w:name="_Toc304295570"/>
      <w:bookmarkStart w:id="387" w:name="_Toc312678029"/>
      <w:bookmarkStart w:id="388" w:name="_Toc312677503"/>
      <w:r>
        <w:rPr>
          <w:rFonts w:hint="eastAsia" w:ascii="宋体" w:hAnsi="宋体" w:cs="宋体"/>
          <w:bCs/>
          <w:sz w:val="24"/>
          <w:highlight w:val="none"/>
        </w:rPr>
        <w:t>0.5承</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Start w:id="389" w:name="_Toc303539151"/>
      <w:bookmarkStart w:id="390" w:name="_Toc297120503"/>
      <w:bookmarkStart w:id="391" w:name="_Toc297123545"/>
      <w:bookmarkStart w:id="392" w:name="_Toc292559408"/>
      <w:bookmarkStart w:id="393" w:name="_Toc296944542"/>
      <w:bookmarkStart w:id="394" w:name="_Toc296347202"/>
      <w:bookmarkStart w:id="395" w:name="_Toc296346704"/>
      <w:bookmarkStart w:id="396" w:name="_Toc297048389"/>
      <w:bookmarkStart w:id="397" w:name="_Toc296891243"/>
      <w:bookmarkStart w:id="398" w:name="_Toc297216204"/>
      <w:bookmarkStart w:id="399" w:name="_Toc300934994"/>
      <w:bookmarkStart w:id="400" w:name="_Toc292559913"/>
      <w:bookmarkStart w:id="401" w:name="_Toc296891031"/>
      <w:bookmarkStart w:id="402" w:name="_Toc296503203"/>
      <w:r>
        <w:rPr>
          <w:rFonts w:hint="eastAsia" w:ascii="宋体" w:hAnsi="宋体" w:cs="宋体"/>
          <w:bCs/>
          <w:sz w:val="24"/>
          <w:highlight w:val="none"/>
        </w:rPr>
        <w:t>包人的合理化建议</w:t>
      </w:r>
    </w:p>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3" w:name="_Toc312678030"/>
      <w:bookmarkStart w:id="404" w:name="_Toc297123546"/>
      <w:bookmarkStart w:id="405" w:name="_Toc292559914"/>
      <w:bookmarkStart w:id="406" w:name="_Toc312677504"/>
      <w:bookmarkStart w:id="407" w:name="_Toc297216205"/>
      <w:bookmarkStart w:id="408" w:name="_Toc318581175"/>
      <w:bookmarkStart w:id="409" w:name="_Toc297048390"/>
      <w:bookmarkStart w:id="410" w:name="_Toc303539152"/>
      <w:bookmarkStart w:id="411" w:name="_Toc292559409"/>
      <w:bookmarkStart w:id="412" w:name="_Toc296891244"/>
      <w:bookmarkStart w:id="413" w:name="_Toc297120504"/>
      <w:bookmarkStart w:id="414" w:name="_Toc296891032"/>
      <w:bookmarkStart w:id="415" w:name="_Toc300934995"/>
      <w:bookmarkStart w:id="416" w:name="_Toc296347203"/>
      <w:bookmarkStart w:id="417" w:name="_Toc304295571"/>
      <w:bookmarkStart w:id="418" w:name="_Toc296944543"/>
      <w:bookmarkStart w:id="419" w:name="_Toc296346705"/>
      <w:bookmarkStart w:id="420" w:name="_Toc296503204"/>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1" w:name="_Toc296891027"/>
      <w:bookmarkStart w:id="422" w:name="_Toc296503199"/>
      <w:bookmarkStart w:id="423" w:name="_Toc303539154"/>
      <w:bookmarkStart w:id="424" w:name="_Toc296346700"/>
      <w:bookmarkStart w:id="425" w:name="_Toc292559909"/>
      <w:bookmarkStart w:id="426" w:name="_Toc297216207"/>
      <w:bookmarkStart w:id="427" w:name="_Toc297120499"/>
      <w:bookmarkStart w:id="428" w:name="_Toc312677507"/>
      <w:bookmarkStart w:id="429" w:name="_Toc296944538"/>
      <w:bookmarkStart w:id="430" w:name="_Toc297048385"/>
      <w:bookmarkStart w:id="431" w:name="_Toc292559404"/>
      <w:bookmarkStart w:id="432" w:name="_Toc296891239"/>
      <w:bookmarkStart w:id="433" w:name="_Toc312678033"/>
      <w:bookmarkStart w:id="434" w:name="_Toc297123548"/>
      <w:bookmarkStart w:id="435" w:name="_Toc296347198"/>
      <w:bookmarkStart w:id="436" w:name="_Toc300934997"/>
      <w:bookmarkStart w:id="437" w:name="_Toc304295574"/>
      <w:r>
        <w:rPr>
          <w:rFonts w:hint="eastAsia" w:ascii="宋体" w:hAnsi="宋体" w:cs="宋体"/>
          <w:bCs/>
          <w:sz w:val="24"/>
          <w:highlight w:val="none"/>
        </w:rPr>
        <w:t>0.7 暂估价</w:t>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38" w:name="_Toc312677508"/>
      <w:bookmarkStart w:id="439" w:name="_Toc318581176"/>
      <w:bookmarkStart w:id="440" w:name="_Toc312678034"/>
      <w:r>
        <w:rPr>
          <w:rFonts w:hint="eastAsia" w:ascii="宋体" w:hAnsi="宋体" w:cs="宋体"/>
          <w:bCs/>
          <w:sz w:val="24"/>
          <w:highlight w:val="none"/>
        </w:rPr>
        <w:t>估价材料和工程设备的明细详见附件6：《暂估价一览表》。</w:t>
      </w:r>
    </w:p>
    <w:bookmarkEnd w:id="438"/>
    <w:bookmarkEnd w:id="439"/>
    <w:bookmarkEnd w:id="440"/>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1" w:name="_Toc318581177"/>
      <w:bookmarkStart w:id="442" w:name="_Toc312678035"/>
      <w:bookmarkStart w:id="443" w:name="_Toc312677509"/>
      <w:r>
        <w:rPr>
          <w:rFonts w:hint="eastAsia" w:ascii="宋体" w:hAnsi="宋体" w:cs="宋体"/>
          <w:bCs/>
          <w:sz w:val="24"/>
          <w:highlight w:val="none"/>
        </w:rPr>
        <w:t>0.7.1 依法必须招标的暂估价项目</w:t>
      </w:r>
    </w:p>
    <w:bookmarkEnd w:id="441"/>
    <w:bookmarkEnd w:id="442"/>
    <w:bookmarkEnd w:id="443"/>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4" w:name="_Toc351203643"/>
      <w:r>
        <w:rPr>
          <w:rFonts w:hint="eastAsia" w:ascii="宋体" w:hAnsi="宋体" w:cs="宋体"/>
          <w:bCs/>
          <w:sz w:val="24"/>
          <w:highlight w:val="none"/>
        </w:rPr>
        <w:t>11. 价格调整</w:t>
      </w:r>
      <w:bookmarkEnd w:id="444"/>
    </w:p>
    <w:p w14:paraId="5BB2E714">
      <w:pPr>
        <w:spacing w:after="120" w:line="360" w:lineRule="auto"/>
        <w:ind w:firstLine="480" w:firstLineChars="200"/>
        <w:rPr>
          <w:rFonts w:hint="eastAsia" w:ascii="宋体" w:hAnsi="宋体" w:cs="宋体"/>
          <w:bCs/>
          <w:sz w:val="24"/>
          <w:highlight w:val="none"/>
        </w:rPr>
      </w:pPr>
      <w:bookmarkStart w:id="445" w:name="_Toc297120501"/>
      <w:bookmarkStart w:id="446" w:name="_Toc296503201"/>
      <w:bookmarkStart w:id="447" w:name="_Toc304295577"/>
      <w:bookmarkStart w:id="448" w:name="_Toc296347200"/>
      <w:bookmarkStart w:id="449" w:name="_Toc292559911"/>
      <w:bookmarkStart w:id="450" w:name="_Toc296944540"/>
      <w:bookmarkStart w:id="451" w:name="_Toc296346702"/>
      <w:bookmarkStart w:id="452" w:name="_Toc312678039"/>
      <w:bookmarkStart w:id="453" w:name="_Toc292559406"/>
      <w:bookmarkStart w:id="454" w:name="_Toc296891241"/>
      <w:bookmarkStart w:id="455" w:name="_Toc300935000"/>
      <w:bookmarkStart w:id="456" w:name="_Toc297216209"/>
      <w:bookmarkStart w:id="457" w:name="_Toc297123550"/>
      <w:bookmarkStart w:id="458" w:name="_Toc297048387"/>
      <w:bookmarkStart w:id="459" w:name="_Toc303539157"/>
      <w:bookmarkStart w:id="460" w:name="_Toc296891029"/>
      <w:r>
        <w:rPr>
          <w:rFonts w:hint="eastAsia" w:ascii="宋体" w:hAnsi="宋体" w:cs="宋体"/>
          <w:bCs/>
          <w:sz w:val="24"/>
          <w:highlight w:val="none"/>
        </w:rPr>
        <w:t>11.1 市场价格波动引起的调整</w:t>
      </w:r>
    </w:p>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48"/>
    <w:bookmarkEnd w:id="349"/>
    <w:bookmarkEnd w:id="350"/>
    <w:bookmarkEnd w:id="351"/>
    <w:bookmarkEnd w:id="352"/>
    <w:bookmarkEnd w:id="353"/>
    <w:p w14:paraId="06BC8C9E">
      <w:pPr>
        <w:spacing w:before="120" w:after="120" w:line="360" w:lineRule="auto"/>
        <w:jc w:val="left"/>
        <w:rPr>
          <w:rFonts w:hint="eastAsia" w:ascii="宋体" w:hAnsi="宋体" w:cs="宋体"/>
          <w:bCs/>
          <w:sz w:val="24"/>
          <w:highlight w:val="none"/>
        </w:rPr>
      </w:pPr>
      <w:bookmarkStart w:id="461" w:name="_Toc296891245"/>
      <w:bookmarkStart w:id="462" w:name="_Toc296503205"/>
      <w:bookmarkStart w:id="463" w:name="_Toc292559410"/>
      <w:bookmarkStart w:id="464" w:name="_Toc296346706"/>
      <w:bookmarkStart w:id="465" w:name="_Toc296891033"/>
      <w:bookmarkStart w:id="466" w:name="_Toc297120505"/>
      <w:bookmarkStart w:id="467" w:name="_Toc297048391"/>
      <w:bookmarkStart w:id="468" w:name="_Toc296347204"/>
      <w:bookmarkStart w:id="469" w:name="_Toc296944544"/>
      <w:bookmarkStart w:id="470" w:name="_Toc292559915"/>
      <w:bookmarkStart w:id="471" w:name="_Toc351203644"/>
      <w:bookmarkStart w:id="472" w:name="_Toc304295579"/>
      <w:bookmarkStart w:id="473" w:name="_Toc297123552"/>
      <w:bookmarkStart w:id="474" w:name="_Toc297216211"/>
      <w:bookmarkStart w:id="475" w:name="_Toc303539159"/>
      <w:bookmarkStart w:id="476" w:name="_Toc312678040"/>
      <w:bookmarkStart w:id="477" w:name="_Toc300935002"/>
      <w:r>
        <w:rPr>
          <w:rFonts w:hint="eastAsia" w:ascii="宋体" w:hAnsi="宋体" w:cs="宋体"/>
          <w:bCs/>
          <w:sz w:val="24"/>
          <w:highlight w:val="none"/>
        </w:rPr>
        <w:t xml:space="preserve">12. </w:t>
      </w:r>
      <w:bookmarkEnd w:id="461"/>
      <w:bookmarkEnd w:id="462"/>
      <w:bookmarkEnd w:id="463"/>
      <w:bookmarkEnd w:id="464"/>
      <w:bookmarkEnd w:id="465"/>
      <w:bookmarkEnd w:id="466"/>
      <w:bookmarkEnd w:id="467"/>
      <w:bookmarkEnd w:id="468"/>
      <w:bookmarkEnd w:id="469"/>
      <w:bookmarkEnd w:id="470"/>
      <w:r>
        <w:rPr>
          <w:rFonts w:hint="eastAsia" w:ascii="宋体" w:hAnsi="宋体" w:cs="宋体"/>
          <w:bCs/>
          <w:sz w:val="24"/>
          <w:highlight w:val="none"/>
        </w:rPr>
        <w:t>合同价格、计量与支付</w:t>
      </w:r>
      <w:bookmarkEnd w:id="471"/>
    </w:p>
    <w:bookmarkEnd w:id="472"/>
    <w:bookmarkEnd w:id="473"/>
    <w:bookmarkEnd w:id="474"/>
    <w:bookmarkEnd w:id="475"/>
    <w:bookmarkEnd w:id="476"/>
    <w:bookmarkEnd w:id="477"/>
    <w:p w14:paraId="2F4F67B1">
      <w:pPr>
        <w:spacing w:after="120" w:line="360" w:lineRule="auto"/>
        <w:ind w:firstLine="480" w:firstLineChars="200"/>
        <w:rPr>
          <w:rFonts w:hint="eastAsia" w:ascii="宋体" w:hAnsi="宋体" w:cs="宋体"/>
          <w:bCs/>
          <w:sz w:val="24"/>
          <w:highlight w:val="none"/>
        </w:rPr>
      </w:pPr>
      <w:bookmarkStart w:id="478" w:name="_Toc267251461"/>
      <w:bookmarkStart w:id="479" w:name="_Toc292559916"/>
      <w:bookmarkStart w:id="480" w:name="_Toc292559411"/>
      <w:bookmarkStart w:id="481" w:name="_Toc296944545"/>
      <w:bookmarkStart w:id="482" w:name="_Toc297048392"/>
      <w:bookmarkStart w:id="483" w:name="_Toc296346707"/>
      <w:bookmarkStart w:id="484" w:name="_Toc296891246"/>
      <w:bookmarkStart w:id="485" w:name="_Toc296891034"/>
      <w:bookmarkStart w:id="486" w:name="_Toc296503206"/>
      <w:bookmarkStart w:id="487" w:name="_Toc296347205"/>
      <w:bookmarkStart w:id="488" w:name="_Toc297120506"/>
      <w:bookmarkStart w:id="489" w:name="_Toc304295580"/>
      <w:bookmarkStart w:id="490" w:name="_Toc300935003"/>
      <w:bookmarkStart w:id="491" w:name="_Toc303539160"/>
      <w:bookmarkStart w:id="492" w:name="_Toc297123553"/>
      <w:bookmarkStart w:id="493" w:name="_Toc297216212"/>
      <w:bookmarkStart w:id="494" w:name="_Toc312678041"/>
      <w:r>
        <w:rPr>
          <w:rFonts w:hint="eastAsia" w:ascii="宋体" w:hAnsi="宋体" w:cs="宋体"/>
          <w:bCs/>
          <w:sz w:val="24"/>
          <w:highlight w:val="none"/>
        </w:rPr>
        <w:t>12.1 合</w:t>
      </w:r>
      <w:bookmarkEnd w:id="478"/>
      <w:bookmarkEnd w:id="479"/>
      <w:bookmarkEnd w:id="480"/>
      <w:r>
        <w:rPr>
          <w:rFonts w:hint="eastAsia" w:ascii="宋体" w:hAnsi="宋体" w:cs="宋体"/>
          <w:bCs/>
          <w:sz w:val="24"/>
          <w:highlight w:val="none"/>
        </w:rPr>
        <w:t>同价</w:t>
      </w:r>
      <w:bookmarkEnd w:id="481"/>
      <w:bookmarkEnd w:id="482"/>
      <w:bookmarkEnd w:id="483"/>
      <w:bookmarkEnd w:id="484"/>
      <w:bookmarkEnd w:id="485"/>
      <w:bookmarkEnd w:id="486"/>
      <w:bookmarkEnd w:id="487"/>
      <w:bookmarkEnd w:id="488"/>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89"/>
    <w:bookmarkEnd w:id="490"/>
    <w:bookmarkEnd w:id="491"/>
    <w:bookmarkEnd w:id="492"/>
    <w:bookmarkEnd w:id="493"/>
    <w:bookmarkEnd w:id="494"/>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5" w:name="_Toc303539161"/>
      <w:bookmarkStart w:id="496" w:name="_Toc297216213"/>
      <w:bookmarkStart w:id="497" w:name="_Toc312678042"/>
      <w:bookmarkStart w:id="498" w:name="_Toc297123554"/>
      <w:bookmarkStart w:id="499" w:name="_Toc300935004"/>
      <w:bookmarkStart w:id="500" w:name="_Toc304295581"/>
      <w:bookmarkStart w:id="501" w:name="_Toc296891035"/>
      <w:bookmarkStart w:id="502" w:name="_Toc296503207"/>
      <w:bookmarkStart w:id="503" w:name="_Toc296891247"/>
      <w:bookmarkStart w:id="504" w:name="_Toc297048393"/>
      <w:bookmarkStart w:id="505" w:name="_Toc296347206"/>
      <w:bookmarkStart w:id="506" w:name="_Toc292559412"/>
      <w:bookmarkStart w:id="507" w:name="_Toc297120507"/>
      <w:bookmarkStart w:id="508" w:name="_Toc296346708"/>
      <w:bookmarkStart w:id="509" w:name="_Toc292559917"/>
      <w:bookmarkStart w:id="510" w:name="_Toc296944546"/>
      <w:r>
        <w:rPr>
          <w:rFonts w:hint="eastAsia" w:ascii="宋体" w:hAnsi="宋体" w:cs="宋体"/>
          <w:bCs/>
          <w:sz w:val="24"/>
          <w:highlight w:val="none"/>
        </w:rPr>
        <w:t>12.2 预付款</w:t>
      </w:r>
    </w:p>
    <w:bookmarkEnd w:id="495"/>
    <w:bookmarkEnd w:id="496"/>
    <w:bookmarkEnd w:id="497"/>
    <w:bookmarkEnd w:id="498"/>
    <w:bookmarkEnd w:id="499"/>
    <w:bookmarkEnd w:id="500"/>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1"/>
    <w:bookmarkEnd w:id="502"/>
    <w:bookmarkEnd w:id="503"/>
    <w:bookmarkEnd w:id="504"/>
    <w:bookmarkEnd w:id="505"/>
    <w:bookmarkEnd w:id="506"/>
    <w:bookmarkEnd w:id="507"/>
    <w:bookmarkEnd w:id="508"/>
    <w:bookmarkEnd w:id="509"/>
    <w:bookmarkEnd w:id="510"/>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1" w:name="_Toc297120511"/>
      <w:bookmarkStart w:id="512" w:name="_Toc297048397"/>
      <w:bookmarkStart w:id="513" w:name="_Toc296891251"/>
      <w:bookmarkStart w:id="514" w:name="_Toc297216215"/>
      <w:bookmarkStart w:id="515" w:name="_Toc296346712"/>
      <w:bookmarkStart w:id="516" w:name="_Toc296891039"/>
      <w:bookmarkStart w:id="517" w:name="_Toc292559416"/>
      <w:bookmarkStart w:id="518" w:name="_Toc296503211"/>
      <w:bookmarkStart w:id="519" w:name="_Toc296347210"/>
      <w:bookmarkStart w:id="520" w:name="_Toc300935006"/>
      <w:bookmarkStart w:id="521" w:name="_Toc296944550"/>
      <w:bookmarkStart w:id="522" w:name="_Toc303539163"/>
      <w:bookmarkStart w:id="523" w:name="_Toc297123556"/>
      <w:bookmarkStart w:id="524" w:name="_Toc292559921"/>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4"/>
    <w:p w14:paraId="279136F7">
      <w:pPr>
        <w:spacing w:before="120" w:after="120" w:line="360" w:lineRule="auto"/>
        <w:jc w:val="left"/>
        <w:rPr>
          <w:rFonts w:hint="eastAsia" w:ascii="宋体" w:hAnsi="宋体" w:cs="宋体"/>
          <w:bCs/>
          <w:sz w:val="24"/>
          <w:highlight w:val="none"/>
        </w:rPr>
      </w:pPr>
      <w:bookmarkStart w:id="525" w:name="_Toc351203645"/>
      <w:bookmarkStart w:id="526" w:name="_Toc296503219"/>
      <w:bookmarkStart w:id="527" w:name="_Toc296944558"/>
      <w:bookmarkStart w:id="528" w:name="_Toc292559929"/>
      <w:bookmarkStart w:id="529" w:name="_Toc300935015"/>
      <w:bookmarkStart w:id="530" w:name="_Toc304295593"/>
      <w:bookmarkStart w:id="531" w:name="_Toc292559424"/>
      <w:bookmarkStart w:id="532" w:name="_Toc297216223"/>
      <w:bookmarkStart w:id="533" w:name="_Toc297120519"/>
      <w:bookmarkStart w:id="534" w:name="_Toc296346720"/>
      <w:bookmarkStart w:id="535" w:name="_Toc297048405"/>
      <w:bookmarkStart w:id="536" w:name="_Toc303539172"/>
      <w:bookmarkStart w:id="537" w:name="_Toc296891259"/>
      <w:bookmarkStart w:id="538" w:name="_Toc296347218"/>
      <w:bookmarkStart w:id="539" w:name="_Toc297123564"/>
      <w:bookmarkStart w:id="540" w:name="_Toc296891047"/>
      <w:bookmarkStart w:id="541" w:name="_Toc312678053"/>
      <w:r>
        <w:rPr>
          <w:rFonts w:hint="eastAsia" w:ascii="宋体" w:hAnsi="宋体" w:cs="宋体"/>
          <w:bCs/>
          <w:sz w:val="24"/>
          <w:highlight w:val="none"/>
        </w:rPr>
        <w:t>13. 验收和工程试车</w:t>
      </w:r>
      <w:bookmarkEnd w:id="525"/>
    </w:p>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2" w:name="_Toc303539173"/>
      <w:bookmarkStart w:id="543" w:name="_Toc296891051"/>
      <w:bookmarkStart w:id="544" w:name="_Toc297216224"/>
      <w:bookmarkStart w:id="545" w:name="_Toc297120523"/>
      <w:bookmarkStart w:id="546" w:name="_Toc296347222"/>
      <w:bookmarkStart w:id="547" w:name="_Toc300935016"/>
      <w:bookmarkStart w:id="548" w:name="_Toc296891263"/>
      <w:bookmarkStart w:id="549" w:name="_Toc292559933"/>
      <w:bookmarkStart w:id="550" w:name="_Toc296346724"/>
      <w:bookmarkStart w:id="551" w:name="_Toc292559428"/>
      <w:bookmarkStart w:id="552" w:name="_Toc297048409"/>
      <w:bookmarkStart w:id="553" w:name="_Toc297123565"/>
      <w:bookmarkStart w:id="554" w:name="_Toc296944562"/>
      <w:bookmarkStart w:id="555" w:name="_Toc296503223"/>
      <w:bookmarkStart w:id="556" w:name="_Toc304295596"/>
      <w:bookmarkStart w:id="557" w:name="_Toc312678056"/>
      <w:bookmarkStart w:id="558" w:name="_Toc267251475"/>
      <w:bookmarkStart w:id="559" w:name="_Toc267251474"/>
      <w:bookmarkStart w:id="560" w:name="_Toc267251472"/>
      <w:bookmarkStart w:id="561" w:name="_Toc267251470"/>
      <w:bookmarkStart w:id="562" w:name="_Toc267251471"/>
      <w:bookmarkStart w:id="563" w:name="_Toc267251473"/>
      <w:bookmarkStart w:id="564" w:name="_Toc267251476"/>
      <w:r>
        <w:rPr>
          <w:rFonts w:hint="eastAsia" w:ascii="宋体" w:hAnsi="宋体" w:cs="宋体"/>
          <w:bCs/>
          <w:sz w:val="24"/>
          <w:highlight w:val="none"/>
        </w:rPr>
        <w:t>13.2 竣工验收</w:t>
      </w:r>
    </w:p>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14:paraId="06D440EA">
      <w:pPr>
        <w:spacing w:line="360" w:lineRule="auto"/>
        <w:ind w:firstLine="480" w:firstLineChars="200"/>
        <w:jc w:val="left"/>
        <w:rPr>
          <w:rFonts w:hint="eastAsia" w:ascii="宋体" w:hAnsi="宋体" w:cs="宋体"/>
          <w:bCs/>
          <w:sz w:val="24"/>
          <w:highlight w:val="none"/>
        </w:rPr>
      </w:pPr>
      <w:bookmarkStart w:id="565" w:name="_Toc280868704"/>
      <w:bookmarkStart w:id="566" w:name="_Toc280868705"/>
      <w:bookmarkStart w:id="567" w:name="_Toc280868706"/>
      <w:bookmarkStart w:id="568" w:name="_Toc280868707"/>
      <w:bookmarkStart w:id="569" w:name="_Toc280868708"/>
      <w:bookmarkStart w:id="570" w:name="_Toc280868709"/>
      <w:r>
        <w:rPr>
          <w:rFonts w:hint="eastAsia" w:ascii="宋体" w:hAnsi="宋体" w:cs="宋体"/>
          <w:bCs/>
          <w:sz w:val="24"/>
          <w:highlight w:val="none"/>
        </w:rPr>
        <w:t>13.2.2竣工验收程序</w:t>
      </w:r>
    </w:p>
    <w:bookmarkEnd w:id="565"/>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6"/>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7"/>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68"/>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69"/>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1" w:name="_Toc351203646"/>
      <w:r>
        <w:rPr>
          <w:rFonts w:hint="eastAsia" w:ascii="宋体" w:hAnsi="宋体" w:cs="宋体"/>
          <w:bCs/>
          <w:sz w:val="24"/>
          <w:highlight w:val="none"/>
        </w:rPr>
        <w:t>14. 竣工结算</w:t>
      </w:r>
      <w:bookmarkEnd w:id="571"/>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58"/>
    <w:bookmarkEnd w:id="559"/>
    <w:bookmarkEnd w:id="560"/>
    <w:bookmarkEnd w:id="561"/>
    <w:bookmarkEnd w:id="562"/>
    <w:bookmarkEnd w:id="563"/>
    <w:bookmarkEnd w:id="564"/>
    <w:bookmarkEnd w:id="570"/>
    <w:p w14:paraId="1487BFDB">
      <w:pPr>
        <w:spacing w:before="120" w:after="120" w:line="360" w:lineRule="auto"/>
        <w:jc w:val="left"/>
        <w:rPr>
          <w:rFonts w:hint="eastAsia" w:ascii="宋体" w:hAnsi="宋体" w:cs="宋体"/>
          <w:bCs/>
          <w:sz w:val="24"/>
          <w:highlight w:val="none"/>
        </w:rPr>
      </w:pPr>
      <w:bookmarkStart w:id="572" w:name="_Toc351203647"/>
      <w:bookmarkStart w:id="573" w:name="_Toc267251483"/>
      <w:bookmarkStart w:id="574" w:name="_Toc267251482"/>
      <w:bookmarkStart w:id="575" w:name="_Toc267251484"/>
      <w:bookmarkStart w:id="576" w:name="_Toc267251485"/>
      <w:bookmarkStart w:id="577" w:name="_Toc267251488"/>
      <w:bookmarkStart w:id="578" w:name="_Toc267251489"/>
      <w:bookmarkStart w:id="579" w:name="_Toc267251490"/>
      <w:bookmarkStart w:id="580" w:name="_Toc267251486"/>
      <w:bookmarkStart w:id="581" w:name="_Toc267251499"/>
      <w:bookmarkStart w:id="582" w:name="_Toc267251503"/>
      <w:bookmarkStart w:id="583" w:name="_Toc267251496"/>
      <w:bookmarkStart w:id="584" w:name="_Toc267251493"/>
      <w:bookmarkStart w:id="585" w:name="_Toc267251492"/>
      <w:bookmarkStart w:id="586" w:name="_Toc267251495"/>
      <w:bookmarkStart w:id="587" w:name="_Toc267251497"/>
      <w:bookmarkStart w:id="588" w:name="_Toc267251502"/>
      <w:bookmarkStart w:id="589" w:name="_Toc267251498"/>
      <w:bookmarkStart w:id="590" w:name="_Toc267251491"/>
      <w:bookmarkStart w:id="591" w:name="_Toc267251494"/>
      <w:bookmarkStart w:id="592" w:name="_Toc267251501"/>
      <w:bookmarkStart w:id="593" w:name="_Toc267251504"/>
      <w:bookmarkStart w:id="594" w:name="_Toc267251506"/>
      <w:bookmarkStart w:id="595" w:name="_Toc267251507"/>
      <w:bookmarkStart w:id="596" w:name="_Toc267251508"/>
      <w:bookmarkStart w:id="597" w:name="_Toc267251514"/>
      <w:bookmarkStart w:id="598" w:name="_Toc267251511"/>
      <w:bookmarkStart w:id="599" w:name="_Toc267251515"/>
      <w:bookmarkStart w:id="600" w:name="_Toc267251513"/>
      <w:bookmarkStart w:id="601" w:name="_Toc267251510"/>
      <w:bookmarkStart w:id="602" w:name="_Toc267251509"/>
      <w:r>
        <w:rPr>
          <w:rFonts w:hint="eastAsia" w:ascii="宋体" w:hAnsi="宋体" w:cs="宋体"/>
          <w:bCs/>
          <w:sz w:val="24"/>
          <w:highlight w:val="none"/>
        </w:rPr>
        <w:t>15. 缺陷责任期与保修</w:t>
      </w:r>
      <w:bookmarkEnd w:id="572"/>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3"/>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4"/>
    <w:bookmarkEnd w:id="575"/>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6"/>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7"/>
    <w:bookmarkEnd w:id="578"/>
    <w:bookmarkEnd w:id="579"/>
    <w:bookmarkEnd w:id="580"/>
    <w:p w14:paraId="353E3C91">
      <w:pPr>
        <w:spacing w:before="120" w:after="120" w:line="360" w:lineRule="auto"/>
        <w:jc w:val="left"/>
        <w:rPr>
          <w:rFonts w:hint="eastAsia" w:ascii="宋体" w:hAnsi="宋体" w:cs="宋体"/>
          <w:bCs/>
          <w:sz w:val="24"/>
          <w:highlight w:val="none"/>
        </w:rPr>
      </w:pPr>
      <w:bookmarkStart w:id="603" w:name="_Toc351203648"/>
      <w:bookmarkStart w:id="604" w:name="_Toc280868717"/>
      <w:bookmarkStart w:id="605" w:name="_Toc280868718"/>
      <w:r>
        <w:rPr>
          <w:rFonts w:hint="eastAsia" w:ascii="宋体" w:hAnsi="宋体" w:cs="宋体"/>
          <w:bCs/>
          <w:sz w:val="24"/>
          <w:highlight w:val="none"/>
        </w:rPr>
        <w:t>16. 违约</w:t>
      </w:r>
      <w:bookmarkEnd w:id="603"/>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6" w:name="_Toc351203649"/>
      <w:r>
        <w:rPr>
          <w:rFonts w:hint="eastAsia" w:ascii="宋体" w:hAnsi="宋体" w:cs="宋体"/>
          <w:bCs/>
          <w:sz w:val="24"/>
          <w:highlight w:val="none"/>
        </w:rPr>
        <w:t>17. 不可抗力</w:t>
      </w:r>
      <w:bookmarkEnd w:id="606"/>
      <w:r>
        <w:rPr>
          <w:rFonts w:hint="eastAsia" w:ascii="宋体" w:hAnsi="宋体" w:cs="宋体"/>
          <w:bCs/>
          <w:sz w:val="24"/>
          <w:highlight w:val="none"/>
        </w:rPr>
        <w:t xml:space="preserve"> </w:t>
      </w:r>
      <w:bookmarkEnd w:id="604"/>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7" w:name="_Toc351203650"/>
      <w:r>
        <w:rPr>
          <w:rFonts w:hint="eastAsia" w:ascii="宋体" w:hAnsi="宋体" w:cs="宋体"/>
          <w:bCs/>
          <w:sz w:val="24"/>
          <w:highlight w:val="none"/>
        </w:rPr>
        <w:t>18. 保险</w:t>
      </w:r>
      <w:bookmarkEnd w:id="607"/>
    </w:p>
    <w:bookmarkEnd w:id="605"/>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1"/>
    <w:bookmarkEnd w:id="582"/>
    <w:bookmarkEnd w:id="583"/>
    <w:bookmarkEnd w:id="584"/>
    <w:bookmarkEnd w:id="585"/>
    <w:bookmarkEnd w:id="586"/>
    <w:bookmarkEnd w:id="587"/>
    <w:bookmarkEnd w:id="588"/>
    <w:bookmarkEnd w:id="589"/>
    <w:bookmarkEnd w:id="590"/>
    <w:bookmarkEnd w:id="591"/>
    <w:bookmarkEnd w:id="592"/>
    <w:p w14:paraId="582F3F0C">
      <w:pPr>
        <w:widowControl/>
        <w:spacing w:line="460" w:lineRule="exact"/>
        <w:jc w:val="left"/>
        <w:rPr>
          <w:rFonts w:hint="eastAsia" w:ascii="宋体" w:hAnsi="宋体" w:cs="宋体"/>
          <w:bCs/>
          <w:sz w:val="24"/>
          <w:highlight w:val="none"/>
        </w:rPr>
      </w:pPr>
      <w:bookmarkStart w:id="608" w:name="_Toc351203651"/>
      <w:r>
        <w:rPr>
          <w:rFonts w:hint="eastAsia" w:ascii="宋体" w:hAnsi="宋体" w:cs="宋体"/>
          <w:bCs/>
          <w:sz w:val="24"/>
          <w:highlight w:val="none"/>
        </w:rPr>
        <w:t>20. 争议解决</w:t>
      </w:r>
      <w:bookmarkEnd w:id="608"/>
    </w:p>
    <w:bookmarkEnd w:id="593"/>
    <w:bookmarkEnd w:id="594"/>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5"/>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6"/>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7"/>
      <w:bookmarkEnd w:id="598"/>
      <w:bookmarkEnd w:id="599"/>
      <w:bookmarkEnd w:id="600"/>
      <w:bookmarkEnd w:id="601"/>
      <w:bookmarkEnd w:id="602"/>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90CD27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7B62812B">
      <w:pPr>
        <w:rPr>
          <w:rFonts w:hint="eastAsia" w:ascii="宋体" w:hAnsi="宋体" w:cs="宋体"/>
          <w:bCs/>
          <w:sz w:val="24"/>
          <w:highlight w:val="none"/>
        </w:rPr>
      </w:pPr>
      <w:r>
        <w:rPr>
          <w:rFonts w:hint="eastAsia" w:ascii="宋体" w:hAnsi="宋体" w:cs="宋体"/>
          <w:bCs/>
          <w:sz w:val="24"/>
          <w:highlight w:val="none"/>
        </w:rPr>
        <w:br w:type="page"/>
      </w:r>
    </w:p>
    <w:bookmarkEnd w:id="43"/>
    <w:bookmarkEnd w:id="44"/>
    <w:bookmarkEnd w:id="45"/>
    <w:bookmarkEnd w:id="46"/>
    <w:bookmarkEnd w:id="47"/>
    <w:bookmarkEnd w:id="48"/>
    <w:bookmarkEnd w:id="49"/>
    <w:bookmarkEnd w:id="50"/>
    <w:bookmarkEnd w:id="51"/>
    <w:p w14:paraId="5BFA6A6D">
      <w:pPr>
        <w:pStyle w:val="4"/>
        <w:jc w:val="center"/>
        <w:rPr>
          <w:rFonts w:ascii="宋体" w:eastAsia="宋体" w:cs="宋体"/>
          <w:bCs/>
          <w:color w:val="auto"/>
          <w:szCs w:val="36"/>
          <w:highlight w:val="none"/>
        </w:rPr>
      </w:pPr>
      <w:bookmarkStart w:id="609" w:name="_Toc25085"/>
      <w:r>
        <w:rPr>
          <w:rFonts w:hint="eastAsia" w:ascii="宋体" w:eastAsia="宋体" w:cs="宋体"/>
          <w:bCs/>
          <w:color w:val="auto"/>
          <w:szCs w:val="36"/>
          <w:highlight w:val="none"/>
        </w:rPr>
        <w:t>第五章  磋商内容及技术要求</w:t>
      </w:r>
      <w:bookmarkEnd w:id="609"/>
      <w:bookmarkStart w:id="610" w:name="_Toc1025"/>
      <w:bookmarkStart w:id="611" w:name="_Toc20481"/>
      <w:bookmarkStart w:id="612" w:name="_Toc23856"/>
      <w:bookmarkStart w:id="613" w:name="_Toc4053"/>
      <w:bookmarkStart w:id="614" w:name="_Toc2711"/>
      <w:bookmarkStart w:id="615" w:name="_Toc11450"/>
      <w:bookmarkStart w:id="616" w:name="_Toc389582038"/>
    </w:p>
    <w:bookmarkEnd w:id="40"/>
    <w:bookmarkEnd w:id="610"/>
    <w:bookmarkEnd w:id="611"/>
    <w:bookmarkEnd w:id="612"/>
    <w:bookmarkEnd w:id="613"/>
    <w:bookmarkEnd w:id="614"/>
    <w:bookmarkEnd w:id="615"/>
    <w:bookmarkEnd w:id="616"/>
    <w:p w14:paraId="24F257D8">
      <w:pPr>
        <w:bidi w:val="0"/>
        <w:rPr>
          <w:rFonts w:hint="eastAsia"/>
          <w:lang w:eastAsia="zh-CN"/>
        </w:rPr>
      </w:pPr>
      <w:bookmarkStart w:id="617" w:name="_Toc5084"/>
      <w:bookmarkStart w:id="618" w:name="_Toc363474025"/>
      <w:bookmarkStart w:id="619" w:name="_Toc423973079"/>
      <w:bookmarkStart w:id="620" w:name="_Toc403077646"/>
      <w:r>
        <w:rPr>
          <w:rFonts w:hint="eastAsia"/>
          <w:lang w:eastAsia="zh-CN"/>
        </w:rPr>
        <w:drawing>
          <wp:inline distT="0" distB="0" distL="114300" distR="114300">
            <wp:extent cx="5756275" cy="8124190"/>
            <wp:effectExtent l="0" t="0" r="15875" b="10160"/>
            <wp:docPr id="14" name="图片 14" descr="山阳县杨地镇老街和新街改造提升工程（新街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山阳县杨地镇老街和新街改造提升工程（新街段）_01"/>
                    <pic:cNvPicPr>
                      <a:picLocks noChangeAspect="1"/>
                    </pic:cNvPicPr>
                  </pic:nvPicPr>
                  <pic:blipFill>
                    <a:blip r:embed="rId14"/>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5640" cy="4077970"/>
            <wp:effectExtent l="0" t="0" r="16510" b="17780"/>
            <wp:docPr id="13" name="图片 13" descr="山阳县杨地镇老街和新街改造提升工程（新街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山阳县杨地镇老街和新街改造提升工程（新街段）_02"/>
                    <pic:cNvPicPr>
                      <a:picLocks noChangeAspect="1"/>
                    </pic:cNvPicPr>
                  </pic:nvPicPr>
                  <pic:blipFill>
                    <a:blip r:embed="rId15"/>
                    <a:stretch>
                      <a:fillRect/>
                    </a:stretch>
                  </pic:blipFill>
                  <pic:spPr>
                    <a:xfrm>
                      <a:off x="0" y="0"/>
                      <a:ext cx="5755640" cy="407797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12" name="图片 12" descr="山阳县杨地镇老街和新街改造提升工程（新街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山阳县杨地镇老街和新街改造提升工程（新街段）_03"/>
                    <pic:cNvPicPr>
                      <a:picLocks noChangeAspect="1"/>
                    </pic:cNvPicPr>
                  </pic:nvPicPr>
                  <pic:blipFill>
                    <a:blip r:embed="rId16"/>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11" name="图片 11" descr="山阳县杨地镇老街和新街改造提升工程（新街段）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山阳县杨地镇老街和新街改造提升工程（新街段）_04"/>
                    <pic:cNvPicPr>
                      <a:picLocks noChangeAspect="1"/>
                    </pic:cNvPicPr>
                  </pic:nvPicPr>
                  <pic:blipFill>
                    <a:blip r:embed="rId17"/>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9" name="图片 9" descr="山阳县杨地镇老街和新街改造提升工程（新街段）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山阳县杨地镇老街和新街改造提升工程（新街段）_05"/>
                    <pic:cNvPicPr>
                      <a:picLocks noChangeAspect="1"/>
                    </pic:cNvPicPr>
                  </pic:nvPicPr>
                  <pic:blipFill>
                    <a:blip r:embed="rId18"/>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8" name="图片 8" descr="山阳县杨地镇老街和新街改造提升工程（新街段）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山阳县杨地镇老街和新街改造提升工程（新街段）_06"/>
                    <pic:cNvPicPr>
                      <a:picLocks noChangeAspect="1"/>
                    </pic:cNvPicPr>
                  </pic:nvPicPr>
                  <pic:blipFill>
                    <a:blip r:embed="rId19"/>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6" name="图片 6" descr="山阳县杨地镇老街和新街改造提升工程（新街段）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山阳县杨地镇老街和新街改造提升工程（新街段）_07"/>
                    <pic:cNvPicPr>
                      <a:picLocks noChangeAspect="1"/>
                    </pic:cNvPicPr>
                  </pic:nvPicPr>
                  <pic:blipFill>
                    <a:blip r:embed="rId20"/>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5" name="图片 5" descr="山阳县杨地镇老街和新街改造提升工程（新街段）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山阳县杨地镇老街和新街改造提升工程（新街段）_08"/>
                    <pic:cNvPicPr>
                      <a:picLocks noChangeAspect="1"/>
                    </pic:cNvPicPr>
                  </pic:nvPicPr>
                  <pic:blipFill>
                    <a:blip r:embed="rId21"/>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4" name="图片 4" descr="山阳县杨地镇老街和新街改造提升工程（新街段）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山阳县杨地镇老街和新街改造提升工程（新街段）_09"/>
                    <pic:cNvPicPr>
                      <a:picLocks noChangeAspect="1"/>
                    </pic:cNvPicPr>
                  </pic:nvPicPr>
                  <pic:blipFill>
                    <a:blip r:embed="rId22"/>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3" name="图片 3" descr="山阳县杨地镇老街和新街改造提升工程（新街段）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山阳县杨地镇老街和新街改造提升工程（新街段）_10"/>
                    <pic:cNvPicPr>
                      <a:picLocks noChangeAspect="1"/>
                    </pic:cNvPicPr>
                  </pic:nvPicPr>
                  <pic:blipFill>
                    <a:blip r:embed="rId23"/>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2" name="图片 2" descr="山阳县杨地镇老街和新街改造提升工程（新街段）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山阳县杨地镇老街和新街改造提升工程（新街段）_11"/>
                    <pic:cNvPicPr>
                      <a:picLocks noChangeAspect="1"/>
                    </pic:cNvPicPr>
                  </pic:nvPicPr>
                  <pic:blipFill>
                    <a:blip r:embed="rId24"/>
                    <a:stretch>
                      <a:fillRect/>
                    </a:stretch>
                  </pic:blipFill>
                  <pic:spPr>
                    <a:xfrm>
                      <a:off x="0" y="0"/>
                      <a:ext cx="5756275" cy="8124190"/>
                    </a:xfrm>
                    <a:prstGeom prst="rect">
                      <a:avLst/>
                    </a:prstGeom>
                  </pic:spPr>
                </pic:pic>
              </a:graphicData>
            </a:graphic>
          </wp:inline>
        </w:drawing>
      </w:r>
      <w:r>
        <w:rPr>
          <w:rFonts w:hint="eastAsia"/>
          <w:lang w:eastAsia="zh-CN"/>
        </w:rPr>
        <w:drawing>
          <wp:inline distT="0" distB="0" distL="114300" distR="114300">
            <wp:extent cx="5756275" cy="8124190"/>
            <wp:effectExtent l="0" t="0" r="15875" b="10160"/>
            <wp:docPr id="1" name="图片 1" descr="山阳县杨地镇老街和新街改造提升工程（新街段）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阳县杨地镇老街和新街改造提升工程（新街段）_12"/>
                    <pic:cNvPicPr>
                      <a:picLocks noChangeAspect="1"/>
                    </pic:cNvPicPr>
                  </pic:nvPicPr>
                  <pic:blipFill>
                    <a:blip r:embed="rId25"/>
                    <a:stretch>
                      <a:fillRect/>
                    </a:stretch>
                  </pic:blipFill>
                  <pic:spPr>
                    <a:xfrm>
                      <a:off x="0" y="0"/>
                      <a:ext cx="5756275" cy="8124190"/>
                    </a:xfrm>
                    <a:prstGeom prst="rect">
                      <a:avLst/>
                    </a:prstGeom>
                  </pic:spPr>
                </pic:pic>
              </a:graphicData>
            </a:graphic>
          </wp:inline>
        </w:drawing>
      </w:r>
    </w:p>
    <w:p w14:paraId="2780FB38">
      <w:pPr>
        <w:rPr>
          <w:rFonts w:hint="eastAsia" w:ascii="宋体" w:eastAsia="宋体" w:cs="宋体"/>
          <w:color w:val="auto"/>
          <w:kern w:val="0"/>
          <w:szCs w:val="32"/>
          <w:highlight w:val="none"/>
        </w:rPr>
      </w:pPr>
      <w:r>
        <w:rPr>
          <w:rFonts w:hint="eastAsia" w:ascii="宋体" w:eastAsia="宋体" w:cs="宋体"/>
          <w:color w:val="auto"/>
          <w:kern w:val="0"/>
          <w:szCs w:val="32"/>
          <w:highlight w:val="none"/>
        </w:rPr>
        <w:br w:type="page"/>
      </w:r>
    </w:p>
    <w:p w14:paraId="1F29375C">
      <w:pPr>
        <w:pStyle w:val="4"/>
        <w:jc w:val="center"/>
        <w:rPr>
          <w:rFonts w:hint="eastAsia" w:ascii="宋体" w:eastAsia="宋体" w:cs="宋体"/>
          <w:bCs/>
          <w:color w:val="auto"/>
          <w:szCs w:val="36"/>
          <w:highlight w:val="none"/>
        </w:rPr>
      </w:pPr>
      <w:bookmarkStart w:id="621" w:name="_Toc20608"/>
      <w:r>
        <w:rPr>
          <w:rFonts w:hint="eastAsia" w:ascii="宋体" w:eastAsia="宋体" w:cs="宋体"/>
          <w:bCs/>
          <w:color w:val="auto"/>
          <w:szCs w:val="36"/>
          <w:highlight w:val="none"/>
        </w:rPr>
        <w:t>第六章  竞争性磋商响应文件格式</w:t>
      </w:r>
      <w:bookmarkEnd w:id="617"/>
      <w:bookmarkEnd w:id="618"/>
      <w:bookmarkEnd w:id="619"/>
      <w:bookmarkEnd w:id="620"/>
      <w:bookmarkEnd w:id="621"/>
    </w:p>
    <w:p w14:paraId="5B3D7EB9">
      <w:pPr>
        <w:rPr>
          <w:rFonts w:hAnsi="宋体" w:cs="宋体"/>
          <w:color w:val="auto"/>
          <w:highlight w:val="none"/>
        </w:rPr>
      </w:pPr>
    </w:p>
    <w:p w14:paraId="10828CEE">
      <w:pPr>
        <w:rPr>
          <w:rFonts w:hAnsi="宋体" w:cs="宋体"/>
          <w:color w:val="auto"/>
          <w:highlight w:val="none"/>
        </w:rPr>
      </w:pPr>
    </w:p>
    <w:p w14:paraId="46CE8EE1">
      <w:pPr>
        <w:framePr w:w="5311"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SXZCZB2025-ZCCS-1028</w:t>
      </w: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262715FA">
      <w:pPr>
        <w:jc w:val="center"/>
        <w:rPr>
          <w:color w:val="auto"/>
          <w:sz w:val="21"/>
          <w:szCs w:val="16"/>
          <w:highlight w:val="none"/>
        </w:rPr>
      </w:pPr>
      <w:r>
        <w:rPr>
          <w:rFonts w:hint="eastAsia" w:hAnsi="宋体" w:cs="宋体"/>
          <w:b/>
          <w:color w:val="auto"/>
          <w:kern w:val="0"/>
          <w:sz w:val="48"/>
          <w:szCs w:val="48"/>
          <w:highlight w:val="none"/>
          <w:lang w:val="en-US" w:eastAsia="zh-CN" w:bidi="ar-SA"/>
        </w:rPr>
        <w:t>杨地镇老街和新街改造提升工程(新街段)</w:t>
      </w:r>
    </w:p>
    <w:p w14:paraId="37C002A7">
      <w:pPr>
        <w:jc w:val="center"/>
        <w:rPr>
          <w:rFonts w:hAnsi="宋体" w:cs="宋体"/>
          <w:b/>
          <w:color w:val="auto"/>
          <w:sz w:val="62"/>
          <w:szCs w:val="72"/>
          <w:highlight w:val="none"/>
        </w:rPr>
      </w:pPr>
    </w:p>
    <w:p w14:paraId="7DDAE1B5">
      <w:pPr>
        <w:jc w:val="center"/>
        <w:rPr>
          <w:rFonts w:hint="eastAsia" w:hAnsi="宋体" w:cs="宋体"/>
          <w:b/>
          <w:color w:val="auto"/>
          <w:kern w:val="0"/>
          <w:sz w:val="48"/>
          <w:szCs w:val="48"/>
          <w:highlight w:val="none"/>
          <w:lang w:val="en-US" w:eastAsia="zh-CN" w:bidi="ar-SA"/>
        </w:rPr>
      </w:pPr>
      <w:r>
        <w:rPr>
          <w:rFonts w:hint="eastAsia" w:hAnsi="宋体" w:cs="宋体"/>
          <w:b/>
          <w:color w:val="auto"/>
          <w:kern w:val="0"/>
          <w:sz w:val="48"/>
          <w:szCs w:val="48"/>
          <w:highlight w:val="none"/>
          <w:lang w:val="en-US" w:eastAsia="zh-CN" w:bidi="ar-SA"/>
        </w:rPr>
        <w:t>竞争性磋商响应文件</w:t>
      </w:r>
    </w:p>
    <w:p w14:paraId="194022A5">
      <w:pPr>
        <w:jc w:val="center"/>
        <w:rPr>
          <w:rFonts w:hint="eastAsia" w:hAnsi="宋体" w:cs="宋体"/>
          <w:b/>
          <w:color w:val="auto"/>
          <w:kern w:val="0"/>
          <w:sz w:val="48"/>
          <w:szCs w:val="48"/>
          <w:highlight w:val="none"/>
          <w:lang w:val="en-US" w:eastAsia="zh-CN" w:bidi="ar-SA"/>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7B236A1C">
      <w:pPr>
        <w:tabs>
          <w:tab w:val="center" w:pos="5346"/>
        </w:tabs>
        <w:spacing w:line="480" w:lineRule="auto"/>
        <w:jc w:val="center"/>
        <w:rPr>
          <w:rFonts w:hAnsi="宋体" w:cs="宋体"/>
          <w:b/>
          <w:color w:val="auto"/>
          <w:sz w:val="32"/>
          <w:szCs w:val="32"/>
          <w:highlight w:val="none"/>
        </w:rPr>
      </w:pPr>
      <w:r>
        <w:rPr>
          <w:rFonts w:hint="eastAsia" w:hAnsi="宋体" w:cs="宋体"/>
          <w:b/>
          <w:color w:val="auto"/>
          <w:sz w:val="32"/>
          <w:szCs w:val="32"/>
          <w:highlight w:val="none"/>
        </w:rPr>
        <w:t>供应商名称（公章）</w:t>
      </w:r>
    </w:p>
    <w:p w14:paraId="03BDD08F">
      <w:pPr>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2"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11"/>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8"/>
        <w:spacing w:line="360" w:lineRule="auto"/>
        <w:rPr>
          <w:rFonts w:ascii="宋体" w:hAnsi="宋体" w:cs="宋体"/>
          <w:color w:val="auto"/>
          <w:highlight w:val="none"/>
        </w:rPr>
      </w:pPr>
    </w:p>
    <w:p w14:paraId="594C1CBC">
      <w:pPr>
        <w:pStyle w:val="8"/>
        <w:spacing w:line="360" w:lineRule="auto"/>
        <w:rPr>
          <w:rFonts w:ascii="宋体" w:hAnsi="宋体" w:cs="宋体"/>
          <w:color w:val="auto"/>
          <w:highlight w:val="none"/>
        </w:rPr>
      </w:pPr>
    </w:p>
    <w:p w14:paraId="18E9FFB9">
      <w:pPr>
        <w:pStyle w:val="8"/>
        <w:ind w:firstLine="880"/>
        <w:rPr>
          <w:rFonts w:ascii="宋体" w:hAnsi="宋体" w:cs="宋体"/>
          <w:bCs/>
          <w:color w:val="auto"/>
          <w:sz w:val="44"/>
          <w:highlight w:val="none"/>
        </w:rPr>
      </w:pPr>
    </w:p>
    <w:p w14:paraId="2AC4D770">
      <w:pPr>
        <w:pStyle w:val="8"/>
        <w:ind w:firstLine="880"/>
        <w:rPr>
          <w:rFonts w:ascii="宋体" w:hAnsi="宋体" w:cs="宋体"/>
          <w:bCs/>
          <w:color w:val="auto"/>
          <w:sz w:val="44"/>
          <w:highlight w:val="none"/>
        </w:rPr>
      </w:pPr>
    </w:p>
    <w:bookmarkEnd w:id="622"/>
    <w:p w14:paraId="0781C66D">
      <w:pPr>
        <w:pStyle w:val="11"/>
        <w:rPr>
          <w:rFonts w:ascii="宋体" w:hAnsi="宋体" w:cs="宋体"/>
          <w:b/>
          <w:color w:val="auto"/>
          <w:sz w:val="32"/>
          <w:szCs w:val="32"/>
          <w:highlight w:val="none"/>
        </w:rPr>
      </w:pPr>
      <w:bookmarkStart w:id="623" w:name="_Toc403077648"/>
      <w:bookmarkStart w:id="624" w:name="_Toc363474027"/>
      <w:bookmarkStart w:id="625" w:name="_Toc204524343"/>
    </w:p>
    <w:p w14:paraId="2F2A9611">
      <w:pPr>
        <w:pStyle w:val="11"/>
        <w:rPr>
          <w:rFonts w:ascii="宋体" w:hAnsi="宋体" w:cs="宋体"/>
          <w:b/>
          <w:color w:val="auto"/>
          <w:sz w:val="32"/>
          <w:szCs w:val="32"/>
          <w:highlight w:val="none"/>
        </w:rPr>
      </w:pPr>
    </w:p>
    <w:p w14:paraId="3557011E">
      <w:pPr>
        <w:pStyle w:val="11"/>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3"/>
      <w:bookmarkEnd w:id="624"/>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8"/>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8"/>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6"/>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6" w:name="_Toc363474030"/>
      <w:bookmarkStart w:id="627" w:name="_Toc403077651"/>
      <w:r>
        <w:rPr>
          <w:rFonts w:hint="eastAsia" w:ascii="宋体" w:hAnsi="宋体" w:cs="宋体"/>
          <w:color w:val="auto"/>
          <w:sz w:val="32"/>
          <w:szCs w:val="32"/>
          <w:highlight w:val="none"/>
        </w:rPr>
        <w:t>二、磋商报价表</w:t>
      </w:r>
      <w:bookmarkEnd w:id="626"/>
      <w:bookmarkEnd w:id="627"/>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2973737">
      <w:pPr>
        <w:jc w:val="left"/>
        <w:rPr>
          <w:rFonts w:hAnsi="宋体" w:cs="宋体"/>
          <w:color w:val="auto"/>
          <w:highlight w:val="none"/>
        </w:rPr>
      </w:pPr>
      <w:r>
        <w:rPr>
          <w:rFonts w:hint="eastAsia" w:hAnsi="宋体" w:cs="宋体"/>
          <w:color w:val="auto"/>
          <w:highlight w:val="none"/>
        </w:rPr>
        <w:t xml:space="preserve">项目编号：                                               </w:t>
      </w:r>
    </w:p>
    <w:p w14:paraId="1CC6210B">
      <w:pPr>
        <w:rPr>
          <w:color w:val="auto"/>
          <w:highlight w:val="none"/>
        </w:rPr>
      </w:pP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5CA6271A">
      <w:pPr>
        <w:rPr>
          <w:rFonts w:hAnsi="宋体" w:cs="宋体"/>
          <w:color w:val="auto"/>
          <w:szCs w:val="24"/>
          <w:highlight w:val="none"/>
        </w:rPr>
      </w:pPr>
    </w:p>
    <w:p w14:paraId="2F802C89">
      <w:pPr>
        <w:spacing w:line="280" w:lineRule="exact"/>
        <w:ind w:right="617" w:rightChars="257"/>
        <w:jc w:val="left"/>
        <w:rPr>
          <w:rFonts w:hAnsi="宋体" w:cs="宋体"/>
          <w:color w:val="auto"/>
          <w:szCs w:val="24"/>
          <w:highlight w:val="none"/>
        </w:rPr>
      </w:pPr>
    </w:p>
    <w:p w14:paraId="7E702E84">
      <w:pPr>
        <w:spacing w:line="280" w:lineRule="exact"/>
        <w:ind w:right="617" w:rightChars="257"/>
        <w:jc w:val="left"/>
        <w:rPr>
          <w:rFonts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5"/>
      <w:bookmarkStart w:id="628"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r>
        <w:rPr>
          <w:rFonts w:hint="eastAsia" w:hAnsi="宋体" w:cs="宋体"/>
          <w:color w:val="auto"/>
          <w:szCs w:val="24"/>
          <w:highlight w:val="none"/>
        </w:rPr>
        <w:t>1、按照磋商文件第三章评审办法的要求编制的磋商方案说明书：</w:t>
      </w:r>
    </w:p>
    <w:p w14:paraId="77670C05">
      <w:pPr>
        <w:spacing w:line="440" w:lineRule="exact"/>
        <w:ind w:left="3725" w:leftChars="1552"/>
        <w:rPr>
          <w:rFonts w:hAnsi="宋体" w:cs="宋体"/>
          <w:color w:val="auto"/>
          <w:szCs w:val="24"/>
          <w:highlight w:val="none"/>
        </w:rPr>
      </w:pPr>
    </w:p>
    <w:p w14:paraId="2203E5B0">
      <w:pPr>
        <w:spacing w:line="440" w:lineRule="exact"/>
        <w:ind w:left="3725" w:leftChars="1552"/>
        <w:rPr>
          <w:rFonts w:hAnsi="宋体" w:cs="宋体"/>
          <w:color w:val="auto"/>
          <w:szCs w:val="24"/>
          <w:highlight w:val="none"/>
        </w:rPr>
      </w:pPr>
    </w:p>
    <w:p w14:paraId="62E9AB1E">
      <w:pPr>
        <w:spacing w:line="440" w:lineRule="exact"/>
        <w:ind w:left="3725" w:leftChars="1552"/>
        <w:rPr>
          <w:rFonts w:hAnsi="宋体" w:cs="宋体"/>
          <w:color w:val="auto"/>
          <w:szCs w:val="24"/>
          <w:highlight w:val="none"/>
        </w:rPr>
      </w:pPr>
    </w:p>
    <w:p w14:paraId="14EC0C95">
      <w:pPr>
        <w:rPr>
          <w:color w:val="auto"/>
          <w:highlight w:val="none"/>
        </w:rPr>
        <w:sectPr>
          <w:headerReference r:id="rId8" w:type="default"/>
          <w:footerReference r:id="rId10" w:type="default"/>
          <w:headerReference r:id="rId9" w:type="even"/>
          <w:pgSz w:w="11906" w:h="16838"/>
          <w:pgMar w:top="1417" w:right="1417" w:bottom="1417" w:left="1417" w:header="851" w:footer="992" w:gutter="0"/>
          <w:pgNumType w:fmt="decimal" w:start="1"/>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29" w:name="_Toc23455"/>
      <w:bookmarkStart w:id="630" w:name="_Toc2621"/>
      <w:bookmarkStart w:id="631" w:name="_Toc9218"/>
      <w:bookmarkStart w:id="632" w:name="_Toc1379"/>
      <w:bookmarkStart w:id="633" w:name="_Toc21284"/>
      <w:r>
        <w:rPr>
          <w:rFonts w:hint="eastAsia" w:hAnsi="宋体" w:cs="宋体"/>
          <w:b/>
          <w:bCs/>
          <w:color w:val="auto"/>
          <w:sz w:val="32"/>
          <w:szCs w:val="32"/>
          <w:highlight w:val="none"/>
        </w:rPr>
        <w:t>四、</w:t>
      </w:r>
      <w:bookmarkEnd w:id="629"/>
      <w:bookmarkEnd w:id="630"/>
      <w:bookmarkEnd w:id="631"/>
      <w:bookmarkEnd w:id="632"/>
      <w:bookmarkEnd w:id="633"/>
      <w:r>
        <w:rPr>
          <w:rFonts w:hint="eastAsia" w:hAnsi="宋体" w:cs="宋体"/>
          <w:b/>
          <w:bCs/>
          <w:color w:val="auto"/>
          <w:sz w:val="32"/>
          <w:szCs w:val="32"/>
          <w:highlight w:val="none"/>
        </w:rPr>
        <w:t>商务条款偏离表</w:t>
      </w:r>
    </w:p>
    <w:p w14:paraId="5EAD6D24">
      <w:pPr>
        <w:pStyle w:val="22"/>
        <w:widowControl w:val="0"/>
        <w:spacing w:before="0" w:beforeAutospacing="0" w:after="0" w:afterAutospacing="0"/>
        <w:jc w:val="both"/>
        <w:rPr>
          <w:rFonts w:cs="宋体"/>
          <w:color w:val="auto"/>
          <w:highlight w:val="none"/>
        </w:rPr>
      </w:pPr>
    </w:p>
    <w:p w14:paraId="13B66C49">
      <w:pPr>
        <w:pStyle w:val="22"/>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2"/>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2"/>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2"/>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2"/>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2"/>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2"/>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2"/>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2"/>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2"/>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2"/>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2"/>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2"/>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2"/>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2"/>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2"/>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2"/>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2"/>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2"/>
              <w:widowControl w:val="0"/>
              <w:spacing w:before="0" w:beforeAutospacing="0" w:after="0" w:afterAutospacing="0"/>
              <w:ind w:firstLine="480" w:firstLineChars="200"/>
              <w:jc w:val="center"/>
              <w:rPr>
                <w:rFonts w:cs="宋体"/>
                <w:color w:val="auto"/>
                <w:highlight w:val="none"/>
              </w:rPr>
            </w:pPr>
          </w:p>
        </w:tc>
      </w:tr>
    </w:tbl>
    <w:p w14:paraId="1619C529">
      <w:pPr>
        <w:pStyle w:val="22"/>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2"/>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w:t>
      </w:r>
      <w:r>
        <w:rPr>
          <w:rFonts w:hint="eastAsia" w:cs="宋体"/>
          <w:color w:val="auto"/>
          <w:highlight w:val="none"/>
          <w:lang w:val="en-US" w:eastAsia="zh-CN"/>
        </w:rPr>
        <w:t>行</w:t>
      </w:r>
      <w:r>
        <w:rPr>
          <w:rFonts w:hint="eastAsia" w:cs="宋体"/>
          <w:color w:val="auto"/>
          <w:highlight w:val="none"/>
        </w:rPr>
        <w:t>处罚。</w:t>
      </w:r>
    </w:p>
    <w:p w14:paraId="522B829D">
      <w:pPr>
        <w:pStyle w:val="22"/>
        <w:widowControl w:val="0"/>
        <w:spacing w:before="0" w:beforeAutospacing="0" w:after="0" w:afterAutospacing="0"/>
        <w:ind w:firstLine="480" w:firstLineChars="200"/>
        <w:jc w:val="center"/>
        <w:rPr>
          <w:rFonts w:cs="宋体"/>
          <w:color w:val="auto"/>
          <w:highlight w:val="none"/>
        </w:rPr>
      </w:pPr>
    </w:p>
    <w:p w14:paraId="2687CFFE">
      <w:pPr>
        <w:pStyle w:val="22"/>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2"/>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28"/>
    <w:p w14:paraId="5AB88864">
      <w:pPr>
        <w:spacing w:line="360" w:lineRule="auto"/>
        <w:jc w:val="center"/>
        <w:outlineLvl w:val="2"/>
        <w:rPr>
          <w:rFonts w:hAnsi="宋体" w:cs="宋体"/>
          <w:b/>
          <w:bCs/>
          <w:color w:val="auto"/>
          <w:sz w:val="30"/>
          <w:szCs w:val="30"/>
          <w:highlight w:val="none"/>
        </w:rPr>
      </w:pPr>
      <w:bookmarkStart w:id="634" w:name="_Toc403077656"/>
      <w:bookmarkStart w:id="635" w:name="_Toc363474033"/>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4"/>
      <w:bookmarkEnd w:id="635"/>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6" w:name="_Toc363474034"/>
      <w:bookmarkStart w:id="637"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6"/>
      <w:bookmarkEnd w:id="637"/>
    </w:p>
    <w:p w14:paraId="3D2E972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1、提供合格有效的法人或者其他组织的营业执照等证明文件，自然人的身份证明。</w:t>
      </w:r>
    </w:p>
    <w:p w14:paraId="0F14138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2、提供法定代表人授权书（附法定代表人、被授权人身份证复印件），（法定代表人直接参加磋商，须提供法定代表人身份证明）；</w:t>
      </w:r>
    </w:p>
    <w:p w14:paraId="5CAEAF60">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p>
    <w:p w14:paraId="26221D48">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4、税收缴纳证明：提供磋商截止日前一年内已缴纳的至少一个月的纳税证明或完税证明（任意税种），依法免税的单位应提供相关证明材料；</w:t>
      </w:r>
    </w:p>
    <w:p w14:paraId="7A5324F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052C7E5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6、供应商须具备【市政公用工程施工总承包三级（含）】及以上资质，并提供有效的安全生产许可证；</w:t>
      </w:r>
    </w:p>
    <w:p w14:paraId="0CFBC464">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7、供应商拟派项目经理须具备市政工程专业二级（含二级）及以上注册建造师资质、具有安全生产考核合格证（B证），且无在建工程（提供无在建承诺书）；</w:t>
      </w:r>
    </w:p>
    <w:p w14:paraId="6C5C2629">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8、提供具有履行本合同所必需的设备和专业技术能力的说明及承诺书；</w:t>
      </w:r>
    </w:p>
    <w:p w14:paraId="21EBE082">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9、供应商应通过“信用中国”网站(www.creditchina.gov.cn)、中国政府采购网(www.ccgp.gov.cn)查询相关主体信用记录；</w:t>
      </w:r>
    </w:p>
    <w:p w14:paraId="2ABC6AF5">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10、参加政府采购活动前3年内，在经营活动中没有重大违法记录的书面声明；</w:t>
      </w:r>
    </w:p>
    <w:p w14:paraId="5B6E3FF6">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11、供应商须提供中小企业声明函；</w:t>
      </w:r>
    </w:p>
    <w:p w14:paraId="416C887B">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i w:val="0"/>
          <w:iCs w:val="0"/>
          <w:caps w:val="0"/>
          <w:color w:val="333333"/>
          <w:spacing w:val="0"/>
          <w:sz w:val="24"/>
          <w:szCs w:val="24"/>
          <w:shd w:val="clear" w:fill="FFFFFF"/>
          <w:lang w:val="en-US" w:eastAsia="zh-CN"/>
        </w:rPr>
        <w:t>12、本项目不接受联合体磋商。</w:t>
      </w:r>
    </w:p>
    <w:p w14:paraId="2875C7B3">
      <w:pPr>
        <w:keepNext w:val="0"/>
        <w:keepLines w:val="0"/>
        <w:pageBreakBefore w:val="0"/>
        <w:kinsoku/>
        <w:overflowPunct/>
        <w:topLinePunct w:val="0"/>
        <w:autoSpaceDE/>
        <w:autoSpaceDN/>
        <w:bidi w:val="0"/>
        <w:adjustRightInd/>
        <w:snapToGrid w:val="0"/>
        <w:spacing w:line="360" w:lineRule="auto"/>
        <w:ind w:left="0" w:firstLine="480" w:firstLineChars="200"/>
        <w:jc w:val="left"/>
        <w:textAlignment w:val="auto"/>
        <w:outlineLvl w:val="9"/>
        <w:rPr>
          <w:rFonts w:hint="eastAsia" w:ascii="宋体" w:hAnsi="宋体" w:eastAsia="宋体" w:cs="宋体"/>
          <w:i w:val="0"/>
          <w:iCs w:val="0"/>
          <w:caps w:val="0"/>
          <w:color w:val="333333"/>
          <w:spacing w:val="0"/>
          <w:sz w:val="24"/>
          <w:szCs w:val="24"/>
          <w:shd w:val="clear" w:fill="FFFFFF"/>
          <w:lang w:val="en-US" w:eastAsia="zh-CN"/>
        </w:rPr>
      </w:pP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11"/>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11"/>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38" w:name="_Toc363474028"/>
      <w:bookmarkStart w:id="639" w:name="_Toc403077649"/>
      <w:r>
        <w:rPr>
          <w:rFonts w:hint="eastAsia" w:hAnsi="宋体" w:cs="宋体"/>
          <w:color w:val="auto"/>
          <w:sz w:val="32"/>
          <w:szCs w:val="32"/>
          <w:highlight w:val="none"/>
        </w:rPr>
        <w:t>法定代表人身份证明/法定代表人授权书</w:t>
      </w:r>
      <w:bookmarkEnd w:id="638"/>
      <w:bookmarkEnd w:id="639"/>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11"/>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11"/>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11"/>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 xml:space="preserve">代表我公司全权办理针对本次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2"/>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2"/>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2"/>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如有不实，我方将无条件地退出本项目的采购活动，并遵照《</w:t>
      </w:r>
      <w:r>
        <w:rPr>
          <w:rFonts w:hint="eastAsia" w:hAnsi="宋体" w:cs="宋体"/>
          <w:color w:val="auto"/>
          <w:szCs w:val="24"/>
          <w:highlight w:val="none"/>
          <w:lang w:val="en-US" w:eastAsia="zh-CN"/>
        </w:rPr>
        <w:t>中华人民共和国</w:t>
      </w:r>
      <w:r>
        <w:rPr>
          <w:rFonts w:hint="eastAsia" w:cs="宋体"/>
          <w:color w:val="auto"/>
          <w:highlight w:val="none"/>
          <w:shd w:val="clear" w:color="auto" w:fill="FFFFFF"/>
        </w:rPr>
        <w:t xml:space="preserve">政府采购法》有关“提供虚假材料的规定”接受处罚。 </w:t>
      </w:r>
    </w:p>
    <w:p w14:paraId="09A79C77">
      <w:pPr>
        <w:pStyle w:val="22"/>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2"/>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2F3C4186">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p>
    <w:p w14:paraId="67C2C24E">
      <w:pPr>
        <w:adjustRightInd w:val="0"/>
        <w:snapToGrid w:val="0"/>
        <w:spacing w:line="360" w:lineRule="auto"/>
        <w:jc w:val="center"/>
        <w:rPr>
          <w:rFonts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3"/>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3"/>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3"/>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3"/>
        <w:adjustRightInd w:val="0"/>
        <w:snapToGrid w:val="0"/>
        <w:spacing w:line="720" w:lineRule="exact"/>
        <w:rPr>
          <w:rFonts w:hAnsi="宋体" w:cs="宋体"/>
          <w:color w:val="auto"/>
          <w:spacing w:val="4"/>
          <w:sz w:val="24"/>
          <w:szCs w:val="24"/>
          <w:highlight w:val="none"/>
        </w:rPr>
      </w:pPr>
    </w:p>
    <w:p w14:paraId="4EFF3582">
      <w:pPr>
        <w:pStyle w:val="13"/>
        <w:adjustRightInd w:val="0"/>
        <w:snapToGrid w:val="0"/>
        <w:spacing w:line="720" w:lineRule="exact"/>
        <w:rPr>
          <w:rFonts w:hAnsi="宋体" w:cs="宋体"/>
          <w:color w:val="auto"/>
          <w:spacing w:val="4"/>
          <w:sz w:val="24"/>
          <w:szCs w:val="24"/>
          <w:highlight w:val="none"/>
        </w:rPr>
      </w:pPr>
    </w:p>
    <w:p w14:paraId="1E2D7BB0">
      <w:pPr>
        <w:pStyle w:val="13"/>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25383DC0">
      <w:pPr>
        <w:spacing w:before="312" w:beforeLines="100" w:after="312" w:afterLines="100"/>
        <w:jc w:val="center"/>
        <w:rPr>
          <w:rFonts w:hAnsi="宋体"/>
          <w:b/>
          <w:color w:val="auto"/>
          <w:szCs w:val="24"/>
          <w:highlight w:val="none"/>
        </w:rPr>
      </w:pPr>
    </w:p>
    <w:p w14:paraId="66691FC9">
      <w:pPr>
        <w:spacing w:before="312" w:beforeLines="100" w:after="312" w:afterLines="100"/>
        <w:jc w:val="center"/>
        <w:rPr>
          <w:rFonts w:hAnsi="宋体"/>
          <w:b/>
          <w:color w:val="auto"/>
          <w:szCs w:val="24"/>
          <w:highlight w:val="none"/>
        </w:rPr>
      </w:pPr>
    </w:p>
    <w:p w14:paraId="2FA21FB2">
      <w:pPr>
        <w:spacing w:before="312" w:beforeLines="100" w:after="312" w:afterLines="100"/>
        <w:jc w:val="center"/>
        <w:rPr>
          <w:rFonts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41DDA637">
      <w:pPr>
        <w:spacing w:before="156" w:beforeLines="50" w:after="156" w:afterLines="50" w:line="360" w:lineRule="auto"/>
        <w:jc w:val="center"/>
        <w:rPr>
          <w:rFonts w:hAnsi="宋体" w:cs="宋体"/>
          <w:b/>
          <w:color w:val="auto"/>
          <w:sz w:val="28"/>
          <w:szCs w:val="28"/>
          <w:highlight w:val="none"/>
        </w:rPr>
      </w:pPr>
      <w:bookmarkStart w:id="640" w:name="_Toc13836"/>
    </w:p>
    <w:p w14:paraId="6A6774E0">
      <w:pPr>
        <w:spacing w:before="156" w:beforeLines="50" w:after="156" w:afterLines="50" w:line="360" w:lineRule="auto"/>
        <w:jc w:val="center"/>
        <w:rPr>
          <w:rFonts w:hAnsi="宋体" w:cs="宋体"/>
          <w:color w:val="auto"/>
          <w:szCs w:val="24"/>
          <w:highlight w:val="none"/>
        </w:rPr>
      </w:pPr>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0"/>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1" w:name="OLE_LINK14"/>
      <w:bookmarkStart w:id="642" w:name="OLE_LINK13"/>
      <w:r>
        <w:rPr>
          <w:rFonts w:hint="eastAsia" w:hAnsi="宋体" w:cs="宋体"/>
          <w:b/>
          <w:color w:val="auto"/>
          <w:spacing w:val="6"/>
          <w:sz w:val="32"/>
          <w:szCs w:val="32"/>
          <w:highlight w:val="none"/>
        </w:rPr>
        <w:t>残疾人福利性单位声明函</w:t>
      </w:r>
    </w:p>
    <w:bookmarkEnd w:id="641"/>
    <w:bookmarkEnd w:id="642"/>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2" w:type="first"/>
      <w:footerReference r:id="rId11"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7"/>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68F21">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6668F21">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7"/>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E673D">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C3E673D">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AE838">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156AE838">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B8956">
                          <w:pPr>
                            <w:pStyle w:val="17"/>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E2B8956">
                    <w:pPr>
                      <w:pStyle w:val="17"/>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p w14:paraId="3F4ED1A5">
    <w:pPr>
      <w:pStyle w:val="17"/>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7"/>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rPr>
      <w:t xml:space="preserve">杨地镇龙潭社区水磨街道路修复项目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8"/>
      <w:pBdr>
        <w:bottom w:val="none" w:color="auto" w:sz="0" w:space="1"/>
      </w:pBdr>
      <w:jc w:val="both"/>
    </w:pPr>
  </w:p>
  <w:p w14:paraId="3CD0F681">
    <w:pPr>
      <w:pStyle w:val="18"/>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8"/>
      <w:jc w:val="left"/>
      <w:rPr>
        <w:rFonts w:cs="宋体"/>
        <w:bCs/>
        <w:shd w:val="clear" w:color="auto" w:fill="FFFFFF"/>
      </w:rPr>
    </w:pPr>
  </w:p>
  <w:p w14:paraId="70D86DBC">
    <w:pPr>
      <w:pStyle w:val="18"/>
      <w:jc w:val="left"/>
      <w:rPr>
        <w:rFonts w:ascii="宋体" w:hAnsi="宋体" w:cs="宋体"/>
        <w:bCs/>
      </w:rPr>
    </w:pPr>
    <w:r>
      <w:rPr>
        <w:rFonts w:hint="eastAsia" w:ascii="宋体" w:hAnsi="宋体" w:cs="宋体"/>
        <w:bCs/>
        <w:shd w:val="clear" w:color="auto" w:fill="FFFFFF"/>
      </w:rPr>
      <w:t xml:space="preserve">杨地镇老街和新街改造提升工程(新街段)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8"/>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D4F4A2"/>
    <w:multiLevelType w:val="singleLevel"/>
    <w:tmpl w:val="A6D4F4A2"/>
    <w:lvl w:ilvl="0" w:tentative="0">
      <w:start w:val="1"/>
      <w:numFmt w:val="chineseCounting"/>
      <w:suff w:val="nothing"/>
      <w:lvlText w:val="%1、"/>
      <w:lvlJc w:val="left"/>
      <w:rPr>
        <w:rFonts w:hint="eastAsia"/>
      </w:rPr>
    </w:lvl>
  </w:abstractNum>
  <w:abstractNum w:abstractNumId="1">
    <w:nsid w:val="D913028C"/>
    <w:multiLevelType w:val="singleLevel"/>
    <w:tmpl w:val="D913028C"/>
    <w:lvl w:ilvl="0" w:tentative="0">
      <w:start w:val="1"/>
      <w:numFmt w:val="decimal"/>
      <w:suff w:val="space"/>
      <w:lvlText w:val="%1)"/>
      <w:lvlJc w:val="left"/>
    </w:lvl>
  </w:abstractNum>
  <w:abstractNum w:abstractNumId="2">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345DCC0"/>
    <w:multiLevelType w:val="singleLevel"/>
    <w:tmpl w:val="3345DCC0"/>
    <w:lvl w:ilvl="0" w:tentative="0">
      <w:start w:val="1"/>
      <w:numFmt w:val="decimal"/>
      <w:suff w:val="nothing"/>
      <w:lvlText w:val="%1）"/>
      <w:lvlJc w:val="left"/>
    </w:lvl>
  </w:abstractNum>
  <w:abstractNum w:abstractNumId="4">
    <w:nsid w:val="5354ECB6"/>
    <w:multiLevelType w:val="singleLevel"/>
    <w:tmpl w:val="5354ECB6"/>
    <w:lvl w:ilvl="0" w:tentative="0">
      <w:start w:val="1"/>
      <w:numFmt w:val="decimal"/>
      <w:suff w:val="nothing"/>
      <w:lvlText w:val="%1、"/>
      <w:lvlJc w:val="left"/>
    </w:lvl>
  </w:abstractNum>
  <w:abstractNum w:abstractNumId="5">
    <w:nsid w:val="590049E8"/>
    <w:multiLevelType w:val="singleLevel"/>
    <w:tmpl w:val="590049E8"/>
    <w:lvl w:ilvl="0" w:tentative="0">
      <w:start w:val="30"/>
      <w:numFmt w:val="decimal"/>
      <w:suff w:val="nothing"/>
      <w:lvlText w:val="%1."/>
      <w:lvlJc w:val="left"/>
    </w:lvl>
  </w:abstractNum>
  <w:abstractNum w:abstractNumId="6">
    <w:nsid w:val="59B2460E"/>
    <w:multiLevelType w:val="singleLevel"/>
    <w:tmpl w:val="59B2460E"/>
    <w:lvl w:ilvl="0" w:tentative="0">
      <w:start w:val="2"/>
      <w:numFmt w:val="decimal"/>
      <w:suff w:val="nothing"/>
      <w:lvlText w:val="%1."/>
      <w:lvlJc w:val="left"/>
    </w:lvl>
  </w:abstractNum>
  <w:abstractNum w:abstractNumId="7">
    <w:nsid w:val="59CF0981"/>
    <w:multiLevelType w:val="singleLevel"/>
    <w:tmpl w:val="59CF0981"/>
    <w:lvl w:ilvl="0" w:tentative="0">
      <w:start w:val="1"/>
      <w:numFmt w:val="decimal"/>
      <w:suff w:val="nothing"/>
      <w:lvlText w:val="%1、"/>
      <w:lvlJc w:val="left"/>
    </w:lvl>
  </w:abstractNum>
  <w:num w:numId="1">
    <w:abstractNumId w:val="1"/>
  </w:num>
  <w:num w:numId="2">
    <w:abstractNumId w:val="4"/>
  </w:num>
  <w:num w:numId="3">
    <w:abstractNumId w:val="6"/>
  </w:num>
  <w:num w:numId="4">
    <w:abstractNumId w:val="5"/>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677648"/>
    <w:rsid w:val="039A114D"/>
    <w:rsid w:val="03C33443"/>
    <w:rsid w:val="04441D61"/>
    <w:rsid w:val="044B49A4"/>
    <w:rsid w:val="045301F6"/>
    <w:rsid w:val="04564D84"/>
    <w:rsid w:val="04702B56"/>
    <w:rsid w:val="04F2372E"/>
    <w:rsid w:val="05946029"/>
    <w:rsid w:val="05D75CDB"/>
    <w:rsid w:val="05F17CC7"/>
    <w:rsid w:val="06755150"/>
    <w:rsid w:val="06CA6B1C"/>
    <w:rsid w:val="07906CD7"/>
    <w:rsid w:val="07F774FD"/>
    <w:rsid w:val="08123EB3"/>
    <w:rsid w:val="08A928D1"/>
    <w:rsid w:val="08D21FF8"/>
    <w:rsid w:val="09167A09"/>
    <w:rsid w:val="09930954"/>
    <w:rsid w:val="09DC2A3C"/>
    <w:rsid w:val="0B7B588D"/>
    <w:rsid w:val="0BBB613F"/>
    <w:rsid w:val="0C080095"/>
    <w:rsid w:val="0C646FEE"/>
    <w:rsid w:val="0C851169"/>
    <w:rsid w:val="0C8A2C23"/>
    <w:rsid w:val="0CC63772"/>
    <w:rsid w:val="0CCD033F"/>
    <w:rsid w:val="0CF14A50"/>
    <w:rsid w:val="0DA24EF8"/>
    <w:rsid w:val="0EB54E8A"/>
    <w:rsid w:val="0EFF5BF9"/>
    <w:rsid w:val="0F0C5B71"/>
    <w:rsid w:val="0F4F1D25"/>
    <w:rsid w:val="0F997A1F"/>
    <w:rsid w:val="10043C73"/>
    <w:rsid w:val="1095499B"/>
    <w:rsid w:val="111840B1"/>
    <w:rsid w:val="11596073"/>
    <w:rsid w:val="116715DD"/>
    <w:rsid w:val="11903BFC"/>
    <w:rsid w:val="11D44776"/>
    <w:rsid w:val="12005C1E"/>
    <w:rsid w:val="129B5DDE"/>
    <w:rsid w:val="12C617E6"/>
    <w:rsid w:val="13023513"/>
    <w:rsid w:val="130B35CF"/>
    <w:rsid w:val="137F34A0"/>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ED73BF"/>
    <w:rsid w:val="1F1A166D"/>
    <w:rsid w:val="1F3708D8"/>
    <w:rsid w:val="1F374288"/>
    <w:rsid w:val="1F735D22"/>
    <w:rsid w:val="20E04C24"/>
    <w:rsid w:val="21090163"/>
    <w:rsid w:val="211C1D3B"/>
    <w:rsid w:val="216B784A"/>
    <w:rsid w:val="21B93AA7"/>
    <w:rsid w:val="22E17783"/>
    <w:rsid w:val="238910E7"/>
    <w:rsid w:val="24AE6EB4"/>
    <w:rsid w:val="24DD1172"/>
    <w:rsid w:val="24F44C86"/>
    <w:rsid w:val="250C0090"/>
    <w:rsid w:val="254F2BF5"/>
    <w:rsid w:val="25D53DF3"/>
    <w:rsid w:val="25E22D30"/>
    <w:rsid w:val="26077449"/>
    <w:rsid w:val="260869F8"/>
    <w:rsid w:val="261A071C"/>
    <w:rsid w:val="26451C3D"/>
    <w:rsid w:val="26597F9E"/>
    <w:rsid w:val="26D7660D"/>
    <w:rsid w:val="270C62B7"/>
    <w:rsid w:val="27132728"/>
    <w:rsid w:val="2764572C"/>
    <w:rsid w:val="277D689B"/>
    <w:rsid w:val="27FA6F59"/>
    <w:rsid w:val="285679E7"/>
    <w:rsid w:val="28936D4C"/>
    <w:rsid w:val="28957F83"/>
    <w:rsid w:val="28EF66C3"/>
    <w:rsid w:val="292024ED"/>
    <w:rsid w:val="29AA0009"/>
    <w:rsid w:val="29F924F7"/>
    <w:rsid w:val="2A0F2E6D"/>
    <w:rsid w:val="2A8B6E31"/>
    <w:rsid w:val="2B60299C"/>
    <w:rsid w:val="2BA1380F"/>
    <w:rsid w:val="2BB46F1D"/>
    <w:rsid w:val="2C0B605D"/>
    <w:rsid w:val="2C363381"/>
    <w:rsid w:val="2D122B4E"/>
    <w:rsid w:val="2D194BD8"/>
    <w:rsid w:val="2D9044BD"/>
    <w:rsid w:val="2DD63386"/>
    <w:rsid w:val="2DD926FC"/>
    <w:rsid w:val="2E0028ED"/>
    <w:rsid w:val="2E265AE2"/>
    <w:rsid w:val="2E746297"/>
    <w:rsid w:val="2EBB3F8C"/>
    <w:rsid w:val="2EED1018"/>
    <w:rsid w:val="2F2533C6"/>
    <w:rsid w:val="2F6D7B0F"/>
    <w:rsid w:val="305024AA"/>
    <w:rsid w:val="306A6183"/>
    <w:rsid w:val="30B96A80"/>
    <w:rsid w:val="31A27A28"/>
    <w:rsid w:val="31A831E0"/>
    <w:rsid w:val="31C66EC5"/>
    <w:rsid w:val="32271056"/>
    <w:rsid w:val="322E1761"/>
    <w:rsid w:val="32F55B7E"/>
    <w:rsid w:val="330469DC"/>
    <w:rsid w:val="33881EEB"/>
    <w:rsid w:val="33FA289F"/>
    <w:rsid w:val="340D4B70"/>
    <w:rsid w:val="34681F9A"/>
    <w:rsid w:val="35D00DF7"/>
    <w:rsid w:val="36C9283B"/>
    <w:rsid w:val="372704C2"/>
    <w:rsid w:val="37C06C6F"/>
    <w:rsid w:val="3806412E"/>
    <w:rsid w:val="3825367C"/>
    <w:rsid w:val="3840494C"/>
    <w:rsid w:val="384369FD"/>
    <w:rsid w:val="38972D7F"/>
    <w:rsid w:val="38C20ECB"/>
    <w:rsid w:val="39853A08"/>
    <w:rsid w:val="39DB5E8B"/>
    <w:rsid w:val="39FC21BB"/>
    <w:rsid w:val="3A2B3BD2"/>
    <w:rsid w:val="3A570783"/>
    <w:rsid w:val="3A82707E"/>
    <w:rsid w:val="3AB17101"/>
    <w:rsid w:val="3B1D3741"/>
    <w:rsid w:val="3B2319C9"/>
    <w:rsid w:val="3BFA15F2"/>
    <w:rsid w:val="3C4D31A2"/>
    <w:rsid w:val="3C756255"/>
    <w:rsid w:val="3CB46D7D"/>
    <w:rsid w:val="3D1617E6"/>
    <w:rsid w:val="3D1630B0"/>
    <w:rsid w:val="3DE4387D"/>
    <w:rsid w:val="3E98235C"/>
    <w:rsid w:val="3EC6260F"/>
    <w:rsid w:val="3EE13F16"/>
    <w:rsid w:val="3EF679E5"/>
    <w:rsid w:val="3F76250C"/>
    <w:rsid w:val="3FBE7F13"/>
    <w:rsid w:val="3FD324F1"/>
    <w:rsid w:val="400D7F7B"/>
    <w:rsid w:val="40154F8C"/>
    <w:rsid w:val="40B91AE2"/>
    <w:rsid w:val="40D047EA"/>
    <w:rsid w:val="40F72913"/>
    <w:rsid w:val="422241F8"/>
    <w:rsid w:val="42350551"/>
    <w:rsid w:val="423B6BD6"/>
    <w:rsid w:val="42454848"/>
    <w:rsid w:val="4250579A"/>
    <w:rsid w:val="426E2B33"/>
    <w:rsid w:val="429C29ED"/>
    <w:rsid w:val="42AC4237"/>
    <w:rsid w:val="42B72D90"/>
    <w:rsid w:val="42EA3D57"/>
    <w:rsid w:val="43A56600"/>
    <w:rsid w:val="43BD799C"/>
    <w:rsid w:val="43E80065"/>
    <w:rsid w:val="43FF654F"/>
    <w:rsid w:val="441F2A66"/>
    <w:rsid w:val="4440544D"/>
    <w:rsid w:val="44414863"/>
    <w:rsid w:val="445A0EBB"/>
    <w:rsid w:val="448432E2"/>
    <w:rsid w:val="44D4651B"/>
    <w:rsid w:val="44E150AC"/>
    <w:rsid w:val="44E84FB1"/>
    <w:rsid w:val="450E5A3D"/>
    <w:rsid w:val="45221A31"/>
    <w:rsid w:val="4591538C"/>
    <w:rsid w:val="45A060A7"/>
    <w:rsid w:val="45A25BB2"/>
    <w:rsid w:val="45E71F71"/>
    <w:rsid w:val="46A23069"/>
    <w:rsid w:val="46B10F69"/>
    <w:rsid w:val="4763404B"/>
    <w:rsid w:val="486852FA"/>
    <w:rsid w:val="48AF5C8A"/>
    <w:rsid w:val="49045422"/>
    <w:rsid w:val="496A6B29"/>
    <w:rsid w:val="49F15A4F"/>
    <w:rsid w:val="4A3104EE"/>
    <w:rsid w:val="4A6312D1"/>
    <w:rsid w:val="4A9B2152"/>
    <w:rsid w:val="4B101917"/>
    <w:rsid w:val="4B2E79B5"/>
    <w:rsid w:val="4B8D0E2D"/>
    <w:rsid w:val="4B971FC5"/>
    <w:rsid w:val="4BB46130"/>
    <w:rsid w:val="4C3D0B62"/>
    <w:rsid w:val="4CB7264B"/>
    <w:rsid w:val="4CEF5BAF"/>
    <w:rsid w:val="4D7D3A4A"/>
    <w:rsid w:val="4D850ADA"/>
    <w:rsid w:val="4D9C5FC5"/>
    <w:rsid w:val="4E930995"/>
    <w:rsid w:val="4F8F2829"/>
    <w:rsid w:val="4FB93093"/>
    <w:rsid w:val="51360454"/>
    <w:rsid w:val="51FD4E19"/>
    <w:rsid w:val="523D1183"/>
    <w:rsid w:val="53033E94"/>
    <w:rsid w:val="53351E16"/>
    <w:rsid w:val="5385704A"/>
    <w:rsid w:val="53987183"/>
    <w:rsid w:val="54160EF8"/>
    <w:rsid w:val="543D36A4"/>
    <w:rsid w:val="5448127D"/>
    <w:rsid w:val="548F1912"/>
    <w:rsid w:val="55303AEA"/>
    <w:rsid w:val="55657708"/>
    <w:rsid w:val="55B47996"/>
    <w:rsid w:val="55D244CE"/>
    <w:rsid w:val="561D139E"/>
    <w:rsid w:val="570C6233"/>
    <w:rsid w:val="57F42634"/>
    <w:rsid w:val="58620795"/>
    <w:rsid w:val="5864641D"/>
    <w:rsid w:val="5995344C"/>
    <w:rsid w:val="5A5627B7"/>
    <w:rsid w:val="5A691DBF"/>
    <w:rsid w:val="5A752E0B"/>
    <w:rsid w:val="5B4D072D"/>
    <w:rsid w:val="5B547321"/>
    <w:rsid w:val="5B581A90"/>
    <w:rsid w:val="5B8B2BF4"/>
    <w:rsid w:val="5C8A33AB"/>
    <w:rsid w:val="5C8A7A34"/>
    <w:rsid w:val="5DA54D35"/>
    <w:rsid w:val="5E4D4776"/>
    <w:rsid w:val="5F555D46"/>
    <w:rsid w:val="5FA60862"/>
    <w:rsid w:val="6090130A"/>
    <w:rsid w:val="60B23606"/>
    <w:rsid w:val="60DA29A7"/>
    <w:rsid w:val="60F577E0"/>
    <w:rsid w:val="610B7306"/>
    <w:rsid w:val="614C44B8"/>
    <w:rsid w:val="62C220C3"/>
    <w:rsid w:val="64094806"/>
    <w:rsid w:val="64C74F27"/>
    <w:rsid w:val="65622F6B"/>
    <w:rsid w:val="65E507C2"/>
    <w:rsid w:val="66055487"/>
    <w:rsid w:val="660B3602"/>
    <w:rsid w:val="66265A06"/>
    <w:rsid w:val="665969A9"/>
    <w:rsid w:val="6750787A"/>
    <w:rsid w:val="67553EFC"/>
    <w:rsid w:val="67A92CBE"/>
    <w:rsid w:val="67F5319A"/>
    <w:rsid w:val="6837248C"/>
    <w:rsid w:val="685F19E3"/>
    <w:rsid w:val="687156D7"/>
    <w:rsid w:val="68F04190"/>
    <w:rsid w:val="69016BAE"/>
    <w:rsid w:val="698C108B"/>
    <w:rsid w:val="6A0236F7"/>
    <w:rsid w:val="6A227E13"/>
    <w:rsid w:val="6A256AD2"/>
    <w:rsid w:val="6A49148C"/>
    <w:rsid w:val="6A7A1ED3"/>
    <w:rsid w:val="6A82638A"/>
    <w:rsid w:val="6ACD532A"/>
    <w:rsid w:val="6BAC7F04"/>
    <w:rsid w:val="6BD91AAD"/>
    <w:rsid w:val="6C4222EE"/>
    <w:rsid w:val="6CB56076"/>
    <w:rsid w:val="6D2C1D2E"/>
    <w:rsid w:val="6D741A8D"/>
    <w:rsid w:val="6D8124F7"/>
    <w:rsid w:val="6E434E64"/>
    <w:rsid w:val="6E606344"/>
    <w:rsid w:val="6F5000CE"/>
    <w:rsid w:val="6F834808"/>
    <w:rsid w:val="6FDA32FF"/>
    <w:rsid w:val="6FF934E4"/>
    <w:rsid w:val="70E22485"/>
    <w:rsid w:val="713C6B66"/>
    <w:rsid w:val="71655048"/>
    <w:rsid w:val="71E62861"/>
    <w:rsid w:val="72007C89"/>
    <w:rsid w:val="72DB3D94"/>
    <w:rsid w:val="741A501A"/>
    <w:rsid w:val="745F66AB"/>
    <w:rsid w:val="74A00127"/>
    <w:rsid w:val="74C11DBF"/>
    <w:rsid w:val="75050630"/>
    <w:rsid w:val="75455AC7"/>
    <w:rsid w:val="764650CA"/>
    <w:rsid w:val="768865A9"/>
    <w:rsid w:val="76B949B4"/>
    <w:rsid w:val="76D96E05"/>
    <w:rsid w:val="76F91D77"/>
    <w:rsid w:val="77351123"/>
    <w:rsid w:val="773B116D"/>
    <w:rsid w:val="77D00208"/>
    <w:rsid w:val="7880434D"/>
    <w:rsid w:val="7967434B"/>
    <w:rsid w:val="7A6D3665"/>
    <w:rsid w:val="7AD16771"/>
    <w:rsid w:val="7B53073C"/>
    <w:rsid w:val="7B754FDD"/>
    <w:rsid w:val="7BE544EC"/>
    <w:rsid w:val="7CF2547A"/>
    <w:rsid w:val="7D4A23E3"/>
    <w:rsid w:val="7DAC3A9C"/>
    <w:rsid w:val="7E597CD7"/>
    <w:rsid w:val="7E805F67"/>
    <w:rsid w:val="7ECA375E"/>
    <w:rsid w:val="7F214B5B"/>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sz w:val="24"/>
      <w:lang w:val="en-US" w:eastAsia="zh-CN" w:bidi="ar-SA"/>
    </w:rPr>
  </w:style>
  <w:style w:type="paragraph" w:styleId="4">
    <w:name w:val="heading 1"/>
    <w:basedOn w:val="1"/>
    <w:next w:val="1"/>
    <w:autoRedefine/>
    <w:qFormat/>
    <w:uiPriority w:val="0"/>
    <w:pPr>
      <w:keepNext/>
      <w:outlineLvl w:val="0"/>
    </w:pPr>
    <w:rPr>
      <w:rFonts w:ascii="仿宋_GB2312" w:hAnsi="宋体" w:eastAsia="仿宋_GB2312"/>
      <w:b/>
      <w:kern w:val="2"/>
      <w:sz w:val="32"/>
    </w:rPr>
  </w:style>
  <w:style w:type="paragraph" w:styleId="5">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6">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7">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spacing w:after="120"/>
      <w:ind w:left="420" w:leftChars="200" w:firstLine="420"/>
    </w:pPr>
    <w:rPr>
      <w:sz w:val="21"/>
    </w:rPr>
  </w:style>
  <w:style w:type="paragraph" w:styleId="3">
    <w:name w:val="Body Text Indent"/>
    <w:basedOn w:val="1"/>
    <w:next w:val="1"/>
    <w:autoRedefine/>
    <w:qFormat/>
    <w:uiPriority w:val="0"/>
    <w:pPr>
      <w:ind w:left="1083" w:leftChars="30" w:hanging="1020" w:hangingChars="425"/>
    </w:pPr>
    <w:rPr>
      <w:rFonts w:hAnsi="宋体"/>
    </w:rPr>
  </w:style>
  <w:style w:type="paragraph" w:styleId="8">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9">
    <w:name w:val="annotation text"/>
    <w:basedOn w:val="1"/>
    <w:link w:val="44"/>
    <w:qFormat/>
    <w:uiPriority w:val="0"/>
    <w:pPr>
      <w:jc w:val="left"/>
    </w:pPr>
  </w:style>
  <w:style w:type="paragraph" w:styleId="10">
    <w:name w:val="Body Text 3"/>
    <w:basedOn w:val="1"/>
    <w:autoRedefine/>
    <w:qFormat/>
    <w:uiPriority w:val="0"/>
    <w:pPr>
      <w:jc w:val="center"/>
    </w:pPr>
    <w:rPr>
      <w:rFonts w:ascii="Times New Roman"/>
      <w:b/>
      <w:spacing w:val="-20"/>
      <w:w w:val="110"/>
      <w:kern w:val="2"/>
      <w:sz w:val="52"/>
    </w:rPr>
  </w:style>
  <w:style w:type="paragraph" w:styleId="11">
    <w:name w:val="Body Text"/>
    <w:basedOn w:val="1"/>
    <w:next w:val="1"/>
    <w:autoRedefine/>
    <w:qFormat/>
    <w:uiPriority w:val="0"/>
    <w:pPr>
      <w:spacing w:after="120"/>
    </w:pPr>
    <w:rPr>
      <w:rFonts w:ascii="Times New Roman"/>
      <w:kern w:val="2"/>
      <w:sz w:val="21"/>
    </w:rPr>
  </w:style>
  <w:style w:type="paragraph" w:styleId="12">
    <w:name w:val="index 4"/>
    <w:basedOn w:val="1"/>
    <w:next w:val="1"/>
    <w:autoRedefine/>
    <w:unhideWhenUsed/>
    <w:qFormat/>
    <w:uiPriority w:val="99"/>
    <w:pPr>
      <w:ind w:left="428" w:firstLine="140"/>
    </w:pPr>
  </w:style>
  <w:style w:type="paragraph" w:styleId="13">
    <w:name w:val="Plain Text"/>
    <w:basedOn w:val="1"/>
    <w:next w:val="14"/>
    <w:autoRedefine/>
    <w:qFormat/>
    <w:uiPriority w:val="0"/>
    <w:rPr>
      <w:rFonts w:hAnsi="Courier New"/>
      <w:kern w:val="2"/>
      <w:sz w:val="21"/>
    </w:rPr>
  </w:style>
  <w:style w:type="paragraph" w:styleId="14">
    <w:name w:val="Date"/>
    <w:basedOn w:val="1"/>
    <w:next w:val="1"/>
    <w:autoRedefine/>
    <w:qFormat/>
    <w:uiPriority w:val="0"/>
    <w:rPr>
      <w:rFonts w:ascii="Times New Roman"/>
      <w:kern w:val="2"/>
      <w:sz w:val="28"/>
    </w:rPr>
  </w:style>
  <w:style w:type="paragraph" w:styleId="15">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6">
    <w:name w:val="Balloon Text"/>
    <w:basedOn w:val="1"/>
    <w:link w:val="46"/>
    <w:qFormat/>
    <w:uiPriority w:val="0"/>
    <w:rPr>
      <w:sz w:val="18"/>
      <w:szCs w:val="18"/>
    </w:rPr>
  </w:style>
  <w:style w:type="paragraph" w:styleId="17">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9">
    <w:name w:val="toc 1"/>
    <w:basedOn w:val="1"/>
    <w:next w:val="1"/>
    <w:autoRedefine/>
    <w:unhideWhenUsed/>
    <w:qFormat/>
    <w:uiPriority w:val="0"/>
  </w:style>
  <w:style w:type="paragraph" w:styleId="20">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1">
    <w:name w:val="toc 2"/>
    <w:basedOn w:val="1"/>
    <w:next w:val="1"/>
    <w:autoRedefine/>
    <w:unhideWhenUsed/>
    <w:qFormat/>
    <w:uiPriority w:val="0"/>
    <w:pPr>
      <w:ind w:left="420" w:leftChars="200"/>
    </w:pPr>
  </w:style>
  <w:style w:type="paragraph" w:styleId="22">
    <w:name w:val="Normal (Web)"/>
    <w:basedOn w:val="1"/>
    <w:autoRedefine/>
    <w:qFormat/>
    <w:uiPriority w:val="0"/>
    <w:pPr>
      <w:widowControl/>
      <w:spacing w:before="100" w:beforeAutospacing="1" w:after="100" w:afterAutospacing="1"/>
      <w:jc w:val="left"/>
    </w:pPr>
    <w:rPr>
      <w:rFonts w:hAnsi="宋体"/>
      <w:szCs w:val="24"/>
    </w:rPr>
  </w:style>
  <w:style w:type="paragraph" w:styleId="23">
    <w:name w:val="annotation subject"/>
    <w:basedOn w:val="9"/>
    <w:next w:val="9"/>
    <w:link w:val="45"/>
    <w:qFormat/>
    <w:uiPriority w:val="0"/>
    <w:rPr>
      <w:b/>
      <w:bCs/>
    </w:rPr>
  </w:style>
  <w:style w:type="paragraph" w:styleId="24">
    <w:name w:val="Body Text First Indent"/>
    <w:basedOn w:val="1"/>
    <w:next w:val="1"/>
    <w:autoRedefine/>
    <w:qFormat/>
    <w:uiPriority w:val="0"/>
    <w:pPr>
      <w:adjustRightInd w:val="0"/>
      <w:ind w:firstLine="420"/>
      <w:jc w:val="left"/>
      <w:textAlignment w:val="baseline"/>
    </w:pPr>
    <w:rPr>
      <w:b/>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4"/>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8"/>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9"/>
    <w:qFormat/>
    <w:uiPriority w:val="0"/>
    <w:rPr>
      <w:rFonts w:ascii="宋体"/>
      <w:sz w:val="24"/>
    </w:rPr>
  </w:style>
  <w:style w:type="character" w:customStyle="1" w:styleId="45">
    <w:name w:val="批注主题 字符"/>
    <w:basedOn w:val="44"/>
    <w:link w:val="23"/>
    <w:qFormat/>
    <w:uiPriority w:val="0"/>
    <w:rPr>
      <w:rFonts w:ascii="宋体"/>
      <w:b/>
      <w:bCs/>
      <w:sz w:val="24"/>
    </w:rPr>
  </w:style>
  <w:style w:type="character" w:customStyle="1" w:styleId="46">
    <w:name w:val="批注框文本 字符"/>
    <w:basedOn w:val="27"/>
    <w:link w:val="16"/>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character" w:customStyle="1" w:styleId="50">
    <w:name w:val="font61"/>
    <w:basedOn w:val="27"/>
    <w:qFormat/>
    <w:uiPriority w:val="0"/>
    <w:rPr>
      <w:rFonts w:hint="eastAsia" w:ascii="宋体" w:hAnsi="宋体" w:eastAsia="宋体" w:cs="宋体"/>
      <w:color w:val="000000"/>
      <w:sz w:val="20"/>
      <w:szCs w:val="20"/>
      <w:u w:val="single"/>
    </w:rPr>
  </w:style>
  <w:style w:type="paragraph" w:customStyle="1" w:styleId="5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91</Pages>
  <Words>20064</Words>
  <Characters>21583</Characters>
  <Lines>350</Lines>
  <Paragraphs>98</Paragraphs>
  <TotalTime>9</TotalTime>
  <ScaleCrop>false</ScaleCrop>
  <LinksUpToDate>false</LinksUpToDate>
  <CharactersWithSpaces>21764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都市阳光～王馨悦</cp:lastModifiedBy>
  <dcterms:modified xsi:type="dcterms:W3CDTF">2025-10-22T08:16:53Z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B4EAE01CEA46475792051C96EE30B8B6_13</vt:lpwstr>
  </property>
  <property fmtid="{D5CDD505-2E9C-101B-9397-08002B2CF9AE}" pid="4" name="KSOTemplateDocerSaveRecord">
    <vt:lpwstr>eyJoZGlkIjoiMDc2YjExZDk4YmRkMTFlODc4NDZiMTVkOTg4ODNhMmEiLCJ1c2VySWQiOiI1OTI1NjQzNTQifQ==</vt:lpwstr>
  </property>
</Properties>
</file>