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4B6D6">
      <w:pPr>
        <w:jc w:val="center"/>
        <w:rPr>
          <w:rFonts w:hint="eastAsia" w:asciiTheme="minorEastAsia" w:hAnsiTheme="minorEastAsia" w:eastAsiaTheme="minorEastAsia" w:cstheme="minorEastAsia"/>
          <w:sz w:val="44"/>
          <w:szCs w:val="44"/>
        </w:rPr>
      </w:pPr>
    </w:p>
    <w:p w14:paraId="057B9F11">
      <w:pPr>
        <w:jc w:val="center"/>
        <w:rPr>
          <w:rFonts w:hint="eastAsia" w:asciiTheme="minorEastAsia" w:hAnsiTheme="minorEastAsia" w:eastAsiaTheme="minorEastAsia" w:cstheme="minorEastAsia"/>
          <w:sz w:val="44"/>
          <w:szCs w:val="44"/>
        </w:rPr>
      </w:pPr>
    </w:p>
    <w:p w14:paraId="0521C8D1">
      <w:pPr>
        <w:jc w:val="center"/>
        <w:rPr>
          <w:rFonts w:hint="eastAsia" w:asciiTheme="minorEastAsia" w:hAnsiTheme="minorEastAsia" w:eastAsiaTheme="minorEastAsia" w:cstheme="minorEastAsia"/>
          <w:sz w:val="44"/>
          <w:szCs w:val="44"/>
        </w:rPr>
      </w:pPr>
    </w:p>
    <w:p w14:paraId="71265B36">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陇县电子政务网络链路、互联网出口链路租赁及运维服务项目</w:t>
      </w:r>
    </w:p>
    <w:p w14:paraId="2E09DDAE">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竞争性磋商采购文件</w:t>
      </w:r>
    </w:p>
    <w:p w14:paraId="57AD5B29">
      <w:pPr>
        <w:pStyle w:val="5"/>
        <w:rPr>
          <w:rFonts w:hint="eastAsia"/>
          <w:lang w:val="en-US" w:eastAsia="zh-CN"/>
        </w:rPr>
      </w:pPr>
    </w:p>
    <w:p w14:paraId="2A7825A4">
      <w:pPr>
        <w:pStyle w:val="6"/>
        <w:rPr>
          <w:rFonts w:hint="eastAsia"/>
          <w:lang w:val="en-US" w:eastAsia="zh-CN"/>
        </w:rPr>
      </w:pPr>
    </w:p>
    <w:p w14:paraId="7993D665">
      <w:pPr>
        <w:rPr>
          <w:rFonts w:hint="eastAsia" w:asciiTheme="minorEastAsia" w:hAnsiTheme="minorEastAsia" w:eastAsiaTheme="minorEastAsia" w:cstheme="minorEastAsia"/>
          <w:sz w:val="32"/>
          <w:szCs w:val="32"/>
          <w:lang w:val="en-US" w:eastAsia="zh-CN"/>
        </w:rPr>
      </w:pPr>
    </w:p>
    <w:p w14:paraId="0AD7A345">
      <w:pPr>
        <w:rPr>
          <w:rFonts w:hint="eastAsia" w:asciiTheme="minorEastAsia" w:hAnsiTheme="minorEastAsia" w:eastAsiaTheme="minorEastAsia" w:cstheme="minorEastAsia"/>
          <w:sz w:val="32"/>
          <w:szCs w:val="32"/>
          <w:lang w:eastAsia="zh-CN"/>
        </w:rPr>
      </w:pPr>
      <w:bookmarkStart w:id="0" w:name="_Toc17236"/>
      <w:r>
        <w:rPr>
          <w:rFonts w:hint="eastAsia" w:asciiTheme="minorEastAsia" w:hAnsiTheme="minorEastAsia" w:eastAsiaTheme="minorEastAsia" w:cstheme="minorEastAsia"/>
          <w:sz w:val="32"/>
          <w:szCs w:val="32"/>
          <w:lang w:eastAsia="zh-CN"/>
        </w:rPr>
        <w:t>项目编号：</w:t>
      </w:r>
      <w:bookmarkEnd w:id="0"/>
      <w:r>
        <w:rPr>
          <w:rFonts w:hint="eastAsia" w:asciiTheme="minorEastAsia" w:hAnsiTheme="minorEastAsia" w:eastAsiaTheme="minorEastAsia" w:cstheme="minorEastAsia"/>
          <w:sz w:val="32"/>
          <w:szCs w:val="32"/>
          <w:lang w:val="en-US" w:eastAsia="zh-CN"/>
        </w:rPr>
        <w:t>LXZFCGZX-2025290101</w:t>
      </w:r>
    </w:p>
    <w:p w14:paraId="3A3B49DE">
      <w:pPr>
        <w:rPr>
          <w:rFonts w:hint="eastAsia" w:asciiTheme="minorEastAsia" w:hAnsiTheme="minorEastAsia" w:eastAsiaTheme="minorEastAsia" w:cstheme="minorEastAsia"/>
          <w:sz w:val="32"/>
          <w:szCs w:val="32"/>
          <w:lang w:eastAsia="zh-CN"/>
        </w:rPr>
      </w:pPr>
    </w:p>
    <w:p w14:paraId="13F42516">
      <w:pPr>
        <w:rPr>
          <w:rFonts w:hint="eastAsia" w:asciiTheme="minorEastAsia" w:hAnsiTheme="minorEastAsia" w:eastAsiaTheme="minorEastAsia" w:cstheme="minorEastAsia"/>
          <w:sz w:val="32"/>
          <w:szCs w:val="32"/>
          <w:lang w:val="en-US" w:eastAsia="zh-CN"/>
        </w:rPr>
      </w:pPr>
    </w:p>
    <w:p w14:paraId="0460309F">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采购人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陇县发展和改革局</w:t>
      </w:r>
    </w:p>
    <w:p w14:paraId="74FFEF04">
      <w:pPr>
        <w:rPr>
          <w:rFonts w:hint="eastAsia" w:asciiTheme="minorEastAsia" w:hAnsiTheme="minorEastAsia" w:eastAsiaTheme="minorEastAsia" w:cstheme="minorEastAsia"/>
          <w:sz w:val="32"/>
          <w:szCs w:val="32"/>
        </w:rPr>
      </w:pPr>
    </w:p>
    <w:p w14:paraId="4C5C3B06">
      <w:pPr>
        <w:rPr>
          <w:rFonts w:hint="eastAsia" w:asciiTheme="minorEastAsia" w:hAnsiTheme="minorEastAsia" w:eastAsiaTheme="minorEastAsia" w:cstheme="minorEastAsia"/>
          <w:sz w:val="32"/>
          <w:szCs w:val="32"/>
        </w:rPr>
      </w:pPr>
      <w:bookmarkStart w:id="1" w:name="_Toc29214"/>
    </w:p>
    <w:p w14:paraId="3C6EDF32">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代理机构：</w:t>
      </w:r>
      <w:bookmarkEnd w:id="1"/>
      <w:r>
        <w:rPr>
          <w:rFonts w:hint="eastAsia" w:asciiTheme="minorEastAsia" w:hAnsiTheme="minorEastAsia" w:eastAsiaTheme="minorEastAsia" w:cstheme="minorEastAsia"/>
          <w:sz w:val="32"/>
          <w:szCs w:val="32"/>
          <w:lang w:eastAsia="zh-CN"/>
        </w:rPr>
        <w:t>陇县政府采购中心</w:t>
      </w:r>
    </w:p>
    <w:p w14:paraId="74D1AC71">
      <w:pPr>
        <w:rPr>
          <w:rFonts w:hint="eastAsia" w:asciiTheme="minorEastAsia" w:hAnsiTheme="minorEastAsia" w:eastAsiaTheme="minorEastAsia" w:cstheme="minorEastAsia"/>
          <w:sz w:val="32"/>
          <w:szCs w:val="32"/>
        </w:rPr>
      </w:pPr>
      <w:bookmarkStart w:id="2" w:name="_Toc21567"/>
    </w:p>
    <w:p w14:paraId="68BFEFA6">
      <w:pPr>
        <w:rPr>
          <w:rFonts w:hint="eastAsia" w:asciiTheme="minorEastAsia" w:hAnsiTheme="minorEastAsia" w:eastAsiaTheme="minorEastAsia" w:cstheme="minorEastAsia"/>
          <w:sz w:val="32"/>
          <w:szCs w:val="32"/>
        </w:rPr>
      </w:pPr>
    </w:p>
    <w:p w14:paraId="338073ED">
      <w:pPr>
        <w:rPr>
          <w:rFonts w:hint="eastAsia" w:asciiTheme="minorEastAsia" w:hAnsiTheme="minorEastAsia" w:eastAsiaTheme="minorEastAsia" w:cstheme="minorEastAsia"/>
          <w:sz w:val="32"/>
          <w:szCs w:val="32"/>
        </w:rPr>
      </w:pPr>
    </w:p>
    <w:p w14:paraId="19566587">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二〇</w:t>
      </w: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lang w:val="en-US" w:eastAsia="zh-CN"/>
        </w:rPr>
        <w:t>五</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十</w:t>
      </w:r>
      <w:r>
        <w:rPr>
          <w:rFonts w:hint="eastAsia" w:asciiTheme="minorEastAsia" w:hAnsiTheme="minorEastAsia" w:eastAsiaTheme="minorEastAsia" w:cstheme="minorEastAsia"/>
          <w:sz w:val="32"/>
          <w:szCs w:val="32"/>
        </w:rPr>
        <w:t>月</w:t>
      </w:r>
      <w:bookmarkEnd w:id="2"/>
      <w:bookmarkStart w:id="3" w:name="_Toc10860"/>
    </w:p>
    <w:p w14:paraId="172AC04A">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14:paraId="2EB70A4F">
      <w:pPr>
        <w:spacing w:before="0" w:beforeLines="0" w:after="0" w:afterLines="0" w:line="240" w:lineRule="auto"/>
        <w:ind w:left="0" w:leftChars="0" w:right="0" w:rightChars="0" w:firstLine="0" w:firstLineChars="0"/>
        <w:jc w:val="center"/>
        <w:rPr>
          <w:rFonts w:ascii="宋体" w:hAnsi="宋体" w:eastAsia="宋体"/>
          <w:sz w:val="44"/>
          <w:szCs w:val="44"/>
        </w:rPr>
      </w:pPr>
    </w:p>
    <w:p w14:paraId="1AEC82EC">
      <w:pPr>
        <w:spacing w:before="0" w:beforeLines="0" w:after="0" w:afterLines="0" w:line="240" w:lineRule="auto"/>
        <w:ind w:left="0" w:leftChars="0" w:right="0" w:rightChars="0" w:firstLine="0" w:firstLineChars="0"/>
        <w:jc w:val="center"/>
        <w:rPr>
          <w:rFonts w:ascii="宋体" w:hAnsi="宋体" w:eastAsia="宋体"/>
          <w:sz w:val="44"/>
          <w:szCs w:val="44"/>
        </w:rPr>
      </w:pPr>
    </w:p>
    <w:p w14:paraId="3D42A47E">
      <w:pPr>
        <w:spacing w:before="0" w:beforeLines="0" w:after="0" w:afterLines="0" w:line="240" w:lineRule="auto"/>
        <w:ind w:left="0" w:leftChars="0" w:right="0" w:rightChars="0" w:firstLine="0" w:firstLineChars="0"/>
        <w:jc w:val="center"/>
        <w:rPr>
          <w:rFonts w:ascii="宋体" w:hAnsi="宋体" w:eastAsia="宋体"/>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14:paraId="46A48C37">
      <w:pPr>
        <w:spacing w:before="0" w:beforeLines="0" w:after="0" w:afterLines="0" w:line="240" w:lineRule="auto"/>
        <w:ind w:left="0" w:leftChars="0" w:right="0" w:rightChars="0" w:firstLine="0" w:firstLineChars="0"/>
        <w:jc w:val="center"/>
        <w:rPr>
          <w:rFonts w:ascii="宋体" w:hAnsi="宋体" w:eastAsia="宋体"/>
          <w:sz w:val="44"/>
          <w:szCs w:val="44"/>
        </w:rPr>
      </w:pPr>
    </w:p>
    <w:p w14:paraId="505AB5FF">
      <w:pPr>
        <w:rPr>
          <w:rFonts w:hint="eastAsia"/>
          <w:sz w:val="32"/>
          <w:szCs w:val="32"/>
        </w:rPr>
      </w:pPr>
      <w:r>
        <w:rPr>
          <w:rFonts w:hint="eastAsia"/>
          <w:sz w:val="32"/>
          <w:szCs w:val="32"/>
        </w:rPr>
        <w:t>第一部分 竞争性磋商公告</w:t>
      </w:r>
    </w:p>
    <w:p w14:paraId="4C5577B1">
      <w:pPr>
        <w:rPr>
          <w:rFonts w:hint="eastAsia"/>
          <w:sz w:val="32"/>
          <w:szCs w:val="32"/>
        </w:rPr>
      </w:pPr>
      <w:r>
        <w:rPr>
          <w:rFonts w:hint="eastAsia"/>
          <w:sz w:val="32"/>
          <w:szCs w:val="32"/>
        </w:rPr>
        <w:t>第二部分 供应商须知</w:t>
      </w:r>
    </w:p>
    <w:p w14:paraId="446F4DFB">
      <w:pPr>
        <w:rPr>
          <w:rFonts w:hint="eastAsia"/>
          <w:sz w:val="32"/>
          <w:szCs w:val="32"/>
        </w:rPr>
      </w:pPr>
      <w:r>
        <w:rPr>
          <w:rFonts w:hint="eastAsia"/>
          <w:sz w:val="32"/>
          <w:szCs w:val="32"/>
        </w:rPr>
        <w:t>第三部分 磋商评审办法及内容</w:t>
      </w:r>
    </w:p>
    <w:p w14:paraId="10AE6F8A">
      <w:pPr>
        <w:rPr>
          <w:rFonts w:hint="eastAsia"/>
          <w:sz w:val="32"/>
          <w:szCs w:val="32"/>
        </w:rPr>
      </w:pPr>
      <w:r>
        <w:rPr>
          <w:rFonts w:hint="eastAsia"/>
          <w:sz w:val="32"/>
          <w:szCs w:val="32"/>
        </w:rPr>
        <w:t>第四部分 采购内容及要求</w:t>
      </w:r>
    </w:p>
    <w:p w14:paraId="6C6058B5">
      <w:pPr>
        <w:rPr>
          <w:rFonts w:hint="eastAsia"/>
          <w:sz w:val="32"/>
          <w:szCs w:val="32"/>
        </w:rPr>
      </w:pPr>
      <w:r>
        <w:rPr>
          <w:rFonts w:hint="eastAsia"/>
          <w:sz w:val="32"/>
          <w:szCs w:val="32"/>
        </w:rPr>
        <w:t>第五部分 合同</w:t>
      </w:r>
      <w:r>
        <w:rPr>
          <w:rFonts w:hint="eastAsia"/>
          <w:sz w:val="32"/>
          <w:szCs w:val="32"/>
          <w:lang w:val="en-US" w:eastAsia="zh-CN"/>
        </w:rPr>
        <w:t>主要</w:t>
      </w:r>
      <w:r>
        <w:rPr>
          <w:rFonts w:hint="eastAsia"/>
          <w:sz w:val="32"/>
          <w:szCs w:val="32"/>
        </w:rPr>
        <w:t>条款</w:t>
      </w:r>
    </w:p>
    <w:p w14:paraId="58802A50">
      <w:pPr>
        <w:rPr>
          <w:rFonts w:hint="eastAsia"/>
          <w:sz w:val="32"/>
          <w:szCs w:val="32"/>
        </w:rPr>
      </w:pPr>
      <w:r>
        <w:rPr>
          <w:rFonts w:hint="eastAsia"/>
          <w:sz w:val="32"/>
          <w:szCs w:val="32"/>
        </w:rPr>
        <w:t>第六部分 竞争性磋商响应文件格式</w:t>
      </w:r>
    </w:p>
    <w:p w14:paraId="114818A7">
      <w:pPr>
        <w:rPr>
          <w:rFonts w:hint="eastAsia"/>
        </w:rPr>
      </w:pPr>
    </w:p>
    <w:p w14:paraId="1AB10B15">
      <w:pPr>
        <w:rPr>
          <w:rFonts w:hint="eastAsia"/>
        </w:rPr>
      </w:pPr>
      <w:r>
        <w:rPr>
          <w:rFonts w:hint="eastAsia"/>
        </w:rPr>
        <w:br w:type="page"/>
      </w:r>
    </w:p>
    <w:p w14:paraId="3F994C44">
      <w:pPr>
        <w:pStyle w:val="10"/>
        <w:tabs>
          <w:tab w:val="right" w:leader="dot" w:pos="9072"/>
          <w:tab w:val="clear" w:pos="8760"/>
        </w:tabs>
        <w:jc w:val="center"/>
        <w:rPr>
          <w:sz w:val="44"/>
          <w:szCs w:val="44"/>
          <w:shd w:val="clear" w:color="auto" w:fill="auto"/>
        </w:rPr>
      </w:pPr>
      <w:r>
        <w:rPr>
          <w:sz w:val="44"/>
          <w:szCs w:val="44"/>
          <w:shd w:val="clear" w:color="auto" w:fill="auto"/>
        </w:rPr>
        <w:fldChar w:fldCharType="begin"/>
      </w:r>
      <w:r>
        <w:rPr>
          <w:sz w:val="44"/>
          <w:szCs w:val="44"/>
          <w:shd w:val="clear" w:color="auto" w:fill="auto"/>
        </w:rPr>
        <w:instrText xml:space="preserve"> HYPERLINK \l _Toc19347 </w:instrText>
      </w:r>
      <w:r>
        <w:rPr>
          <w:sz w:val="44"/>
          <w:szCs w:val="44"/>
          <w:shd w:val="clear" w:color="auto" w:fill="auto"/>
        </w:rPr>
        <w:fldChar w:fldCharType="separate"/>
      </w:r>
      <w:r>
        <w:rPr>
          <w:rFonts w:hint="eastAsia"/>
          <w:sz w:val="44"/>
          <w:szCs w:val="44"/>
          <w:shd w:val="clear" w:color="auto" w:fill="auto"/>
        </w:rPr>
        <w:t>第一部分</w:t>
      </w:r>
      <w:r>
        <w:rPr>
          <w:rFonts w:hint="eastAsia"/>
          <w:sz w:val="44"/>
          <w:szCs w:val="44"/>
          <w:shd w:val="clear" w:color="auto" w:fill="auto"/>
          <w:lang w:val="en-US" w:eastAsia="zh-CN"/>
        </w:rPr>
        <w:t xml:space="preserve"> </w:t>
      </w:r>
      <w:r>
        <w:rPr>
          <w:rFonts w:hint="eastAsia"/>
          <w:sz w:val="44"/>
          <w:szCs w:val="44"/>
          <w:shd w:val="clear" w:color="auto" w:fill="auto"/>
        </w:rPr>
        <w:t>竞争性磋商公告</w:t>
      </w:r>
      <w:r>
        <w:rPr>
          <w:sz w:val="44"/>
          <w:szCs w:val="44"/>
          <w:shd w:val="clear" w:color="auto" w:fill="auto"/>
        </w:rPr>
        <w:fldChar w:fldCharType="end"/>
      </w:r>
    </w:p>
    <w:p w14:paraId="679B2F0D">
      <w:pPr>
        <w:jc w:val="center"/>
        <w:rPr>
          <w:rFonts w:hint="eastAsia" w:ascii="Helvetica" w:hAnsi="Helvetica" w:cs="Helvetica"/>
          <w:b/>
          <w:bCs/>
          <w:i w:val="0"/>
          <w:iCs w:val="0"/>
          <w:caps w:val="0"/>
          <w:color w:val="333333"/>
          <w:spacing w:val="0"/>
          <w:sz w:val="24"/>
          <w:szCs w:val="24"/>
          <w:shd w:val="clear" w:color="auto" w:fill="FFFFFF"/>
          <w:vertAlign w:val="baseline"/>
          <w:lang w:eastAsia="zh-CN"/>
        </w:rPr>
      </w:pPr>
    </w:p>
    <w:p w14:paraId="0959D058">
      <w:pPr>
        <w:jc w:val="center"/>
        <w:rPr>
          <w:rFonts w:hint="eastAsia" w:ascii="Helvetica" w:hAnsi="Helvetica" w:cs="Helvetica"/>
          <w:b/>
          <w:bCs/>
          <w:i w:val="0"/>
          <w:iCs w:val="0"/>
          <w:caps w:val="0"/>
          <w:color w:val="333333"/>
          <w:spacing w:val="0"/>
          <w:sz w:val="24"/>
          <w:szCs w:val="24"/>
          <w:shd w:val="clear" w:color="auto" w:fill="FFFFFF"/>
          <w:vertAlign w:val="baseline"/>
          <w:lang w:eastAsia="zh-CN"/>
        </w:rPr>
      </w:pPr>
      <w:r>
        <w:rPr>
          <w:rFonts w:hint="eastAsia" w:ascii="Helvetica" w:hAnsi="Helvetica" w:cs="Helvetica"/>
          <w:b/>
          <w:bCs/>
          <w:i w:val="0"/>
          <w:iCs w:val="0"/>
          <w:caps w:val="0"/>
          <w:color w:val="333333"/>
          <w:spacing w:val="0"/>
          <w:sz w:val="24"/>
          <w:szCs w:val="24"/>
          <w:shd w:val="clear" w:color="auto" w:fill="FFFFFF"/>
          <w:vertAlign w:val="baseline"/>
          <w:lang w:eastAsia="zh-CN"/>
        </w:rPr>
        <w:t>陇县电子政务网络链路、互联网出口链路租赁及运维服务项目</w:t>
      </w:r>
    </w:p>
    <w:p w14:paraId="5BBE9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Helvetica" w:hAnsi="Helvetica" w:eastAsia="Helvetica" w:cs="Helvetica"/>
          <w:b/>
          <w:bCs/>
          <w:i w:val="0"/>
          <w:iCs w:val="0"/>
          <w:caps w:val="0"/>
          <w:color w:val="333333"/>
          <w:spacing w:val="0"/>
          <w:sz w:val="24"/>
          <w:szCs w:val="24"/>
          <w:shd w:val="clear" w:color="auto" w:fill="FFFFFF"/>
          <w:vertAlign w:val="baseline"/>
        </w:rPr>
      </w:pPr>
      <w:r>
        <w:rPr>
          <w:rFonts w:hint="default" w:ascii="Helvetica" w:hAnsi="Helvetica" w:eastAsia="Helvetica" w:cs="Helvetica"/>
          <w:b/>
          <w:bCs/>
          <w:i w:val="0"/>
          <w:iCs w:val="0"/>
          <w:caps w:val="0"/>
          <w:color w:val="333333"/>
          <w:spacing w:val="0"/>
          <w:sz w:val="24"/>
          <w:szCs w:val="24"/>
          <w:shd w:val="clear" w:color="auto" w:fill="FFFFFF"/>
          <w:vertAlign w:val="baseline"/>
        </w:rPr>
        <w:t>竞争性磋商公告</w:t>
      </w:r>
      <w:bookmarkEnd w:id="3"/>
    </w:p>
    <w:p w14:paraId="419E3095">
      <w:pPr>
        <w:pStyle w:val="5"/>
      </w:pPr>
    </w:p>
    <w:tbl>
      <w:tblPr>
        <w:tblStyle w:val="1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0"/>
      </w:tblGrid>
      <w:tr w14:paraId="1820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9600" w:type="dxa"/>
            <w:noWrap w:val="0"/>
            <w:vAlign w:val="top"/>
          </w:tcPr>
          <w:p w14:paraId="4D9A3F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7E057F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lang w:eastAsia="zh-CN"/>
              </w:rPr>
              <w:t>陇县电子政务网络链路、互联网出口链路租赁及运维服务项目</w:t>
            </w:r>
            <w:r>
              <w:rPr>
                <w:rFonts w:hint="eastAsia" w:ascii="宋体" w:hAnsi="宋体" w:eastAsia="宋体" w:cs="宋体"/>
                <w:color w:val="auto"/>
                <w:sz w:val="24"/>
                <w:szCs w:val="24"/>
                <w:highlight w:val="none"/>
              </w:rPr>
              <w:t>的潜在供应商应在【全国公共资源交易平台（陕西省·宝鸡市）】（http://ggzy.baoji.gov.cn/）获取采购文件，并于202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0分（北京时间）前提交响应文件。</w:t>
            </w:r>
          </w:p>
        </w:tc>
      </w:tr>
    </w:tbl>
    <w:p w14:paraId="330E54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75E71C9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LXZFCGZX-2025290101</w:t>
      </w:r>
    </w:p>
    <w:p w14:paraId="081E6E1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陇县电子政务网络链路、互联网出口链路租赁及运维服务项目</w:t>
      </w:r>
    </w:p>
    <w:p w14:paraId="38E9983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4DC3C5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275000.00</w:t>
      </w:r>
      <w:r>
        <w:rPr>
          <w:rFonts w:hint="eastAsia" w:ascii="宋体" w:hAnsi="宋体" w:eastAsia="宋体" w:cs="宋体"/>
          <w:color w:val="auto"/>
          <w:sz w:val="24"/>
          <w:szCs w:val="24"/>
          <w:highlight w:val="none"/>
        </w:rPr>
        <w:t>元</w:t>
      </w:r>
    </w:p>
    <w:p w14:paraId="42004F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572D264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eastAsia="zh-CN"/>
        </w:rPr>
        <w:t>陇县电子政务网络链路、互联网出口链路租赁及运维服务项目</w:t>
      </w:r>
      <w:r>
        <w:rPr>
          <w:rFonts w:hint="eastAsia" w:ascii="宋体" w:hAnsi="宋体" w:eastAsia="宋体" w:cs="宋体"/>
          <w:color w:val="auto"/>
          <w:sz w:val="24"/>
          <w:szCs w:val="24"/>
          <w:highlight w:val="none"/>
        </w:rPr>
        <w:t>):</w:t>
      </w:r>
    </w:p>
    <w:p w14:paraId="1E6D119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合同包预算金额：</w:t>
      </w:r>
      <w:r>
        <w:rPr>
          <w:rFonts w:hint="eastAsia" w:ascii="宋体" w:hAnsi="宋体" w:eastAsia="宋体" w:cs="宋体"/>
          <w:color w:val="auto"/>
          <w:sz w:val="24"/>
          <w:szCs w:val="24"/>
          <w:highlight w:val="none"/>
          <w:lang w:val="en-US" w:eastAsia="zh-CN"/>
        </w:rPr>
        <w:t>275000.00</w:t>
      </w:r>
      <w:r>
        <w:rPr>
          <w:rFonts w:hint="eastAsia" w:ascii="宋体" w:hAnsi="宋体" w:eastAsia="宋体" w:cs="宋体"/>
          <w:color w:val="auto"/>
          <w:sz w:val="24"/>
          <w:szCs w:val="24"/>
          <w:highlight w:val="none"/>
        </w:rPr>
        <w:t>元</w:t>
      </w:r>
    </w:p>
    <w:p w14:paraId="6F94B7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合同包最高限价：</w:t>
      </w:r>
      <w:r>
        <w:rPr>
          <w:rFonts w:hint="eastAsia" w:ascii="宋体" w:hAnsi="宋体" w:eastAsia="宋体" w:cs="宋体"/>
          <w:color w:val="auto"/>
          <w:sz w:val="24"/>
          <w:szCs w:val="24"/>
          <w:highlight w:val="none"/>
          <w:lang w:val="en-US" w:eastAsia="zh-CN"/>
        </w:rPr>
        <w:t>275000.00</w:t>
      </w:r>
      <w:r>
        <w:rPr>
          <w:rFonts w:hint="eastAsia" w:ascii="宋体" w:hAnsi="宋体" w:eastAsia="宋体" w:cs="宋体"/>
          <w:color w:val="auto"/>
          <w:sz w:val="24"/>
          <w:szCs w:val="24"/>
          <w:highlight w:val="none"/>
        </w:rPr>
        <w:t>元</w:t>
      </w:r>
    </w:p>
    <w:tbl>
      <w:tblPr>
        <w:tblStyle w:val="14"/>
        <w:tblW w:w="9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1505"/>
        <w:gridCol w:w="1481"/>
        <w:gridCol w:w="1077"/>
        <w:gridCol w:w="1250"/>
        <w:gridCol w:w="1673"/>
        <w:gridCol w:w="1632"/>
      </w:tblGrid>
      <w:tr w14:paraId="50CE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84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B2A6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50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5454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14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B56F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07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33E5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p w14:paraId="41785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25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E5F3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C6AC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c>
          <w:tcPr>
            <w:tcW w:w="163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7586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最高限价(元)</w:t>
            </w:r>
          </w:p>
        </w:tc>
      </w:tr>
      <w:tr w14:paraId="2695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trPr>
        <w:tc>
          <w:tcPr>
            <w:tcW w:w="84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ED6A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505"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AA88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网络接入服务</w:t>
            </w:r>
          </w:p>
        </w:tc>
        <w:tc>
          <w:tcPr>
            <w:tcW w:w="14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7358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陇县电子政务网络链路、互联网出口链路租赁及运维服务</w:t>
            </w:r>
          </w:p>
        </w:tc>
        <w:tc>
          <w:tcPr>
            <w:tcW w:w="107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4BBEE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1(批)</w:t>
            </w:r>
          </w:p>
        </w:tc>
        <w:tc>
          <w:tcPr>
            <w:tcW w:w="125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8BBBA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详见采购文件</w:t>
            </w:r>
          </w:p>
        </w:tc>
        <w:tc>
          <w:tcPr>
            <w:tcW w:w="1673"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BB4D3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275000.00</w:t>
            </w:r>
          </w:p>
        </w:tc>
        <w:tc>
          <w:tcPr>
            <w:tcW w:w="163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4CDFA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275000.00</w:t>
            </w:r>
          </w:p>
        </w:tc>
      </w:tr>
    </w:tbl>
    <w:p w14:paraId="58072E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本合同包不接受联合体投标</w:t>
      </w:r>
    </w:p>
    <w:p w14:paraId="0B13F6D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合同签订后30日历天完成施工</w:t>
      </w:r>
    </w:p>
    <w:p w14:paraId="097967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4EF1DD5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5367A67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2.本项目的特定资格要求：</w:t>
      </w:r>
    </w:p>
    <w:p w14:paraId="259AC8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eastAsia="zh-CN"/>
        </w:rPr>
        <w:t>陇县电子政务网络链路、互联网出口链路租赁及运维服务项目</w:t>
      </w:r>
      <w:r>
        <w:rPr>
          <w:rFonts w:hint="eastAsia" w:ascii="宋体" w:hAnsi="宋体" w:eastAsia="宋体" w:cs="宋体"/>
          <w:color w:val="auto"/>
          <w:sz w:val="24"/>
          <w:szCs w:val="24"/>
          <w:highlight w:val="none"/>
        </w:rPr>
        <w:t>)特定资格要求如下:</w:t>
      </w:r>
    </w:p>
    <w:p w14:paraId="15585A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eastAsia="zh-CN"/>
        </w:rPr>
        <w:t>具有独立承担民事责任能力的企业法人、事业法人或其他组织，提供三证合一的营业执照（事业单位须事业单位法人证、组织机构代码证等证明文件；其他组织应提供合法证明文件）； </w:t>
      </w:r>
    </w:p>
    <w:p w14:paraId="2038FE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lang w:eastAsia="zh-CN"/>
        </w:rPr>
        <w:t>财务</w:t>
      </w:r>
      <w:r>
        <w:rPr>
          <w:rFonts w:hint="eastAsia" w:ascii="宋体" w:hAnsi="宋体" w:eastAsia="宋体" w:cs="宋体"/>
          <w:color w:val="auto"/>
          <w:sz w:val="24"/>
          <w:szCs w:val="24"/>
          <w:highlight w:val="none"/>
          <w:lang w:val="en-US" w:eastAsia="zh-CN"/>
        </w:rPr>
        <w:t>状况</w:t>
      </w:r>
      <w:r>
        <w:rPr>
          <w:rFonts w:hint="eastAsia" w:ascii="宋体" w:hAnsi="宋体" w:eastAsia="宋体" w:cs="宋体"/>
          <w:color w:val="auto"/>
          <w:sz w:val="24"/>
          <w:szCs w:val="24"/>
          <w:highlight w:val="none"/>
          <w:lang w:eastAsia="zh-CN"/>
        </w:rPr>
        <w:t>：提供由具有财务审计资质单位出具的</w:t>
      </w:r>
      <w:r>
        <w:rPr>
          <w:rFonts w:hint="eastAsia" w:ascii="宋体" w:hAnsi="宋体" w:eastAsia="宋体" w:cs="宋体"/>
          <w:color w:val="auto"/>
          <w:sz w:val="24"/>
          <w:szCs w:val="24"/>
          <w:highlight w:val="none"/>
          <w:lang w:val="en-US" w:eastAsia="zh-CN"/>
        </w:rPr>
        <w:t>2024年度</w:t>
      </w:r>
      <w:r>
        <w:rPr>
          <w:rFonts w:hint="eastAsia" w:ascii="宋体" w:hAnsi="宋体" w:eastAsia="宋体" w:cs="宋体"/>
          <w:color w:val="auto"/>
          <w:sz w:val="24"/>
          <w:szCs w:val="24"/>
          <w:highlight w:val="none"/>
          <w:lang w:eastAsia="zh-CN"/>
        </w:rPr>
        <w:t>审计报告</w:t>
      </w:r>
      <w:r>
        <w:rPr>
          <w:rFonts w:hint="eastAsia" w:ascii="宋体" w:hAnsi="宋体" w:eastAsia="宋体" w:cs="宋体"/>
          <w:color w:val="auto"/>
          <w:sz w:val="24"/>
          <w:szCs w:val="24"/>
          <w:highlight w:val="none"/>
          <w:lang w:val="en-US" w:eastAsia="zh-CN"/>
        </w:rPr>
        <w:t>（包括“四表一注”，即资产负债表、利润表、现金流量表、所有者权益变动表及其附注，成立时间至提交投标文件截止时间不足一年的可提供成立后任意时段的资产负债表）</w:t>
      </w:r>
      <w:r>
        <w:rPr>
          <w:rFonts w:hint="eastAsia" w:ascii="宋体" w:hAnsi="宋体" w:eastAsia="宋体" w:cs="宋体"/>
          <w:color w:val="auto"/>
          <w:sz w:val="24"/>
          <w:szCs w:val="24"/>
          <w:highlight w:val="none"/>
          <w:lang w:eastAsia="zh-CN"/>
        </w:rPr>
        <w:t>或提供投标截止时间前三个月内其基本开户银行出具的资信证明（附开户许可证或开户备案证明）； </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（4）</w:t>
      </w:r>
      <w:r>
        <w:rPr>
          <w:rFonts w:hint="eastAsia" w:ascii="宋体" w:hAnsi="宋体" w:eastAsia="宋体" w:cs="宋体"/>
          <w:color w:val="auto"/>
          <w:sz w:val="24"/>
          <w:szCs w:val="24"/>
          <w:highlight w:val="none"/>
          <w:lang w:eastAsia="zh-CN"/>
        </w:rPr>
        <w:t>社保缴纳证明：提供2024年1月至今已缴存的至少六个月的社会保障资金缴存单据或社保机构开具的社会保险参保缴费情况证明，依法不需要缴纳社会保障资金的单位应提供相关证明材料；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）税收缴纳证明：提供2024年1月至今已缴存的至少六个月的纳税证明或完税证明，依法免税的单位应提供相关证明材料；</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信用记录</w:t>
      </w:r>
      <w:r>
        <w:rPr>
          <w:rFonts w:hint="eastAsia" w:ascii="宋体" w:hAnsi="宋体" w:eastAsia="宋体" w:cs="宋体"/>
          <w:color w:val="auto"/>
          <w:sz w:val="24"/>
          <w:szCs w:val="24"/>
          <w:highlight w:val="none"/>
          <w:lang w:val="en-US" w:eastAsia="zh-CN"/>
        </w:rPr>
        <w:t>截图和声明函</w:t>
      </w:r>
      <w:r>
        <w:rPr>
          <w:rFonts w:hint="eastAsia" w:ascii="宋体" w:hAnsi="宋体" w:eastAsia="宋体" w:cs="宋体"/>
          <w:color w:val="auto"/>
          <w:sz w:val="24"/>
          <w:szCs w:val="24"/>
          <w:highlight w:val="none"/>
          <w:lang w:eastAsia="zh-CN"/>
        </w:rPr>
        <w:t>：供应商未被列入“信用中国”网站(www.creditchina.gov.cn)“失信被执行人和重大税收违法失信主体；未被列入“中国政府采购网”(www.ccgp.gov.cn)“严重违法失信行为记录名单中被财政部门禁止参加政府采购活动的供应商”；</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）书面声明：参加政府采购活动前3年内在经营活动中没有重大违法记录的书面声明；</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）履</w:t>
      </w:r>
      <w:r>
        <w:rPr>
          <w:rFonts w:hint="eastAsia" w:ascii="宋体" w:hAnsi="宋体" w:eastAsia="宋体" w:cs="宋体"/>
          <w:color w:val="auto"/>
          <w:sz w:val="24"/>
          <w:szCs w:val="24"/>
          <w:highlight w:val="none"/>
          <w:lang w:val="en-US" w:eastAsia="zh-CN"/>
        </w:rPr>
        <w:t>约承诺书</w:t>
      </w:r>
      <w:r>
        <w:rPr>
          <w:rFonts w:hint="eastAsia" w:ascii="宋体" w:hAnsi="宋体" w:eastAsia="宋体" w:cs="宋体"/>
          <w:color w:val="auto"/>
          <w:sz w:val="24"/>
          <w:szCs w:val="24"/>
          <w:highlight w:val="none"/>
          <w:lang w:eastAsia="zh-CN"/>
        </w:rPr>
        <w:t>：具有履行合同所必需的设备和专业技术能力；</w:t>
      </w:r>
    </w:p>
    <w:p w14:paraId="7A7D4E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）控股管理关系：本项目不接受联合体投标，单位负责人为同一人或者存在控股、管理关系的不同单位不得同时参加（提供书面承诺）；</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专门面向中小企业采购，</w:t>
      </w:r>
      <w:r>
        <w:rPr>
          <w:rFonts w:hint="eastAsia" w:ascii="宋体" w:hAnsi="宋体" w:eastAsia="宋体" w:cs="宋体"/>
          <w:i w:val="0"/>
          <w:iCs w:val="0"/>
          <w:caps w:val="0"/>
          <w:color w:val="auto"/>
          <w:spacing w:val="0"/>
          <w:sz w:val="24"/>
          <w:szCs w:val="24"/>
          <w:highlight w:val="none"/>
          <w:shd w:val="clear" w:color="auto" w:fill="FFFFFF"/>
          <w:lang w:val="en-US" w:eastAsia="zh-CN"/>
        </w:rPr>
        <w:t>享受价格优惠政策的小微企业、监狱企业、残疾人福利性单位需提供企业类型</w:t>
      </w:r>
      <w:r>
        <w:rPr>
          <w:rFonts w:hint="eastAsia" w:ascii="宋体" w:hAnsi="宋体" w:eastAsia="宋体" w:cs="宋体"/>
          <w:color w:val="auto"/>
          <w:sz w:val="24"/>
          <w:szCs w:val="24"/>
          <w:highlight w:val="none"/>
          <w:lang w:eastAsia="zh-CN"/>
        </w:rPr>
        <w:t>声明函；</w:t>
      </w:r>
    </w:p>
    <w:p w14:paraId="7CEE3B70">
      <w:pPr>
        <w:pStyle w:val="5"/>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）本项目不接受联合体投标（</w:t>
      </w:r>
      <w:r>
        <w:rPr>
          <w:rFonts w:hint="eastAsia" w:ascii="宋体" w:hAnsi="宋体" w:eastAsia="宋体" w:cs="宋体"/>
          <w:color w:val="auto"/>
          <w:sz w:val="24"/>
          <w:szCs w:val="24"/>
          <w:highlight w:val="none"/>
          <w:lang w:val="en-US" w:eastAsia="zh-CN"/>
        </w:rPr>
        <w:t>提供声明函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,中标供应商不得转包、分包</w:t>
      </w:r>
      <w:r>
        <w:rPr>
          <w:rFonts w:hint="eastAsia" w:ascii="宋体" w:hAnsi="宋体" w:eastAsia="宋体" w:cs="宋体"/>
          <w:color w:val="auto"/>
          <w:sz w:val="24"/>
          <w:szCs w:val="24"/>
          <w:highlight w:val="none"/>
          <w:lang w:eastAsia="zh-CN"/>
        </w:rPr>
        <w:t>。</w:t>
      </w:r>
    </w:p>
    <w:p w14:paraId="262D8E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0EA2D46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日，每天上午0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:00:00至12:00:00，下午1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:00:00至1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:00:00（北京时间）</w:t>
      </w:r>
    </w:p>
    <w:p w14:paraId="252CEB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途径：【全国公共资源交易平台（陕西省·宝鸡市）】（http://ggzy.baoji.gov.cn/）</w:t>
      </w:r>
    </w:p>
    <w:p w14:paraId="5D3AF65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获取</w:t>
      </w:r>
    </w:p>
    <w:p w14:paraId="1B83788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1519A6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2DB0EC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0分00秒（北京时间）</w:t>
      </w:r>
    </w:p>
    <w:p w14:paraId="4B4E95D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地点：全国公共资源交易平台(陕西省·宝鸡市)线上提交</w:t>
      </w:r>
    </w:p>
    <w:p w14:paraId="57000F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5DA2E9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0分00秒（北京时间）</w:t>
      </w:r>
    </w:p>
    <w:p w14:paraId="2F11F9F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地点：全国公共资源交易平台（陕西省·宝鸡市）不见面开标大厅系统</w:t>
      </w:r>
    </w:p>
    <w:p w14:paraId="655EE5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532D7CF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0AAEE5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07F1B67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1、本项目</w:t>
      </w:r>
      <w:r>
        <w:rPr>
          <w:rFonts w:hint="eastAsia" w:eastAsia="宋体" w:cs="宋体"/>
          <w:i w:val="0"/>
          <w:iCs w:val="0"/>
          <w:caps w:val="0"/>
          <w:color w:val="auto"/>
          <w:spacing w:val="0"/>
          <w:sz w:val="24"/>
          <w:szCs w:val="24"/>
          <w:highlight w:val="none"/>
          <w:shd w:val="clear" w:color="auto" w:fill="FFFFFF"/>
          <w:lang w:val="en-US" w:eastAsia="zh-CN"/>
        </w:rPr>
        <w:t>不</w:t>
      </w:r>
      <w:r>
        <w:rPr>
          <w:rFonts w:hint="eastAsia" w:ascii="宋体" w:hAnsi="宋体" w:eastAsia="宋体" w:cs="宋体"/>
          <w:i w:val="0"/>
          <w:iCs w:val="0"/>
          <w:caps w:val="0"/>
          <w:color w:val="auto"/>
          <w:spacing w:val="0"/>
          <w:sz w:val="24"/>
          <w:szCs w:val="24"/>
          <w:highlight w:val="none"/>
          <w:shd w:val="clear" w:color="auto" w:fill="FFFFFF"/>
          <w:lang w:val="en-US" w:eastAsia="zh-CN"/>
        </w:rPr>
        <w:t>专门面向中小企业采购。</w:t>
      </w:r>
    </w:p>
    <w:p w14:paraId="036FE8B8">
      <w:pPr>
        <w:keepNext w:val="0"/>
        <w:keepLines w:val="0"/>
        <w:pageBreakBefore w:val="0"/>
        <w:widowControl w:val="0"/>
        <w:kinsoku/>
        <w:wordWrap/>
        <w:overflowPunct/>
        <w:topLinePunct w:val="0"/>
        <w:bidi w:val="0"/>
        <w:spacing w:line="24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2、开标时，</w:t>
      </w:r>
      <w:r>
        <w:rPr>
          <w:rFonts w:hint="eastAsia" w:ascii="宋体" w:hAnsi="宋体" w:eastAsia="宋体" w:cs="宋体"/>
          <w:sz w:val="24"/>
          <w:highlight w:val="none"/>
          <w:lang w:eastAsia="zh-CN"/>
        </w:rPr>
        <w:t>允许解密三次，当三次解密均不成功时，否则视为放弃投标。</w:t>
      </w:r>
    </w:p>
    <w:p w14:paraId="7DB80BB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3、评标时，延时2次后，投标人仍未响应或上传二次报价的，视为自动放弃。</w:t>
      </w:r>
    </w:p>
    <w:p w14:paraId="117AD1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、本次采购公告在《陕西省政府采购网》、《陕西省公共资源交易中心（陕西省▪宝鸡市）》同时发布；</w:t>
      </w:r>
    </w:p>
    <w:p w14:paraId="0AE416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4B1901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各供应商使用CA证书登录全国公共资源交易平台（陕西省宝鸡市）宝鸡市公共资源交易中心（http://ggzy.baoji.gov.cn/）交易平台〖首页〉电子交易平台〉企业端〗后，在〖招标公告/出让公告〗模块中选择有意向的项目点击“我要投标”；</w:t>
      </w:r>
    </w:p>
    <w:p w14:paraId="0DC98EE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、报名成功后可从〖我的项目〉项目流程〉交易文件下载〗中下载电子文件（*.SXSZF格式）；</w:t>
      </w:r>
    </w:p>
    <w:p w14:paraId="18043B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rPr>
        <w:t>、供应商在网上填写的单位信息（单位名称、营业执照相关信息）应与竞争性磋商文件要求及后期上传的电子磋商响应文件中相关信息一致，否则造成资格审查不通过的后果供应商自负；</w:t>
      </w:r>
    </w:p>
    <w:p w14:paraId="3A9BA9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本项目采用电子化不见面开标方式，各供应商可登录全国公共资源交易平台（陕西省·宝鸡市）宝鸡市公共资源交易中心（http://ggzy.baoji.gov.cn/）下载《政府采购电子标书制作工具》、《政府采购磋商单位操作手册》和《宝鸡市不见面大厅供应商操作手册》,按照流程制作电子标书并在磋商截止时间前上传电子磋商响应文件；</w:t>
      </w:r>
    </w:p>
    <w:p w14:paraId="43F778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10</w:t>
      </w:r>
      <w:r>
        <w:rPr>
          <w:rFonts w:hint="eastAsia" w:ascii="宋体" w:hAnsi="宋体" w:eastAsia="宋体" w:cs="宋体"/>
          <w:i w:val="0"/>
          <w:iCs w:val="0"/>
          <w:caps w:val="0"/>
          <w:color w:val="auto"/>
          <w:spacing w:val="0"/>
          <w:sz w:val="24"/>
          <w:szCs w:val="24"/>
          <w:highlight w:val="none"/>
          <w:shd w:val="clear" w:color="auto" w:fill="FFFFFF"/>
        </w:rPr>
        <w:t>、为了保证远程不见面开标顺利进行，供应商需使用电脑提前一小时登录网络开标大厅，因供应商自身电脑设备故障或自身原因导致无法完成磋商的，由供应商自行承担后果（建议使用IE11或者360极速浏览器兼容模式，磋商单位电脑需配备耳麦）；</w:t>
      </w:r>
    </w:p>
    <w:p w14:paraId="6311C0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、供应商未完成网上磋商或未在规定时间内在平台上下载电子竞争性磋商文件的，导致无法完成后续流程的责任自负；</w:t>
      </w:r>
    </w:p>
    <w:p w14:paraId="476367B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Lines="0" w:beforeAutospacing="0" w:after="0" w:afterLines="0" w:afterAutospacing="0" w:line="24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12</w:t>
      </w:r>
      <w:r>
        <w:rPr>
          <w:rFonts w:hint="eastAsia" w:ascii="宋体" w:hAnsi="宋体" w:eastAsia="宋体" w:cs="宋体"/>
          <w:i w:val="0"/>
          <w:iCs w:val="0"/>
          <w:caps w:val="0"/>
          <w:color w:val="auto"/>
          <w:spacing w:val="0"/>
          <w:sz w:val="24"/>
          <w:szCs w:val="24"/>
          <w:highlight w:val="none"/>
          <w:shd w:val="clear" w:color="auto" w:fill="FFFFFF"/>
        </w:rPr>
        <w:t>、电子磋商响应文件制作软件技术支持热线：400-636-9888、029-88661267、029-88661266。</w:t>
      </w:r>
    </w:p>
    <w:p w14:paraId="5831FEA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八、对本次招标提出询问，请按以下方式联系。</w:t>
      </w:r>
    </w:p>
    <w:p w14:paraId="6DD8AC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74220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陇县</w:t>
      </w:r>
      <w:r>
        <w:rPr>
          <w:rFonts w:hint="eastAsia" w:ascii="宋体" w:hAnsi="宋体" w:eastAsia="宋体" w:cs="宋体"/>
          <w:color w:val="auto"/>
          <w:sz w:val="24"/>
          <w:szCs w:val="24"/>
          <w:highlight w:val="none"/>
          <w:lang w:val="en-US" w:eastAsia="zh-CN"/>
        </w:rPr>
        <w:t>发展和改革局</w:t>
      </w:r>
    </w:p>
    <w:p w14:paraId="6AFCBA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陇县</w:t>
      </w:r>
      <w:r>
        <w:rPr>
          <w:rFonts w:hint="eastAsia" w:ascii="宋体" w:hAnsi="宋体" w:eastAsia="宋体" w:cs="宋体"/>
          <w:color w:val="auto"/>
          <w:sz w:val="24"/>
          <w:szCs w:val="24"/>
          <w:highlight w:val="none"/>
          <w:lang w:val="en-US" w:eastAsia="zh-CN"/>
        </w:rPr>
        <w:t>城关镇南道巷38号</w:t>
      </w:r>
      <w:r>
        <w:rPr>
          <w:rFonts w:hint="eastAsia" w:ascii="宋体" w:hAnsi="宋体" w:eastAsia="宋体" w:cs="宋体"/>
          <w:color w:val="auto"/>
          <w:sz w:val="24"/>
          <w:szCs w:val="24"/>
          <w:highlight w:val="none"/>
          <w:lang w:eastAsia="zh-CN"/>
        </w:rPr>
        <w:t> </w:t>
      </w:r>
    </w:p>
    <w:p w14:paraId="5B85975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sz w:val="24"/>
          <w:szCs w:val="24"/>
          <w:lang w:eastAsia="zh-CN"/>
        </w:rPr>
        <w:t>0917-</w:t>
      </w:r>
      <w:r>
        <w:rPr>
          <w:rFonts w:hint="eastAsia" w:ascii="宋体" w:hAnsi="宋体" w:eastAsia="宋体" w:cs="宋体"/>
          <w:sz w:val="24"/>
          <w:szCs w:val="24"/>
          <w:lang w:val="en-US" w:eastAsia="zh-CN"/>
        </w:rPr>
        <w:t>4601931</w:t>
      </w:r>
    </w:p>
    <w:p w14:paraId="3A5EEA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F6F04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陇县政府采购中心</w:t>
      </w:r>
    </w:p>
    <w:p w14:paraId="0661223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陇县北坡东路6号</w:t>
      </w:r>
    </w:p>
    <w:p w14:paraId="39F0B4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0917-4607155</w:t>
      </w:r>
    </w:p>
    <w:p w14:paraId="76BC29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16E1B10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卢 超</w:t>
      </w:r>
    </w:p>
    <w:p w14:paraId="08AD812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15129666110</w:t>
      </w:r>
    </w:p>
    <w:p w14:paraId="17E95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59A9A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p w14:paraId="58371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陇县政府采购中心</w:t>
      </w:r>
    </w:p>
    <w:p w14:paraId="66100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日</w:t>
      </w:r>
    </w:p>
    <w:p w14:paraId="56C4827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570E530">
      <w:pPr>
        <w:pStyle w:val="10"/>
        <w:tabs>
          <w:tab w:val="right" w:leader="dot" w:pos="9072"/>
          <w:tab w:val="clear" w:pos="8760"/>
        </w:tabs>
        <w:jc w:val="center"/>
        <w:rPr>
          <w:rFonts w:hint="eastAsia"/>
          <w:sz w:val="44"/>
          <w:szCs w:val="44"/>
          <w:shd w:val="clear" w:color="auto" w:fill="auto"/>
        </w:rPr>
      </w:pPr>
      <w:r>
        <w:rPr>
          <w:rFonts w:hint="eastAsia"/>
          <w:sz w:val="44"/>
          <w:szCs w:val="44"/>
          <w:shd w:val="clear" w:color="auto" w:fill="auto"/>
        </w:rPr>
        <w:t>第二部分</w:t>
      </w:r>
      <w:r>
        <w:rPr>
          <w:rFonts w:hint="eastAsia"/>
          <w:sz w:val="44"/>
          <w:szCs w:val="44"/>
          <w:shd w:val="clear" w:color="auto" w:fill="auto"/>
          <w:lang w:val="en-US" w:eastAsia="zh-CN"/>
        </w:rPr>
        <w:t xml:space="preserve">  </w:t>
      </w:r>
      <w:r>
        <w:rPr>
          <w:rFonts w:hint="eastAsia"/>
          <w:sz w:val="44"/>
          <w:szCs w:val="44"/>
          <w:shd w:val="clear" w:color="auto" w:fill="auto"/>
        </w:rPr>
        <w:t>供应商须知</w:t>
      </w:r>
    </w:p>
    <w:p w14:paraId="4CC09604">
      <w:pPr>
        <w:rPr>
          <w:rFonts w:hint="eastAsia"/>
        </w:rPr>
      </w:pPr>
    </w:p>
    <w:tbl>
      <w:tblPr>
        <w:tblStyle w:val="14"/>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7"/>
        <w:gridCol w:w="1692"/>
        <w:gridCol w:w="7075"/>
      </w:tblGrid>
      <w:tr w14:paraId="483CB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blHeader/>
          <w:jc w:val="center"/>
        </w:trPr>
        <w:tc>
          <w:tcPr>
            <w:tcW w:w="827" w:type="dxa"/>
            <w:noWrap w:val="0"/>
            <w:vAlign w:val="center"/>
          </w:tcPr>
          <w:p w14:paraId="2C851FA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项号</w:t>
            </w:r>
          </w:p>
        </w:tc>
        <w:tc>
          <w:tcPr>
            <w:tcW w:w="1692" w:type="dxa"/>
            <w:noWrap w:val="0"/>
            <w:vAlign w:val="center"/>
          </w:tcPr>
          <w:p w14:paraId="61FBE26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w:t>
            </w:r>
          </w:p>
        </w:tc>
        <w:tc>
          <w:tcPr>
            <w:tcW w:w="7075" w:type="dxa"/>
            <w:noWrap w:val="0"/>
            <w:vAlign w:val="center"/>
          </w:tcPr>
          <w:p w14:paraId="798CC730">
            <w:pPr>
              <w:keepNext w:val="0"/>
              <w:keepLines w:val="0"/>
              <w:pageBreakBefore w:val="0"/>
              <w:tabs>
                <w:tab w:val="left" w:pos="1180"/>
              </w:tabs>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0C99D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27" w:type="dxa"/>
            <w:noWrap w:val="0"/>
            <w:vAlign w:val="center"/>
          </w:tcPr>
          <w:p w14:paraId="4FF9A8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692" w:type="dxa"/>
            <w:noWrap w:val="0"/>
            <w:vAlign w:val="center"/>
          </w:tcPr>
          <w:p w14:paraId="474E42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踏勘现场</w:t>
            </w:r>
          </w:p>
        </w:tc>
        <w:tc>
          <w:tcPr>
            <w:tcW w:w="7075" w:type="dxa"/>
            <w:noWrap w:val="0"/>
            <w:vAlign w:val="center"/>
          </w:tcPr>
          <w:p w14:paraId="674C18A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不组织，供应商自行踏勘现场</w:t>
            </w:r>
          </w:p>
        </w:tc>
      </w:tr>
      <w:tr w14:paraId="53547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27" w:type="dxa"/>
            <w:noWrap w:val="0"/>
            <w:vAlign w:val="center"/>
          </w:tcPr>
          <w:p w14:paraId="53FDA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p>
        </w:tc>
        <w:tc>
          <w:tcPr>
            <w:tcW w:w="1692" w:type="dxa"/>
            <w:noWrap w:val="0"/>
            <w:vAlign w:val="center"/>
          </w:tcPr>
          <w:p w14:paraId="40D5F8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质量标准</w:t>
            </w:r>
          </w:p>
        </w:tc>
        <w:tc>
          <w:tcPr>
            <w:tcW w:w="7075" w:type="dxa"/>
            <w:noWrap w:val="0"/>
            <w:vAlign w:val="center"/>
          </w:tcPr>
          <w:p w14:paraId="20CCC93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bCs/>
                <w:sz w:val="24"/>
                <w:szCs w:val="24"/>
              </w:rPr>
              <w:t>合格</w:t>
            </w:r>
          </w:p>
        </w:tc>
      </w:tr>
      <w:tr w14:paraId="5D310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27" w:type="dxa"/>
            <w:noWrap w:val="0"/>
            <w:vAlign w:val="center"/>
          </w:tcPr>
          <w:p w14:paraId="79B5416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1692" w:type="dxa"/>
            <w:noWrap w:val="0"/>
            <w:vAlign w:val="center"/>
          </w:tcPr>
          <w:p w14:paraId="1129703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075" w:type="dxa"/>
            <w:noWrap w:val="0"/>
            <w:vAlign w:val="center"/>
          </w:tcPr>
          <w:p w14:paraId="17056FD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bCs/>
                <w:sz w:val="24"/>
                <w:szCs w:val="24"/>
                <w:highlight w:val="none"/>
                <w:lang w:val="en-US" w:eastAsia="zh-CN"/>
              </w:rPr>
              <w:t>财政资金</w:t>
            </w:r>
          </w:p>
        </w:tc>
      </w:tr>
      <w:tr w14:paraId="7C0A3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827" w:type="dxa"/>
            <w:noWrap w:val="0"/>
            <w:vAlign w:val="center"/>
          </w:tcPr>
          <w:p w14:paraId="0D5A7E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c>
          <w:tcPr>
            <w:tcW w:w="1692" w:type="dxa"/>
            <w:noWrap w:val="0"/>
            <w:vAlign w:val="center"/>
          </w:tcPr>
          <w:p w14:paraId="45349B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磋商有效期</w:t>
            </w:r>
          </w:p>
        </w:tc>
        <w:tc>
          <w:tcPr>
            <w:tcW w:w="7075" w:type="dxa"/>
            <w:noWrap w:val="0"/>
            <w:vAlign w:val="center"/>
          </w:tcPr>
          <w:p w14:paraId="0673C92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从磋商响应文件提交截止之日起90日历天</w:t>
            </w:r>
          </w:p>
        </w:tc>
      </w:tr>
      <w:tr w14:paraId="4BD7A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9" w:hRule="atLeast"/>
          <w:jc w:val="center"/>
        </w:trPr>
        <w:tc>
          <w:tcPr>
            <w:tcW w:w="827" w:type="dxa"/>
            <w:noWrap w:val="0"/>
            <w:vAlign w:val="center"/>
          </w:tcPr>
          <w:p w14:paraId="5EF5B9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1692" w:type="dxa"/>
            <w:noWrap w:val="0"/>
            <w:vAlign w:val="center"/>
          </w:tcPr>
          <w:p w14:paraId="372478C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电子投标文件</w:t>
            </w:r>
          </w:p>
          <w:p w14:paraId="79ABB6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要求</w:t>
            </w:r>
          </w:p>
        </w:tc>
        <w:tc>
          <w:tcPr>
            <w:tcW w:w="7075" w:type="dxa"/>
            <w:noWrap w:val="0"/>
            <w:vAlign w:val="center"/>
          </w:tcPr>
          <w:p w14:paraId="021CC5BB">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sz w:val="24"/>
                <w:highlight w:val="none"/>
                <w:lang w:eastAsia="zh-CN"/>
              </w:rPr>
            </w:pPr>
            <w:r>
              <w:rPr>
                <w:rFonts w:hint="eastAsia" w:ascii="宋体" w:hAnsi="宋体" w:eastAsia="宋体" w:cs="宋体"/>
                <w:sz w:val="24"/>
                <w:szCs w:val="24"/>
                <w:lang w:val="en-US" w:eastAsia="zh-CN"/>
              </w:rPr>
              <w:t>制作电子投标文件（*.SXSTF）需要使用专用制作工具。软件下载及操作说明详见宝鸡市公共资源交易平台〖首页·〉服务指南·〉下载专区〗中的《政府采购项目投 标文件制作软件及操作手册》。</w:t>
            </w:r>
            <w:r>
              <w:rPr>
                <w:rFonts w:hint="eastAsia" w:ascii="宋体" w:hAnsi="宋体" w:eastAsia="宋体" w:cs="宋体"/>
                <w:sz w:val="24"/>
                <w:highlight w:val="none"/>
                <w:lang w:eastAsia="zh-CN"/>
              </w:rPr>
              <w:t>经数字证书加密的投标文件必须在投标文件递交截止时间前完成上传，加密和解密必须使用同一数字证书。</w:t>
            </w:r>
          </w:p>
          <w:p w14:paraId="49DE2FF0">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如有补充、答疑、澄清和修改，采购人在网上“通知答疑”栏目或通过系统发布相关内容，投标人应及时上网查阅，通过系统下载最新的答疑补充文件，据此制作投标文件，</w:t>
            </w:r>
            <w:r>
              <w:rPr>
                <w:rFonts w:hint="eastAsia" w:ascii="宋体" w:hAnsi="宋体" w:eastAsia="宋体" w:cs="宋体"/>
                <w:sz w:val="24"/>
                <w:highlight w:val="none"/>
                <w:lang w:val="en-US" w:eastAsia="zh-CN"/>
              </w:rPr>
              <w:t>如未及时下载最新答疑或补充文件所导致的投标文件偏差或影响投标文件投递等相关责任由投标人自负</w:t>
            </w:r>
            <w:r>
              <w:rPr>
                <w:rFonts w:hint="eastAsia" w:ascii="宋体" w:hAnsi="宋体" w:eastAsia="宋体" w:cs="宋体"/>
                <w:sz w:val="24"/>
                <w:highlight w:val="none"/>
                <w:lang w:eastAsia="zh-CN"/>
              </w:rPr>
              <w:t>。</w:t>
            </w:r>
          </w:p>
          <w:p w14:paraId="50ABEDCD">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shd w:val="clear" w:color="auto" w:fill="auto"/>
                <w:lang w:val="en-US" w:eastAsia="zh-CN"/>
              </w:rPr>
              <w:t>供应商对政府采购活动事项有疑问的，可以向采购代理机构或采购人提出询问。采购代理机构或采购人将在3个工作日内对供应商依法提出的询问作出答复。供应商提出的询问超出采购人对采购代理机构委托授权范围的代理机构将告知供应商向采购人提出。</w:t>
            </w:r>
          </w:p>
        </w:tc>
      </w:tr>
      <w:tr w14:paraId="698DE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827" w:type="dxa"/>
            <w:noWrap w:val="0"/>
            <w:vAlign w:val="center"/>
          </w:tcPr>
          <w:p w14:paraId="728953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1692" w:type="dxa"/>
            <w:noWrap w:val="0"/>
            <w:vAlign w:val="center"/>
          </w:tcPr>
          <w:p w14:paraId="6E270D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法人代表签字</w:t>
            </w:r>
          </w:p>
          <w:p w14:paraId="33F428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要求</w:t>
            </w:r>
          </w:p>
        </w:tc>
        <w:tc>
          <w:tcPr>
            <w:tcW w:w="7075" w:type="dxa"/>
            <w:noWrap w:val="0"/>
            <w:vAlign w:val="center"/>
          </w:tcPr>
          <w:p w14:paraId="7E46BB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电子投标文件制作过程中，需要法定代表人签字或盖章的地方，请使用“法人CA锁”进行签章；需要加盖供应商公章的地方，请使用“企业CA锁”进行签章。</w:t>
            </w:r>
          </w:p>
        </w:tc>
      </w:tr>
      <w:tr w14:paraId="38EF6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827" w:type="dxa"/>
            <w:noWrap w:val="0"/>
            <w:vAlign w:val="center"/>
          </w:tcPr>
          <w:p w14:paraId="19D115F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1692" w:type="dxa"/>
            <w:noWrap w:val="0"/>
            <w:vAlign w:val="center"/>
          </w:tcPr>
          <w:p w14:paraId="0E31CA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磋商小组</w:t>
            </w:r>
          </w:p>
          <w:p w14:paraId="28EA2C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的组建</w:t>
            </w:r>
          </w:p>
        </w:tc>
        <w:tc>
          <w:tcPr>
            <w:tcW w:w="7075" w:type="dxa"/>
            <w:noWrap w:val="0"/>
            <w:vAlign w:val="center"/>
          </w:tcPr>
          <w:p w14:paraId="61E6A93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按《中华人民共和国政府采购法》规定由采购人代表和技术、经济方面的专家组成。评审小组由3人组成，其中采购人代表1人、专家2人。专家确定方式：开标前由采购代理机构在陕西省政府采购网评标专家系统中随机抽取评标专家。</w:t>
            </w:r>
          </w:p>
        </w:tc>
      </w:tr>
      <w:tr w14:paraId="74109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27" w:type="dxa"/>
            <w:noWrap w:val="0"/>
            <w:vAlign w:val="center"/>
          </w:tcPr>
          <w:p w14:paraId="766C53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8</w:t>
            </w:r>
          </w:p>
        </w:tc>
        <w:tc>
          <w:tcPr>
            <w:tcW w:w="1692" w:type="dxa"/>
            <w:noWrap w:val="0"/>
            <w:vAlign w:val="center"/>
          </w:tcPr>
          <w:p w14:paraId="5CD840E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信用信息查询</w:t>
            </w:r>
          </w:p>
          <w:p w14:paraId="5E88A1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截止时间</w:t>
            </w:r>
          </w:p>
        </w:tc>
        <w:tc>
          <w:tcPr>
            <w:tcW w:w="7075" w:type="dxa"/>
            <w:noWrap w:val="0"/>
            <w:vAlign w:val="center"/>
          </w:tcPr>
          <w:p w14:paraId="08D0349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同磋商及提交磋商响应文件投递截止时间</w:t>
            </w:r>
          </w:p>
        </w:tc>
      </w:tr>
      <w:tr w14:paraId="0AB8A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27" w:type="dxa"/>
            <w:noWrap w:val="0"/>
            <w:vAlign w:val="center"/>
          </w:tcPr>
          <w:p w14:paraId="10A4AE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9</w:t>
            </w:r>
          </w:p>
        </w:tc>
        <w:tc>
          <w:tcPr>
            <w:tcW w:w="1692" w:type="dxa"/>
            <w:noWrap w:val="0"/>
            <w:vAlign w:val="center"/>
          </w:tcPr>
          <w:p w14:paraId="6F7428E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是否允许递交多个备选投标方案</w:t>
            </w:r>
          </w:p>
        </w:tc>
        <w:tc>
          <w:tcPr>
            <w:tcW w:w="7075" w:type="dxa"/>
            <w:noWrap w:val="0"/>
            <w:vAlign w:val="center"/>
          </w:tcPr>
          <w:p w14:paraId="549B52E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  ☑否</w:t>
            </w:r>
          </w:p>
        </w:tc>
      </w:tr>
      <w:tr w14:paraId="7BEE1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827" w:type="dxa"/>
            <w:noWrap w:val="0"/>
            <w:vAlign w:val="center"/>
          </w:tcPr>
          <w:p w14:paraId="318ACC2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1692" w:type="dxa"/>
            <w:noWrap w:val="0"/>
            <w:vAlign w:val="center"/>
          </w:tcPr>
          <w:p w14:paraId="5023D46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本项目所属行业</w:t>
            </w:r>
          </w:p>
        </w:tc>
        <w:tc>
          <w:tcPr>
            <w:tcW w:w="7075" w:type="dxa"/>
            <w:noWrap w:val="0"/>
            <w:vAlign w:val="center"/>
          </w:tcPr>
          <w:p w14:paraId="335EA67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服务类·网络建设或维护及系统集成</w:t>
            </w:r>
          </w:p>
        </w:tc>
      </w:tr>
      <w:tr w14:paraId="43AA8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7" w:type="dxa"/>
            <w:noWrap w:val="0"/>
            <w:vAlign w:val="center"/>
          </w:tcPr>
          <w:p w14:paraId="1F3BF89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92" w:type="dxa"/>
            <w:noWrap w:val="0"/>
            <w:vAlign w:val="center"/>
          </w:tcPr>
          <w:p w14:paraId="643624E9">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磋商保证金</w:t>
            </w:r>
          </w:p>
        </w:tc>
        <w:tc>
          <w:tcPr>
            <w:tcW w:w="7075" w:type="dxa"/>
            <w:noWrap w:val="0"/>
            <w:vAlign w:val="center"/>
          </w:tcPr>
          <w:p w14:paraId="692FDD5D">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5CEE9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5" w:hRule="atLeast"/>
          <w:jc w:val="center"/>
        </w:trPr>
        <w:tc>
          <w:tcPr>
            <w:tcW w:w="827" w:type="dxa"/>
            <w:noWrap w:val="0"/>
            <w:vAlign w:val="center"/>
          </w:tcPr>
          <w:p w14:paraId="717A67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92" w:type="dxa"/>
            <w:noWrap w:val="0"/>
            <w:vAlign w:val="center"/>
          </w:tcPr>
          <w:p w14:paraId="5E2527B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成交通知书</w:t>
            </w:r>
          </w:p>
          <w:p w14:paraId="31A51B4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办理</w:t>
            </w:r>
          </w:p>
        </w:tc>
        <w:tc>
          <w:tcPr>
            <w:tcW w:w="7075" w:type="dxa"/>
            <w:noWrap w:val="0"/>
            <w:vAlign w:val="center"/>
          </w:tcPr>
          <w:p w14:paraId="159EDA4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在公告中标（成交）结果的同时，代理机构将向中标（成交）供应商发出中标（成交）通知书，成交供应商须按要求递交纸质版竞争性磋商响应文</w:t>
            </w:r>
            <w:r>
              <w:rPr>
                <w:rFonts w:hint="eastAsia" w:ascii="宋体" w:hAnsi="宋体" w:eastAsia="宋体" w:cs="宋体"/>
                <w:sz w:val="24"/>
                <w:szCs w:val="24"/>
                <w:highlight w:val="none"/>
                <w:lang w:val="en-US" w:eastAsia="zh-CN"/>
              </w:rPr>
              <w:t>件一式三份（正本一份，副本二份，电子U盘一份（电子版包含磋商响应文件所有内容），</w:t>
            </w:r>
            <w:r>
              <w:rPr>
                <w:rFonts w:hint="eastAsia" w:ascii="宋体" w:hAnsi="宋体" w:eastAsia="宋体" w:cs="宋体"/>
                <w:sz w:val="24"/>
                <w:szCs w:val="24"/>
                <w:lang w:val="en-US" w:eastAsia="zh-CN"/>
              </w:rPr>
              <w:t>提供的纸质版竞争性磋商响应文件需与上传的电子版文件保持一致。</w:t>
            </w:r>
            <w:r>
              <w:rPr>
                <w:rFonts w:hint="eastAsia" w:ascii="宋体" w:hAnsi="宋体" w:eastAsia="宋体" w:cs="宋体"/>
                <w:sz w:val="24"/>
                <w:szCs w:val="24"/>
                <w:highlight w:val="none"/>
                <w:lang w:val="en-US" w:eastAsia="zh-CN"/>
              </w:rPr>
              <w:t>电子版投标文件同时发至邮箱：lxcgzx2025@163.com</w:t>
            </w:r>
          </w:p>
        </w:tc>
      </w:tr>
      <w:tr w14:paraId="4FBF2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827" w:type="dxa"/>
            <w:noWrap w:val="0"/>
            <w:vAlign w:val="center"/>
          </w:tcPr>
          <w:p w14:paraId="5CCDF8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92" w:type="dxa"/>
            <w:noWrap w:val="0"/>
            <w:vAlign w:val="center"/>
          </w:tcPr>
          <w:p w14:paraId="0C7388F4">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highlight w:val="yellow"/>
                <w:lang w:val="en-US" w:eastAsia="zh-CN"/>
              </w:rPr>
            </w:pPr>
            <w:r>
              <w:rPr>
                <w:rFonts w:hint="eastAsia" w:ascii="宋体" w:hAnsi="宋体" w:eastAsia="宋体" w:cs="宋体"/>
                <w:color w:val="auto"/>
                <w:sz w:val="24"/>
                <w:szCs w:val="24"/>
                <w:highlight w:val="none"/>
              </w:rPr>
              <w:t>知识产权</w:t>
            </w:r>
          </w:p>
        </w:tc>
        <w:tc>
          <w:tcPr>
            <w:tcW w:w="7075" w:type="dxa"/>
            <w:noWrap w:val="0"/>
            <w:vAlign w:val="top"/>
          </w:tcPr>
          <w:p w14:paraId="0B811E16">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4"/>
                <w:szCs w:val="24"/>
                <w:highlight w:val="yellow"/>
                <w:lang w:val="en-US" w:eastAsia="zh-CN"/>
              </w:rPr>
            </w:pPr>
            <w:r>
              <w:rPr>
                <w:rFonts w:hint="eastAsia" w:ascii="宋体" w:hAnsi="宋体" w:eastAsia="宋体" w:cs="宋体"/>
                <w:color w:val="auto"/>
                <w:sz w:val="24"/>
                <w:szCs w:val="24"/>
                <w:highlight w:val="none"/>
              </w:rPr>
              <w:t>构成本磋商文件各个组成部分的文件，未经采购人书面同意，供应商不得擅自复印和用于本项目所需之外的其他目的。采购人全部或者部分使用成交供应商磋商响应文件中的技术成果或技术方案时，需征得其书面同意，并不得复印或提供给第三人。</w:t>
            </w:r>
          </w:p>
        </w:tc>
      </w:tr>
      <w:tr w14:paraId="35A37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8" w:hRule="atLeast"/>
          <w:jc w:val="center"/>
        </w:trPr>
        <w:tc>
          <w:tcPr>
            <w:tcW w:w="827" w:type="dxa"/>
            <w:noWrap w:val="0"/>
            <w:vAlign w:val="center"/>
          </w:tcPr>
          <w:p w14:paraId="4441A7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92" w:type="dxa"/>
            <w:noWrap w:val="0"/>
            <w:vAlign w:val="center"/>
          </w:tcPr>
          <w:p w14:paraId="6F0A4E83">
            <w:pPr>
              <w:keepNext w:val="0"/>
              <w:keepLines w:val="0"/>
              <w:pageBreakBefore w:val="0"/>
              <w:widowControl w:val="0"/>
              <w:kinsoku/>
              <w:wordWrap/>
              <w:overflowPunct/>
              <w:topLinePunct w:val="0"/>
              <w:bidi w:val="0"/>
              <w:spacing w:line="240" w:lineRule="auto"/>
              <w:ind w:right="0"/>
              <w:jc w:val="center"/>
              <w:textAlignment w:val="auto"/>
              <w:rPr>
                <w:rFonts w:hint="eastAsia" w:ascii="宋体" w:hAnsi="宋体" w:eastAsia="宋体" w:cs="宋体"/>
                <w:b w:val="0"/>
                <w:bCs/>
                <w:color w:val="auto"/>
                <w:sz w:val="24"/>
                <w:szCs w:val="24"/>
                <w:highlight w:val="none"/>
                <w:shd w:val="clear" w:color="auto" w:fill="auto"/>
              </w:rPr>
            </w:pPr>
            <w:r>
              <w:rPr>
                <w:rFonts w:hint="eastAsia" w:ascii="宋体" w:hAnsi="宋体" w:eastAsia="宋体" w:cs="宋体"/>
                <w:b w:val="0"/>
                <w:bCs/>
                <w:color w:val="auto"/>
                <w:sz w:val="24"/>
                <w:szCs w:val="24"/>
                <w:highlight w:val="none"/>
                <w:shd w:val="clear" w:color="auto" w:fill="auto"/>
              </w:rPr>
              <w:t>磋商报价</w:t>
            </w:r>
          </w:p>
          <w:p w14:paraId="72930B31">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p>
        </w:tc>
        <w:tc>
          <w:tcPr>
            <w:tcW w:w="7075" w:type="dxa"/>
            <w:noWrap w:val="0"/>
            <w:vAlign w:val="center"/>
          </w:tcPr>
          <w:p w14:paraId="5B548BBF">
            <w:pPr>
              <w:keepNext w:val="0"/>
              <w:keepLines w:val="0"/>
              <w:pageBreakBefore w:val="0"/>
              <w:widowControl w:val="0"/>
              <w:tabs>
                <w:tab w:val="left" w:pos="9030"/>
              </w:tabs>
              <w:kinsoku/>
              <w:wordWrap/>
              <w:overflowPunct/>
              <w:topLinePunct w:val="0"/>
              <w:bidi w:val="0"/>
              <w:snapToGrid w:val="0"/>
              <w:spacing w:beforeAutospacing="0" w:afterAutospacing="0"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zh-CN"/>
              </w:rPr>
              <w:t>磋商报价</w:t>
            </w:r>
            <w:r>
              <w:rPr>
                <w:rFonts w:hint="eastAsia" w:ascii="宋体" w:hAnsi="宋体" w:cs="宋体"/>
                <w:color w:val="auto"/>
                <w:sz w:val="24"/>
                <w:szCs w:val="24"/>
                <w:highlight w:val="none"/>
                <w:shd w:val="clear" w:color="auto" w:fill="auto"/>
                <w:lang w:val="zh-CN"/>
              </w:rPr>
              <w:t>（</w:t>
            </w:r>
            <w:r>
              <w:rPr>
                <w:rFonts w:hint="eastAsia" w:ascii="宋体" w:hAnsi="宋体" w:cs="宋体"/>
                <w:color w:val="auto"/>
                <w:sz w:val="24"/>
                <w:szCs w:val="24"/>
                <w:highlight w:val="none"/>
                <w:shd w:val="clear" w:color="auto" w:fill="auto"/>
                <w:lang w:val="en-US" w:eastAsia="zh-CN"/>
              </w:rPr>
              <w:t>含首次响应报价、磋商后二轮报价</w:t>
            </w:r>
            <w:r>
              <w:rPr>
                <w:rFonts w:hint="eastAsia" w:ascii="宋体" w:hAnsi="宋体" w:cs="宋体"/>
                <w:color w:val="auto"/>
                <w:sz w:val="24"/>
                <w:szCs w:val="24"/>
                <w:highlight w:val="none"/>
                <w:shd w:val="clear" w:color="auto" w:fill="auto"/>
                <w:lang w:val="zh-CN"/>
              </w:rPr>
              <w:t>）超出项目</w:t>
            </w:r>
            <w:r>
              <w:rPr>
                <w:rFonts w:hint="eastAsia" w:ascii="宋体" w:hAnsi="宋体" w:cs="宋体"/>
                <w:color w:val="auto"/>
                <w:sz w:val="24"/>
                <w:szCs w:val="24"/>
                <w:highlight w:val="none"/>
                <w:shd w:val="clear" w:color="auto" w:fill="auto"/>
                <w:lang w:val="en-US" w:eastAsia="zh-CN"/>
              </w:rPr>
              <w:t>最高限价</w:t>
            </w:r>
            <w:r>
              <w:rPr>
                <w:rFonts w:hint="eastAsia" w:ascii="宋体" w:hAnsi="宋体" w:eastAsia="宋体" w:cs="宋体"/>
                <w:color w:val="auto"/>
                <w:sz w:val="24"/>
                <w:szCs w:val="24"/>
                <w:highlight w:val="none"/>
                <w:shd w:val="clear" w:color="auto" w:fill="auto"/>
                <w:lang w:val="zh-CN"/>
              </w:rPr>
              <w:t>，按无效标处理；</w:t>
            </w:r>
          </w:p>
          <w:p w14:paraId="69124673">
            <w:pPr>
              <w:keepNext w:val="0"/>
              <w:keepLines w:val="0"/>
              <w:pageBreakBefore w:val="0"/>
              <w:widowControl w:val="0"/>
              <w:kinsoku/>
              <w:wordWrap/>
              <w:overflowPunct/>
              <w:topLinePunct w:val="0"/>
              <w:autoSpaceDE w:val="0"/>
              <w:autoSpaceDN w:val="0"/>
              <w:bidi w:val="0"/>
              <w:adjustRightInd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供应商应当按照磋商文件确定的采购工程范围内全部工作内容进行磋商报价，并充分了解本工程项目的总体情况以及影响磋商报价的其他要素，任何有选择的或者不完整的报价，按无效文件处理。</w:t>
            </w:r>
          </w:p>
          <w:p w14:paraId="52170FA6">
            <w:pPr>
              <w:keepNext w:val="0"/>
              <w:keepLines w:val="0"/>
              <w:pageBreakBefore w:val="0"/>
              <w:widowControl w:val="0"/>
              <w:kinsoku/>
              <w:wordWrap/>
              <w:overflowPunct/>
              <w:topLinePunct w:val="0"/>
              <w:bidi w:val="0"/>
              <w:spacing w:line="240" w:lineRule="auto"/>
              <w:ind w:firstLine="480" w:firstLineChars="200"/>
              <w:jc w:val="both"/>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sz w:val="24"/>
                <w:szCs w:val="24"/>
                <w:lang w:val="en-US" w:eastAsia="zh-CN"/>
              </w:rPr>
              <w:t>3、供应商的最终磋商报价应是按照竞争性磋商文件的要求和磋商响应文件的承诺，保质保量完成本项目服务所需要的全部费用。包括税金及其他所有相关费用的总和。采购人不再单独支付其它任何费用，并</w:t>
            </w:r>
            <w:r>
              <w:rPr>
                <w:rFonts w:hint="eastAsia" w:ascii="宋体" w:hAnsi="宋体" w:cs="宋体"/>
                <w:color w:val="auto"/>
                <w:sz w:val="24"/>
                <w:szCs w:val="24"/>
                <w:highlight w:val="none"/>
                <w:shd w:val="clear" w:color="auto" w:fill="auto"/>
                <w:lang w:val="en-US" w:eastAsia="zh-CN"/>
              </w:rPr>
              <w:t>符合建设工程计价规则。</w:t>
            </w:r>
            <w:r>
              <w:rPr>
                <w:rFonts w:hint="eastAsia" w:ascii="宋体" w:hAnsi="宋体" w:eastAsia="宋体" w:cs="宋体"/>
                <w:sz w:val="24"/>
                <w:szCs w:val="24"/>
                <w:lang w:val="en-US" w:eastAsia="zh-CN"/>
              </w:rPr>
              <w:t>磋商货币：人民币。</w:t>
            </w:r>
            <w:r>
              <w:rPr>
                <w:rFonts w:hint="eastAsia" w:ascii="宋体" w:hAnsi="宋体" w:eastAsia="宋体" w:cs="宋体"/>
                <w:color w:val="auto"/>
                <w:sz w:val="24"/>
                <w:szCs w:val="24"/>
                <w:highlight w:val="none"/>
                <w:shd w:val="clear" w:color="auto" w:fill="auto"/>
              </w:rPr>
              <w:t>精确到小数点后两位</w:t>
            </w:r>
            <w:r>
              <w:rPr>
                <w:rFonts w:hint="eastAsia" w:ascii="宋体" w:hAnsi="宋体" w:eastAsia="宋体" w:cs="宋体"/>
                <w:color w:val="auto"/>
                <w:sz w:val="24"/>
                <w:szCs w:val="24"/>
                <w:highlight w:val="none"/>
                <w:shd w:val="clear" w:color="auto" w:fill="auto"/>
                <w:lang w:eastAsia="zh-CN"/>
              </w:rPr>
              <w:t>。</w:t>
            </w:r>
          </w:p>
          <w:p w14:paraId="71DF34C0">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zh-CN"/>
              </w:rPr>
              <w:t>磋商方式：</w:t>
            </w:r>
          </w:p>
          <w:p w14:paraId="49593C9B">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本项目采取两轮磋商报价，第一次磋商报价以递交的磋商响应文件中的报价为准；第一次磋商报价超过或等于采购最高限价的供应商不得进入下一步磋商程序。</w:t>
            </w:r>
          </w:p>
          <w:p w14:paraId="6904E009">
            <w:pPr>
              <w:keepNext w:val="0"/>
              <w:keepLines w:val="0"/>
              <w:pageBreakBefore w:val="0"/>
              <w:widowControl w:val="0"/>
              <w:kinsoku/>
              <w:wordWrap/>
              <w:overflowPunct/>
              <w:topLinePunct w:val="0"/>
              <w:autoSpaceDE w:val="0"/>
              <w:autoSpaceDN w:val="0"/>
              <w:bidi w:val="0"/>
              <w:adjustRightInd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zh-CN"/>
              </w:rPr>
              <w:t>本次磋商采用两轮报价。</w:t>
            </w:r>
          </w:p>
          <w:p w14:paraId="41B6A4C4">
            <w:pPr>
              <w:keepNext w:val="0"/>
              <w:keepLines w:val="0"/>
              <w:pageBreakBefore w:val="0"/>
              <w:widowControl w:val="0"/>
              <w:kinsoku/>
              <w:wordWrap/>
              <w:overflowPunct/>
              <w:topLinePunct w:val="0"/>
              <w:autoSpaceDE w:val="0"/>
              <w:autoSpaceDN w:val="0"/>
              <w:bidi w:val="0"/>
              <w:adjustRightInd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第一次磋商报价随磋商响应文件提交。</w:t>
            </w:r>
          </w:p>
          <w:p w14:paraId="42579134">
            <w:pPr>
              <w:keepNext w:val="0"/>
              <w:keepLines w:val="0"/>
              <w:pageBreakBefore w:val="0"/>
              <w:widowControl w:val="0"/>
              <w:kinsoku/>
              <w:wordWrap/>
              <w:overflowPunct/>
              <w:topLinePunct w:val="0"/>
              <w:autoSpaceDE w:val="0"/>
              <w:autoSpaceDN w:val="0"/>
              <w:bidi w:val="0"/>
              <w:adjustRightInd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第二次（最终）磋商报价在磋商后提交，各供应商应在最后一轮磋商后提供</w:t>
            </w:r>
            <w:r>
              <w:rPr>
                <w:rFonts w:hint="eastAsia" w:ascii="宋体" w:hAnsi="宋体" w:eastAsia="宋体" w:cs="宋体"/>
                <w:color w:val="auto"/>
                <w:sz w:val="24"/>
                <w:szCs w:val="24"/>
                <w:highlight w:val="none"/>
                <w:shd w:val="clear" w:color="auto" w:fill="auto"/>
                <w:lang w:val="zh-CN" w:eastAsia="zh-CN"/>
              </w:rPr>
              <w:t>最终</w:t>
            </w:r>
            <w:r>
              <w:rPr>
                <w:rFonts w:hint="eastAsia" w:ascii="宋体" w:hAnsi="宋体" w:eastAsia="宋体" w:cs="宋体"/>
                <w:color w:val="auto"/>
                <w:sz w:val="24"/>
                <w:szCs w:val="24"/>
                <w:highlight w:val="none"/>
                <w:shd w:val="clear" w:color="auto" w:fill="auto"/>
                <w:lang w:val="zh-CN"/>
              </w:rPr>
              <w:t>报价。第二次（最终）磋商报价价格在合同执行过程中不得以任何理由变更。</w:t>
            </w:r>
          </w:p>
          <w:p w14:paraId="38299D9B">
            <w:pPr>
              <w:keepNext w:val="0"/>
              <w:keepLines w:val="0"/>
              <w:pageBreakBefore w:val="0"/>
              <w:widowControl w:val="0"/>
              <w:kinsoku/>
              <w:wordWrap/>
              <w:overflowPunct/>
              <w:topLinePunct w:val="0"/>
              <w:autoSpaceDE w:val="0"/>
              <w:autoSpaceDN w:val="0"/>
              <w:bidi w:val="0"/>
              <w:adjustRightInd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val="zh-CN"/>
              </w:rPr>
              <w:t>凡因供应商对竞争性磋商文件阅读不深、理解不透、误解、疏漏、或因市场行情了解不清造成的后果和风险均由供应商自行负责。磋商过程中所产生的一切费用由供应商自行承担。</w:t>
            </w:r>
          </w:p>
          <w:p w14:paraId="528C93EA">
            <w:pPr>
              <w:keepNext w:val="0"/>
              <w:keepLines w:val="0"/>
              <w:pageBreakBefore w:val="0"/>
              <w:widowControl w:val="0"/>
              <w:kinsoku/>
              <w:wordWrap/>
              <w:overflowPunct/>
              <w:topLinePunct w:val="0"/>
              <w:autoSpaceDE w:val="0"/>
              <w:autoSpaceDN w:val="0"/>
              <w:bidi w:val="0"/>
              <w:adjustRightInd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lang w:val="zh-CN"/>
              </w:rPr>
              <w:t>当磋商小组认为某个供应商的第二次（最终）磋商报价低于成本或明显低于其他通过符合性审查供应商的报价，有可能影响工程质量或者不能诚信履约的，应当要求其在磋商现场合理的时间内提供书面说明，必要时提交相关证明材料；供应商不能证明其报价合理性的，磋商小组会应当将其作为无效响应处理。</w:t>
            </w:r>
          </w:p>
          <w:p w14:paraId="5FBD296C">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最低报价不作为成交的唯一条件</w:t>
            </w:r>
            <w:r>
              <w:rPr>
                <w:rFonts w:hint="eastAsia" w:ascii="宋体" w:hAnsi="宋体" w:eastAsia="宋体" w:cs="宋体"/>
                <w:color w:val="auto"/>
                <w:sz w:val="24"/>
                <w:szCs w:val="24"/>
                <w:highlight w:val="none"/>
                <w:shd w:val="clear" w:color="auto" w:fill="auto"/>
                <w:lang w:eastAsia="zh-CN"/>
              </w:rPr>
              <w:t>。</w:t>
            </w:r>
          </w:p>
        </w:tc>
      </w:tr>
      <w:tr w14:paraId="195E3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827" w:type="dxa"/>
            <w:noWrap w:val="0"/>
            <w:vAlign w:val="center"/>
          </w:tcPr>
          <w:p w14:paraId="4C991A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92" w:type="dxa"/>
            <w:noWrap w:val="0"/>
            <w:vAlign w:val="center"/>
          </w:tcPr>
          <w:p w14:paraId="32DFEA9F">
            <w:pPr>
              <w:pageBreakBefore w:val="0"/>
              <w:widowControl w:val="0"/>
              <w:tabs>
                <w:tab w:val="left" w:pos="142"/>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响应偏离</w:t>
            </w:r>
          </w:p>
        </w:tc>
        <w:tc>
          <w:tcPr>
            <w:tcW w:w="7075" w:type="dxa"/>
            <w:noWrap w:val="0"/>
            <w:vAlign w:val="top"/>
          </w:tcPr>
          <w:p w14:paraId="43C3AC91">
            <w:pPr>
              <w:pageBreakBefore w:val="0"/>
              <w:widowControl w:val="0"/>
              <w:tabs>
                <w:tab w:val="left" w:pos="142"/>
              </w:tabs>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lang w:val="en-US" w:eastAsia="zh-CN"/>
              </w:rPr>
              <w:t>响应文件中存在对磋商文件的实质性负偏离，其投标将被认定为无效标。</w:t>
            </w:r>
          </w:p>
        </w:tc>
      </w:tr>
      <w:tr w14:paraId="0E0A9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2" w:hRule="atLeast"/>
          <w:jc w:val="center"/>
        </w:trPr>
        <w:tc>
          <w:tcPr>
            <w:tcW w:w="827" w:type="dxa"/>
            <w:noWrap w:val="0"/>
            <w:vAlign w:val="center"/>
          </w:tcPr>
          <w:p w14:paraId="162C1F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692" w:type="dxa"/>
            <w:noWrap w:val="0"/>
            <w:vAlign w:val="center"/>
          </w:tcPr>
          <w:p w14:paraId="7F5F2DC0">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000000"/>
                <w:sz w:val="24"/>
                <w:szCs w:val="24"/>
                <w:lang w:val="en-US" w:eastAsia="zh-CN"/>
              </w:rPr>
              <w:t>响应文件报价出现前后不一致的处理办法</w:t>
            </w:r>
          </w:p>
        </w:tc>
        <w:tc>
          <w:tcPr>
            <w:tcW w:w="7075" w:type="dxa"/>
            <w:noWrap w:val="0"/>
            <w:vAlign w:val="center"/>
          </w:tcPr>
          <w:p w14:paraId="421F05B8">
            <w:pPr>
              <w:pageBreakBefore w:val="0"/>
              <w:widowControl w:val="0"/>
              <w:tabs>
                <w:tab w:val="left" w:pos="142"/>
              </w:tab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（1）响应文件中开标一览表（报价表）内容与响应文件中相应内容不一致的，以开标一览表（报价表）为准；</w:t>
            </w:r>
          </w:p>
          <w:p w14:paraId="14644158">
            <w:pPr>
              <w:pageBreakBefore w:val="0"/>
              <w:widowControl w:val="0"/>
              <w:tabs>
                <w:tab w:val="left" w:pos="142"/>
              </w:tab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（2）大写金额和小写金额不一致的，以大写金额为准；</w:t>
            </w:r>
          </w:p>
          <w:p w14:paraId="68AEDEB9">
            <w:pPr>
              <w:pageBreakBefore w:val="0"/>
              <w:widowControl w:val="0"/>
              <w:tabs>
                <w:tab w:val="left" w:pos="142"/>
              </w:tab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（3）单价金额小数点或者百分比有明显错位的，以开标一览表的总价为准，并修改单价；</w:t>
            </w:r>
          </w:p>
          <w:p w14:paraId="1D20FBD3">
            <w:pPr>
              <w:pageBreakBefore w:val="0"/>
              <w:widowControl w:val="0"/>
              <w:tabs>
                <w:tab w:val="left" w:pos="142"/>
              </w:tab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（4）总价金额与按单价汇总金额不一致的，以单价金额计算结果为准。</w:t>
            </w:r>
          </w:p>
          <w:p w14:paraId="42A85951">
            <w:pPr>
              <w:pageBreakBefore w:val="0"/>
              <w:widowControl w:val="0"/>
              <w:tabs>
                <w:tab w:val="left" w:pos="142"/>
              </w:tabs>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lang w:val="en-US" w:eastAsia="zh-CN"/>
              </w:rPr>
              <w:t>同时出现两种以上不一致的，按照前款规定的顺序修正。修正后的报价经供应商确认后产生约束力，供应商不确认的，其投标将被认定为投标无效。对不同文字文本响应文件的解释发生异议的，以中文文本为准。</w:t>
            </w:r>
          </w:p>
        </w:tc>
      </w:tr>
      <w:tr w14:paraId="0F554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827" w:type="dxa"/>
            <w:noWrap w:val="0"/>
            <w:vAlign w:val="center"/>
          </w:tcPr>
          <w:p w14:paraId="2CFFD8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692" w:type="dxa"/>
            <w:noWrap w:val="0"/>
            <w:vAlign w:val="center"/>
          </w:tcPr>
          <w:p w14:paraId="27AF4D5B">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投标无效</w:t>
            </w:r>
          </w:p>
        </w:tc>
        <w:tc>
          <w:tcPr>
            <w:tcW w:w="7075" w:type="dxa"/>
            <w:noWrap w:val="0"/>
            <w:vAlign w:val="top"/>
          </w:tcPr>
          <w:p w14:paraId="26C99F77">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如发现下列情况之一的，其投标将被认定为投标无效：</w:t>
            </w:r>
          </w:p>
          <w:p w14:paraId="38261089">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1、未按照磋商文件规定要求签署、盖章的；</w:t>
            </w:r>
          </w:p>
          <w:p w14:paraId="52ECDF53">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2、未满足磋商文件中商务和技术条款的实质性要求；</w:t>
            </w:r>
          </w:p>
          <w:p w14:paraId="01E74453">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3、属于串通投标，或者依法被视为串通投标；</w:t>
            </w:r>
          </w:p>
          <w:p w14:paraId="0259808E">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4、磋商小组认为供应商的报价明显低于其他通过符合性审查供应商的报价，有可能影响履约的，且供应商未按照规定证明其报价合理性的；</w:t>
            </w:r>
          </w:p>
          <w:p w14:paraId="54CFE0EF">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5、响应文件含有采购人不能接受的附加条件的；</w:t>
            </w:r>
          </w:p>
          <w:p w14:paraId="166CCD6F">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6、属于磋商文件规定的其他投标无效情形；</w:t>
            </w:r>
          </w:p>
          <w:p w14:paraId="184575A3">
            <w:pPr>
              <w:pageBreakBefore w:val="0"/>
              <w:widowControl w:val="0"/>
              <w:tabs>
                <w:tab w:val="left" w:pos="14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7、第二次磋商报价大于或等于第一次磋商报价；</w:t>
            </w:r>
          </w:p>
          <w:p w14:paraId="03B6D85B">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000000"/>
                <w:sz w:val="24"/>
                <w:szCs w:val="24"/>
                <w:lang w:val="en-US" w:eastAsia="zh-CN"/>
              </w:rPr>
              <w:t>8、不符合法规和磋商文件中规定的其他实质性要求的。</w:t>
            </w:r>
          </w:p>
        </w:tc>
      </w:tr>
      <w:tr w14:paraId="4F4F4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2" w:hRule="atLeast"/>
          <w:jc w:val="center"/>
        </w:trPr>
        <w:tc>
          <w:tcPr>
            <w:tcW w:w="827" w:type="dxa"/>
            <w:noWrap w:val="0"/>
            <w:vAlign w:val="center"/>
          </w:tcPr>
          <w:p w14:paraId="239739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692" w:type="dxa"/>
            <w:noWrap w:val="0"/>
            <w:vAlign w:val="center"/>
          </w:tcPr>
          <w:p w14:paraId="321D1271">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质疑与答复</w:t>
            </w:r>
          </w:p>
        </w:tc>
        <w:tc>
          <w:tcPr>
            <w:tcW w:w="7075" w:type="dxa"/>
            <w:noWrap w:val="0"/>
            <w:vAlign w:val="top"/>
          </w:tcPr>
          <w:p w14:paraId="2AD616F2">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供应商认为竞争性磋商文件、采购过程、中标或者成交结果使自身的合法权益受到损害，可以在知道或者应知其权益受到损害之日起七个工作日内，以书面形式（纸质版加盖单位公章，下同）向采购代理机构或采购人提出质疑，逾期质疑无效。</w:t>
            </w:r>
          </w:p>
          <w:p w14:paraId="08CF729F">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2、质疑书应当包括以下主要内容：被质疑项目名称、项目编号、标段、采购公告/成交公告发布时间、质疑事项、证据材料、法律依据（具体条款）、质疑人有效联系方式等。</w:t>
            </w:r>
          </w:p>
          <w:p w14:paraId="38171C19">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4CA1A6F9">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4、有下列情形之一的，属于无效质疑，采购代理机构和采购人不予受理：</w:t>
            </w:r>
          </w:p>
          <w:p w14:paraId="0E0077B0">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（1）质疑人不是参与本次政府采购项目的供应商或潜在供应商；</w:t>
            </w:r>
          </w:p>
          <w:p w14:paraId="18C358F3">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（2）质疑人与质疑事项不存在利害关系的；</w:t>
            </w:r>
          </w:p>
          <w:p w14:paraId="5292DF24">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（3）未在法定期限内提出质疑的；</w:t>
            </w:r>
          </w:p>
          <w:p w14:paraId="1397DDBD">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（4）质疑未以书面形式提出，或质疑书主要内容构成不完整的；</w:t>
            </w:r>
          </w:p>
          <w:p w14:paraId="7855E2B6">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（5）质疑书没有合法有效的签字、盖章或授权的；</w:t>
            </w:r>
          </w:p>
          <w:p w14:paraId="2A287952">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（6）以非法手段取得证据、材料的；</w:t>
            </w:r>
          </w:p>
          <w:p w14:paraId="130821E4">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（7）质疑答复后，同一质疑人就同一事项再次提出质疑的；</w:t>
            </w:r>
          </w:p>
          <w:p w14:paraId="0581B7C1">
            <w:pPr>
              <w:keepNext w:val="0"/>
              <w:keepLines w:val="0"/>
              <w:pageBreakBefore w:val="0"/>
              <w:widowControl w:val="0"/>
              <w:kinsoku/>
              <w:wordWrap/>
              <w:overflowPunct/>
              <w:topLinePunct w:val="0"/>
              <w:bidi w:val="0"/>
              <w:spacing w:line="240" w:lineRule="auto"/>
              <w:ind w:right="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（8）不符合法律、法规、规章和监管机构规定的其他条件的。</w:t>
            </w:r>
          </w:p>
          <w:p w14:paraId="773FE673">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5、采购代理机构或采购人将在收到书面质疑后7个工作日内做出答复，并以书面形式通知质疑人和其他有关供应商。</w:t>
            </w:r>
          </w:p>
          <w:p w14:paraId="3B224638">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6、质疑人对采购代理机构或采购人的答复不满意，以及采购代理机构或采购人未在规定时间内做出答复的，可以在答复期满后15个工作日内向监管机构提出投诉。</w:t>
            </w:r>
          </w:p>
          <w:p w14:paraId="718D249B">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7、供应商投诉的事项不得超出已质疑事项的范围。</w:t>
            </w:r>
          </w:p>
          <w:p w14:paraId="3F909E44">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8、恶意质疑、投诉的法律后果：</w:t>
            </w:r>
          </w:p>
          <w:p w14:paraId="54DDA4C9">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5694487">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《中华人民共和国刑法》第243条【诬告陷害罪】捏造事实诬告陷害他人，意图使他人受刑事追究，情节严重的，处三年以下有期徒刑、拘役或者管制；造成严重后果的，处三年以上十年以下有期徒刑。</w:t>
            </w:r>
          </w:p>
          <w:p w14:paraId="162F20DA">
            <w:pPr>
              <w:keepNext w:val="0"/>
              <w:keepLines w:val="0"/>
              <w:pageBreakBefore w:val="0"/>
              <w:widowControl w:val="0"/>
              <w:kinsoku/>
              <w:wordWrap/>
              <w:overflowPunct/>
              <w:topLinePunct w:val="0"/>
              <w:bidi w:val="0"/>
              <w:spacing w:line="240" w:lineRule="auto"/>
              <w:ind w:right="0" w:firstLine="480" w:firstLineChars="200"/>
              <w:jc w:val="both"/>
              <w:textAlignment w:val="auto"/>
              <w:rPr>
                <w:rFonts w:hint="eastAsia"/>
              </w:rPr>
            </w:pPr>
            <w:r>
              <w:rPr>
                <w:rFonts w:hint="eastAsia" w:ascii="宋体" w:hAnsi="宋体" w:eastAsia="宋体" w:cs="宋体"/>
                <w:color w:val="auto"/>
                <w:sz w:val="24"/>
                <w:szCs w:val="24"/>
                <w:highlight w:val="none"/>
                <w:shd w:val="clear" w:color="auto" w:fill="auto"/>
                <w:lang w:val="en-US" w:eastAsia="zh-CN"/>
              </w:rPr>
              <w:t>《中华人民共和国刑法》第246条【侮辱罪、诽谤罪】以暴力或者其他方法公然侮辱他人或者捏造事实诽谤他人，情节严重的，处三年以下有期徒刑、拘役、管制或者剥夺政治权利。</w:t>
            </w:r>
          </w:p>
        </w:tc>
      </w:tr>
      <w:tr w14:paraId="3E503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827" w:type="dxa"/>
            <w:noWrap w:val="0"/>
            <w:vAlign w:val="center"/>
          </w:tcPr>
          <w:p w14:paraId="6E5550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8767" w:type="dxa"/>
            <w:gridSpan w:val="2"/>
            <w:noWrap w:val="0"/>
            <w:vAlign w:val="center"/>
          </w:tcPr>
          <w:p w14:paraId="7A1135C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磋商文件内所附网络链接仅供参考，不保证其长期有效性。</w:t>
            </w:r>
          </w:p>
        </w:tc>
      </w:tr>
      <w:tr w14:paraId="61BCA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827" w:type="dxa"/>
            <w:noWrap w:val="0"/>
            <w:vAlign w:val="center"/>
          </w:tcPr>
          <w:p w14:paraId="79BE60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8767" w:type="dxa"/>
            <w:gridSpan w:val="2"/>
            <w:noWrap w:val="0"/>
            <w:vAlign w:val="center"/>
          </w:tcPr>
          <w:p w14:paraId="07F3835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本磋商文件未明确的其他事项，按照有关法律、法规或省市有关规定执行。</w:t>
            </w:r>
          </w:p>
        </w:tc>
      </w:tr>
    </w:tbl>
    <w:p w14:paraId="2EAE30EA">
      <w:pPr>
        <w:bidi w:val="0"/>
        <w:rPr>
          <w:rFonts w:hint="eastAsia"/>
          <w:lang w:val="zh-CN" w:eastAsia="zh-CN"/>
        </w:rPr>
      </w:pPr>
    </w:p>
    <w:p w14:paraId="662A2D15">
      <w:pPr>
        <w:pStyle w:val="10"/>
        <w:tabs>
          <w:tab w:val="right" w:leader="dot" w:pos="9072"/>
          <w:tab w:val="clear" w:pos="8760"/>
        </w:tabs>
        <w:jc w:val="center"/>
        <w:rPr>
          <w:rFonts w:hint="eastAsia"/>
          <w:sz w:val="44"/>
          <w:szCs w:val="44"/>
          <w:shd w:val="clear" w:color="auto" w:fill="auto"/>
        </w:rPr>
      </w:pPr>
      <w:bookmarkStart w:id="4" w:name="_Toc30697"/>
      <w:r>
        <w:rPr>
          <w:rFonts w:hint="eastAsia"/>
          <w:lang w:eastAsia="zh-CN"/>
        </w:rPr>
        <w:br w:type="page"/>
      </w:r>
      <w:r>
        <w:rPr>
          <w:rFonts w:hint="eastAsia"/>
          <w:sz w:val="44"/>
          <w:szCs w:val="44"/>
          <w:shd w:val="clear" w:color="auto" w:fill="auto"/>
          <w:lang w:eastAsia="zh-CN"/>
        </w:rPr>
        <w:t>第</w:t>
      </w:r>
      <w:r>
        <w:rPr>
          <w:rFonts w:hint="eastAsia"/>
          <w:sz w:val="44"/>
          <w:szCs w:val="44"/>
          <w:shd w:val="clear" w:color="auto" w:fill="auto"/>
          <w:lang w:val="en-US" w:eastAsia="zh-CN"/>
        </w:rPr>
        <w:t>三</w:t>
      </w:r>
      <w:r>
        <w:rPr>
          <w:rFonts w:hint="eastAsia"/>
          <w:sz w:val="44"/>
          <w:szCs w:val="44"/>
          <w:shd w:val="clear" w:color="auto" w:fill="auto"/>
          <w:lang w:eastAsia="zh-CN"/>
        </w:rPr>
        <w:t>部分</w:t>
      </w:r>
      <w:r>
        <w:rPr>
          <w:rFonts w:hint="eastAsia"/>
          <w:sz w:val="44"/>
          <w:szCs w:val="44"/>
          <w:shd w:val="clear" w:color="auto" w:fill="auto"/>
          <w:lang w:val="en-US" w:eastAsia="zh-CN"/>
        </w:rPr>
        <w:t xml:space="preserve">  </w:t>
      </w:r>
      <w:r>
        <w:rPr>
          <w:rFonts w:hint="eastAsia"/>
          <w:sz w:val="44"/>
          <w:szCs w:val="44"/>
          <w:shd w:val="clear" w:color="auto" w:fill="auto"/>
        </w:rPr>
        <w:t>磋商评审办法及内容</w:t>
      </w:r>
      <w:bookmarkEnd w:id="4"/>
    </w:p>
    <w:p w14:paraId="4001C1F5">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cs="宋体"/>
          <w:b/>
          <w:sz w:val="24"/>
          <w:szCs w:val="24"/>
          <w:lang w:val="en-US" w:eastAsia="zh-CN"/>
        </w:rPr>
      </w:pPr>
    </w:p>
    <w:p w14:paraId="03D14C4F">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cs="宋体"/>
          <w:sz w:val="24"/>
          <w:szCs w:val="24"/>
        </w:rPr>
      </w:pPr>
      <w:r>
        <w:rPr>
          <w:rFonts w:hint="eastAsia" w:ascii="宋体" w:hAnsi="宋体" w:cs="宋体"/>
          <w:b/>
          <w:sz w:val="24"/>
          <w:szCs w:val="24"/>
          <w:lang w:val="en-US" w:eastAsia="zh-CN"/>
        </w:rPr>
        <w:t>1、</w:t>
      </w:r>
      <w:r>
        <w:rPr>
          <w:rFonts w:hint="eastAsia" w:ascii="宋体" w:hAnsi="宋体" w:cs="宋体"/>
          <w:b/>
          <w:sz w:val="24"/>
          <w:szCs w:val="24"/>
        </w:rPr>
        <w:t>磋商方法</w:t>
      </w:r>
      <w:r>
        <w:rPr>
          <w:rFonts w:hint="eastAsia" w:ascii="宋体" w:hAnsi="宋体" w:cs="宋体"/>
          <w:sz w:val="24"/>
          <w:szCs w:val="24"/>
        </w:rPr>
        <w:t>：综合评分法。</w:t>
      </w:r>
    </w:p>
    <w:p w14:paraId="7201FB29">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采购人委托</w:t>
      </w:r>
      <w:r>
        <w:rPr>
          <w:rFonts w:hint="eastAsia" w:ascii="宋体" w:hAnsi="宋体" w:cs="宋体"/>
          <w:color w:val="000000"/>
          <w:sz w:val="24"/>
          <w:szCs w:val="24"/>
          <w:lang w:val="en-US" w:eastAsia="zh-CN"/>
        </w:rPr>
        <w:t>磋商小组</w:t>
      </w:r>
      <w:r>
        <w:rPr>
          <w:rFonts w:hint="eastAsia" w:ascii="宋体" w:hAnsi="宋体" w:cs="宋体"/>
          <w:color w:val="000000"/>
          <w:sz w:val="24"/>
          <w:szCs w:val="24"/>
          <w:lang w:eastAsia="zh-CN"/>
        </w:rPr>
        <w:t>负责组织本项目的评标工作。</w:t>
      </w:r>
    </w:p>
    <w:p w14:paraId="2D0C0205">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eastAsia="zh-CN"/>
        </w:rPr>
        <w:t>工作程序：资格审查</w:t>
      </w:r>
      <w:r>
        <w:rPr>
          <w:rFonts w:hint="eastAsia" w:ascii="宋体" w:hAnsi="宋体" w:cs="宋体"/>
          <w:color w:val="000000"/>
          <w:sz w:val="24"/>
          <w:szCs w:val="24"/>
          <w:lang w:val="en-US" w:eastAsia="zh-CN"/>
        </w:rPr>
        <w:t>--符合性审查--磋商--第二次磋商报价--</w:t>
      </w:r>
      <w:r>
        <w:rPr>
          <w:rFonts w:hint="eastAsia" w:ascii="宋体" w:hAnsi="宋体" w:cs="宋体"/>
          <w:color w:val="000000"/>
          <w:sz w:val="24"/>
          <w:szCs w:val="24"/>
          <w:lang w:eastAsia="zh-CN"/>
        </w:rPr>
        <w:t>比较和评价</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推荐成交候选人名单</w:t>
      </w:r>
      <w:r>
        <w:rPr>
          <w:rFonts w:hint="eastAsia" w:ascii="宋体" w:hAnsi="宋体" w:cs="宋体"/>
          <w:color w:val="000000"/>
          <w:sz w:val="24"/>
          <w:szCs w:val="24"/>
          <w:lang w:val="en-US" w:eastAsia="zh-CN"/>
        </w:rPr>
        <w:t>。</w:t>
      </w:r>
    </w:p>
    <w:p w14:paraId="72E0205C">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2、资格审查</w:t>
      </w:r>
    </w:p>
    <w:p w14:paraId="102E7DAC">
      <w:pPr>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firstLine="480" w:firstLineChars="200"/>
        <w:textAlignment w:val="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供应商资格要求详见磋商</w:t>
      </w:r>
      <w:r>
        <w:rPr>
          <w:rFonts w:hint="eastAsia" w:ascii="宋体" w:hAnsi="宋体" w:eastAsia="宋体" w:cs="宋体"/>
          <w:color w:val="000000"/>
          <w:sz w:val="24"/>
          <w:szCs w:val="24"/>
          <w:lang w:val="en-US" w:eastAsia="zh-CN"/>
        </w:rPr>
        <w:t>公告</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部分</w:t>
      </w:r>
      <w:r>
        <w:rPr>
          <w:rFonts w:hint="default" w:ascii="宋体" w:hAnsi="宋体" w:eastAsia="宋体" w:cs="宋体"/>
          <w:color w:val="000000"/>
          <w:sz w:val="24"/>
          <w:szCs w:val="24"/>
          <w:lang w:val="en-US" w:eastAsia="zh-CN"/>
        </w:rPr>
        <w:t>。</w:t>
      </w:r>
    </w:p>
    <w:p w14:paraId="4643F559">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default" w:ascii="宋体" w:hAnsi="宋体" w:eastAsia="宋体" w:cs="宋体"/>
          <w:color w:val="000000"/>
          <w:sz w:val="24"/>
          <w:szCs w:val="24"/>
          <w:lang w:val="en-US" w:eastAsia="zh-CN"/>
        </w:rPr>
        <w:t>磋商小组按要求对供应商基本资格条件进行审查，投标人若有一项不合格，即判定其基本资格条件审查结果为不合格，将不具备投标资格，其投标无效</w:t>
      </w:r>
      <w:r>
        <w:rPr>
          <w:rFonts w:hint="eastAsia" w:ascii="宋体" w:hAnsi="宋体" w:eastAsia="宋体" w:cs="宋体"/>
          <w:color w:val="000000"/>
          <w:sz w:val="24"/>
          <w:szCs w:val="24"/>
          <w:lang w:val="en-US" w:eastAsia="zh-CN"/>
        </w:rPr>
        <w:t>，</w:t>
      </w:r>
      <w:r>
        <w:rPr>
          <w:rFonts w:hint="eastAsia" w:ascii="宋体" w:hAnsi="宋体" w:eastAsia="宋体" w:cs="宋体"/>
          <w:color w:val="auto"/>
          <w:sz w:val="24"/>
          <w:szCs w:val="24"/>
          <w:highlight w:val="none"/>
          <w:shd w:val="clear" w:color="auto" w:fill="auto"/>
        </w:rPr>
        <w:t>不</w:t>
      </w:r>
      <w:r>
        <w:rPr>
          <w:rFonts w:hint="eastAsia" w:ascii="宋体" w:hAnsi="宋体" w:eastAsia="宋体" w:cs="宋体"/>
          <w:color w:val="auto"/>
          <w:sz w:val="24"/>
          <w:szCs w:val="24"/>
          <w:highlight w:val="none"/>
          <w:shd w:val="clear" w:color="auto" w:fill="auto"/>
          <w:lang w:eastAsia="zh-CN"/>
        </w:rPr>
        <w:t>再</w:t>
      </w:r>
      <w:r>
        <w:rPr>
          <w:rFonts w:hint="eastAsia" w:ascii="宋体" w:hAnsi="宋体" w:eastAsia="宋体" w:cs="宋体"/>
          <w:color w:val="auto"/>
          <w:sz w:val="24"/>
          <w:szCs w:val="24"/>
          <w:highlight w:val="none"/>
          <w:shd w:val="clear" w:color="auto" w:fill="auto"/>
        </w:rPr>
        <w:t>进行下一步评审。</w:t>
      </w:r>
    </w:p>
    <w:p w14:paraId="0DF92F27">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3、符合性审查</w:t>
      </w:r>
    </w:p>
    <w:p w14:paraId="09C6C110">
      <w:pPr>
        <w:pStyle w:val="5"/>
        <w:ind w:firstLine="482"/>
        <w:rPr>
          <w:rFonts w:hint="eastAsia" w:ascii="宋体" w:hAnsi="宋体" w:eastAsia="宋体" w:cs="宋体"/>
          <w:color w:val="auto"/>
          <w:sz w:val="24"/>
          <w:szCs w:val="24"/>
          <w:highlight w:val="none"/>
          <w:shd w:val="clear" w:color="auto" w:fill="auto"/>
        </w:rPr>
      </w:pPr>
      <w:r>
        <w:rPr>
          <w:rFonts w:hint="eastAsia" w:ascii="宋体" w:hAnsi="宋体" w:cs="宋体"/>
          <w:color w:val="000000"/>
          <w:sz w:val="24"/>
          <w:szCs w:val="24"/>
          <w:lang w:val="en-US" w:eastAsia="zh-CN"/>
        </w:rPr>
        <w:t>符合性审查</w:t>
      </w:r>
      <w:r>
        <w:rPr>
          <w:rFonts w:hint="eastAsia" w:ascii="宋体" w:hAnsi="宋体" w:cs="宋体"/>
          <w:color w:val="000000"/>
          <w:sz w:val="24"/>
          <w:szCs w:val="24"/>
          <w:lang w:eastAsia="zh-CN"/>
        </w:rPr>
        <w:t>是指磋商小组依据磋商文件的规定，</w:t>
      </w:r>
      <w:r>
        <w:rPr>
          <w:rFonts w:hint="eastAsia" w:ascii="宋体" w:hAnsi="宋体" w:eastAsia="宋体" w:cs="宋体"/>
          <w:color w:val="auto"/>
          <w:sz w:val="24"/>
          <w:szCs w:val="24"/>
          <w:highlight w:val="none"/>
          <w:shd w:val="clear" w:color="auto" w:fill="auto"/>
        </w:rPr>
        <w:t>对通过资格审查的供应商的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cs="宋体"/>
          <w:color w:val="000000"/>
          <w:sz w:val="24"/>
          <w:szCs w:val="24"/>
          <w:lang w:eastAsia="zh-CN"/>
        </w:rPr>
        <w:t>从商务和技术角度对响应文件的有效性和完整性进行审查，以确定是否对磋商文件的实质性要求做出投标。出现下列情况者（但不限于），按无效投标处理，</w:t>
      </w:r>
      <w:r>
        <w:rPr>
          <w:rFonts w:hint="eastAsia" w:ascii="宋体" w:hAnsi="宋体" w:eastAsia="宋体" w:cs="宋体"/>
          <w:color w:val="auto"/>
          <w:sz w:val="24"/>
          <w:szCs w:val="24"/>
          <w:highlight w:val="none"/>
          <w:shd w:val="clear" w:color="auto" w:fill="auto"/>
        </w:rPr>
        <w:t>不</w:t>
      </w:r>
      <w:r>
        <w:rPr>
          <w:rFonts w:hint="eastAsia" w:ascii="宋体" w:hAnsi="宋体" w:eastAsia="宋体" w:cs="宋体"/>
          <w:color w:val="auto"/>
          <w:sz w:val="24"/>
          <w:szCs w:val="24"/>
          <w:highlight w:val="none"/>
          <w:shd w:val="clear" w:color="auto" w:fill="auto"/>
          <w:lang w:eastAsia="zh-CN"/>
        </w:rPr>
        <w:t>再</w:t>
      </w:r>
      <w:r>
        <w:rPr>
          <w:rFonts w:hint="eastAsia" w:ascii="宋体" w:hAnsi="宋体" w:eastAsia="宋体" w:cs="宋体"/>
          <w:color w:val="auto"/>
          <w:sz w:val="24"/>
          <w:szCs w:val="24"/>
          <w:highlight w:val="none"/>
          <w:shd w:val="clear" w:color="auto" w:fill="auto"/>
        </w:rPr>
        <w:t>进行下一步评审。</w:t>
      </w:r>
    </w:p>
    <w:p w14:paraId="4DD191AE">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.1 响应文件未按磋商文件要求签署、盖章的。</w:t>
      </w:r>
    </w:p>
    <w:p w14:paraId="01514745">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.2 供应商投标报价超出采购预算或最高限价的。</w:t>
      </w:r>
    </w:p>
    <w:p w14:paraId="079BC3FD">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.3 供应商的报价明显低于其他通过符合性审查供应商的报价，有可能影响产品质量或者不能诚信履约的，且供应商不能证明其报价合理性的。</w:t>
      </w:r>
    </w:p>
    <w:p w14:paraId="38F12817">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.4 投标内容出现漏项或数量与要求不符或投标内容的技术指标达不到磋商文件要求，造成采购档次降低或影响采购性能、功能。</w:t>
      </w:r>
    </w:p>
    <w:tbl>
      <w:tblPr>
        <w:tblStyle w:val="14"/>
        <w:tblW w:w="93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53"/>
        <w:gridCol w:w="6626"/>
      </w:tblGrid>
      <w:tr w14:paraId="2A154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653" w:type="dxa"/>
            <w:noWrap w:val="0"/>
            <w:vAlign w:val="center"/>
          </w:tcPr>
          <w:p w14:paraId="73BD54A1">
            <w:pPr>
              <w:keepNext w:val="0"/>
              <w:keepLines w:val="0"/>
              <w:pageBreakBefore w:val="0"/>
              <w:widowControl w:val="0"/>
              <w:tabs>
                <w:tab w:val="left" w:pos="1575"/>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审查内容</w:t>
            </w:r>
          </w:p>
        </w:tc>
        <w:tc>
          <w:tcPr>
            <w:tcW w:w="6626" w:type="dxa"/>
            <w:noWrap w:val="0"/>
            <w:vAlign w:val="center"/>
          </w:tcPr>
          <w:p w14:paraId="6CE9A615">
            <w:pPr>
              <w:keepNext w:val="0"/>
              <w:keepLines w:val="0"/>
              <w:pageBreakBefore w:val="0"/>
              <w:widowControl w:val="0"/>
              <w:tabs>
                <w:tab w:val="left" w:pos="1575"/>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审查要求</w:t>
            </w:r>
          </w:p>
        </w:tc>
      </w:tr>
      <w:tr w14:paraId="007C4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2653" w:type="dxa"/>
            <w:noWrap w:val="0"/>
            <w:vAlign w:val="center"/>
          </w:tcPr>
          <w:p w14:paraId="583F6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响应函</w:t>
            </w:r>
          </w:p>
        </w:tc>
        <w:tc>
          <w:tcPr>
            <w:tcW w:w="6626" w:type="dxa"/>
            <w:noWrap w:val="0"/>
            <w:vAlign w:val="center"/>
          </w:tcPr>
          <w:p w14:paraId="192C8E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响应函签署、盖章是否符合磋商文件要求</w:t>
            </w:r>
          </w:p>
        </w:tc>
      </w:tr>
      <w:tr w14:paraId="3E49B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2653" w:type="dxa"/>
            <w:noWrap w:val="0"/>
            <w:vAlign w:val="center"/>
          </w:tcPr>
          <w:p w14:paraId="59259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cs="宋体"/>
                <w:color w:val="auto"/>
                <w:sz w:val="24"/>
                <w:szCs w:val="24"/>
                <w:highlight w:val="none"/>
                <w:shd w:val="clear" w:color="auto" w:fill="auto"/>
                <w:lang w:val="en-US" w:eastAsia="zh-CN"/>
              </w:rPr>
              <w:t>一览表</w:t>
            </w:r>
          </w:p>
        </w:tc>
        <w:tc>
          <w:tcPr>
            <w:tcW w:w="6626" w:type="dxa"/>
            <w:noWrap w:val="0"/>
            <w:vAlign w:val="center"/>
          </w:tcPr>
          <w:p w14:paraId="4E1AFC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eastAsia="zh-CN"/>
              </w:rPr>
              <w:t>磋商报价</w:t>
            </w:r>
            <w:r>
              <w:rPr>
                <w:rFonts w:hint="eastAsia" w:ascii="宋体" w:hAnsi="宋体" w:cs="宋体"/>
                <w:color w:val="auto"/>
                <w:sz w:val="24"/>
                <w:szCs w:val="24"/>
                <w:highlight w:val="none"/>
                <w:shd w:val="clear" w:color="auto" w:fill="auto"/>
                <w:lang w:val="en-US" w:eastAsia="zh-CN"/>
              </w:rPr>
              <w:t>未超过或等于</w:t>
            </w:r>
            <w:r>
              <w:rPr>
                <w:rFonts w:hint="eastAsia" w:ascii="宋体" w:hAnsi="宋体" w:eastAsia="宋体" w:cs="宋体"/>
                <w:color w:val="auto"/>
                <w:sz w:val="24"/>
                <w:szCs w:val="24"/>
                <w:highlight w:val="none"/>
                <w:shd w:val="clear" w:color="auto" w:fill="auto"/>
                <w:lang w:eastAsia="zh-CN"/>
              </w:rPr>
              <w:t>本项目</w:t>
            </w:r>
            <w:r>
              <w:rPr>
                <w:rFonts w:hint="eastAsia" w:ascii="宋体" w:hAnsi="宋体" w:eastAsia="宋体" w:cs="宋体"/>
                <w:color w:val="auto"/>
                <w:sz w:val="24"/>
                <w:szCs w:val="24"/>
                <w:highlight w:val="none"/>
                <w:shd w:val="clear" w:color="auto" w:fill="auto"/>
                <w:lang w:val="en-US" w:eastAsia="zh-CN"/>
              </w:rPr>
              <w:t>采购预算或最高限价</w:t>
            </w:r>
          </w:p>
        </w:tc>
      </w:tr>
      <w:tr w14:paraId="38135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2653" w:type="dxa"/>
            <w:noWrap w:val="0"/>
            <w:vAlign w:val="center"/>
          </w:tcPr>
          <w:p w14:paraId="43316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磋商文件</w:t>
            </w:r>
          </w:p>
        </w:tc>
        <w:tc>
          <w:tcPr>
            <w:tcW w:w="6626" w:type="dxa"/>
            <w:noWrap w:val="0"/>
            <w:vAlign w:val="center"/>
          </w:tcPr>
          <w:p w14:paraId="5483ED2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sz w:val="24"/>
                <w:szCs w:val="24"/>
                <w:lang w:val="en-US" w:eastAsia="zh-CN"/>
              </w:rPr>
              <w:t>磋商文件完整性、规范性均符合要求，</w:t>
            </w:r>
            <w:r>
              <w:rPr>
                <w:rFonts w:hint="eastAsia" w:ascii="宋体" w:hAnsi="宋体" w:cs="宋体"/>
                <w:color w:val="auto"/>
                <w:sz w:val="24"/>
              </w:rPr>
              <w:t>内容齐全、无遗漏</w:t>
            </w:r>
          </w:p>
        </w:tc>
      </w:tr>
      <w:tr w14:paraId="5022A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2653" w:type="dxa"/>
            <w:noWrap w:val="0"/>
            <w:vAlign w:val="center"/>
          </w:tcPr>
          <w:p w14:paraId="2BF26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对</w:t>
            </w:r>
            <w:r>
              <w:rPr>
                <w:rFonts w:hint="eastAsia" w:ascii="宋体" w:hAnsi="宋体" w:eastAsia="宋体" w:cs="宋体"/>
                <w:color w:val="auto"/>
                <w:sz w:val="24"/>
                <w:szCs w:val="24"/>
                <w:highlight w:val="none"/>
                <w:shd w:val="clear" w:color="auto" w:fill="auto"/>
                <w:lang w:eastAsia="zh-CN"/>
              </w:rPr>
              <w:t>竞争性磋商文件</w:t>
            </w:r>
          </w:p>
          <w:p w14:paraId="4C4422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响应程度</w:t>
            </w:r>
          </w:p>
        </w:tc>
        <w:tc>
          <w:tcPr>
            <w:tcW w:w="6626" w:type="dxa"/>
            <w:noWrap w:val="0"/>
            <w:vAlign w:val="center"/>
          </w:tcPr>
          <w:p w14:paraId="4A93F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对磋商文件</w:t>
            </w:r>
            <w:r>
              <w:rPr>
                <w:rFonts w:hint="eastAsia" w:ascii="宋体" w:hAnsi="宋体" w:eastAsia="宋体" w:cs="宋体"/>
                <w:color w:val="auto"/>
                <w:sz w:val="24"/>
                <w:szCs w:val="24"/>
                <w:highlight w:val="none"/>
                <w:shd w:val="clear" w:color="auto" w:fill="auto"/>
              </w:rPr>
              <w:t>全面响应，</w:t>
            </w:r>
            <w:r>
              <w:rPr>
                <w:rFonts w:hint="eastAsia" w:ascii="宋体" w:hAnsi="宋体" w:cs="宋体"/>
                <w:color w:val="auto"/>
                <w:sz w:val="24"/>
                <w:szCs w:val="24"/>
                <w:highlight w:val="none"/>
                <w:shd w:val="clear" w:color="auto" w:fill="auto"/>
                <w:lang w:val="en-US" w:eastAsia="zh-CN"/>
              </w:rPr>
              <w:t>无</w:t>
            </w:r>
            <w:r>
              <w:rPr>
                <w:rFonts w:hint="eastAsia" w:ascii="宋体" w:hAnsi="宋体" w:eastAsia="宋体" w:cs="宋体"/>
                <w:color w:val="auto"/>
                <w:sz w:val="24"/>
                <w:szCs w:val="24"/>
                <w:highlight w:val="none"/>
                <w:shd w:val="clear" w:color="auto" w:fill="auto"/>
              </w:rPr>
              <w:t>有任何采购人不能接受的附加条件</w:t>
            </w:r>
          </w:p>
        </w:tc>
      </w:tr>
      <w:tr w14:paraId="614C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2653" w:type="dxa"/>
            <w:noWrap w:val="0"/>
            <w:vAlign w:val="center"/>
          </w:tcPr>
          <w:p w14:paraId="47F5E524">
            <w:pPr>
              <w:spacing w:line="500" w:lineRule="exact"/>
              <w:jc w:val="center"/>
              <w:rPr>
                <w:rFonts w:hint="eastAsia" w:ascii="宋体" w:hAnsi="宋体" w:cs="宋体"/>
                <w:color w:val="auto"/>
                <w:sz w:val="24"/>
              </w:rPr>
            </w:pPr>
            <w:r>
              <w:rPr>
                <w:rFonts w:hint="eastAsia" w:ascii="宋体" w:hAnsi="宋体" w:cs="宋体"/>
                <w:color w:val="auto"/>
                <w:sz w:val="24"/>
              </w:rPr>
              <w:t>响应文件的签署盖章</w:t>
            </w:r>
          </w:p>
        </w:tc>
        <w:tc>
          <w:tcPr>
            <w:tcW w:w="6626" w:type="dxa"/>
            <w:noWrap w:val="0"/>
            <w:vAlign w:val="center"/>
          </w:tcPr>
          <w:p w14:paraId="4D5D82F3">
            <w:pPr>
              <w:spacing w:line="500" w:lineRule="exact"/>
              <w:rPr>
                <w:rFonts w:hint="default" w:ascii="宋体" w:hAnsi="宋体" w:cs="宋体" w:eastAsiaTheme="minorEastAsia"/>
                <w:color w:val="auto"/>
                <w:sz w:val="24"/>
                <w:lang w:val="en-US" w:eastAsia="zh-CN"/>
              </w:rPr>
            </w:pPr>
            <w:r>
              <w:rPr>
                <w:rFonts w:hint="eastAsia" w:ascii="宋体" w:hAnsi="宋体" w:cs="宋体"/>
                <w:color w:val="auto"/>
                <w:sz w:val="24"/>
              </w:rPr>
              <w:t>响应文件上的签字</w:t>
            </w:r>
            <w:r>
              <w:rPr>
                <w:rFonts w:hint="eastAsia" w:ascii="宋体" w:hAnsi="宋体" w:cs="宋体"/>
                <w:color w:val="auto"/>
                <w:sz w:val="24"/>
                <w:lang w:val="en-US" w:eastAsia="zh-CN"/>
              </w:rPr>
              <w:t>和盖</w:t>
            </w:r>
            <w:r>
              <w:rPr>
                <w:rFonts w:hint="eastAsia" w:ascii="宋体" w:hAnsi="宋体" w:cs="宋体"/>
                <w:color w:val="auto"/>
                <w:sz w:val="24"/>
              </w:rPr>
              <w:t>章</w:t>
            </w:r>
            <w:r>
              <w:rPr>
                <w:rFonts w:hint="eastAsia" w:ascii="宋体" w:hAnsi="宋体" w:cs="宋体"/>
                <w:color w:val="auto"/>
                <w:sz w:val="24"/>
                <w:lang w:val="en-US" w:eastAsia="zh-CN"/>
              </w:rPr>
              <w:t>均符合要求</w:t>
            </w:r>
          </w:p>
        </w:tc>
      </w:tr>
      <w:tr w14:paraId="227F4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2653" w:type="dxa"/>
            <w:noWrap w:val="0"/>
            <w:vAlign w:val="center"/>
          </w:tcPr>
          <w:p w14:paraId="297D1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磋商有效期</w:t>
            </w:r>
          </w:p>
        </w:tc>
        <w:tc>
          <w:tcPr>
            <w:tcW w:w="6626" w:type="dxa"/>
            <w:noWrap w:val="0"/>
            <w:vAlign w:val="center"/>
          </w:tcPr>
          <w:p w14:paraId="676F68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应满足</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中的规定</w:t>
            </w:r>
          </w:p>
        </w:tc>
      </w:tr>
    </w:tbl>
    <w:p w14:paraId="3626DA8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4、</w:t>
      </w:r>
      <w:r>
        <w:rPr>
          <w:rFonts w:hint="eastAsia" w:ascii="宋体" w:hAnsi="宋体" w:eastAsia="宋体" w:cs="宋体"/>
          <w:b/>
          <w:color w:val="auto"/>
          <w:sz w:val="24"/>
          <w:szCs w:val="24"/>
          <w:highlight w:val="none"/>
          <w:shd w:val="clear" w:color="auto" w:fill="auto"/>
        </w:rPr>
        <w:t>磋商</w:t>
      </w:r>
    </w:p>
    <w:p w14:paraId="09F9CB6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4.1</w:t>
      </w:r>
      <w:r>
        <w:rPr>
          <w:rFonts w:hint="eastAsia" w:ascii="宋体" w:hAnsi="宋体" w:eastAsia="宋体" w:cs="宋体"/>
          <w:color w:val="auto"/>
          <w:sz w:val="24"/>
          <w:szCs w:val="24"/>
          <w:highlight w:val="none"/>
          <w:shd w:val="clear" w:color="auto" w:fill="auto"/>
        </w:rPr>
        <w:t>磋商小组在对</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的有效性、完整性和响应程度进行审查时，可以要求供应商对</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中含义不明确、同类问题表述不一致或者有明显文字和计算错误的内容等作出必要的澄清、说明或者更正。澄清时供应商只作说明和解释，不得借此对报价、优惠条件、售后服务等实质性内容作任何修改。</w:t>
      </w:r>
    </w:p>
    <w:p w14:paraId="40B6DA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4.2</w:t>
      </w:r>
      <w:r>
        <w:rPr>
          <w:rFonts w:hint="eastAsia" w:ascii="宋体" w:hAnsi="宋体" w:eastAsia="宋体" w:cs="宋体"/>
          <w:color w:val="auto"/>
          <w:sz w:val="24"/>
          <w:szCs w:val="24"/>
          <w:highlight w:val="none"/>
          <w:shd w:val="clear" w:color="auto" w:fill="auto"/>
        </w:rPr>
        <w:t>磋商小组要求供应商澄清、说明或者更正</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将以书面形式作出。供应商应当在规定的澄清时限内以书面形式提交，供应商的澄清、说明或者更正应当由法定代表人或其授权代表签字或者加盖公章。</w:t>
      </w:r>
    </w:p>
    <w:p w14:paraId="25E692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4.3</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及澄清内容将作为评审的依据。</w:t>
      </w:r>
    </w:p>
    <w:p w14:paraId="05AB485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5、</w:t>
      </w:r>
      <w:r>
        <w:rPr>
          <w:rFonts w:hint="eastAsia" w:ascii="宋体" w:hAnsi="宋体" w:eastAsia="宋体" w:cs="宋体"/>
          <w:b/>
          <w:color w:val="auto"/>
          <w:sz w:val="24"/>
          <w:szCs w:val="24"/>
          <w:highlight w:val="none"/>
          <w:shd w:val="clear" w:color="auto" w:fill="auto"/>
        </w:rPr>
        <w:t>最后报价</w:t>
      </w:r>
    </w:p>
    <w:p w14:paraId="791D33F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5.1</w:t>
      </w:r>
      <w:r>
        <w:rPr>
          <w:rFonts w:hint="eastAsia" w:ascii="宋体" w:hAnsi="宋体" w:eastAsia="宋体" w:cs="宋体"/>
          <w:color w:val="auto"/>
          <w:sz w:val="24"/>
          <w:szCs w:val="24"/>
          <w:highlight w:val="none"/>
          <w:shd w:val="clear" w:color="auto" w:fill="auto"/>
        </w:rPr>
        <w:t>在对所有供应商进行有效性、完整性、符合性审查时，通过必要的澄清，从质量和技术、服务均能满足</w:t>
      </w:r>
      <w:r>
        <w:rPr>
          <w:rFonts w:hint="eastAsia" w:ascii="宋体" w:hAnsi="宋体" w:eastAsia="宋体" w:cs="宋体"/>
          <w:color w:val="auto"/>
          <w:sz w:val="24"/>
          <w:szCs w:val="24"/>
          <w:highlight w:val="none"/>
          <w:shd w:val="clear" w:color="auto" w:fill="auto"/>
          <w:lang w:eastAsia="zh-CN"/>
        </w:rPr>
        <w:t>竞争性磋商文件</w:t>
      </w:r>
      <w:r>
        <w:rPr>
          <w:rFonts w:hint="eastAsia" w:ascii="宋体" w:hAnsi="宋体" w:eastAsia="宋体" w:cs="宋体"/>
          <w:color w:val="auto"/>
          <w:sz w:val="24"/>
          <w:szCs w:val="24"/>
          <w:highlight w:val="none"/>
          <w:shd w:val="clear" w:color="auto" w:fill="auto"/>
        </w:rPr>
        <w:t>实质性响应要求的基础上，筛选出合格供应商。不合格供应商的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按无效处理。</w:t>
      </w:r>
    </w:p>
    <w:p w14:paraId="163D1C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5.2</w:t>
      </w:r>
      <w:r>
        <w:rPr>
          <w:rFonts w:hint="eastAsia" w:ascii="宋体" w:hAnsi="宋体" w:eastAsia="宋体" w:cs="宋体"/>
          <w:color w:val="auto"/>
          <w:sz w:val="24"/>
          <w:szCs w:val="24"/>
          <w:highlight w:val="none"/>
          <w:shd w:val="clear" w:color="auto" w:fill="auto"/>
        </w:rPr>
        <w:t>磋商小组给予所有合格供应商一次最后报价的机会。供应商</w:t>
      </w:r>
      <w:r>
        <w:rPr>
          <w:rFonts w:hint="eastAsia" w:ascii="宋体" w:hAnsi="宋体" w:cs="宋体"/>
          <w:color w:val="auto"/>
          <w:sz w:val="24"/>
          <w:szCs w:val="24"/>
          <w:highlight w:val="none"/>
          <w:shd w:val="clear" w:color="auto" w:fill="auto"/>
          <w:lang w:eastAsia="zh-CN"/>
        </w:rPr>
        <w:t>线上</w:t>
      </w:r>
      <w:r>
        <w:rPr>
          <w:rFonts w:hint="eastAsia" w:ascii="宋体" w:hAnsi="宋体" w:eastAsia="宋体" w:cs="宋体"/>
          <w:color w:val="auto"/>
          <w:sz w:val="24"/>
          <w:szCs w:val="24"/>
          <w:highlight w:val="none"/>
          <w:shd w:val="clear" w:color="auto" w:fill="auto"/>
        </w:rPr>
        <w:t>提交最后报价（各合格供应商的最后报价将作为综合评分法中价格分的计算依据</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进行线上提交最后报价</w:t>
      </w:r>
      <w:r>
        <w:rPr>
          <w:rFonts w:hint="eastAsia" w:ascii="宋体" w:hAnsi="宋体" w:eastAsia="宋体" w:cs="宋体"/>
          <w:color w:val="auto"/>
          <w:sz w:val="24"/>
          <w:szCs w:val="24"/>
          <w:highlight w:val="none"/>
          <w:shd w:val="clear" w:color="auto" w:fill="auto"/>
        </w:rPr>
        <w:t>）。</w:t>
      </w:r>
    </w:p>
    <w:p w14:paraId="6A41F34D">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 xml:space="preserve">5.3 </w:t>
      </w:r>
      <w:r>
        <w:rPr>
          <w:rFonts w:hint="eastAsia" w:ascii="宋体" w:hAnsi="宋体" w:cs="宋体"/>
          <w:color w:val="000000"/>
          <w:sz w:val="24"/>
          <w:szCs w:val="24"/>
          <w:lang w:eastAsia="zh-CN"/>
        </w:rPr>
        <w:t>二次报价等于或大于第一次报价时按投标无效处理。</w:t>
      </w:r>
    </w:p>
    <w:p w14:paraId="79D05E7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t>6、比较和评价</w:t>
      </w:r>
    </w:p>
    <w:p w14:paraId="05B3DB25">
      <w:pPr>
        <w:keepNext w:val="0"/>
        <w:keepLines w:val="0"/>
        <w:pageBreakBefore w:val="0"/>
        <w:widowControl w:val="0"/>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cs="宋体"/>
          <w:color w:val="000000"/>
          <w:sz w:val="24"/>
          <w:szCs w:val="24"/>
          <w:lang w:eastAsia="zh-CN"/>
        </w:rPr>
      </w:pPr>
      <w:r>
        <w:rPr>
          <w:rFonts w:hint="eastAsia" w:ascii="宋体" w:hAnsi="宋体" w:eastAsia="宋体" w:cs="宋体"/>
          <w:color w:val="auto"/>
          <w:sz w:val="24"/>
          <w:szCs w:val="24"/>
          <w:highlight w:val="none"/>
          <w:shd w:val="clear" w:color="auto" w:fill="auto"/>
        </w:rPr>
        <w:t>磋商小组按“评审内容”中规定的评审方法和标准，对有效性、完整性、符合性检查合格的</w:t>
      </w:r>
      <w:r>
        <w:rPr>
          <w:rFonts w:hint="eastAsia" w:ascii="宋体" w:hAnsi="宋体" w:eastAsia="宋体" w:cs="宋体"/>
          <w:color w:val="auto"/>
          <w:sz w:val="24"/>
          <w:szCs w:val="24"/>
          <w:highlight w:val="none"/>
          <w:shd w:val="clear" w:color="auto" w:fill="auto"/>
          <w:lang w:eastAsia="zh-CN"/>
        </w:rPr>
        <w:t>磋商响应文件</w:t>
      </w:r>
      <w:r>
        <w:rPr>
          <w:rFonts w:hint="eastAsia" w:ascii="宋体" w:hAnsi="宋体" w:eastAsia="宋体" w:cs="宋体"/>
          <w:color w:val="auto"/>
          <w:sz w:val="24"/>
          <w:szCs w:val="24"/>
          <w:highlight w:val="none"/>
          <w:shd w:val="clear" w:color="auto" w:fill="auto"/>
        </w:rPr>
        <w:t>进行商务和技术评估，综合比较与评价。</w:t>
      </w:r>
      <w:r>
        <w:rPr>
          <w:rFonts w:hint="eastAsia" w:ascii="宋体" w:hAnsi="宋体" w:cs="宋体"/>
          <w:color w:val="000000"/>
          <w:sz w:val="24"/>
          <w:szCs w:val="24"/>
          <w:lang w:eastAsia="zh-CN"/>
        </w:rPr>
        <w:t>磋商小组每位成员独立对每个有效供应商的响应文件进行评价、打分；然后汇总每个供应商的得分，计算得分平均值。分值计算保留小数点后一位，第二位四舍五入。</w:t>
      </w:r>
    </w:p>
    <w:p w14:paraId="0163432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满分：100分，综合评分法。各分项分值分配如下：</w:t>
      </w:r>
    </w:p>
    <w:p w14:paraId="11CE37D2">
      <w:pPr>
        <w:rPr>
          <w:rFonts w:hint="eastAsia" w:ascii="宋体" w:hAnsi="宋体" w:eastAsia="宋体" w:cs="宋体"/>
          <w:b/>
          <w:color w:val="auto"/>
          <w:sz w:val="24"/>
          <w:szCs w:val="24"/>
          <w:highlight w:val="none"/>
          <w:shd w:val="clear" w:color="auto" w:fill="auto"/>
          <w:lang w:val="en-US" w:eastAsia="zh-CN"/>
        </w:rPr>
      </w:pPr>
    </w:p>
    <w:tbl>
      <w:tblPr>
        <w:tblStyle w:val="1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11"/>
        <w:gridCol w:w="475"/>
        <w:gridCol w:w="7042"/>
      </w:tblGrid>
      <w:tr w14:paraId="0059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71" w:type="dxa"/>
            <w:vAlign w:val="center"/>
          </w:tcPr>
          <w:p w14:paraId="64E7BD23">
            <w:pPr>
              <w:spacing w:line="240" w:lineRule="auto"/>
              <w:jc w:val="center"/>
              <w:rPr>
                <w:rFonts w:hint="eastAsia" w:ascii="宋体" w:hAnsi="宋体" w:cs="宋体"/>
                <w:sz w:val="24"/>
              </w:rPr>
            </w:pPr>
            <w:r>
              <w:rPr>
                <w:rFonts w:hint="eastAsia" w:ascii="宋体" w:hAnsi="宋体" w:cs="宋体"/>
                <w:sz w:val="24"/>
              </w:rPr>
              <w:t>序号</w:t>
            </w:r>
          </w:p>
        </w:tc>
        <w:tc>
          <w:tcPr>
            <w:tcW w:w="1211" w:type="dxa"/>
            <w:vAlign w:val="center"/>
          </w:tcPr>
          <w:p w14:paraId="294FD830">
            <w:pPr>
              <w:spacing w:line="360" w:lineRule="auto"/>
              <w:jc w:val="center"/>
              <w:rPr>
                <w:rFonts w:hint="eastAsia" w:ascii="宋体" w:hAnsi="宋体" w:cs="宋体"/>
                <w:b/>
                <w:bCs/>
                <w:sz w:val="24"/>
              </w:rPr>
            </w:pPr>
            <w:r>
              <w:rPr>
                <w:rFonts w:hint="eastAsia" w:ascii="宋体" w:hAnsi="宋体" w:cs="宋体"/>
                <w:b/>
                <w:bCs/>
                <w:sz w:val="24"/>
              </w:rPr>
              <w:t>评分</w:t>
            </w:r>
          </w:p>
          <w:p w14:paraId="77256634">
            <w:pPr>
              <w:spacing w:line="240" w:lineRule="auto"/>
              <w:jc w:val="center"/>
              <w:rPr>
                <w:rFonts w:hint="eastAsia" w:ascii="宋体" w:hAnsi="宋体" w:cs="宋体"/>
                <w:sz w:val="24"/>
              </w:rPr>
            </w:pPr>
            <w:r>
              <w:rPr>
                <w:rFonts w:hint="eastAsia" w:ascii="宋体" w:hAnsi="宋体" w:cs="宋体"/>
                <w:b/>
                <w:bCs/>
                <w:sz w:val="24"/>
              </w:rPr>
              <w:t>因素</w:t>
            </w:r>
          </w:p>
        </w:tc>
        <w:tc>
          <w:tcPr>
            <w:tcW w:w="475" w:type="dxa"/>
            <w:vAlign w:val="center"/>
          </w:tcPr>
          <w:p w14:paraId="70CEBEA4">
            <w:pPr>
              <w:spacing w:line="240" w:lineRule="auto"/>
              <w:jc w:val="center"/>
              <w:rPr>
                <w:rFonts w:hint="eastAsia" w:ascii="宋体" w:hAnsi="宋体" w:cs="宋体"/>
                <w:sz w:val="24"/>
              </w:rPr>
            </w:pPr>
            <w:r>
              <w:rPr>
                <w:rFonts w:hint="eastAsia" w:ascii="宋体" w:hAnsi="宋体" w:cs="宋体"/>
                <w:b/>
                <w:sz w:val="24"/>
              </w:rPr>
              <w:t>分值</w:t>
            </w:r>
          </w:p>
        </w:tc>
        <w:tc>
          <w:tcPr>
            <w:tcW w:w="7042" w:type="dxa"/>
            <w:vAlign w:val="center"/>
          </w:tcPr>
          <w:p w14:paraId="46748D31">
            <w:pPr>
              <w:spacing w:line="240" w:lineRule="auto"/>
              <w:jc w:val="center"/>
              <w:rPr>
                <w:rFonts w:hint="eastAsia" w:ascii="宋体" w:hAnsi="宋体" w:cs="宋体"/>
                <w:sz w:val="24"/>
              </w:rPr>
            </w:pPr>
            <w:r>
              <w:rPr>
                <w:rFonts w:hint="eastAsia" w:ascii="宋体" w:hAnsi="宋体" w:cs="宋体"/>
                <w:b/>
                <w:bCs/>
                <w:sz w:val="24"/>
              </w:rPr>
              <w:t>评分标准</w:t>
            </w:r>
          </w:p>
        </w:tc>
      </w:tr>
      <w:tr w14:paraId="356D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671" w:type="dxa"/>
            <w:vAlign w:val="center"/>
          </w:tcPr>
          <w:p w14:paraId="02EF5526">
            <w:pPr>
              <w:spacing w:line="300" w:lineRule="exact"/>
              <w:jc w:val="center"/>
              <w:rPr>
                <w:rFonts w:hint="eastAsia" w:ascii="宋体" w:hAnsi="宋体" w:cs="宋体"/>
                <w:sz w:val="24"/>
              </w:rPr>
            </w:pPr>
            <w:r>
              <w:rPr>
                <w:rFonts w:hint="eastAsia" w:ascii="宋体" w:hAnsi="宋体" w:cs="宋体"/>
                <w:sz w:val="24"/>
              </w:rPr>
              <w:t>1</w:t>
            </w:r>
          </w:p>
        </w:tc>
        <w:tc>
          <w:tcPr>
            <w:tcW w:w="1211" w:type="dxa"/>
            <w:vAlign w:val="center"/>
          </w:tcPr>
          <w:p w14:paraId="32A24456">
            <w:pPr>
              <w:spacing w:line="300" w:lineRule="exact"/>
              <w:jc w:val="center"/>
              <w:rPr>
                <w:rFonts w:hint="eastAsia" w:ascii="宋体" w:hAnsi="宋体" w:cs="宋体"/>
                <w:sz w:val="24"/>
              </w:rPr>
            </w:pPr>
            <w:r>
              <w:rPr>
                <w:rFonts w:hint="eastAsia" w:ascii="宋体" w:hAnsi="宋体" w:cs="宋体"/>
                <w:sz w:val="24"/>
              </w:rPr>
              <w:t>投标报价</w:t>
            </w:r>
          </w:p>
        </w:tc>
        <w:tc>
          <w:tcPr>
            <w:tcW w:w="475" w:type="dxa"/>
            <w:vAlign w:val="center"/>
          </w:tcPr>
          <w:p w14:paraId="16245B91">
            <w:pPr>
              <w:spacing w:line="300" w:lineRule="exact"/>
              <w:jc w:val="center"/>
              <w:rPr>
                <w:rFonts w:hint="eastAsia" w:ascii="宋体" w:hAnsi="宋体" w:cs="宋体"/>
                <w:sz w:val="24"/>
              </w:rPr>
            </w:pPr>
            <w:r>
              <w:rPr>
                <w:rFonts w:hint="eastAsia" w:ascii="宋体" w:hAnsi="宋体" w:cs="宋体"/>
                <w:sz w:val="24"/>
              </w:rPr>
              <w:t>30</w:t>
            </w:r>
          </w:p>
        </w:tc>
        <w:tc>
          <w:tcPr>
            <w:tcW w:w="7042" w:type="dxa"/>
            <w:vAlign w:val="center"/>
          </w:tcPr>
          <w:p w14:paraId="0BD99671">
            <w:pPr>
              <w:pStyle w:val="19"/>
              <w:spacing w:line="300" w:lineRule="exact"/>
              <w:jc w:val="both"/>
              <w:rPr>
                <w:rFonts w:hint="eastAsia"/>
                <w:sz w:val="24"/>
              </w:rPr>
            </w:pPr>
            <w:r>
              <w:rPr>
                <w:rFonts w:hint="eastAsia"/>
                <w:sz w:val="24"/>
                <w:lang w:val="en-US" w:bidi="ar-SA"/>
              </w:rPr>
              <w:t>价格分采取低价优先法计算，即满足招标文件要求且投标价格最低的投标报价为评审基准价，且价格分为满分，其他投标人的价格分统一按照下列公示计算：投标报价得分=（评审基准价/投标报价）×</w:t>
            </w:r>
            <w:r>
              <w:rPr>
                <w:rFonts w:hint="eastAsia"/>
                <w:sz w:val="24"/>
                <w:lang w:val="en-US" w:eastAsia="zh-CN" w:bidi="ar-SA"/>
              </w:rPr>
              <w:t>30</w:t>
            </w:r>
          </w:p>
        </w:tc>
      </w:tr>
      <w:tr w14:paraId="2EB4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671" w:type="dxa"/>
            <w:vMerge w:val="restart"/>
            <w:vAlign w:val="center"/>
          </w:tcPr>
          <w:p w14:paraId="39EB3598">
            <w:pPr>
              <w:spacing w:line="300" w:lineRule="exact"/>
              <w:jc w:val="center"/>
              <w:rPr>
                <w:rFonts w:hint="eastAsia" w:ascii="宋体" w:hAnsi="宋体" w:cs="宋体"/>
                <w:sz w:val="24"/>
              </w:rPr>
            </w:pPr>
            <w:r>
              <w:rPr>
                <w:rFonts w:hint="eastAsia" w:ascii="宋体" w:hAnsi="宋体" w:cs="宋体"/>
                <w:sz w:val="24"/>
              </w:rPr>
              <w:t>2</w:t>
            </w:r>
          </w:p>
        </w:tc>
        <w:tc>
          <w:tcPr>
            <w:tcW w:w="1211" w:type="dxa"/>
            <w:vMerge w:val="restart"/>
            <w:vAlign w:val="center"/>
          </w:tcPr>
          <w:p w14:paraId="0F73E1D6">
            <w:pPr>
              <w:spacing w:line="300" w:lineRule="exact"/>
              <w:jc w:val="center"/>
              <w:rPr>
                <w:rFonts w:hint="eastAsia" w:ascii="宋体" w:hAnsi="宋体" w:cs="宋体"/>
                <w:sz w:val="24"/>
              </w:rPr>
            </w:pPr>
            <w:r>
              <w:rPr>
                <w:rFonts w:hint="eastAsia" w:ascii="宋体" w:hAnsi="宋体" w:cs="宋体"/>
                <w:sz w:val="24"/>
              </w:rPr>
              <w:t>实施方案</w:t>
            </w:r>
          </w:p>
          <w:p w14:paraId="6BAB8B82">
            <w:pPr>
              <w:spacing w:line="300" w:lineRule="exact"/>
              <w:jc w:val="center"/>
              <w:rPr>
                <w:rFonts w:hint="eastAsia" w:ascii="宋体" w:hAnsi="宋体" w:cs="宋体"/>
                <w:sz w:val="24"/>
              </w:rPr>
            </w:pPr>
          </w:p>
          <w:p w14:paraId="2F13DFFB">
            <w:pPr>
              <w:spacing w:line="300" w:lineRule="exact"/>
              <w:jc w:val="center"/>
              <w:rPr>
                <w:rFonts w:hint="eastAsia" w:ascii="宋体" w:hAnsi="宋体" w:cs="宋体"/>
                <w:sz w:val="24"/>
              </w:rPr>
            </w:pPr>
          </w:p>
          <w:p w14:paraId="28846D70">
            <w:pPr>
              <w:spacing w:line="300" w:lineRule="exact"/>
              <w:jc w:val="center"/>
              <w:rPr>
                <w:rFonts w:hint="eastAsia" w:ascii="宋体" w:hAnsi="宋体" w:cs="宋体"/>
                <w:sz w:val="24"/>
              </w:rPr>
            </w:pPr>
          </w:p>
        </w:tc>
        <w:tc>
          <w:tcPr>
            <w:tcW w:w="475" w:type="dxa"/>
            <w:vAlign w:val="center"/>
          </w:tcPr>
          <w:p w14:paraId="7B671F93">
            <w:pPr>
              <w:spacing w:line="300" w:lineRule="exact"/>
              <w:jc w:val="center"/>
              <w:rPr>
                <w:rFonts w:hint="eastAsia" w:ascii="宋体" w:hAnsi="宋体" w:cs="宋体"/>
                <w:sz w:val="24"/>
              </w:rPr>
            </w:pPr>
            <w:r>
              <w:rPr>
                <w:rFonts w:hint="eastAsia" w:ascii="宋体" w:hAnsi="宋体" w:cs="宋体"/>
                <w:sz w:val="24"/>
              </w:rPr>
              <w:t>10</w:t>
            </w:r>
          </w:p>
        </w:tc>
        <w:tc>
          <w:tcPr>
            <w:tcW w:w="7042" w:type="dxa"/>
            <w:vAlign w:val="center"/>
          </w:tcPr>
          <w:p w14:paraId="3E334BF4">
            <w:pPr>
              <w:pStyle w:val="19"/>
              <w:spacing w:line="300" w:lineRule="exact"/>
              <w:jc w:val="both"/>
              <w:rPr>
                <w:rFonts w:hint="eastAsia"/>
                <w:sz w:val="24"/>
              </w:rPr>
            </w:pPr>
            <w:r>
              <w:rPr>
                <w:rFonts w:hint="eastAsia"/>
                <w:sz w:val="24"/>
              </w:rPr>
              <w:t>总体设计</w:t>
            </w:r>
            <w:r>
              <w:rPr>
                <w:rFonts w:hint="eastAsia"/>
                <w:sz w:val="24"/>
                <w:lang w:val="en-US"/>
              </w:rPr>
              <w:t>方案</w:t>
            </w:r>
            <w:r>
              <w:rPr>
                <w:rFonts w:hint="eastAsia"/>
                <w:sz w:val="24"/>
              </w:rPr>
              <w:t>及</w:t>
            </w:r>
            <w:r>
              <w:rPr>
                <w:rFonts w:hint="eastAsia"/>
                <w:sz w:val="24"/>
                <w:lang w:val="en-US"/>
              </w:rPr>
              <w:t>实施</w:t>
            </w:r>
            <w:r>
              <w:rPr>
                <w:rFonts w:hint="eastAsia"/>
                <w:sz w:val="24"/>
              </w:rPr>
              <w:t>方案：</w:t>
            </w:r>
          </w:p>
          <w:p w14:paraId="50F5ABBA">
            <w:pPr>
              <w:pStyle w:val="19"/>
              <w:numPr>
                <w:ilvl w:val="0"/>
                <w:numId w:val="1"/>
              </w:numPr>
              <w:spacing w:line="300" w:lineRule="exact"/>
              <w:jc w:val="both"/>
              <w:rPr>
                <w:rFonts w:hint="eastAsia"/>
                <w:sz w:val="24"/>
              </w:rPr>
            </w:pPr>
            <w:r>
              <w:rPr>
                <w:rFonts w:hint="eastAsia"/>
                <w:sz w:val="24"/>
                <w:lang w:val="en-US"/>
              </w:rPr>
              <w:t>总体设计方案。</w:t>
            </w:r>
            <w:r>
              <w:rPr>
                <w:rFonts w:hint="eastAsia"/>
                <w:sz w:val="24"/>
              </w:rPr>
              <w:t>投标人经过前期现场勘察，对项目总体设计理解深入，设计方案（方案包括但不限于系统功能说明、测试调试说明）完整、系统、条理清晰，且有较强的稳定性、可靠性、兼容性、拓展性。</w:t>
            </w:r>
          </w:p>
          <w:p w14:paraId="7BC9E179">
            <w:pPr>
              <w:pStyle w:val="19"/>
              <w:numPr>
                <w:ilvl w:val="0"/>
                <w:numId w:val="1"/>
              </w:numPr>
              <w:spacing w:line="300" w:lineRule="exact"/>
              <w:jc w:val="both"/>
              <w:rPr>
                <w:rFonts w:hint="eastAsia"/>
                <w:sz w:val="24"/>
                <w:lang w:val="en-US" w:bidi="ar-SA"/>
              </w:rPr>
            </w:pPr>
            <w:r>
              <w:rPr>
                <w:rFonts w:hint="eastAsia"/>
                <w:sz w:val="24"/>
              </w:rPr>
              <w:t>实施方案。实施计划完整可行，有详细的实施进度计划、供货组织计划、安装调试计划、测试计划、验收计划，有各阶段的人员分配方案、工作计划，人员分工合理、责任明确，确保在承诺的时间内按质按量完工。</w:t>
            </w:r>
          </w:p>
          <w:p w14:paraId="7FC426F5">
            <w:pPr>
              <w:pStyle w:val="19"/>
              <w:spacing w:line="300" w:lineRule="exact"/>
              <w:jc w:val="both"/>
              <w:rPr>
                <w:rFonts w:hint="eastAsia"/>
                <w:sz w:val="24"/>
                <w:lang w:eastAsia="zh-CN"/>
              </w:rPr>
            </w:pPr>
            <w:r>
              <w:rPr>
                <w:rFonts w:hint="eastAsia"/>
                <w:sz w:val="24"/>
              </w:rPr>
              <w:t>根据</w:t>
            </w:r>
            <w:r>
              <w:rPr>
                <w:rFonts w:hint="eastAsia"/>
                <w:sz w:val="24"/>
                <w:lang w:val="en-US"/>
              </w:rPr>
              <w:t>方案优劣程度</w:t>
            </w:r>
            <w:r>
              <w:rPr>
                <w:rFonts w:hint="eastAsia"/>
                <w:sz w:val="24"/>
                <w:lang w:eastAsia="zh-CN"/>
              </w:rPr>
              <w:t>：</w:t>
            </w:r>
          </w:p>
          <w:p w14:paraId="0ADBD62C">
            <w:pPr>
              <w:pStyle w:val="19"/>
              <w:spacing w:line="300" w:lineRule="exact"/>
              <w:jc w:val="both"/>
              <w:rPr>
                <w:rFonts w:hint="default" w:eastAsiaTheme="minorEastAsia"/>
                <w:sz w:val="24"/>
                <w:lang w:val="en-US" w:eastAsia="zh-CN" w:bidi="ar-SA"/>
              </w:rPr>
            </w:pPr>
            <w:r>
              <w:rPr>
                <w:rFonts w:hint="eastAsia"/>
                <w:sz w:val="24"/>
                <w:lang w:val="en-US" w:eastAsia="zh-CN" w:bidi="ar-SA"/>
              </w:rPr>
              <w:t>优秀：10分； 良好：7分； 一般：5分；无此项或不合格：0分。</w:t>
            </w:r>
          </w:p>
        </w:tc>
      </w:tr>
      <w:tr w14:paraId="3261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671" w:type="dxa"/>
            <w:vMerge w:val="continue"/>
            <w:vAlign w:val="center"/>
          </w:tcPr>
          <w:p w14:paraId="4BD0460E">
            <w:pPr>
              <w:spacing w:line="300" w:lineRule="exact"/>
              <w:jc w:val="center"/>
              <w:rPr>
                <w:rFonts w:hint="eastAsia" w:ascii="宋体" w:hAnsi="宋体" w:cs="宋体"/>
                <w:sz w:val="24"/>
              </w:rPr>
            </w:pPr>
          </w:p>
        </w:tc>
        <w:tc>
          <w:tcPr>
            <w:tcW w:w="1211" w:type="dxa"/>
            <w:vMerge w:val="continue"/>
            <w:vAlign w:val="center"/>
          </w:tcPr>
          <w:p w14:paraId="101C70F6">
            <w:pPr>
              <w:spacing w:line="300" w:lineRule="exact"/>
              <w:jc w:val="center"/>
              <w:rPr>
                <w:rFonts w:hint="eastAsia" w:ascii="宋体" w:hAnsi="宋体" w:cs="宋体"/>
                <w:sz w:val="24"/>
              </w:rPr>
            </w:pPr>
          </w:p>
        </w:tc>
        <w:tc>
          <w:tcPr>
            <w:tcW w:w="475" w:type="dxa"/>
            <w:vAlign w:val="center"/>
          </w:tcPr>
          <w:p w14:paraId="2E265A18">
            <w:pPr>
              <w:spacing w:line="300" w:lineRule="exact"/>
              <w:jc w:val="center"/>
              <w:rPr>
                <w:rFonts w:hint="eastAsia" w:ascii="宋体" w:hAnsi="宋体" w:cs="宋体"/>
                <w:sz w:val="24"/>
                <w:lang w:bidi="zh-CN"/>
              </w:rPr>
            </w:pPr>
            <w:r>
              <w:rPr>
                <w:rFonts w:hint="eastAsia" w:ascii="宋体" w:hAnsi="宋体" w:cs="宋体"/>
                <w:sz w:val="24"/>
                <w:lang w:bidi="zh-CN"/>
              </w:rPr>
              <w:t>10</w:t>
            </w:r>
          </w:p>
        </w:tc>
        <w:tc>
          <w:tcPr>
            <w:tcW w:w="7042" w:type="dxa"/>
            <w:vAlign w:val="center"/>
          </w:tcPr>
          <w:p w14:paraId="4874E3CD">
            <w:pPr>
              <w:spacing w:line="300" w:lineRule="exact"/>
              <w:jc w:val="both"/>
              <w:rPr>
                <w:rFonts w:hint="eastAsia" w:ascii="宋体" w:hAnsi="宋体" w:cs="宋体"/>
                <w:sz w:val="24"/>
                <w:lang w:bidi="zh-CN"/>
              </w:rPr>
            </w:pPr>
            <w:r>
              <w:rPr>
                <w:rFonts w:hint="eastAsia" w:ascii="宋体" w:hAnsi="宋体" w:cs="宋体"/>
                <w:sz w:val="24"/>
                <w:lang w:val="en-US" w:bidi="zh-CN"/>
              </w:rPr>
              <w:t>1、</w:t>
            </w:r>
            <w:r>
              <w:rPr>
                <w:rFonts w:hint="eastAsia" w:ascii="宋体" w:hAnsi="宋体" w:cs="宋体"/>
                <w:sz w:val="24"/>
                <w:lang w:bidi="zh-CN"/>
              </w:rPr>
              <w:t>投标人须逐条响应招标文件中的技术要求，并明确偏离情况。全部指标均满足的得8分；每出现1项负偏离扣3分，扣完为止。</w:t>
            </w:r>
          </w:p>
          <w:p w14:paraId="6326E0B6">
            <w:pPr>
              <w:spacing w:line="300" w:lineRule="exact"/>
              <w:jc w:val="both"/>
            </w:pPr>
            <w:r>
              <w:rPr>
                <w:rFonts w:hint="eastAsia" w:ascii="宋体" w:hAnsi="宋体" w:cs="宋体"/>
                <w:sz w:val="24"/>
                <w:lang w:bidi="zh-CN"/>
              </w:rPr>
              <w:t>2、投标人须提供所投产品技术参数及合法来源渠道证明文件(包括但不限于销售协议、代理协议、制造商授权书等)；须提供满足招标文件要求的质量与服务承诺。资料齐全且符合要求得2分；部分缺项得1分；完全未提供或不符合要求者得 0 分。</w:t>
            </w:r>
          </w:p>
        </w:tc>
      </w:tr>
      <w:tr w14:paraId="55AA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671" w:type="dxa"/>
            <w:vMerge w:val="continue"/>
            <w:vAlign w:val="center"/>
          </w:tcPr>
          <w:p w14:paraId="67D2B071">
            <w:pPr>
              <w:spacing w:line="300" w:lineRule="exact"/>
              <w:jc w:val="center"/>
              <w:rPr>
                <w:rFonts w:hint="eastAsia" w:ascii="宋体" w:hAnsi="宋体" w:cs="宋体"/>
                <w:sz w:val="24"/>
              </w:rPr>
            </w:pPr>
          </w:p>
        </w:tc>
        <w:tc>
          <w:tcPr>
            <w:tcW w:w="1211" w:type="dxa"/>
            <w:vMerge w:val="continue"/>
            <w:vAlign w:val="center"/>
          </w:tcPr>
          <w:p w14:paraId="18C7D165">
            <w:pPr>
              <w:spacing w:line="300" w:lineRule="exact"/>
              <w:jc w:val="center"/>
              <w:rPr>
                <w:rFonts w:hint="eastAsia" w:ascii="宋体" w:hAnsi="宋体" w:cs="宋体"/>
                <w:sz w:val="24"/>
              </w:rPr>
            </w:pPr>
          </w:p>
        </w:tc>
        <w:tc>
          <w:tcPr>
            <w:tcW w:w="475" w:type="dxa"/>
            <w:vAlign w:val="center"/>
          </w:tcPr>
          <w:p w14:paraId="44B8CA36">
            <w:pPr>
              <w:spacing w:line="300" w:lineRule="exact"/>
              <w:jc w:val="center"/>
              <w:rPr>
                <w:rFonts w:hint="eastAsia" w:ascii="宋体" w:hAnsi="宋体" w:cs="宋体"/>
                <w:sz w:val="24"/>
              </w:rPr>
            </w:pPr>
            <w:r>
              <w:rPr>
                <w:rFonts w:hint="eastAsia" w:ascii="宋体" w:hAnsi="宋体" w:cs="宋体"/>
                <w:sz w:val="24"/>
              </w:rPr>
              <w:t>10</w:t>
            </w:r>
          </w:p>
        </w:tc>
        <w:tc>
          <w:tcPr>
            <w:tcW w:w="7042" w:type="dxa"/>
            <w:vAlign w:val="center"/>
          </w:tcPr>
          <w:p w14:paraId="00324E24">
            <w:pPr>
              <w:pStyle w:val="19"/>
              <w:spacing w:line="300" w:lineRule="exact"/>
              <w:jc w:val="both"/>
              <w:rPr>
                <w:rFonts w:hint="eastAsia"/>
                <w:sz w:val="24"/>
                <w:lang w:val="en-US" w:bidi="ar-SA"/>
              </w:rPr>
            </w:pPr>
            <w:r>
              <w:rPr>
                <w:rFonts w:hint="eastAsia"/>
                <w:sz w:val="24"/>
                <w:lang w:val="en-US" w:bidi="ar-SA"/>
              </w:rPr>
              <w:t>割接方案及应急预案</w:t>
            </w:r>
          </w:p>
          <w:p w14:paraId="24EC6A5C">
            <w:pPr>
              <w:pStyle w:val="19"/>
              <w:numPr>
                <w:ilvl w:val="0"/>
                <w:numId w:val="2"/>
              </w:numPr>
              <w:spacing w:line="300" w:lineRule="exact"/>
              <w:jc w:val="both"/>
              <w:rPr>
                <w:rFonts w:hint="eastAsia"/>
                <w:sz w:val="24"/>
                <w:lang w:val="en-US"/>
              </w:rPr>
            </w:pPr>
            <w:r>
              <w:rPr>
                <w:rFonts w:hint="eastAsia"/>
                <w:sz w:val="24"/>
                <w:lang w:val="en-US" w:bidi="ar-SA"/>
              </w:rPr>
              <w:t>割接方案。根据甲方目前现实情况，提供详细完整，有针对性的割接方案，</w:t>
            </w:r>
            <w:r>
              <w:rPr>
                <w:rFonts w:hint="eastAsia"/>
                <w:sz w:val="24"/>
              </w:rPr>
              <w:t>有详细的割接实施计划、测试计划、人员分配方案、人员分工合理、责任明确。实施阶</w:t>
            </w:r>
            <w:r>
              <w:rPr>
                <w:rFonts w:hint="eastAsia"/>
                <w:sz w:val="24"/>
                <w:lang w:val="en-US" w:bidi="ar-SA"/>
              </w:rPr>
              <w:t>段提供割接时所需备用设备。</w:t>
            </w:r>
          </w:p>
          <w:p w14:paraId="1CB91681">
            <w:pPr>
              <w:pStyle w:val="19"/>
              <w:numPr>
                <w:ilvl w:val="0"/>
                <w:numId w:val="2"/>
              </w:numPr>
              <w:spacing w:line="300" w:lineRule="exact"/>
              <w:jc w:val="both"/>
              <w:rPr>
                <w:rFonts w:hint="eastAsia"/>
                <w:sz w:val="24"/>
                <w:lang w:val="en-US"/>
              </w:rPr>
            </w:pPr>
            <w:r>
              <w:rPr>
                <w:rFonts w:hint="eastAsia"/>
                <w:sz w:val="24"/>
                <w:lang w:val="en-US" w:bidi="ar-SA"/>
              </w:rPr>
              <w:t>应急预案。根据实施方案提供完整有效的应急预案，包括风险评估，应对策略，备份和恢复计划，割接前测试和验证，人员分配，应急响应，割接后的监控评估。</w:t>
            </w:r>
          </w:p>
          <w:p w14:paraId="0D0789F1">
            <w:pPr>
              <w:pStyle w:val="19"/>
              <w:spacing w:line="300" w:lineRule="exact"/>
              <w:jc w:val="both"/>
              <w:rPr>
                <w:rFonts w:hint="eastAsia"/>
                <w:sz w:val="24"/>
                <w:lang w:eastAsia="zh-CN"/>
              </w:rPr>
            </w:pPr>
            <w:r>
              <w:rPr>
                <w:rFonts w:hint="eastAsia"/>
                <w:sz w:val="24"/>
              </w:rPr>
              <w:t>根据</w:t>
            </w:r>
            <w:r>
              <w:rPr>
                <w:rFonts w:hint="eastAsia"/>
                <w:sz w:val="24"/>
                <w:lang w:val="en-US"/>
              </w:rPr>
              <w:t>方案优劣程度</w:t>
            </w:r>
            <w:r>
              <w:rPr>
                <w:rFonts w:hint="eastAsia"/>
                <w:sz w:val="24"/>
                <w:lang w:eastAsia="zh-CN"/>
              </w:rPr>
              <w:t>：</w:t>
            </w:r>
          </w:p>
          <w:p w14:paraId="792CCF1A">
            <w:pPr>
              <w:pStyle w:val="19"/>
              <w:spacing w:line="300" w:lineRule="exact"/>
              <w:jc w:val="both"/>
              <w:rPr>
                <w:rFonts w:hint="eastAsia"/>
                <w:sz w:val="24"/>
                <w:lang w:val="en-US"/>
              </w:rPr>
            </w:pPr>
            <w:r>
              <w:rPr>
                <w:rFonts w:hint="eastAsia"/>
                <w:sz w:val="24"/>
                <w:lang w:val="en-US" w:eastAsia="zh-CN" w:bidi="ar-SA"/>
              </w:rPr>
              <w:t>优秀：10分； 良好：7分； 一般：5分；无此项或不合格：0分。</w:t>
            </w:r>
          </w:p>
        </w:tc>
      </w:tr>
      <w:tr w14:paraId="1CD0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671" w:type="dxa"/>
            <w:vMerge w:val="continue"/>
            <w:vAlign w:val="center"/>
          </w:tcPr>
          <w:p w14:paraId="103600F9">
            <w:pPr>
              <w:spacing w:line="300" w:lineRule="exact"/>
              <w:jc w:val="center"/>
              <w:rPr>
                <w:rFonts w:hint="eastAsia" w:ascii="宋体" w:hAnsi="宋体" w:cs="宋体"/>
                <w:sz w:val="24"/>
              </w:rPr>
            </w:pPr>
          </w:p>
        </w:tc>
        <w:tc>
          <w:tcPr>
            <w:tcW w:w="1211" w:type="dxa"/>
            <w:vMerge w:val="continue"/>
            <w:vAlign w:val="center"/>
          </w:tcPr>
          <w:p w14:paraId="02D01AA4">
            <w:pPr>
              <w:spacing w:line="300" w:lineRule="exact"/>
              <w:jc w:val="center"/>
              <w:rPr>
                <w:rFonts w:hint="eastAsia" w:ascii="宋体" w:hAnsi="宋体" w:cs="宋体"/>
                <w:sz w:val="24"/>
              </w:rPr>
            </w:pPr>
          </w:p>
        </w:tc>
        <w:tc>
          <w:tcPr>
            <w:tcW w:w="475" w:type="dxa"/>
            <w:vAlign w:val="center"/>
          </w:tcPr>
          <w:p w14:paraId="049AB250">
            <w:pPr>
              <w:spacing w:line="300" w:lineRule="exact"/>
              <w:jc w:val="center"/>
              <w:rPr>
                <w:rFonts w:hint="eastAsia" w:ascii="宋体" w:hAnsi="宋体" w:cs="宋体"/>
                <w:sz w:val="24"/>
              </w:rPr>
            </w:pPr>
            <w:r>
              <w:rPr>
                <w:rFonts w:hint="eastAsia" w:ascii="宋体" w:hAnsi="宋体" w:cs="宋体"/>
                <w:sz w:val="24"/>
              </w:rPr>
              <w:t>15</w:t>
            </w:r>
          </w:p>
        </w:tc>
        <w:tc>
          <w:tcPr>
            <w:tcW w:w="7042" w:type="dxa"/>
            <w:vAlign w:val="center"/>
          </w:tcPr>
          <w:p w14:paraId="3DB76B66">
            <w:pPr>
              <w:pStyle w:val="19"/>
              <w:spacing w:line="300" w:lineRule="exact"/>
              <w:jc w:val="both"/>
              <w:rPr>
                <w:rFonts w:hint="eastAsia"/>
                <w:sz w:val="24"/>
                <w:lang w:val="en-US"/>
              </w:rPr>
            </w:pPr>
            <w:r>
              <w:rPr>
                <w:rFonts w:hint="eastAsia"/>
                <w:sz w:val="24"/>
                <w:lang w:val="en-US"/>
              </w:rPr>
              <w:t>运维服务方案</w:t>
            </w:r>
          </w:p>
          <w:p w14:paraId="40A00BB3">
            <w:pPr>
              <w:pStyle w:val="19"/>
              <w:spacing w:line="300" w:lineRule="exact"/>
              <w:jc w:val="both"/>
              <w:rPr>
                <w:rFonts w:hint="eastAsia"/>
                <w:sz w:val="24"/>
                <w:lang w:val="en-US"/>
              </w:rPr>
            </w:pPr>
            <w:r>
              <w:rPr>
                <w:rFonts w:hint="eastAsia"/>
                <w:sz w:val="24"/>
                <w:lang w:val="en-US"/>
              </w:rPr>
              <w:t>1、运维服务方案。提供切实有效的运维方案，有详细的日常运维计划、管理制度等。</w:t>
            </w:r>
          </w:p>
          <w:p w14:paraId="56EDB2E9">
            <w:pPr>
              <w:pStyle w:val="19"/>
              <w:spacing w:line="300" w:lineRule="exact"/>
              <w:jc w:val="both"/>
              <w:rPr>
                <w:rFonts w:hint="eastAsia"/>
                <w:sz w:val="24"/>
                <w:lang w:val="en-US"/>
              </w:rPr>
            </w:pPr>
            <w:r>
              <w:rPr>
                <w:rFonts w:hint="eastAsia"/>
                <w:sz w:val="24"/>
                <w:lang w:val="en-US"/>
              </w:rPr>
              <w:t>2、应急预案。提供完整有效的应急预案，包括风险评估，应对策略等。</w:t>
            </w:r>
          </w:p>
          <w:p w14:paraId="26CC80D9">
            <w:pPr>
              <w:pStyle w:val="19"/>
              <w:spacing w:line="300" w:lineRule="exact"/>
              <w:jc w:val="both"/>
              <w:rPr>
                <w:rFonts w:hint="eastAsia"/>
                <w:sz w:val="24"/>
                <w:lang w:eastAsia="zh-CN"/>
              </w:rPr>
            </w:pPr>
            <w:r>
              <w:rPr>
                <w:rFonts w:hint="eastAsia"/>
                <w:sz w:val="24"/>
              </w:rPr>
              <w:t>根据</w:t>
            </w:r>
            <w:r>
              <w:rPr>
                <w:rFonts w:hint="eastAsia"/>
                <w:sz w:val="24"/>
                <w:lang w:val="en-US"/>
              </w:rPr>
              <w:t>方案优劣程度</w:t>
            </w:r>
            <w:r>
              <w:rPr>
                <w:rFonts w:hint="eastAsia"/>
                <w:sz w:val="24"/>
                <w:lang w:eastAsia="zh-CN"/>
              </w:rPr>
              <w:t>：</w:t>
            </w:r>
          </w:p>
          <w:p w14:paraId="7B0E8385">
            <w:pPr>
              <w:pStyle w:val="19"/>
              <w:spacing w:line="300" w:lineRule="exact"/>
              <w:jc w:val="both"/>
              <w:rPr>
                <w:rFonts w:hint="eastAsia"/>
                <w:sz w:val="24"/>
                <w:lang w:val="en-US"/>
              </w:rPr>
            </w:pPr>
            <w:r>
              <w:rPr>
                <w:rFonts w:hint="eastAsia"/>
                <w:sz w:val="24"/>
                <w:lang w:val="en-US" w:eastAsia="zh-CN" w:bidi="ar-SA"/>
              </w:rPr>
              <w:t>优秀：15分； 良好：10分；一般：5分；无此项或不合格：0分。</w:t>
            </w:r>
          </w:p>
        </w:tc>
      </w:tr>
      <w:tr w14:paraId="68FF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jc w:val="center"/>
        </w:trPr>
        <w:tc>
          <w:tcPr>
            <w:tcW w:w="671" w:type="dxa"/>
            <w:vAlign w:val="center"/>
          </w:tcPr>
          <w:p w14:paraId="7D167A11">
            <w:pPr>
              <w:tabs>
                <w:tab w:val="left" w:pos="397"/>
              </w:tabs>
              <w:spacing w:line="300" w:lineRule="exact"/>
              <w:jc w:val="center"/>
              <w:rPr>
                <w:rFonts w:hint="eastAsia" w:ascii="宋体" w:hAnsi="宋体" w:cs="宋体"/>
                <w:sz w:val="24"/>
              </w:rPr>
            </w:pPr>
            <w:r>
              <w:rPr>
                <w:rFonts w:hint="eastAsia" w:ascii="宋体" w:hAnsi="宋体" w:cs="宋体"/>
                <w:sz w:val="24"/>
              </w:rPr>
              <w:t>3</w:t>
            </w:r>
          </w:p>
        </w:tc>
        <w:tc>
          <w:tcPr>
            <w:tcW w:w="1211" w:type="dxa"/>
            <w:vAlign w:val="center"/>
          </w:tcPr>
          <w:p w14:paraId="6255E57F">
            <w:pPr>
              <w:tabs>
                <w:tab w:val="left" w:pos="397"/>
              </w:tabs>
              <w:spacing w:line="300" w:lineRule="exact"/>
              <w:jc w:val="center"/>
              <w:rPr>
                <w:rFonts w:hint="eastAsia" w:ascii="宋体" w:hAnsi="宋体" w:cs="宋体"/>
                <w:sz w:val="24"/>
              </w:rPr>
            </w:pPr>
            <w:r>
              <w:rPr>
                <w:rFonts w:hint="eastAsia" w:ascii="宋体" w:hAnsi="宋体" w:cs="宋体"/>
                <w:sz w:val="24"/>
              </w:rPr>
              <w:t>售后服务及服务团队</w:t>
            </w:r>
          </w:p>
        </w:tc>
        <w:tc>
          <w:tcPr>
            <w:tcW w:w="475" w:type="dxa"/>
            <w:vAlign w:val="center"/>
          </w:tcPr>
          <w:p w14:paraId="145214C7">
            <w:pPr>
              <w:spacing w:line="300" w:lineRule="exact"/>
              <w:jc w:val="center"/>
              <w:rPr>
                <w:rFonts w:hint="eastAsia" w:ascii="宋体" w:hAnsi="宋体" w:cs="宋体"/>
                <w:sz w:val="24"/>
              </w:rPr>
            </w:pPr>
            <w:r>
              <w:rPr>
                <w:rFonts w:hint="eastAsia" w:ascii="宋体" w:hAnsi="宋体" w:cs="宋体"/>
                <w:sz w:val="24"/>
              </w:rPr>
              <w:t>15</w:t>
            </w:r>
          </w:p>
        </w:tc>
        <w:tc>
          <w:tcPr>
            <w:tcW w:w="7042" w:type="dxa"/>
            <w:vAlign w:val="center"/>
          </w:tcPr>
          <w:p w14:paraId="48569AD5">
            <w:pPr>
              <w:pStyle w:val="19"/>
              <w:spacing w:line="300" w:lineRule="exact"/>
              <w:jc w:val="both"/>
              <w:rPr>
                <w:rFonts w:hint="eastAsia"/>
                <w:sz w:val="24"/>
                <w:lang w:val="en-US"/>
              </w:rPr>
            </w:pPr>
            <w:r>
              <w:rPr>
                <w:rFonts w:hint="eastAsia"/>
                <w:sz w:val="24"/>
                <w:lang w:val="en-US"/>
              </w:rPr>
              <w:t>1、投标方具有完善的售后服务体系和服务团队，提供详细的售后服务方案、售后服务方式、售后服务团队、售后服务工作机制及售后服务承诺书，方案包含但不限于售后团队配置、故障处理时限，现场服务能力及响应时间等；有针对本项目的培训方案。</w:t>
            </w:r>
          </w:p>
          <w:p w14:paraId="4DBCB41C">
            <w:pPr>
              <w:pStyle w:val="19"/>
              <w:spacing w:line="300" w:lineRule="exact"/>
              <w:jc w:val="both"/>
              <w:rPr>
                <w:rFonts w:hint="eastAsia"/>
                <w:sz w:val="24"/>
                <w:lang w:eastAsia="zh-CN"/>
              </w:rPr>
            </w:pPr>
            <w:r>
              <w:rPr>
                <w:rFonts w:hint="eastAsia"/>
                <w:sz w:val="24"/>
              </w:rPr>
              <w:t>根据</w:t>
            </w:r>
            <w:r>
              <w:rPr>
                <w:rFonts w:hint="eastAsia"/>
                <w:sz w:val="24"/>
                <w:lang w:val="en-US"/>
              </w:rPr>
              <w:t>方案优劣程度</w:t>
            </w:r>
            <w:r>
              <w:rPr>
                <w:rFonts w:hint="eastAsia"/>
                <w:sz w:val="24"/>
                <w:lang w:eastAsia="zh-CN"/>
              </w:rPr>
              <w:t>：</w:t>
            </w:r>
          </w:p>
          <w:p w14:paraId="51F142E2">
            <w:pPr>
              <w:pStyle w:val="19"/>
              <w:spacing w:line="300" w:lineRule="exact"/>
              <w:jc w:val="both"/>
              <w:rPr>
                <w:rFonts w:hint="eastAsia"/>
                <w:sz w:val="24"/>
                <w:lang w:val="en-US" w:eastAsia="zh-CN"/>
              </w:rPr>
            </w:pPr>
            <w:r>
              <w:rPr>
                <w:rFonts w:hint="eastAsia"/>
                <w:sz w:val="24"/>
                <w:lang w:val="en-US" w:eastAsia="zh-CN" w:bidi="ar-SA"/>
              </w:rPr>
              <w:t>优秀：5分； 良好：3分；一般：1分；无此项或不合格：0分。</w:t>
            </w:r>
            <w:r>
              <w:rPr>
                <w:rFonts w:hint="eastAsia"/>
                <w:sz w:val="24"/>
                <w:lang w:val="en-US"/>
              </w:rPr>
              <w:t>2、要求本次投标方提供</w:t>
            </w:r>
            <w:r>
              <w:rPr>
                <w:rFonts w:hint="eastAsia"/>
                <w:sz w:val="24"/>
                <w:lang w:val="en-US" w:eastAsia="zh-CN"/>
              </w:rPr>
              <w:t>驻</w:t>
            </w:r>
            <w:r>
              <w:rPr>
                <w:rFonts w:hint="eastAsia"/>
                <w:sz w:val="24"/>
                <w:lang w:val="en-US"/>
              </w:rPr>
              <w:t>地</w:t>
            </w:r>
            <w:r>
              <w:rPr>
                <w:rFonts w:hint="eastAsia"/>
                <w:sz w:val="24"/>
                <w:lang w:val="en-US" w:eastAsia="zh-CN"/>
              </w:rPr>
              <w:t>式</w:t>
            </w:r>
            <w:r>
              <w:rPr>
                <w:rFonts w:hint="eastAsia"/>
                <w:sz w:val="24"/>
                <w:lang w:val="en-US"/>
              </w:rPr>
              <w:t>售后服务及人员配置，提供相关证明</w:t>
            </w:r>
            <w:r>
              <w:rPr>
                <w:rFonts w:hint="eastAsia"/>
                <w:sz w:val="24"/>
                <w:lang w:val="en-US" w:eastAsia="zh-CN"/>
              </w:rPr>
              <w:t>。</w:t>
            </w:r>
          </w:p>
          <w:p w14:paraId="4367F28A">
            <w:pPr>
              <w:pStyle w:val="19"/>
              <w:spacing w:line="300" w:lineRule="exact"/>
              <w:jc w:val="both"/>
              <w:rPr>
                <w:rFonts w:hint="eastAsia" w:eastAsiaTheme="minorEastAsia"/>
                <w:sz w:val="24"/>
                <w:lang w:val="en-US" w:eastAsia="zh-CN"/>
              </w:rPr>
            </w:pPr>
            <w:r>
              <w:rPr>
                <w:rFonts w:hint="eastAsia"/>
                <w:sz w:val="24"/>
                <w:lang w:val="en-US" w:eastAsia="zh-CN" w:bidi="ar-SA"/>
              </w:rPr>
              <w:t>优秀：5分；良好：3分；一般：1分；无此项或不合格：0分。</w:t>
            </w:r>
          </w:p>
          <w:p w14:paraId="05D06F5A">
            <w:pPr>
              <w:pStyle w:val="19"/>
              <w:spacing w:line="300" w:lineRule="exact"/>
              <w:jc w:val="both"/>
              <w:rPr>
                <w:rFonts w:hint="eastAsia"/>
                <w:sz w:val="24"/>
                <w:lang w:val="en-US"/>
              </w:rPr>
            </w:pPr>
            <w:r>
              <w:rPr>
                <w:rFonts w:hint="eastAsia"/>
                <w:sz w:val="24"/>
                <w:lang w:val="en-US"/>
              </w:rPr>
              <w:t>3、服务响应要求。在满足基本服务响应时间上，供应商提供以下服务，按相应条款计分。</w:t>
            </w:r>
          </w:p>
          <w:p w14:paraId="284C93A8">
            <w:pPr>
              <w:pStyle w:val="19"/>
              <w:spacing w:line="300" w:lineRule="exact"/>
              <w:jc w:val="both"/>
              <w:rPr>
                <w:rFonts w:hint="eastAsia"/>
                <w:sz w:val="24"/>
                <w:lang w:val="en-US"/>
              </w:rPr>
            </w:pPr>
            <w:r>
              <w:rPr>
                <w:rFonts w:hint="eastAsia"/>
                <w:sz w:val="24"/>
                <w:lang w:val="en-US"/>
              </w:rPr>
              <w:t>①10分钟响应，30分钟内提出初步解决方案，同城1小时、异地2小时到达现场，4小时内修复故障，得</w:t>
            </w:r>
            <w:r>
              <w:rPr>
                <w:rFonts w:hint="eastAsia"/>
                <w:sz w:val="24"/>
                <w:lang w:val="en-US" w:eastAsia="zh-CN"/>
              </w:rPr>
              <w:t>5</w:t>
            </w:r>
            <w:r>
              <w:rPr>
                <w:rFonts w:hint="eastAsia"/>
                <w:sz w:val="24"/>
                <w:lang w:val="en-US"/>
              </w:rPr>
              <w:t>分。</w:t>
            </w:r>
          </w:p>
          <w:p w14:paraId="1CC96435">
            <w:pPr>
              <w:pStyle w:val="19"/>
              <w:spacing w:line="300" w:lineRule="exact"/>
              <w:jc w:val="both"/>
              <w:rPr>
                <w:rFonts w:hint="eastAsia"/>
                <w:sz w:val="24"/>
                <w:lang w:val="en-US"/>
              </w:rPr>
            </w:pPr>
            <w:r>
              <w:rPr>
                <w:rFonts w:hint="eastAsia"/>
                <w:sz w:val="24"/>
                <w:lang w:val="en-US"/>
              </w:rPr>
              <w:t>②10分钟响应，30分钟内提出初步解决方案，同城2小时、异地4小时到达现场，8小时内修复故障，得</w:t>
            </w:r>
            <w:r>
              <w:rPr>
                <w:rFonts w:hint="eastAsia"/>
                <w:sz w:val="24"/>
                <w:lang w:val="en-US" w:eastAsia="zh-CN"/>
              </w:rPr>
              <w:t>3</w:t>
            </w:r>
            <w:r>
              <w:rPr>
                <w:rFonts w:hint="eastAsia"/>
                <w:sz w:val="24"/>
                <w:lang w:val="en-US"/>
              </w:rPr>
              <w:t>分。</w:t>
            </w:r>
          </w:p>
          <w:p w14:paraId="7516065D">
            <w:pPr>
              <w:pStyle w:val="19"/>
              <w:spacing w:line="300" w:lineRule="exact"/>
              <w:jc w:val="both"/>
              <w:rPr>
                <w:rFonts w:hint="eastAsia"/>
                <w:sz w:val="24"/>
                <w:lang w:val="en-US" w:bidi="ar-SA"/>
              </w:rPr>
            </w:pPr>
            <w:r>
              <w:rPr>
                <w:rFonts w:hint="eastAsia"/>
                <w:sz w:val="24"/>
                <w:lang w:val="en-US"/>
              </w:rPr>
              <w:t>③1小时响应，3日内修复故障，得1分。</w:t>
            </w:r>
          </w:p>
        </w:tc>
      </w:tr>
      <w:tr w14:paraId="32F7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71" w:type="dxa"/>
            <w:vAlign w:val="center"/>
          </w:tcPr>
          <w:p w14:paraId="1D4B2ECD">
            <w:pPr>
              <w:spacing w:line="300" w:lineRule="exact"/>
              <w:jc w:val="center"/>
              <w:rPr>
                <w:rFonts w:hint="eastAsia" w:ascii="宋体" w:hAnsi="宋体" w:cs="宋体"/>
                <w:sz w:val="24"/>
              </w:rPr>
            </w:pPr>
            <w:r>
              <w:rPr>
                <w:rFonts w:hint="eastAsia" w:ascii="宋体" w:hAnsi="宋体" w:cs="宋体"/>
                <w:sz w:val="24"/>
              </w:rPr>
              <w:t>4</w:t>
            </w:r>
          </w:p>
        </w:tc>
        <w:tc>
          <w:tcPr>
            <w:tcW w:w="1211" w:type="dxa"/>
            <w:vAlign w:val="center"/>
          </w:tcPr>
          <w:p w14:paraId="684F3427">
            <w:pPr>
              <w:spacing w:line="300" w:lineRule="exact"/>
              <w:jc w:val="center"/>
              <w:rPr>
                <w:rFonts w:hint="eastAsia" w:ascii="宋体" w:hAnsi="宋体" w:cs="宋体"/>
                <w:sz w:val="24"/>
              </w:rPr>
            </w:pPr>
            <w:r>
              <w:rPr>
                <w:rFonts w:hint="eastAsia" w:ascii="宋体" w:hAnsi="宋体" w:cs="宋体"/>
                <w:sz w:val="24"/>
              </w:rPr>
              <w:t>业绩</w:t>
            </w:r>
          </w:p>
        </w:tc>
        <w:tc>
          <w:tcPr>
            <w:tcW w:w="475" w:type="dxa"/>
            <w:vAlign w:val="center"/>
          </w:tcPr>
          <w:p w14:paraId="4190B986">
            <w:pPr>
              <w:spacing w:line="300" w:lineRule="exact"/>
              <w:jc w:val="center"/>
              <w:rPr>
                <w:rFonts w:hint="eastAsia" w:ascii="宋体" w:hAnsi="宋体" w:cs="宋体"/>
                <w:sz w:val="24"/>
              </w:rPr>
            </w:pPr>
            <w:r>
              <w:rPr>
                <w:rFonts w:hint="eastAsia" w:ascii="宋体" w:hAnsi="宋体" w:cs="宋体"/>
                <w:sz w:val="24"/>
              </w:rPr>
              <w:t>3</w:t>
            </w:r>
          </w:p>
        </w:tc>
        <w:tc>
          <w:tcPr>
            <w:tcW w:w="7042" w:type="dxa"/>
            <w:vAlign w:val="center"/>
          </w:tcPr>
          <w:p w14:paraId="682A1F19">
            <w:pPr>
              <w:pStyle w:val="19"/>
              <w:spacing w:line="300" w:lineRule="exact"/>
              <w:jc w:val="both"/>
              <w:rPr>
                <w:rFonts w:hint="eastAsia"/>
                <w:sz w:val="24"/>
                <w:lang w:val="en-US" w:bidi="ar-SA"/>
              </w:rPr>
            </w:pPr>
            <w:r>
              <w:rPr>
                <w:rFonts w:hint="eastAsia"/>
                <w:sz w:val="24"/>
              </w:rPr>
              <w:t>投标人提供2021年至今类似项目业绩（以合同签订时间为准），提供1份得1分，满分</w:t>
            </w:r>
            <w:r>
              <w:rPr>
                <w:rFonts w:hint="eastAsia"/>
                <w:sz w:val="24"/>
                <w:lang w:val="en-US"/>
              </w:rPr>
              <w:t>3</w:t>
            </w:r>
            <w:r>
              <w:rPr>
                <w:rFonts w:hint="eastAsia"/>
                <w:sz w:val="24"/>
              </w:rPr>
              <w:t>分，须提供合同复印件、</w:t>
            </w:r>
            <w:r>
              <w:rPr>
                <w:rFonts w:hint="eastAsia"/>
                <w:sz w:val="24"/>
                <w:lang w:val="en-US"/>
              </w:rPr>
              <w:t>中标通知书复印件及验收报告复印件。</w:t>
            </w:r>
          </w:p>
        </w:tc>
      </w:tr>
      <w:tr w14:paraId="555D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671" w:type="dxa"/>
            <w:vAlign w:val="center"/>
          </w:tcPr>
          <w:p w14:paraId="6A2439C0">
            <w:pPr>
              <w:spacing w:line="300" w:lineRule="exact"/>
              <w:jc w:val="center"/>
              <w:rPr>
                <w:rFonts w:hint="eastAsia" w:ascii="宋体" w:hAnsi="宋体" w:cs="宋体"/>
                <w:sz w:val="24"/>
              </w:rPr>
            </w:pPr>
            <w:r>
              <w:rPr>
                <w:rFonts w:hint="eastAsia" w:ascii="宋体" w:hAnsi="宋体" w:cs="宋体"/>
                <w:sz w:val="24"/>
              </w:rPr>
              <w:t>5</w:t>
            </w:r>
          </w:p>
        </w:tc>
        <w:tc>
          <w:tcPr>
            <w:tcW w:w="1211" w:type="dxa"/>
            <w:vAlign w:val="center"/>
          </w:tcPr>
          <w:p w14:paraId="0AC8593D">
            <w:pPr>
              <w:spacing w:line="300" w:lineRule="exact"/>
              <w:jc w:val="center"/>
              <w:rPr>
                <w:rFonts w:hint="eastAsia" w:ascii="宋体" w:hAnsi="宋体" w:cs="宋体"/>
                <w:sz w:val="24"/>
              </w:rPr>
            </w:pPr>
            <w:r>
              <w:rPr>
                <w:rFonts w:hint="eastAsia" w:ascii="宋体" w:hAnsi="宋体" w:cs="宋体"/>
                <w:sz w:val="24"/>
              </w:rPr>
              <w:t>项目团队</w:t>
            </w:r>
          </w:p>
        </w:tc>
        <w:tc>
          <w:tcPr>
            <w:tcW w:w="475" w:type="dxa"/>
            <w:vAlign w:val="center"/>
          </w:tcPr>
          <w:p w14:paraId="43142E82">
            <w:pPr>
              <w:spacing w:line="300" w:lineRule="exact"/>
              <w:jc w:val="center"/>
              <w:rPr>
                <w:rFonts w:hint="eastAsia" w:ascii="宋体" w:hAnsi="宋体" w:cs="宋体"/>
                <w:sz w:val="24"/>
              </w:rPr>
            </w:pPr>
            <w:r>
              <w:rPr>
                <w:rFonts w:hint="eastAsia" w:ascii="宋体" w:hAnsi="宋体" w:cs="宋体"/>
                <w:sz w:val="24"/>
              </w:rPr>
              <w:t>7</w:t>
            </w:r>
          </w:p>
        </w:tc>
        <w:tc>
          <w:tcPr>
            <w:tcW w:w="7042" w:type="dxa"/>
            <w:vAlign w:val="center"/>
          </w:tcPr>
          <w:p w14:paraId="784917A7">
            <w:pPr>
              <w:spacing w:line="300" w:lineRule="exact"/>
              <w:jc w:val="both"/>
              <w:rPr>
                <w:rFonts w:hint="eastAsia" w:ascii="宋体" w:hAnsi="宋体" w:cs="宋体"/>
                <w:sz w:val="24"/>
                <w:lang w:val="zh-CN" w:bidi="zh-CN"/>
              </w:rPr>
            </w:pPr>
            <w:r>
              <w:rPr>
                <w:rFonts w:hint="eastAsia" w:ascii="宋体" w:hAnsi="宋体" w:cs="宋体"/>
                <w:sz w:val="24"/>
                <w:lang w:bidi="zh-CN"/>
              </w:rPr>
              <w:t>1、</w:t>
            </w:r>
            <w:r>
              <w:rPr>
                <w:rFonts w:hint="eastAsia" w:ascii="宋体" w:hAnsi="宋体" w:cs="宋体"/>
                <w:sz w:val="24"/>
                <w:lang w:val="zh-CN" w:bidi="zh-CN"/>
              </w:rPr>
              <w:t>投标人拟</w:t>
            </w:r>
            <w:r>
              <w:rPr>
                <w:rFonts w:hint="eastAsia" w:ascii="宋体" w:hAnsi="宋体" w:cs="宋体"/>
                <w:sz w:val="24"/>
                <w:lang w:bidi="zh-CN"/>
              </w:rPr>
              <w:t>派</w:t>
            </w:r>
            <w:r>
              <w:rPr>
                <w:rFonts w:hint="eastAsia" w:ascii="宋体" w:hAnsi="宋体" w:cs="宋体"/>
                <w:sz w:val="24"/>
                <w:lang w:val="zh-CN" w:bidi="zh-CN"/>
              </w:rPr>
              <w:t>本项目配置的项目团队成员不少于</w:t>
            </w:r>
            <w:r>
              <w:rPr>
                <w:rFonts w:hint="eastAsia" w:ascii="宋体" w:hAnsi="宋体" w:cs="宋体"/>
                <w:sz w:val="24"/>
                <w:lang w:bidi="zh-CN"/>
              </w:rPr>
              <w:t>3</w:t>
            </w:r>
            <w:r>
              <w:rPr>
                <w:rFonts w:hint="eastAsia" w:ascii="宋体" w:hAnsi="宋体" w:cs="宋体"/>
                <w:sz w:val="24"/>
                <w:lang w:val="zh-CN" w:bidi="zh-CN"/>
              </w:rPr>
              <w:t>人(</w:t>
            </w:r>
            <w:r>
              <w:rPr>
                <w:rFonts w:hint="eastAsia" w:ascii="宋体" w:hAnsi="宋体" w:cs="宋体"/>
                <w:sz w:val="24"/>
                <w:lang w:bidi="zh-CN"/>
              </w:rPr>
              <w:t>不</w:t>
            </w:r>
            <w:r>
              <w:rPr>
                <w:rFonts w:hint="eastAsia" w:ascii="宋体" w:hAnsi="宋体" w:cs="宋体"/>
                <w:sz w:val="24"/>
                <w:lang w:val="zh-CN" w:bidi="zh-CN"/>
              </w:rPr>
              <w:t>含项目经理)，得</w:t>
            </w:r>
            <w:r>
              <w:rPr>
                <w:rFonts w:hint="eastAsia" w:ascii="宋体" w:hAnsi="宋体" w:cs="宋体"/>
                <w:sz w:val="24"/>
                <w:lang w:bidi="zh-CN"/>
              </w:rPr>
              <w:t>2</w:t>
            </w:r>
            <w:r>
              <w:rPr>
                <w:rFonts w:hint="eastAsia" w:ascii="宋体" w:hAnsi="宋体" w:cs="宋体"/>
                <w:sz w:val="24"/>
                <w:lang w:val="zh-CN" w:bidi="zh-CN"/>
              </w:rPr>
              <w:t>分，不满足此项不得分。</w:t>
            </w:r>
          </w:p>
          <w:p w14:paraId="271D471F">
            <w:pPr>
              <w:spacing w:line="300" w:lineRule="exact"/>
              <w:jc w:val="both"/>
              <w:rPr>
                <w:rFonts w:hint="eastAsia" w:ascii="宋体" w:hAnsi="宋体" w:cs="宋体"/>
                <w:sz w:val="24"/>
                <w:lang w:val="zh-CN" w:bidi="zh-CN"/>
              </w:rPr>
            </w:pPr>
            <w:r>
              <w:rPr>
                <w:rFonts w:hint="eastAsia" w:ascii="宋体" w:hAnsi="宋体" w:cs="宋体"/>
                <w:sz w:val="24"/>
                <w:lang w:bidi="zh-CN"/>
              </w:rPr>
              <w:t>2、</w:t>
            </w:r>
            <w:r>
              <w:rPr>
                <w:rFonts w:hint="eastAsia" w:ascii="宋体" w:hAnsi="宋体" w:cs="宋体"/>
                <w:sz w:val="24"/>
                <w:lang w:val="zh-CN" w:bidi="zh-CN"/>
              </w:rPr>
              <w:t>团队成</w:t>
            </w:r>
            <w:r>
              <w:rPr>
                <w:rFonts w:hint="eastAsia" w:ascii="宋体" w:hAnsi="宋体" w:cs="宋体"/>
                <w:sz w:val="24"/>
                <w:lang w:bidi="zh-CN"/>
              </w:rPr>
              <w:t>员（不含项目经理）具有国家计算机技术与软件专业技术资格（水平）考试证书，</w:t>
            </w:r>
            <w:r>
              <w:rPr>
                <w:rFonts w:hint="eastAsia" w:ascii="宋体" w:hAnsi="宋体" w:cs="宋体"/>
                <w:sz w:val="24"/>
                <w:lang w:val="zh-CN" w:bidi="zh-CN"/>
              </w:rPr>
              <w:t>每增加</w:t>
            </w:r>
            <w:r>
              <w:rPr>
                <w:rFonts w:hint="eastAsia" w:ascii="宋体" w:hAnsi="宋体" w:cs="宋体"/>
                <w:sz w:val="24"/>
                <w:lang w:bidi="zh-CN"/>
              </w:rPr>
              <w:t>中级证书</w:t>
            </w:r>
            <w:r>
              <w:rPr>
                <w:rFonts w:hint="eastAsia" w:ascii="宋体" w:hAnsi="宋体" w:cs="宋体"/>
                <w:sz w:val="24"/>
                <w:lang w:val="zh-CN" w:bidi="zh-CN"/>
              </w:rPr>
              <w:t>1人加</w:t>
            </w:r>
            <w:r>
              <w:rPr>
                <w:rFonts w:hint="eastAsia" w:ascii="宋体" w:hAnsi="宋体" w:cs="宋体"/>
                <w:sz w:val="24"/>
                <w:lang w:bidi="zh-CN"/>
              </w:rPr>
              <w:t>1</w:t>
            </w:r>
            <w:r>
              <w:rPr>
                <w:rFonts w:hint="eastAsia" w:ascii="宋体" w:hAnsi="宋体" w:cs="宋体"/>
                <w:sz w:val="24"/>
                <w:lang w:val="zh-CN" w:bidi="zh-CN"/>
              </w:rPr>
              <w:t>分，每增加高</w:t>
            </w:r>
            <w:r>
              <w:rPr>
                <w:rFonts w:hint="eastAsia" w:ascii="宋体" w:hAnsi="宋体" w:cs="宋体"/>
                <w:sz w:val="24"/>
                <w:lang w:bidi="zh-CN"/>
              </w:rPr>
              <w:t>级证书</w:t>
            </w:r>
            <w:r>
              <w:rPr>
                <w:rFonts w:hint="eastAsia" w:ascii="宋体" w:hAnsi="宋体" w:cs="宋体"/>
                <w:sz w:val="24"/>
                <w:lang w:val="zh-CN" w:bidi="zh-CN"/>
              </w:rPr>
              <w:t>1人加</w:t>
            </w:r>
            <w:r>
              <w:rPr>
                <w:rFonts w:hint="eastAsia" w:ascii="宋体" w:hAnsi="宋体" w:cs="宋体"/>
                <w:sz w:val="24"/>
                <w:lang w:bidi="zh-CN"/>
              </w:rPr>
              <w:t>2</w:t>
            </w:r>
            <w:r>
              <w:rPr>
                <w:rFonts w:hint="eastAsia" w:ascii="宋体" w:hAnsi="宋体" w:cs="宋体"/>
                <w:sz w:val="24"/>
                <w:lang w:val="zh-CN" w:bidi="zh-CN"/>
              </w:rPr>
              <w:t>分，本项最高</w:t>
            </w:r>
            <w:r>
              <w:rPr>
                <w:rFonts w:hint="eastAsia" w:ascii="宋体" w:hAnsi="宋体" w:cs="宋体"/>
                <w:sz w:val="24"/>
                <w:lang w:bidi="zh-CN"/>
              </w:rPr>
              <w:t>5</w:t>
            </w:r>
            <w:r>
              <w:rPr>
                <w:rFonts w:hint="eastAsia" w:ascii="宋体" w:hAnsi="宋体" w:cs="宋体"/>
                <w:sz w:val="24"/>
                <w:lang w:val="zh-CN" w:bidi="zh-CN"/>
              </w:rPr>
              <w:t>分。</w:t>
            </w:r>
          </w:p>
          <w:p w14:paraId="293E4801">
            <w:pPr>
              <w:pStyle w:val="19"/>
              <w:spacing w:line="300" w:lineRule="exact"/>
              <w:jc w:val="both"/>
              <w:rPr>
                <w:rFonts w:hint="eastAsia"/>
                <w:sz w:val="24"/>
                <w:lang w:val="en-US" w:bidi="ar-SA"/>
              </w:rPr>
            </w:pPr>
            <w:r>
              <w:rPr>
                <w:rFonts w:hint="eastAsia"/>
                <w:sz w:val="24"/>
              </w:rPr>
              <w:t>注：须提供团队成员基本资料名单（包括但不限于身份证、学历证、职称证/职业资格证及投标截止前</w:t>
            </w:r>
            <w:r>
              <w:rPr>
                <w:rFonts w:hint="eastAsia"/>
                <w:sz w:val="24"/>
                <w:lang w:val="en-US"/>
              </w:rPr>
              <w:t>连续3</w:t>
            </w:r>
            <w:r>
              <w:rPr>
                <w:rFonts w:hint="eastAsia"/>
                <w:sz w:val="24"/>
              </w:rPr>
              <w:t>个月内在本单位社保缴纳证明）并加盖投标人公章。未提供或提供不全不得分。</w:t>
            </w:r>
          </w:p>
        </w:tc>
      </w:tr>
    </w:tbl>
    <w:p w14:paraId="76CE49EC">
      <w:pPr>
        <w:rPr>
          <w:rFonts w:hint="eastAsia" w:ascii="宋体" w:hAnsi="宋体" w:eastAsia="宋体" w:cs="宋体"/>
          <w:b/>
          <w:color w:val="auto"/>
          <w:sz w:val="24"/>
          <w:szCs w:val="24"/>
          <w:highlight w:val="none"/>
          <w:shd w:val="clear" w:color="auto" w:fill="auto"/>
          <w:lang w:val="en-US" w:eastAsia="zh-CN"/>
        </w:rPr>
      </w:pPr>
    </w:p>
    <w:p w14:paraId="42E1A8DB">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t>7、推荐成交候选人名单</w:t>
      </w:r>
    </w:p>
    <w:p w14:paraId="7906F07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7.1</w:t>
      </w:r>
      <w:r>
        <w:rPr>
          <w:rFonts w:hint="eastAsia" w:ascii="宋体" w:hAnsi="宋体" w:cs="宋体"/>
          <w:color w:val="000000"/>
          <w:sz w:val="24"/>
          <w:szCs w:val="24"/>
          <w:lang w:eastAsia="zh-CN"/>
        </w:rPr>
        <w:t>以</w:t>
      </w:r>
      <w:r>
        <w:rPr>
          <w:rFonts w:hint="eastAsia" w:ascii="宋体" w:hAnsi="宋体" w:cs="宋体"/>
          <w:color w:val="000000"/>
          <w:sz w:val="24"/>
          <w:szCs w:val="24"/>
          <w:lang w:val="en-US" w:eastAsia="zh-CN"/>
        </w:rPr>
        <w:t>各投标人的综合得分</w:t>
      </w:r>
      <w:r>
        <w:rPr>
          <w:rFonts w:hint="eastAsia" w:ascii="宋体" w:hAnsi="宋体" w:cs="宋体"/>
          <w:color w:val="000000"/>
          <w:sz w:val="24"/>
          <w:szCs w:val="24"/>
          <w:lang w:eastAsia="zh-CN"/>
        </w:rPr>
        <w:t>由高到低进行排序，按排序顺序推荐成交候选人。</w:t>
      </w:r>
    </w:p>
    <w:p w14:paraId="03569D6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bCs/>
          <w:color w:val="auto"/>
          <w:sz w:val="24"/>
          <w:szCs w:val="24"/>
        </w:rPr>
      </w:pPr>
      <w:r>
        <w:rPr>
          <w:rFonts w:hint="eastAsia" w:ascii="宋体" w:hAnsi="宋体" w:cs="宋体"/>
          <w:color w:val="000000"/>
          <w:sz w:val="24"/>
          <w:szCs w:val="24"/>
          <w:lang w:val="en-US" w:eastAsia="zh-CN"/>
        </w:rPr>
        <w:t>7.2综合</w:t>
      </w:r>
      <w:r>
        <w:rPr>
          <w:rFonts w:hint="eastAsia" w:ascii="宋体" w:hAnsi="宋体"/>
          <w:bCs/>
          <w:color w:val="auto"/>
          <w:sz w:val="24"/>
          <w:szCs w:val="24"/>
        </w:rPr>
        <w:t>评审得分相同的，按照最后报价由低到高的顺序推荐。</w:t>
      </w:r>
    </w:p>
    <w:p w14:paraId="51229C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bCs/>
          <w:color w:val="auto"/>
          <w:sz w:val="24"/>
          <w:szCs w:val="24"/>
        </w:rPr>
      </w:pPr>
      <w:r>
        <w:rPr>
          <w:rFonts w:hint="eastAsia" w:ascii="宋体" w:hAnsi="宋体"/>
          <w:bCs/>
          <w:color w:val="auto"/>
          <w:sz w:val="24"/>
          <w:szCs w:val="24"/>
          <w:lang w:val="en-US" w:eastAsia="zh-CN"/>
        </w:rPr>
        <w:t>7.3</w:t>
      </w:r>
      <w:r>
        <w:rPr>
          <w:rFonts w:hint="eastAsia" w:ascii="宋体" w:hAnsi="宋体" w:cs="宋体"/>
          <w:color w:val="000000"/>
          <w:sz w:val="24"/>
          <w:szCs w:val="24"/>
          <w:lang w:val="en-US" w:eastAsia="zh-CN"/>
        </w:rPr>
        <w:t>综合</w:t>
      </w:r>
      <w:r>
        <w:rPr>
          <w:rFonts w:hint="eastAsia" w:ascii="宋体" w:hAnsi="宋体"/>
          <w:bCs/>
          <w:color w:val="auto"/>
          <w:sz w:val="24"/>
          <w:szCs w:val="24"/>
        </w:rPr>
        <w:t>评审得分且最后报价相同的，按照技术指标优劣顺序推荐</w:t>
      </w:r>
      <w:r>
        <w:rPr>
          <w:rFonts w:hint="eastAsia" w:ascii="宋体" w:hAnsi="宋体"/>
          <w:bCs/>
          <w:color w:val="auto"/>
          <w:sz w:val="24"/>
          <w:szCs w:val="24"/>
          <w:lang w:eastAsia="zh-CN"/>
        </w:rPr>
        <w:t>。</w:t>
      </w:r>
      <w:r>
        <w:rPr>
          <w:rFonts w:hint="eastAsia" w:ascii="宋体" w:hAnsi="宋体"/>
          <w:bCs/>
          <w:color w:val="auto"/>
          <w:sz w:val="24"/>
          <w:szCs w:val="24"/>
          <w:lang w:val="en-US" w:eastAsia="zh-CN"/>
        </w:rPr>
        <w:t>若技术指标不能明显区分优劣，</w:t>
      </w:r>
      <w:r>
        <w:rPr>
          <w:rFonts w:hint="eastAsia" w:ascii="宋体" w:hAnsi="宋体" w:cs="仿宋_GB2312"/>
          <w:sz w:val="24"/>
          <w:szCs w:val="24"/>
        </w:rPr>
        <w:t>则由全体</w:t>
      </w:r>
      <w:r>
        <w:rPr>
          <w:rFonts w:hint="eastAsia" w:ascii="宋体" w:hAnsi="宋体" w:cs="仿宋_GB2312"/>
          <w:sz w:val="24"/>
          <w:szCs w:val="24"/>
          <w:lang w:eastAsia="zh-CN"/>
        </w:rPr>
        <w:t>磋商小组</w:t>
      </w:r>
      <w:r>
        <w:rPr>
          <w:rFonts w:hint="eastAsia" w:ascii="宋体" w:hAnsi="宋体" w:cs="仿宋_GB2312"/>
          <w:sz w:val="24"/>
          <w:szCs w:val="24"/>
        </w:rPr>
        <w:t>成员</w:t>
      </w:r>
      <w:r>
        <w:rPr>
          <w:rFonts w:hint="eastAsia" w:ascii="宋体" w:hAnsi="宋体" w:cs="仿宋_GB2312"/>
          <w:sz w:val="24"/>
          <w:szCs w:val="24"/>
          <w:lang w:val="en-US" w:eastAsia="zh-CN"/>
        </w:rPr>
        <w:t>以</w:t>
      </w:r>
      <w:r>
        <w:rPr>
          <w:rFonts w:hint="eastAsia" w:ascii="宋体" w:hAnsi="宋体" w:cs="仿宋_GB2312"/>
          <w:sz w:val="24"/>
          <w:szCs w:val="24"/>
        </w:rPr>
        <w:t>无记名投票</w:t>
      </w:r>
      <w:r>
        <w:rPr>
          <w:rFonts w:hint="eastAsia" w:ascii="宋体" w:hAnsi="宋体" w:cs="仿宋_GB2312"/>
          <w:sz w:val="24"/>
          <w:szCs w:val="24"/>
          <w:lang w:val="en-US" w:eastAsia="zh-CN"/>
        </w:rPr>
        <w:t>方式</w:t>
      </w:r>
      <w:r>
        <w:rPr>
          <w:rFonts w:hint="eastAsia" w:ascii="宋体" w:hAnsi="宋体" w:cs="仿宋_GB2312"/>
          <w:sz w:val="24"/>
          <w:szCs w:val="24"/>
        </w:rPr>
        <w:t>，</w:t>
      </w:r>
      <w:r>
        <w:rPr>
          <w:rFonts w:hint="eastAsia" w:ascii="宋体" w:hAnsi="宋体"/>
          <w:bCs/>
          <w:color w:val="auto"/>
          <w:sz w:val="24"/>
          <w:szCs w:val="24"/>
        </w:rPr>
        <w:t>按照</w:t>
      </w:r>
      <w:r>
        <w:rPr>
          <w:rFonts w:hint="eastAsia" w:ascii="宋体" w:hAnsi="宋体" w:cs="仿宋_GB2312"/>
          <w:sz w:val="24"/>
          <w:szCs w:val="24"/>
        </w:rPr>
        <w:t>得票</w:t>
      </w:r>
      <w:r>
        <w:rPr>
          <w:rFonts w:hint="eastAsia" w:ascii="宋体" w:hAnsi="宋体"/>
          <w:bCs/>
          <w:color w:val="auto"/>
          <w:sz w:val="24"/>
          <w:szCs w:val="24"/>
        </w:rPr>
        <w:t>由</w:t>
      </w:r>
      <w:r>
        <w:rPr>
          <w:rFonts w:hint="eastAsia" w:ascii="宋体" w:hAnsi="宋体"/>
          <w:bCs/>
          <w:color w:val="auto"/>
          <w:sz w:val="24"/>
          <w:szCs w:val="24"/>
          <w:lang w:val="en-US" w:eastAsia="zh-CN"/>
        </w:rPr>
        <w:t>高</w:t>
      </w:r>
      <w:r>
        <w:rPr>
          <w:rFonts w:hint="eastAsia" w:ascii="宋体" w:hAnsi="宋体"/>
          <w:bCs/>
          <w:color w:val="auto"/>
          <w:sz w:val="24"/>
          <w:szCs w:val="24"/>
        </w:rPr>
        <w:t>到</w:t>
      </w:r>
      <w:r>
        <w:rPr>
          <w:rFonts w:hint="eastAsia" w:ascii="宋体" w:hAnsi="宋体"/>
          <w:bCs/>
          <w:color w:val="auto"/>
          <w:sz w:val="24"/>
          <w:szCs w:val="24"/>
          <w:lang w:val="en-US" w:eastAsia="zh-CN"/>
        </w:rPr>
        <w:t>低</w:t>
      </w:r>
      <w:r>
        <w:rPr>
          <w:rFonts w:hint="eastAsia" w:ascii="宋体" w:hAnsi="宋体"/>
          <w:bCs/>
          <w:color w:val="auto"/>
          <w:sz w:val="24"/>
          <w:szCs w:val="24"/>
        </w:rPr>
        <w:t>的顺序推荐。</w:t>
      </w:r>
    </w:p>
    <w:p w14:paraId="059E6FD1">
      <w:pPr>
        <w:pStyle w:val="10"/>
        <w:tabs>
          <w:tab w:val="right" w:leader="dot" w:pos="9072"/>
          <w:tab w:val="clear" w:pos="8760"/>
        </w:tabs>
        <w:spacing w:line="240" w:lineRule="auto"/>
        <w:jc w:val="center"/>
        <w:rPr>
          <w:rFonts w:hint="eastAsia"/>
          <w:sz w:val="44"/>
          <w:szCs w:val="44"/>
          <w:shd w:val="clear" w:color="auto" w:fill="auto"/>
          <w:lang w:eastAsia="zh-CN"/>
        </w:rPr>
      </w:pPr>
      <w:r>
        <w:rPr>
          <w:rFonts w:hint="default"/>
          <w:lang w:val="en-US" w:eastAsia="zh-CN"/>
        </w:rPr>
        <w:br w:type="page"/>
      </w:r>
      <w:r>
        <w:rPr>
          <w:rFonts w:hint="eastAsia"/>
          <w:sz w:val="44"/>
          <w:szCs w:val="44"/>
          <w:shd w:val="clear" w:color="auto" w:fill="auto"/>
          <w:lang w:eastAsia="zh-CN"/>
        </w:rPr>
        <w:fldChar w:fldCharType="begin"/>
      </w:r>
      <w:r>
        <w:rPr>
          <w:rFonts w:hint="eastAsia"/>
          <w:sz w:val="44"/>
          <w:szCs w:val="44"/>
          <w:shd w:val="clear" w:color="auto" w:fill="auto"/>
          <w:lang w:eastAsia="zh-CN"/>
        </w:rPr>
        <w:instrText xml:space="preserve"> HYPERLINK \l _Toc17771 </w:instrText>
      </w:r>
      <w:r>
        <w:rPr>
          <w:rFonts w:hint="eastAsia"/>
          <w:sz w:val="44"/>
          <w:szCs w:val="44"/>
          <w:shd w:val="clear" w:color="auto" w:fill="auto"/>
          <w:lang w:eastAsia="zh-CN"/>
        </w:rPr>
        <w:fldChar w:fldCharType="separate"/>
      </w:r>
      <w:r>
        <w:rPr>
          <w:rFonts w:hint="eastAsia"/>
          <w:sz w:val="44"/>
          <w:szCs w:val="44"/>
          <w:shd w:val="clear" w:color="auto" w:fill="auto"/>
          <w:lang w:val="zh-CN" w:eastAsia="zh-CN"/>
        </w:rPr>
        <w:t>第</w:t>
      </w:r>
      <w:r>
        <w:rPr>
          <w:rFonts w:hint="eastAsia"/>
          <w:sz w:val="44"/>
          <w:szCs w:val="44"/>
          <w:shd w:val="clear" w:color="auto" w:fill="auto"/>
          <w:lang w:val="en-US" w:eastAsia="zh-CN"/>
        </w:rPr>
        <w:t>四</w:t>
      </w:r>
      <w:r>
        <w:rPr>
          <w:rFonts w:hint="eastAsia"/>
          <w:sz w:val="44"/>
          <w:szCs w:val="44"/>
          <w:shd w:val="clear" w:color="auto" w:fill="auto"/>
          <w:lang w:val="zh-CN" w:eastAsia="zh-CN"/>
        </w:rPr>
        <w:t>部分</w:t>
      </w:r>
      <w:r>
        <w:rPr>
          <w:rFonts w:hint="eastAsia"/>
          <w:sz w:val="44"/>
          <w:szCs w:val="44"/>
          <w:shd w:val="clear" w:color="auto" w:fill="auto"/>
          <w:lang w:val="en-US" w:eastAsia="zh-CN"/>
        </w:rPr>
        <w:t xml:space="preserve"> </w:t>
      </w:r>
      <w:r>
        <w:rPr>
          <w:rFonts w:hint="eastAsia"/>
          <w:sz w:val="44"/>
          <w:szCs w:val="44"/>
          <w:shd w:val="clear" w:color="auto" w:fill="auto"/>
          <w:lang w:val="zh-CN" w:eastAsia="zh-CN"/>
        </w:rPr>
        <w:t>采购内容及要求</w:t>
      </w:r>
      <w:r>
        <w:rPr>
          <w:rFonts w:hint="eastAsia"/>
          <w:sz w:val="44"/>
          <w:szCs w:val="44"/>
          <w:shd w:val="clear" w:color="auto" w:fill="auto"/>
          <w:lang w:eastAsia="zh-CN"/>
        </w:rPr>
        <w:fldChar w:fldCharType="end"/>
      </w:r>
    </w:p>
    <w:p w14:paraId="3D8DC4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p>
    <w:p w14:paraId="2F5DD7F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r>
        <w:rPr>
          <w:rFonts w:hint="eastAsia"/>
          <w:b/>
          <w:bCs/>
          <w:sz w:val="24"/>
          <w:szCs w:val="24"/>
          <w:lang w:val="en-US" w:eastAsia="zh-CN"/>
        </w:rPr>
        <w:t>1</w:t>
      </w:r>
      <w:r>
        <w:rPr>
          <w:rFonts w:hint="eastAsia"/>
          <w:b/>
          <w:bCs/>
          <w:sz w:val="24"/>
          <w:szCs w:val="24"/>
        </w:rPr>
        <w:t>、项目概述</w:t>
      </w:r>
    </w:p>
    <w:p w14:paraId="17A9F43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陇县电子政务平台始建于2012年，2</w:t>
      </w:r>
      <w:r>
        <w:rPr>
          <w:sz w:val="24"/>
          <w:szCs w:val="24"/>
        </w:rPr>
        <w:t>013</w:t>
      </w:r>
      <w:r>
        <w:rPr>
          <w:rFonts w:hint="eastAsia"/>
          <w:sz w:val="24"/>
          <w:szCs w:val="24"/>
        </w:rPr>
        <w:t>年投入运行。2018年完成全县党政机关互联网统一接入建设，至目前接入对象包括县委和县政府两大院、10个镇、3个社区、60个部门、104个行政村、17个基层卫生院、178个村级卫生室等。平台网络架构涉及安全互联网出口、核心层、汇聚层、接入层、安全系统及客户端等各类网络设备。网络平台承载业务涵盖了中央、省、市电子政务相关业务应用以及多个部门专网（如应急指挥信息网、审计专网、财政专网等）。整合网络用户1650余个，在工作日期间，平均在线用户数达1100余个，VPN接入用户数294个。</w:t>
      </w:r>
    </w:p>
    <w:p w14:paraId="5D05206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随着数字政府建设的深入推进，以及“互联网+政务服务”模式的广泛应用，我县各类政务应用系统数量激增，数据资源总量不断扩大，对现有电子政务网络的基础承载能力、数据传输效率、安全防护水平及统一管理能力提出了更高要求。为全面贯彻国家关于加快数字化发展的战略部署，有力支撑我县政务服务、城市治理能力，将通过本项目的建设，进一步提高电子政务网络基础承载能力，提升电子政务网络的整体性能，形成更加高效、稳定、安全的陇县政务服务“一张网”，以全面满足当前业务发展和信息化建设的实际需求，助力政务数字化快速发展。</w:t>
      </w:r>
    </w:p>
    <w:p w14:paraId="3E7EC1F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b/>
          <w:bCs/>
          <w:sz w:val="24"/>
          <w:szCs w:val="24"/>
          <w:lang w:val="en-US" w:eastAsia="zh-CN"/>
        </w:rPr>
      </w:pPr>
      <w:r>
        <w:rPr>
          <w:rFonts w:hint="eastAsia"/>
          <w:b/>
          <w:bCs/>
          <w:sz w:val="24"/>
          <w:szCs w:val="24"/>
          <w:lang w:val="en-US" w:eastAsia="zh-CN"/>
        </w:rPr>
        <w:t>2、采购内容及技术要求</w:t>
      </w:r>
    </w:p>
    <w:p w14:paraId="6CEC16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本项目采购内容包括互联网出口链路租赁服务、政务外网接入链路租赁服务和运维服务三部分内容：</w:t>
      </w:r>
    </w:p>
    <w:tbl>
      <w:tblPr>
        <w:tblStyle w:val="14"/>
        <w:tblW w:w="5000" w:type="pct"/>
        <w:jc w:val="center"/>
        <w:tblLayout w:type="autofit"/>
        <w:tblCellMar>
          <w:top w:w="15" w:type="dxa"/>
          <w:left w:w="15" w:type="dxa"/>
          <w:bottom w:w="15" w:type="dxa"/>
          <w:right w:w="15" w:type="dxa"/>
        </w:tblCellMar>
      </w:tblPr>
      <w:tblGrid>
        <w:gridCol w:w="560"/>
        <w:gridCol w:w="1032"/>
        <w:gridCol w:w="6200"/>
        <w:gridCol w:w="668"/>
        <w:gridCol w:w="596"/>
      </w:tblGrid>
      <w:tr w14:paraId="429AEF1C">
        <w:tblPrEx>
          <w:tblCellMar>
            <w:top w:w="15" w:type="dxa"/>
            <w:left w:w="15" w:type="dxa"/>
            <w:bottom w:w="15" w:type="dxa"/>
            <w:right w:w="15" w:type="dxa"/>
          </w:tblCellMar>
        </w:tblPrEx>
        <w:trPr>
          <w:trHeight w:val="708" w:hRule="atLeast"/>
          <w:jc w:val="center"/>
        </w:trPr>
        <w:tc>
          <w:tcPr>
            <w:tcW w:w="309" w:type="pct"/>
            <w:tcBorders>
              <w:top w:val="single" w:color="000000" w:sz="4" w:space="0"/>
              <w:left w:val="single" w:color="000000" w:sz="4" w:space="0"/>
              <w:bottom w:val="single" w:color="auto" w:sz="4" w:space="0"/>
              <w:right w:val="single" w:color="000000" w:sz="4" w:space="0"/>
            </w:tcBorders>
            <w:vAlign w:val="center"/>
          </w:tcPr>
          <w:p w14:paraId="05D342FC">
            <w:pPr>
              <w:jc w:val="center"/>
              <w:rPr>
                <w:sz w:val="24"/>
                <w:szCs w:val="24"/>
              </w:rPr>
            </w:pPr>
            <w:r>
              <w:rPr>
                <w:rFonts w:hint="eastAsia"/>
                <w:sz w:val="24"/>
                <w:szCs w:val="24"/>
              </w:rPr>
              <w:t>序号</w:t>
            </w:r>
          </w:p>
        </w:tc>
        <w:tc>
          <w:tcPr>
            <w:tcW w:w="570" w:type="pct"/>
            <w:tcBorders>
              <w:top w:val="single" w:color="000000" w:sz="4" w:space="0"/>
              <w:left w:val="single" w:color="000000" w:sz="4" w:space="0"/>
              <w:bottom w:val="single" w:color="auto" w:sz="4" w:space="0"/>
              <w:right w:val="single" w:color="000000" w:sz="4" w:space="0"/>
            </w:tcBorders>
            <w:vAlign w:val="center"/>
          </w:tcPr>
          <w:p w14:paraId="69D5A8E4">
            <w:pPr>
              <w:jc w:val="center"/>
              <w:rPr>
                <w:sz w:val="24"/>
                <w:szCs w:val="24"/>
              </w:rPr>
            </w:pPr>
            <w:r>
              <w:rPr>
                <w:rFonts w:hint="eastAsia"/>
                <w:sz w:val="24"/>
                <w:szCs w:val="24"/>
              </w:rPr>
              <w:t>内容</w:t>
            </w:r>
          </w:p>
        </w:tc>
        <w:tc>
          <w:tcPr>
            <w:tcW w:w="3423" w:type="pct"/>
            <w:tcBorders>
              <w:top w:val="single" w:color="000000" w:sz="4" w:space="0"/>
              <w:left w:val="single" w:color="000000" w:sz="4" w:space="0"/>
              <w:bottom w:val="single" w:color="auto" w:sz="4" w:space="0"/>
              <w:right w:val="single" w:color="000000" w:sz="4" w:space="0"/>
            </w:tcBorders>
            <w:vAlign w:val="center"/>
          </w:tcPr>
          <w:p w14:paraId="2633588C">
            <w:pPr>
              <w:jc w:val="center"/>
              <w:rPr>
                <w:sz w:val="24"/>
                <w:szCs w:val="24"/>
              </w:rPr>
            </w:pPr>
            <w:r>
              <w:rPr>
                <w:rFonts w:hint="eastAsia"/>
                <w:sz w:val="24"/>
                <w:szCs w:val="24"/>
              </w:rPr>
              <w:t>参数</w:t>
            </w:r>
          </w:p>
        </w:tc>
        <w:tc>
          <w:tcPr>
            <w:tcW w:w="369" w:type="pct"/>
            <w:tcBorders>
              <w:top w:val="single" w:color="000000" w:sz="4" w:space="0"/>
              <w:left w:val="single" w:color="000000" w:sz="4" w:space="0"/>
              <w:bottom w:val="single" w:color="auto" w:sz="4" w:space="0"/>
              <w:right w:val="single" w:color="000000" w:sz="4" w:space="0"/>
            </w:tcBorders>
            <w:vAlign w:val="center"/>
          </w:tcPr>
          <w:p w14:paraId="64D9B1DD">
            <w:pPr>
              <w:jc w:val="center"/>
              <w:rPr>
                <w:sz w:val="24"/>
                <w:szCs w:val="24"/>
              </w:rPr>
            </w:pPr>
            <w:r>
              <w:rPr>
                <w:rFonts w:hint="eastAsia"/>
                <w:sz w:val="24"/>
                <w:szCs w:val="24"/>
              </w:rPr>
              <w:t>数量</w:t>
            </w:r>
          </w:p>
        </w:tc>
        <w:tc>
          <w:tcPr>
            <w:tcW w:w="329" w:type="pct"/>
            <w:tcBorders>
              <w:top w:val="single" w:color="000000" w:sz="4" w:space="0"/>
              <w:left w:val="single" w:color="000000" w:sz="4" w:space="0"/>
              <w:bottom w:val="single" w:color="auto" w:sz="4" w:space="0"/>
              <w:right w:val="single" w:color="000000" w:sz="4" w:space="0"/>
            </w:tcBorders>
            <w:vAlign w:val="center"/>
          </w:tcPr>
          <w:p w14:paraId="622E5F86">
            <w:pPr>
              <w:jc w:val="center"/>
              <w:rPr>
                <w:sz w:val="24"/>
                <w:szCs w:val="24"/>
              </w:rPr>
            </w:pPr>
            <w:r>
              <w:rPr>
                <w:rFonts w:hint="eastAsia"/>
                <w:sz w:val="24"/>
                <w:szCs w:val="24"/>
              </w:rPr>
              <w:t>服务年限</w:t>
            </w:r>
          </w:p>
        </w:tc>
      </w:tr>
      <w:tr w14:paraId="0991EB3F">
        <w:tblPrEx>
          <w:tblCellMar>
            <w:top w:w="15" w:type="dxa"/>
            <w:left w:w="15" w:type="dxa"/>
            <w:bottom w:w="15" w:type="dxa"/>
            <w:right w:w="15" w:type="dxa"/>
          </w:tblCellMar>
        </w:tblPrEx>
        <w:trPr>
          <w:trHeight w:val="2796"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14:paraId="1817F8DD">
            <w:pPr>
              <w:jc w:val="center"/>
              <w:rPr>
                <w:sz w:val="24"/>
                <w:szCs w:val="24"/>
                <w:lang w:val="zh-CN"/>
              </w:rPr>
            </w:pPr>
            <w:r>
              <w:rPr>
                <w:rFonts w:hint="eastAsia"/>
                <w:sz w:val="24"/>
                <w:szCs w:val="24"/>
                <w:lang w:val="zh-CN"/>
              </w:rPr>
              <w:t>1</w:t>
            </w:r>
          </w:p>
        </w:tc>
        <w:tc>
          <w:tcPr>
            <w:tcW w:w="570" w:type="pct"/>
            <w:tcBorders>
              <w:top w:val="single" w:color="auto" w:sz="4" w:space="0"/>
              <w:left w:val="single" w:color="auto" w:sz="4" w:space="0"/>
              <w:bottom w:val="single" w:color="auto" w:sz="4" w:space="0"/>
              <w:right w:val="single" w:color="auto" w:sz="4" w:space="0"/>
            </w:tcBorders>
            <w:vAlign w:val="center"/>
          </w:tcPr>
          <w:p w14:paraId="7700F087">
            <w:pPr>
              <w:jc w:val="center"/>
              <w:rPr>
                <w:sz w:val="24"/>
                <w:szCs w:val="24"/>
                <w:lang w:val="zh-CN"/>
              </w:rPr>
            </w:pPr>
            <w:r>
              <w:rPr>
                <w:rFonts w:hint="eastAsia"/>
                <w:sz w:val="24"/>
                <w:szCs w:val="24"/>
                <w:lang w:val="zh-CN"/>
              </w:rPr>
              <w:t>互联网出口链路</w:t>
            </w:r>
          </w:p>
        </w:tc>
        <w:tc>
          <w:tcPr>
            <w:tcW w:w="3423" w:type="pct"/>
            <w:tcBorders>
              <w:top w:val="single" w:color="auto" w:sz="4" w:space="0"/>
              <w:left w:val="single" w:color="auto" w:sz="4" w:space="0"/>
              <w:bottom w:val="single" w:color="auto" w:sz="4" w:space="0"/>
              <w:right w:val="single" w:color="auto" w:sz="4" w:space="0"/>
            </w:tcBorders>
            <w:vAlign w:val="center"/>
          </w:tcPr>
          <w:p w14:paraId="077AE264">
            <w:pPr>
              <w:jc w:val="both"/>
              <w:rPr>
                <w:sz w:val="24"/>
                <w:szCs w:val="24"/>
                <w:lang w:val="zh-CN"/>
              </w:rPr>
            </w:pPr>
            <w:r>
              <w:rPr>
                <w:rFonts w:hint="eastAsia"/>
                <w:sz w:val="24"/>
                <w:szCs w:val="24"/>
                <w:lang w:val="zh-CN"/>
              </w:rPr>
              <w:t>带宽保障：提供1Gbps对称带宽，上下行速率一致；</w:t>
            </w:r>
          </w:p>
          <w:p w14:paraId="6CB18615">
            <w:pPr>
              <w:jc w:val="both"/>
              <w:rPr>
                <w:sz w:val="24"/>
                <w:szCs w:val="24"/>
                <w:lang w:val="zh-CN"/>
              </w:rPr>
            </w:pPr>
            <w:r>
              <w:rPr>
                <w:rFonts w:hint="eastAsia"/>
                <w:sz w:val="24"/>
                <w:szCs w:val="24"/>
                <w:lang w:val="zh-CN"/>
              </w:rPr>
              <w:t>接入点位：接入到陇县政府中心机房；</w:t>
            </w:r>
          </w:p>
          <w:p w14:paraId="1ACCCA54">
            <w:pPr>
              <w:jc w:val="both"/>
              <w:rPr>
                <w:sz w:val="24"/>
                <w:szCs w:val="24"/>
                <w:lang w:val="zh-CN"/>
              </w:rPr>
            </w:pPr>
            <w:r>
              <w:rPr>
                <w:rFonts w:hint="eastAsia"/>
                <w:sz w:val="24"/>
                <w:szCs w:val="24"/>
                <w:lang w:val="zh-CN"/>
              </w:rPr>
              <w:t>固定IP资源：分配10个互联网地址，用户访问互联网的同时可以向互联网中的其他用户提供信息服务；</w:t>
            </w:r>
          </w:p>
          <w:p w14:paraId="5F5820C2">
            <w:pPr>
              <w:jc w:val="both"/>
              <w:rPr>
                <w:sz w:val="24"/>
                <w:szCs w:val="24"/>
                <w:lang w:val="zh-CN"/>
              </w:rPr>
            </w:pPr>
            <w:r>
              <w:rPr>
                <w:rFonts w:hint="eastAsia"/>
                <w:sz w:val="24"/>
                <w:szCs w:val="24"/>
                <w:lang w:val="zh-CN"/>
              </w:rPr>
              <w:t>可靠性:网络可用率≥99.9%（按年度计算）</w:t>
            </w:r>
          </w:p>
          <w:p w14:paraId="15FAD111">
            <w:pPr>
              <w:jc w:val="both"/>
              <w:rPr>
                <w:sz w:val="24"/>
                <w:szCs w:val="24"/>
                <w:lang w:val="zh-CN"/>
              </w:rPr>
            </w:pPr>
            <w:r>
              <w:rPr>
                <w:rFonts w:hint="eastAsia"/>
                <w:sz w:val="24"/>
                <w:szCs w:val="24"/>
                <w:lang w:val="zh-CN"/>
              </w:rPr>
              <w:t>时延：本地链路延时≤10ms，长途数据传输服务每100公里的延时增加≤1ms；</w:t>
            </w:r>
          </w:p>
          <w:p w14:paraId="1882FEAE">
            <w:pPr>
              <w:jc w:val="both"/>
              <w:rPr>
                <w:sz w:val="24"/>
                <w:szCs w:val="24"/>
                <w:lang w:val="zh-CN"/>
              </w:rPr>
            </w:pPr>
            <w:r>
              <w:rPr>
                <w:rFonts w:hint="eastAsia"/>
                <w:sz w:val="24"/>
                <w:szCs w:val="24"/>
                <w:lang w:val="zh-CN"/>
              </w:rPr>
              <w:t>网络丢包率：在正常带宽负荷下≤0.1％。</w:t>
            </w:r>
          </w:p>
        </w:tc>
        <w:tc>
          <w:tcPr>
            <w:tcW w:w="369" w:type="pct"/>
            <w:tcBorders>
              <w:top w:val="single" w:color="auto" w:sz="4" w:space="0"/>
              <w:left w:val="single" w:color="auto" w:sz="4" w:space="0"/>
              <w:bottom w:val="single" w:color="auto" w:sz="4" w:space="0"/>
              <w:right w:val="single" w:color="auto" w:sz="4" w:space="0"/>
            </w:tcBorders>
            <w:vAlign w:val="center"/>
          </w:tcPr>
          <w:p w14:paraId="0184439F">
            <w:pPr>
              <w:jc w:val="center"/>
              <w:rPr>
                <w:sz w:val="24"/>
                <w:szCs w:val="24"/>
                <w:lang w:val="zh-CN"/>
              </w:rPr>
            </w:pPr>
            <w:r>
              <w:rPr>
                <w:rFonts w:hint="eastAsia"/>
                <w:sz w:val="24"/>
                <w:szCs w:val="24"/>
                <w:lang w:val="zh-CN"/>
              </w:rPr>
              <w:t>1条</w:t>
            </w:r>
          </w:p>
        </w:tc>
        <w:tc>
          <w:tcPr>
            <w:tcW w:w="329" w:type="pct"/>
            <w:tcBorders>
              <w:top w:val="single" w:color="auto" w:sz="4" w:space="0"/>
              <w:left w:val="single" w:color="auto" w:sz="4" w:space="0"/>
              <w:bottom w:val="single" w:color="auto" w:sz="4" w:space="0"/>
              <w:right w:val="single" w:color="auto" w:sz="4" w:space="0"/>
            </w:tcBorders>
            <w:vAlign w:val="center"/>
          </w:tcPr>
          <w:p w14:paraId="5572C413">
            <w:pPr>
              <w:jc w:val="center"/>
              <w:rPr>
                <w:sz w:val="24"/>
                <w:szCs w:val="24"/>
                <w:lang w:val="zh-CN"/>
              </w:rPr>
            </w:pPr>
            <w:r>
              <w:rPr>
                <w:rFonts w:hint="eastAsia"/>
                <w:sz w:val="24"/>
                <w:szCs w:val="24"/>
                <w:lang w:val="en-US" w:eastAsia="zh-CN"/>
              </w:rPr>
              <w:t>1</w:t>
            </w:r>
            <w:r>
              <w:rPr>
                <w:rFonts w:hint="eastAsia"/>
                <w:sz w:val="24"/>
                <w:szCs w:val="24"/>
                <w:lang w:val="zh-CN"/>
              </w:rPr>
              <w:t>年</w:t>
            </w:r>
          </w:p>
        </w:tc>
      </w:tr>
      <w:tr w14:paraId="54FD8A90">
        <w:tblPrEx>
          <w:tblCellMar>
            <w:top w:w="15" w:type="dxa"/>
            <w:left w:w="15" w:type="dxa"/>
            <w:bottom w:w="15" w:type="dxa"/>
            <w:right w:w="15" w:type="dxa"/>
          </w:tblCellMar>
        </w:tblPrEx>
        <w:trPr>
          <w:trHeight w:val="3350"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14:paraId="6E326934">
            <w:pPr>
              <w:jc w:val="center"/>
              <w:rPr>
                <w:sz w:val="24"/>
                <w:szCs w:val="24"/>
                <w:lang w:val="zh-CN"/>
              </w:rPr>
            </w:pPr>
            <w:r>
              <w:rPr>
                <w:rFonts w:hint="eastAsia"/>
                <w:sz w:val="24"/>
                <w:szCs w:val="24"/>
                <w:lang w:val="zh-CN"/>
              </w:rPr>
              <w:t>2</w:t>
            </w:r>
          </w:p>
        </w:tc>
        <w:tc>
          <w:tcPr>
            <w:tcW w:w="570" w:type="pct"/>
            <w:tcBorders>
              <w:top w:val="single" w:color="auto" w:sz="4" w:space="0"/>
              <w:left w:val="single" w:color="auto" w:sz="4" w:space="0"/>
              <w:bottom w:val="single" w:color="auto" w:sz="4" w:space="0"/>
              <w:right w:val="single" w:color="auto" w:sz="4" w:space="0"/>
            </w:tcBorders>
            <w:vAlign w:val="center"/>
          </w:tcPr>
          <w:p w14:paraId="179ADB15">
            <w:pPr>
              <w:jc w:val="center"/>
              <w:rPr>
                <w:sz w:val="24"/>
                <w:szCs w:val="24"/>
                <w:lang w:val="zh-CN"/>
              </w:rPr>
            </w:pPr>
            <w:r>
              <w:rPr>
                <w:rFonts w:hint="eastAsia"/>
                <w:sz w:val="24"/>
                <w:szCs w:val="24"/>
                <w:lang w:val="zh-CN"/>
              </w:rPr>
              <w:t>政务外网接入链路</w:t>
            </w:r>
          </w:p>
        </w:tc>
        <w:tc>
          <w:tcPr>
            <w:tcW w:w="3423" w:type="pct"/>
            <w:tcBorders>
              <w:top w:val="single" w:color="auto" w:sz="4" w:space="0"/>
              <w:left w:val="single" w:color="auto" w:sz="4" w:space="0"/>
              <w:bottom w:val="single" w:color="auto" w:sz="4" w:space="0"/>
              <w:right w:val="single" w:color="auto" w:sz="4" w:space="0"/>
            </w:tcBorders>
            <w:vAlign w:val="center"/>
          </w:tcPr>
          <w:p w14:paraId="167E55D6">
            <w:pPr>
              <w:jc w:val="both"/>
              <w:rPr>
                <w:sz w:val="24"/>
                <w:szCs w:val="24"/>
                <w:lang w:val="zh-CN"/>
              </w:rPr>
            </w:pPr>
            <w:r>
              <w:rPr>
                <w:rFonts w:hint="eastAsia"/>
                <w:sz w:val="24"/>
                <w:szCs w:val="24"/>
                <w:lang w:val="zh-CN"/>
              </w:rPr>
              <w:t>带宽保障：1000Mbps接入链路，支持后续业务扩展和带宽升级，所有设备和链路均专网专用；</w:t>
            </w:r>
          </w:p>
          <w:p w14:paraId="5D86805A">
            <w:pPr>
              <w:jc w:val="both"/>
              <w:rPr>
                <w:sz w:val="24"/>
                <w:szCs w:val="24"/>
                <w:lang w:val="zh-CN"/>
              </w:rPr>
            </w:pPr>
            <w:r>
              <w:rPr>
                <w:rFonts w:hint="eastAsia"/>
                <w:sz w:val="24"/>
                <w:szCs w:val="24"/>
                <w:lang w:val="zh-CN"/>
              </w:rPr>
              <w:t>接口类型：支持多种接入方式，所有接入端口均采用电口或光口，接口类型具备可扩展性，与接入端进行匹配；</w:t>
            </w:r>
          </w:p>
          <w:p w14:paraId="32DC64AF">
            <w:pPr>
              <w:jc w:val="both"/>
              <w:rPr>
                <w:sz w:val="24"/>
                <w:szCs w:val="24"/>
                <w:lang w:val="zh-CN"/>
              </w:rPr>
            </w:pPr>
            <w:r>
              <w:rPr>
                <w:rFonts w:hint="eastAsia"/>
                <w:sz w:val="24"/>
                <w:szCs w:val="24"/>
                <w:lang w:val="zh-CN"/>
              </w:rPr>
              <w:t>可靠性:网络可用率≥99.9%（按年度计算）</w:t>
            </w:r>
          </w:p>
          <w:p w14:paraId="481F7720">
            <w:pPr>
              <w:jc w:val="both"/>
              <w:rPr>
                <w:sz w:val="24"/>
                <w:szCs w:val="24"/>
                <w:lang w:val="zh-CN"/>
              </w:rPr>
            </w:pPr>
            <w:r>
              <w:rPr>
                <w:rFonts w:hint="eastAsia"/>
                <w:sz w:val="24"/>
                <w:szCs w:val="24"/>
                <w:lang w:val="zh-CN"/>
              </w:rPr>
              <w:t>时延：本地链路延时≤10ms，长途数据传输服务每100公里的延时增加≤1ms；</w:t>
            </w:r>
          </w:p>
          <w:p w14:paraId="7D5184CF">
            <w:pPr>
              <w:jc w:val="both"/>
              <w:rPr>
                <w:sz w:val="24"/>
                <w:szCs w:val="24"/>
                <w:lang w:val="zh-CN"/>
              </w:rPr>
            </w:pPr>
            <w:r>
              <w:rPr>
                <w:rFonts w:hint="eastAsia"/>
                <w:sz w:val="24"/>
                <w:szCs w:val="24"/>
                <w:lang w:val="zh-CN"/>
              </w:rPr>
              <w:t>网络丢包率:正常负载下丢包率≤0.1%，峰值流量时丢包率≤0.5%。</w:t>
            </w:r>
          </w:p>
          <w:p w14:paraId="652C0C44">
            <w:pPr>
              <w:jc w:val="both"/>
              <w:rPr>
                <w:sz w:val="24"/>
                <w:szCs w:val="24"/>
                <w:lang w:val="zh-CN"/>
              </w:rPr>
            </w:pPr>
            <w:r>
              <w:rPr>
                <w:rFonts w:hint="eastAsia"/>
                <w:sz w:val="24"/>
                <w:szCs w:val="24"/>
                <w:lang w:val="zh-CN"/>
              </w:rPr>
              <w:t>注：政务外网接入链路明细见详表。</w:t>
            </w:r>
          </w:p>
        </w:tc>
        <w:tc>
          <w:tcPr>
            <w:tcW w:w="369" w:type="pct"/>
            <w:tcBorders>
              <w:top w:val="single" w:color="auto" w:sz="4" w:space="0"/>
              <w:left w:val="single" w:color="auto" w:sz="4" w:space="0"/>
              <w:bottom w:val="single" w:color="auto" w:sz="4" w:space="0"/>
              <w:right w:val="single" w:color="auto" w:sz="4" w:space="0"/>
            </w:tcBorders>
            <w:vAlign w:val="center"/>
          </w:tcPr>
          <w:p w14:paraId="740616A5">
            <w:pPr>
              <w:jc w:val="center"/>
              <w:rPr>
                <w:sz w:val="24"/>
                <w:szCs w:val="24"/>
                <w:lang w:val="zh-CN"/>
              </w:rPr>
            </w:pPr>
            <w:r>
              <w:rPr>
                <w:rFonts w:hint="eastAsia"/>
                <w:sz w:val="24"/>
                <w:szCs w:val="24"/>
                <w:lang w:val="zh-CN"/>
              </w:rPr>
              <w:t>4</w:t>
            </w:r>
            <w:r>
              <w:rPr>
                <w:rFonts w:hint="eastAsia"/>
                <w:sz w:val="24"/>
                <w:szCs w:val="24"/>
                <w:lang w:val="en-US" w:eastAsia="zh-CN"/>
              </w:rPr>
              <w:t>4</w:t>
            </w:r>
            <w:r>
              <w:rPr>
                <w:rFonts w:hint="eastAsia"/>
                <w:sz w:val="24"/>
                <w:szCs w:val="24"/>
                <w:lang w:val="zh-CN"/>
              </w:rPr>
              <w:t>条</w:t>
            </w:r>
          </w:p>
        </w:tc>
        <w:tc>
          <w:tcPr>
            <w:tcW w:w="329" w:type="pct"/>
            <w:tcBorders>
              <w:top w:val="single" w:color="auto" w:sz="4" w:space="0"/>
              <w:left w:val="single" w:color="auto" w:sz="4" w:space="0"/>
              <w:bottom w:val="single" w:color="auto" w:sz="4" w:space="0"/>
              <w:right w:val="single" w:color="auto" w:sz="4" w:space="0"/>
            </w:tcBorders>
            <w:vAlign w:val="center"/>
          </w:tcPr>
          <w:p w14:paraId="582E0A1E">
            <w:pPr>
              <w:jc w:val="center"/>
              <w:rPr>
                <w:sz w:val="24"/>
                <w:szCs w:val="24"/>
                <w:lang w:val="zh-CN"/>
              </w:rPr>
            </w:pPr>
            <w:r>
              <w:rPr>
                <w:rFonts w:hint="eastAsia"/>
                <w:sz w:val="24"/>
                <w:szCs w:val="24"/>
                <w:lang w:val="en-US" w:eastAsia="zh-CN"/>
              </w:rPr>
              <w:t>1</w:t>
            </w:r>
            <w:r>
              <w:rPr>
                <w:rFonts w:hint="eastAsia"/>
                <w:sz w:val="24"/>
                <w:szCs w:val="24"/>
                <w:lang w:val="zh-CN"/>
              </w:rPr>
              <w:t>年</w:t>
            </w:r>
          </w:p>
        </w:tc>
      </w:tr>
      <w:tr w14:paraId="24085B75">
        <w:tblPrEx>
          <w:tblCellMar>
            <w:top w:w="15" w:type="dxa"/>
            <w:left w:w="15" w:type="dxa"/>
            <w:bottom w:w="15" w:type="dxa"/>
            <w:right w:w="15" w:type="dxa"/>
          </w:tblCellMar>
        </w:tblPrEx>
        <w:trPr>
          <w:trHeight w:val="4064" w:hRule="atLeast"/>
          <w:jc w:val="center"/>
        </w:trPr>
        <w:tc>
          <w:tcPr>
            <w:tcW w:w="309" w:type="pct"/>
            <w:tcBorders>
              <w:top w:val="single" w:color="auto" w:sz="4" w:space="0"/>
              <w:left w:val="single" w:color="auto" w:sz="4" w:space="0"/>
              <w:bottom w:val="single" w:color="auto" w:sz="4" w:space="0"/>
              <w:right w:val="single" w:color="auto" w:sz="4" w:space="0"/>
            </w:tcBorders>
            <w:vAlign w:val="center"/>
          </w:tcPr>
          <w:p w14:paraId="03CAB7FE">
            <w:pPr>
              <w:jc w:val="center"/>
              <w:rPr>
                <w:sz w:val="24"/>
                <w:szCs w:val="24"/>
                <w:lang w:val="zh-CN"/>
              </w:rPr>
            </w:pPr>
            <w:r>
              <w:rPr>
                <w:rFonts w:hint="eastAsia"/>
                <w:sz w:val="24"/>
                <w:szCs w:val="24"/>
                <w:lang w:val="zh-CN"/>
              </w:rPr>
              <w:t>3</w:t>
            </w:r>
          </w:p>
        </w:tc>
        <w:tc>
          <w:tcPr>
            <w:tcW w:w="570" w:type="pct"/>
            <w:tcBorders>
              <w:top w:val="single" w:color="auto" w:sz="4" w:space="0"/>
              <w:left w:val="single" w:color="auto" w:sz="4" w:space="0"/>
              <w:bottom w:val="single" w:color="auto" w:sz="4" w:space="0"/>
              <w:right w:val="single" w:color="auto" w:sz="4" w:space="0"/>
            </w:tcBorders>
            <w:vAlign w:val="center"/>
          </w:tcPr>
          <w:p w14:paraId="1D54B5FD">
            <w:pPr>
              <w:jc w:val="center"/>
              <w:rPr>
                <w:sz w:val="24"/>
                <w:szCs w:val="24"/>
                <w:lang w:val="zh-CN"/>
              </w:rPr>
            </w:pPr>
            <w:r>
              <w:rPr>
                <w:rFonts w:hint="eastAsia"/>
                <w:sz w:val="24"/>
                <w:szCs w:val="24"/>
                <w:lang w:val="zh-CN"/>
              </w:rPr>
              <w:t>技术运维服务</w:t>
            </w:r>
          </w:p>
        </w:tc>
        <w:tc>
          <w:tcPr>
            <w:tcW w:w="3423" w:type="pct"/>
            <w:tcBorders>
              <w:top w:val="single" w:color="auto" w:sz="4" w:space="0"/>
              <w:left w:val="single" w:color="auto" w:sz="4" w:space="0"/>
              <w:bottom w:val="single" w:color="auto" w:sz="4" w:space="0"/>
              <w:right w:val="single" w:color="auto" w:sz="4" w:space="0"/>
            </w:tcBorders>
            <w:vAlign w:val="center"/>
          </w:tcPr>
          <w:p w14:paraId="3197C864">
            <w:pPr>
              <w:jc w:val="both"/>
              <w:rPr>
                <w:sz w:val="24"/>
                <w:szCs w:val="24"/>
                <w:lang w:val="zh-CN"/>
              </w:rPr>
            </w:pPr>
            <w:r>
              <w:rPr>
                <w:rFonts w:hint="eastAsia"/>
                <w:sz w:val="24"/>
                <w:szCs w:val="24"/>
                <w:lang w:val="zh-CN"/>
              </w:rPr>
              <w:t>1.负责维护信息机房内全部软硬件设备及链路设施；</w:t>
            </w:r>
          </w:p>
          <w:p w14:paraId="719871FA">
            <w:pPr>
              <w:jc w:val="both"/>
              <w:rPr>
                <w:sz w:val="24"/>
                <w:szCs w:val="24"/>
                <w:lang w:val="zh-CN"/>
              </w:rPr>
            </w:pPr>
            <w:r>
              <w:rPr>
                <w:rFonts w:hint="eastAsia"/>
                <w:sz w:val="24"/>
                <w:szCs w:val="24"/>
                <w:lang w:val="zh-CN"/>
              </w:rPr>
              <w:t>2.做好电子政务内外网、部门专网及互联网出口等节点设备的日常巡检维护、网络监测、安全检测、风险排除、故障问题及时发现和解决等服务工作；</w:t>
            </w:r>
          </w:p>
          <w:p w14:paraId="37797AB4">
            <w:pPr>
              <w:jc w:val="both"/>
              <w:rPr>
                <w:sz w:val="24"/>
                <w:szCs w:val="24"/>
                <w:lang w:val="zh-CN"/>
              </w:rPr>
            </w:pPr>
            <w:r>
              <w:rPr>
                <w:rFonts w:hint="eastAsia"/>
                <w:sz w:val="24"/>
                <w:szCs w:val="24"/>
                <w:lang w:val="zh-CN"/>
              </w:rPr>
              <w:t>3.负责维护园区内外接入单位相关的网络设备及链路设施；</w:t>
            </w:r>
          </w:p>
          <w:p w14:paraId="61911512">
            <w:pPr>
              <w:jc w:val="both"/>
              <w:rPr>
                <w:sz w:val="24"/>
                <w:szCs w:val="24"/>
                <w:lang w:val="zh-CN"/>
              </w:rPr>
            </w:pPr>
            <w:r>
              <w:rPr>
                <w:rFonts w:hint="eastAsia"/>
                <w:sz w:val="24"/>
                <w:szCs w:val="24"/>
                <w:lang w:val="zh-CN"/>
              </w:rPr>
              <w:t>4.机房环境日常维护，包括机房</w:t>
            </w:r>
            <w:bookmarkStart w:id="5" w:name="_Hlk209294169"/>
            <w:r>
              <w:rPr>
                <w:rFonts w:hint="eastAsia"/>
                <w:sz w:val="24"/>
                <w:szCs w:val="24"/>
                <w:lang w:val="zh-CN"/>
              </w:rPr>
              <w:t>的配电、UPS及电池、发电机组、消防、防雷接地、空调、门禁、照明、新风、动力环境</w:t>
            </w:r>
            <w:bookmarkEnd w:id="5"/>
            <w:r>
              <w:rPr>
                <w:rFonts w:hint="eastAsia"/>
                <w:sz w:val="24"/>
                <w:szCs w:val="24"/>
                <w:lang w:val="zh-CN"/>
              </w:rPr>
              <w:t>等；</w:t>
            </w:r>
          </w:p>
          <w:p w14:paraId="5D8F5AB5">
            <w:pPr>
              <w:jc w:val="both"/>
              <w:rPr>
                <w:sz w:val="24"/>
                <w:szCs w:val="24"/>
                <w:lang w:val="zh-CN"/>
              </w:rPr>
            </w:pPr>
            <w:r>
              <w:rPr>
                <w:rFonts w:hint="eastAsia"/>
                <w:sz w:val="24"/>
                <w:szCs w:val="24"/>
                <w:lang w:val="zh-CN"/>
              </w:rPr>
              <w:t>5.按需提供节假日及重大活动期间的网络保障服务工作；</w:t>
            </w:r>
          </w:p>
          <w:p w14:paraId="6B828DBC">
            <w:pPr>
              <w:jc w:val="both"/>
              <w:rPr>
                <w:sz w:val="24"/>
                <w:szCs w:val="24"/>
                <w:lang w:val="zh-CN"/>
              </w:rPr>
            </w:pPr>
            <w:r>
              <w:rPr>
                <w:rFonts w:hint="eastAsia"/>
                <w:sz w:val="24"/>
                <w:szCs w:val="24"/>
                <w:lang w:val="zh-CN"/>
              </w:rPr>
              <w:t>6.具体详见服务要求。</w:t>
            </w:r>
          </w:p>
        </w:tc>
        <w:tc>
          <w:tcPr>
            <w:tcW w:w="369" w:type="pct"/>
            <w:tcBorders>
              <w:top w:val="single" w:color="auto" w:sz="4" w:space="0"/>
              <w:left w:val="single" w:color="auto" w:sz="4" w:space="0"/>
              <w:bottom w:val="single" w:color="auto" w:sz="4" w:space="0"/>
              <w:right w:val="single" w:color="auto" w:sz="4" w:space="0"/>
            </w:tcBorders>
            <w:vAlign w:val="center"/>
          </w:tcPr>
          <w:p w14:paraId="63E2F35F">
            <w:pPr>
              <w:jc w:val="center"/>
              <w:rPr>
                <w:sz w:val="24"/>
                <w:szCs w:val="24"/>
                <w:lang w:val="zh-CN"/>
              </w:rPr>
            </w:pPr>
            <w:r>
              <w:rPr>
                <w:rFonts w:hint="eastAsia"/>
                <w:sz w:val="24"/>
                <w:szCs w:val="24"/>
                <w:lang w:val="zh-CN"/>
              </w:rPr>
              <w:t>1项</w:t>
            </w:r>
          </w:p>
        </w:tc>
        <w:tc>
          <w:tcPr>
            <w:tcW w:w="329" w:type="pct"/>
            <w:tcBorders>
              <w:top w:val="single" w:color="auto" w:sz="4" w:space="0"/>
              <w:left w:val="single" w:color="auto" w:sz="4" w:space="0"/>
              <w:bottom w:val="single" w:color="auto" w:sz="4" w:space="0"/>
              <w:right w:val="single" w:color="auto" w:sz="4" w:space="0"/>
            </w:tcBorders>
            <w:vAlign w:val="center"/>
          </w:tcPr>
          <w:p w14:paraId="3C90C33C">
            <w:pPr>
              <w:jc w:val="center"/>
              <w:rPr>
                <w:sz w:val="24"/>
                <w:szCs w:val="24"/>
                <w:lang w:val="zh-CN"/>
              </w:rPr>
            </w:pPr>
            <w:r>
              <w:rPr>
                <w:rFonts w:hint="eastAsia"/>
                <w:sz w:val="24"/>
                <w:szCs w:val="24"/>
                <w:lang w:val="en-US" w:eastAsia="zh-CN"/>
              </w:rPr>
              <w:t>1</w:t>
            </w:r>
            <w:bookmarkStart w:id="6" w:name="_GoBack"/>
            <w:bookmarkEnd w:id="6"/>
            <w:r>
              <w:rPr>
                <w:rFonts w:hint="eastAsia"/>
                <w:sz w:val="24"/>
                <w:szCs w:val="24"/>
                <w:lang w:val="zh-CN"/>
              </w:rPr>
              <w:t>年</w:t>
            </w:r>
          </w:p>
        </w:tc>
      </w:tr>
    </w:tbl>
    <w:p w14:paraId="2E013610">
      <w:pPr>
        <w:spacing w:line="240" w:lineRule="auto"/>
        <w:ind w:left="0" w:leftChars="0" w:firstLine="0" w:firstLineChars="0"/>
        <w:jc w:val="both"/>
        <w:rPr>
          <w:rFonts w:hint="eastAsia" w:ascii="仿宋_GB2312" w:eastAsia="仿宋_GB2312"/>
          <w:b/>
          <w:bCs/>
          <w:sz w:val="24"/>
          <w:szCs w:val="24"/>
          <w:lang w:val="en-US" w:eastAsia="zh-CN"/>
        </w:rPr>
      </w:pPr>
    </w:p>
    <w:p w14:paraId="78753DB5">
      <w:pPr>
        <w:spacing w:line="240" w:lineRule="auto"/>
        <w:ind w:left="0" w:leftChars="0" w:firstLine="0" w:firstLineChars="0"/>
        <w:jc w:val="both"/>
        <w:rPr>
          <w:rFonts w:ascii="仿宋_GB2312" w:eastAsia="仿宋_GB2312"/>
          <w:b/>
          <w:bCs/>
          <w:sz w:val="24"/>
          <w:szCs w:val="24"/>
          <w:lang w:val="zh-CN"/>
        </w:rPr>
      </w:pPr>
      <w:r>
        <w:rPr>
          <w:rFonts w:hint="eastAsia" w:ascii="仿宋_GB2312" w:eastAsia="仿宋_GB2312"/>
          <w:b/>
          <w:bCs/>
          <w:sz w:val="24"/>
          <w:szCs w:val="24"/>
          <w:lang w:val="en-US" w:eastAsia="zh-CN"/>
        </w:rPr>
        <w:t>2.1</w:t>
      </w:r>
      <w:r>
        <w:rPr>
          <w:rFonts w:hint="eastAsia" w:ascii="仿宋_GB2312" w:eastAsia="仿宋_GB2312"/>
          <w:b/>
          <w:bCs/>
          <w:sz w:val="24"/>
          <w:szCs w:val="24"/>
          <w:lang w:val="zh-CN"/>
        </w:rPr>
        <w:t>政务外网接入链路明细表</w:t>
      </w:r>
    </w:p>
    <w:tbl>
      <w:tblPr>
        <w:tblStyle w:val="14"/>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28"/>
        <w:gridCol w:w="5325"/>
      </w:tblGrid>
      <w:tr w14:paraId="286F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458848FF">
            <w:pPr>
              <w:jc w:val="center"/>
              <w:rPr>
                <w:rFonts w:hint="eastAsia"/>
              </w:rPr>
            </w:pPr>
            <w:r>
              <w:rPr>
                <w:rFonts w:hint="eastAsia"/>
              </w:rPr>
              <w:t>序 号</w:t>
            </w:r>
          </w:p>
        </w:tc>
        <w:tc>
          <w:tcPr>
            <w:tcW w:w="0" w:type="auto"/>
            <w:vAlign w:val="center"/>
          </w:tcPr>
          <w:p w14:paraId="1AB58840">
            <w:pPr>
              <w:rPr>
                <w:rFonts w:hint="eastAsia"/>
              </w:rPr>
            </w:pPr>
            <w:r>
              <w:rPr>
                <w:rFonts w:hint="eastAsia"/>
              </w:rPr>
              <w:t>接入要求</w:t>
            </w:r>
          </w:p>
        </w:tc>
        <w:tc>
          <w:tcPr>
            <w:tcW w:w="0" w:type="auto"/>
            <w:vAlign w:val="center"/>
          </w:tcPr>
          <w:p w14:paraId="05731A1E">
            <w:pPr>
              <w:rPr>
                <w:rFonts w:hint="eastAsia"/>
              </w:rPr>
            </w:pPr>
            <w:r>
              <w:rPr>
                <w:rFonts w:hint="eastAsia"/>
              </w:rPr>
              <w:t>接入单位</w:t>
            </w:r>
          </w:p>
        </w:tc>
      </w:tr>
      <w:tr w14:paraId="3C01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14C7D312">
            <w:pPr>
              <w:jc w:val="center"/>
              <w:rPr>
                <w:rFonts w:hint="eastAsia"/>
              </w:rPr>
            </w:pPr>
            <w:r>
              <w:rPr>
                <w:rFonts w:hint="eastAsia"/>
              </w:rPr>
              <w:t>1</w:t>
            </w:r>
          </w:p>
        </w:tc>
        <w:tc>
          <w:tcPr>
            <w:tcW w:w="2328" w:type="dxa"/>
            <w:noWrap/>
            <w:vAlign w:val="center"/>
          </w:tcPr>
          <w:p w14:paraId="2319CA18">
            <w:pPr>
              <w:rPr>
                <w:rFonts w:hint="eastAsia"/>
              </w:rPr>
            </w:pPr>
            <w:r>
              <w:rPr>
                <w:rFonts w:hint="eastAsia"/>
              </w:rPr>
              <w:t>1000M政务外网接入</w:t>
            </w:r>
          </w:p>
        </w:tc>
        <w:tc>
          <w:tcPr>
            <w:tcW w:w="0" w:type="auto"/>
            <w:vAlign w:val="center"/>
          </w:tcPr>
          <w:p w14:paraId="1C9EA69C">
            <w:pPr>
              <w:rPr>
                <w:rFonts w:hint="eastAsia"/>
              </w:rPr>
            </w:pPr>
            <w:r>
              <w:rPr>
                <w:rFonts w:hint="eastAsia"/>
              </w:rPr>
              <w:t>县委巡察办</w:t>
            </w:r>
          </w:p>
        </w:tc>
      </w:tr>
      <w:tr w14:paraId="1F0F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6445C927">
            <w:pPr>
              <w:jc w:val="center"/>
              <w:rPr>
                <w:rFonts w:hint="eastAsia"/>
              </w:rPr>
            </w:pPr>
            <w:r>
              <w:rPr>
                <w:rFonts w:hint="eastAsia"/>
              </w:rPr>
              <w:t>2</w:t>
            </w:r>
          </w:p>
        </w:tc>
        <w:tc>
          <w:tcPr>
            <w:tcW w:w="2328" w:type="dxa"/>
            <w:noWrap/>
            <w:vAlign w:val="center"/>
          </w:tcPr>
          <w:p w14:paraId="14A96776">
            <w:pPr>
              <w:rPr>
                <w:rFonts w:hint="eastAsia"/>
              </w:rPr>
            </w:pPr>
            <w:r>
              <w:rPr>
                <w:rFonts w:hint="eastAsia"/>
              </w:rPr>
              <w:t>1000M政务外网接入</w:t>
            </w:r>
          </w:p>
        </w:tc>
        <w:tc>
          <w:tcPr>
            <w:tcW w:w="0" w:type="auto"/>
            <w:vAlign w:val="center"/>
          </w:tcPr>
          <w:p w14:paraId="714562A5">
            <w:pPr>
              <w:rPr>
                <w:rFonts w:hint="eastAsia"/>
              </w:rPr>
            </w:pPr>
            <w:r>
              <w:rPr>
                <w:rFonts w:hint="eastAsia"/>
              </w:rPr>
              <w:t>县委党校</w:t>
            </w:r>
          </w:p>
        </w:tc>
      </w:tr>
      <w:tr w14:paraId="0AFD4564">
        <w:tblPrEx>
          <w:tblCellMar>
            <w:top w:w="0" w:type="dxa"/>
            <w:left w:w="108" w:type="dxa"/>
            <w:bottom w:w="0" w:type="dxa"/>
            <w:right w:w="108" w:type="dxa"/>
          </w:tblCellMar>
        </w:tblPrEx>
        <w:trPr>
          <w:trHeight w:val="305" w:hRule="atLeast"/>
          <w:jc w:val="center"/>
        </w:trPr>
        <w:tc>
          <w:tcPr>
            <w:tcW w:w="0" w:type="auto"/>
            <w:vAlign w:val="center"/>
          </w:tcPr>
          <w:p w14:paraId="259946B4">
            <w:pPr>
              <w:jc w:val="center"/>
              <w:rPr>
                <w:rFonts w:hint="eastAsia"/>
              </w:rPr>
            </w:pPr>
            <w:r>
              <w:rPr>
                <w:rFonts w:hint="eastAsia"/>
              </w:rPr>
              <w:t>3</w:t>
            </w:r>
          </w:p>
        </w:tc>
        <w:tc>
          <w:tcPr>
            <w:tcW w:w="2328" w:type="dxa"/>
            <w:noWrap/>
            <w:vAlign w:val="center"/>
          </w:tcPr>
          <w:p w14:paraId="3E720CE0">
            <w:pPr>
              <w:rPr>
                <w:rFonts w:hint="eastAsia"/>
              </w:rPr>
            </w:pPr>
            <w:r>
              <w:rPr>
                <w:rFonts w:hint="eastAsia"/>
              </w:rPr>
              <w:t>1000M政务外网接入</w:t>
            </w:r>
          </w:p>
        </w:tc>
        <w:tc>
          <w:tcPr>
            <w:tcW w:w="0" w:type="auto"/>
            <w:vAlign w:val="center"/>
          </w:tcPr>
          <w:p w14:paraId="75502F9E">
            <w:pPr>
              <w:rPr>
                <w:rFonts w:hint="eastAsia"/>
              </w:rPr>
            </w:pPr>
            <w:r>
              <w:rPr>
                <w:rFonts w:hint="eastAsia"/>
              </w:rPr>
              <w:t>市民中心</w:t>
            </w:r>
          </w:p>
        </w:tc>
      </w:tr>
      <w:tr w14:paraId="3E43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148EBAA5">
            <w:pPr>
              <w:jc w:val="center"/>
              <w:rPr>
                <w:rFonts w:hint="eastAsia"/>
              </w:rPr>
            </w:pPr>
            <w:r>
              <w:rPr>
                <w:rFonts w:hint="eastAsia"/>
              </w:rPr>
              <w:t>4</w:t>
            </w:r>
          </w:p>
        </w:tc>
        <w:tc>
          <w:tcPr>
            <w:tcW w:w="2328" w:type="dxa"/>
            <w:noWrap/>
            <w:vAlign w:val="center"/>
          </w:tcPr>
          <w:p w14:paraId="29E332BE">
            <w:pPr>
              <w:rPr>
                <w:rFonts w:hint="eastAsia"/>
              </w:rPr>
            </w:pPr>
            <w:r>
              <w:rPr>
                <w:rFonts w:hint="eastAsia"/>
              </w:rPr>
              <w:t>1000M政务外网接入</w:t>
            </w:r>
          </w:p>
        </w:tc>
        <w:tc>
          <w:tcPr>
            <w:tcW w:w="0" w:type="auto"/>
            <w:vAlign w:val="center"/>
          </w:tcPr>
          <w:p w14:paraId="48FF4A34">
            <w:pPr>
              <w:rPr>
                <w:rFonts w:hint="eastAsia"/>
              </w:rPr>
            </w:pPr>
            <w:r>
              <w:rPr>
                <w:rFonts w:hint="eastAsia"/>
              </w:rPr>
              <w:t>林业局</w:t>
            </w:r>
          </w:p>
        </w:tc>
      </w:tr>
      <w:tr w14:paraId="1E95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61A75308">
            <w:pPr>
              <w:jc w:val="center"/>
              <w:rPr>
                <w:rFonts w:hint="eastAsia"/>
              </w:rPr>
            </w:pPr>
            <w:r>
              <w:rPr>
                <w:rFonts w:hint="eastAsia"/>
              </w:rPr>
              <w:t>5</w:t>
            </w:r>
          </w:p>
        </w:tc>
        <w:tc>
          <w:tcPr>
            <w:tcW w:w="2328" w:type="dxa"/>
            <w:noWrap/>
            <w:vAlign w:val="center"/>
          </w:tcPr>
          <w:p w14:paraId="67F94235">
            <w:pPr>
              <w:rPr>
                <w:rFonts w:hint="eastAsia"/>
              </w:rPr>
            </w:pPr>
            <w:r>
              <w:rPr>
                <w:rFonts w:hint="eastAsia"/>
              </w:rPr>
              <w:t>1000M政务外网接入</w:t>
            </w:r>
          </w:p>
        </w:tc>
        <w:tc>
          <w:tcPr>
            <w:tcW w:w="0" w:type="auto"/>
            <w:vAlign w:val="center"/>
          </w:tcPr>
          <w:p w14:paraId="65FE6619">
            <w:pPr>
              <w:rPr>
                <w:rFonts w:hint="eastAsia"/>
              </w:rPr>
            </w:pPr>
            <w:r>
              <w:rPr>
                <w:rFonts w:hint="eastAsia"/>
              </w:rPr>
              <w:t>畜产局</w:t>
            </w:r>
          </w:p>
        </w:tc>
      </w:tr>
      <w:tr w14:paraId="6CC6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5285EDEE">
            <w:pPr>
              <w:jc w:val="center"/>
              <w:rPr>
                <w:rFonts w:hint="eastAsia"/>
              </w:rPr>
            </w:pPr>
            <w:r>
              <w:rPr>
                <w:rFonts w:hint="eastAsia"/>
              </w:rPr>
              <w:t>6</w:t>
            </w:r>
          </w:p>
        </w:tc>
        <w:tc>
          <w:tcPr>
            <w:tcW w:w="2328" w:type="dxa"/>
            <w:noWrap/>
            <w:vAlign w:val="center"/>
          </w:tcPr>
          <w:p w14:paraId="6CE4CE01">
            <w:pPr>
              <w:rPr>
                <w:rFonts w:hint="eastAsia"/>
              </w:rPr>
            </w:pPr>
            <w:r>
              <w:rPr>
                <w:rFonts w:hint="eastAsia"/>
              </w:rPr>
              <w:t>1000M政务外网接入</w:t>
            </w:r>
          </w:p>
        </w:tc>
        <w:tc>
          <w:tcPr>
            <w:tcW w:w="0" w:type="auto"/>
            <w:vAlign w:val="center"/>
          </w:tcPr>
          <w:p w14:paraId="78EDB340">
            <w:pPr>
              <w:rPr>
                <w:rFonts w:hint="eastAsia"/>
              </w:rPr>
            </w:pPr>
            <w:r>
              <w:rPr>
                <w:rFonts w:hint="eastAsia"/>
              </w:rPr>
              <w:t>园区管委会</w:t>
            </w:r>
          </w:p>
        </w:tc>
      </w:tr>
      <w:tr w14:paraId="0530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30382702">
            <w:pPr>
              <w:jc w:val="center"/>
              <w:rPr>
                <w:rFonts w:hint="eastAsia"/>
              </w:rPr>
            </w:pPr>
            <w:r>
              <w:rPr>
                <w:rFonts w:hint="eastAsia"/>
              </w:rPr>
              <w:t>7</w:t>
            </w:r>
          </w:p>
        </w:tc>
        <w:tc>
          <w:tcPr>
            <w:tcW w:w="2328" w:type="dxa"/>
            <w:noWrap/>
            <w:vAlign w:val="center"/>
          </w:tcPr>
          <w:p w14:paraId="23CF6D2F">
            <w:pPr>
              <w:rPr>
                <w:rFonts w:hint="eastAsia"/>
              </w:rPr>
            </w:pPr>
            <w:r>
              <w:rPr>
                <w:rFonts w:hint="eastAsia"/>
              </w:rPr>
              <w:t>1000M政务外网接入</w:t>
            </w:r>
          </w:p>
        </w:tc>
        <w:tc>
          <w:tcPr>
            <w:tcW w:w="0" w:type="auto"/>
            <w:vAlign w:val="center"/>
          </w:tcPr>
          <w:p w14:paraId="1671F854">
            <w:pPr>
              <w:rPr>
                <w:rFonts w:hint="eastAsia"/>
              </w:rPr>
            </w:pPr>
            <w:r>
              <w:rPr>
                <w:rFonts w:hint="eastAsia"/>
              </w:rPr>
              <w:t>供销联社</w:t>
            </w:r>
          </w:p>
        </w:tc>
      </w:tr>
      <w:tr w14:paraId="38BB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599BAF7A">
            <w:pPr>
              <w:jc w:val="center"/>
              <w:rPr>
                <w:rFonts w:hint="eastAsia"/>
              </w:rPr>
            </w:pPr>
            <w:r>
              <w:rPr>
                <w:rFonts w:hint="eastAsia"/>
              </w:rPr>
              <w:t>8</w:t>
            </w:r>
          </w:p>
        </w:tc>
        <w:tc>
          <w:tcPr>
            <w:tcW w:w="2328" w:type="dxa"/>
            <w:noWrap/>
            <w:vAlign w:val="center"/>
          </w:tcPr>
          <w:p w14:paraId="691279FF">
            <w:pPr>
              <w:rPr>
                <w:rFonts w:hint="eastAsia"/>
              </w:rPr>
            </w:pPr>
            <w:r>
              <w:rPr>
                <w:rFonts w:hint="eastAsia"/>
              </w:rPr>
              <w:t>1000M政务外网接入</w:t>
            </w:r>
          </w:p>
        </w:tc>
        <w:tc>
          <w:tcPr>
            <w:tcW w:w="0" w:type="auto"/>
            <w:vAlign w:val="center"/>
          </w:tcPr>
          <w:p w14:paraId="2B7F1697">
            <w:pPr>
              <w:rPr>
                <w:rFonts w:hint="eastAsia"/>
              </w:rPr>
            </w:pPr>
            <w:r>
              <w:rPr>
                <w:rFonts w:hint="eastAsia"/>
              </w:rPr>
              <w:t>检察院</w:t>
            </w:r>
          </w:p>
        </w:tc>
      </w:tr>
      <w:tr w14:paraId="364D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1E4162DE">
            <w:pPr>
              <w:jc w:val="center"/>
              <w:rPr>
                <w:rFonts w:hint="eastAsia"/>
              </w:rPr>
            </w:pPr>
            <w:r>
              <w:rPr>
                <w:rFonts w:hint="eastAsia"/>
              </w:rPr>
              <w:t>9</w:t>
            </w:r>
          </w:p>
        </w:tc>
        <w:tc>
          <w:tcPr>
            <w:tcW w:w="2328" w:type="dxa"/>
            <w:noWrap/>
            <w:vAlign w:val="center"/>
          </w:tcPr>
          <w:p w14:paraId="6FC91ACF">
            <w:pPr>
              <w:rPr>
                <w:rFonts w:hint="eastAsia"/>
              </w:rPr>
            </w:pPr>
            <w:r>
              <w:rPr>
                <w:rFonts w:hint="eastAsia"/>
              </w:rPr>
              <w:t>1000M政务外网接入</w:t>
            </w:r>
          </w:p>
        </w:tc>
        <w:tc>
          <w:tcPr>
            <w:tcW w:w="0" w:type="auto"/>
            <w:vAlign w:val="center"/>
          </w:tcPr>
          <w:p w14:paraId="6928C2A7">
            <w:pPr>
              <w:rPr>
                <w:rFonts w:hint="eastAsia"/>
              </w:rPr>
            </w:pPr>
            <w:r>
              <w:rPr>
                <w:rFonts w:hint="eastAsia"/>
              </w:rPr>
              <w:t>法院</w:t>
            </w:r>
          </w:p>
        </w:tc>
      </w:tr>
      <w:tr w14:paraId="0792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5BD81BA0">
            <w:pPr>
              <w:jc w:val="center"/>
              <w:rPr>
                <w:rFonts w:hint="eastAsia"/>
              </w:rPr>
            </w:pPr>
            <w:r>
              <w:rPr>
                <w:rFonts w:hint="eastAsia"/>
              </w:rPr>
              <w:t>10</w:t>
            </w:r>
          </w:p>
        </w:tc>
        <w:tc>
          <w:tcPr>
            <w:tcW w:w="2328" w:type="dxa"/>
            <w:noWrap/>
            <w:vAlign w:val="center"/>
          </w:tcPr>
          <w:p w14:paraId="001F10F0">
            <w:pPr>
              <w:rPr>
                <w:rFonts w:hint="eastAsia"/>
              </w:rPr>
            </w:pPr>
            <w:r>
              <w:rPr>
                <w:rFonts w:hint="eastAsia"/>
              </w:rPr>
              <w:t>1000M政务外网接入</w:t>
            </w:r>
          </w:p>
        </w:tc>
        <w:tc>
          <w:tcPr>
            <w:tcW w:w="0" w:type="auto"/>
            <w:vAlign w:val="center"/>
          </w:tcPr>
          <w:p w14:paraId="2C758407">
            <w:pPr>
              <w:rPr>
                <w:rFonts w:hint="eastAsia"/>
              </w:rPr>
            </w:pPr>
            <w:r>
              <w:rPr>
                <w:rFonts w:hint="eastAsia"/>
              </w:rPr>
              <w:t>秦管处</w:t>
            </w:r>
          </w:p>
        </w:tc>
      </w:tr>
      <w:tr w14:paraId="446A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5E32B1EF">
            <w:pPr>
              <w:jc w:val="center"/>
              <w:rPr>
                <w:rFonts w:hint="eastAsia"/>
              </w:rPr>
            </w:pPr>
            <w:r>
              <w:rPr>
                <w:rFonts w:hint="eastAsia"/>
              </w:rPr>
              <w:t>11</w:t>
            </w:r>
          </w:p>
        </w:tc>
        <w:tc>
          <w:tcPr>
            <w:tcW w:w="2328" w:type="dxa"/>
            <w:noWrap/>
            <w:vAlign w:val="center"/>
          </w:tcPr>
          <w:p w14:paraId="700F58B8">
            <w:pPr>
              <w:rPr>
                <w:rFonts w:hint="eastAsia"/>
              </w:rPr>
            </w:pPr>
            <w:r>
              <w:rPr>
                <w:rFonts w:hint="eastAsia"/>
              </w:rPr>
              <w:t>1000M政务外网接入</w:t>
            </w:r>
          </w:p>
        </w:tc>
        <w:tc>
          <w:tcPr>
            <w:tcW w:w="0" w:type="auto"/>
            <w:vAlign w:val="center"/>
          </w:tcPr>
          <w:p w14:paraId="6B390977">
            <w:pPr>
              <w:rPr>
                <w:rFonts w:hint="eastAsia"/>
              </w:rPr>
            </w:pPr>
            <w:r>
              <w:rPr>
                <w:rFonts w:hint="eastAsia"/>
              </w:rPr>
              <w:t>税务局</w:t>
            </w:r>
          </w:p>
        </w:tc>
      </w:tr>
      <w:tr w14:paraId="3AC7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4821AAD2">
            <w:pPr>
              <w:jc w:val="center"/>
              <w:rPr>
                <w:rFonts w:hint="eastAsia"/>
              </w:rPr>
            </w:pPr>
            <w:r>
              <w:rPr>
                <w:rFonts w:hint="eastAsia"/>
              </w:rPr>
              <w:t>12</w:t>
            </w:r>
          </w:p>
        </w:tc>
        <w:tc>
          <w:tcPr>
            <w:tcW w:w="2328" w:type="dxa"/>
            <w:noWrap/>
            <w:vAlign w:val="center"/>
          </w:tcPr>
          <w:p w14:paraId="04FCE446">
            <w:pPr>
              <w:rPr>
                <w:rFonts w:hint="eastAsia"/>
              </w:rPr>
            </w:pPr>
            <w:r>
              <w:rPr>
                <w:rFonts w:hint="eastAsia"/>
              </w:rPr>
              <w:t>1000M政务外网接入</w:t>
            </w:r>
          </w:p>
        </w:tc>
        <w:tc>
          <w:tcPr>
            <w:tcW w:w="0" w:type="auto"/>
            <w:vAlign w:val="center"/>
          </w:tcPr>
          <w:p w14:paraId="502B8BB0">
            <w:pPr>
              <w:rPr>
                <w:rFonts w:hint="eastAsia"/>
              </w:rPr>
            </w:pPr>
            <w:r>
              <w:rPr>
                <w:rFonts w:hint="eastAsia"/>
              </w:rPr>
              <w:t>气象局</w:t>
            </w:r>
          </w:p>
        </w:tc>
      </w:tr>
      <w:tr w14:paraId="1636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1EC0710A">
            <w:pPr>
              <w:jc w:val="center"/>
              <w:rPr>
                <w:rFonts w:hint="eastAsia"/>
              </w:rPr>
            </w:pPr>
            <w:r>
              <w:rPr>
                <w:rFonts w:hint="eastAsia"/>
              </w:rPr>
              <w:t>13</w:t>
            </w:r>
          </w:p>
        </w:tc>
        <w:tc>
          <w:tcPr>
            <w:tcW w:w="2328" w:type="dxa"/>
            <w:noWrap/>
            <w:vAlign w:val="center"/>
          </w:tcPr>
          <w:p w14:paraId="72DD42AC">
            <w:pPr>
              <w:rPr>
                <w:rFonts w:hint="eastAsia"/>
              </w:rPr>
            </w:pPr>
            <w:r>
              <w:rPr>
                <w:rFonts w:hint="eastAsia"/>
              </w:rPr>
              <w:t>1000M政务外网接入</w:t>
            </w:r>
          </w:p>
        </w:tc>
        <w:tc>
          <w:tcPr>
            <w:tcW w:w="0" w:type="auto"/>
            <w:vAlign w:val="center"/>
          </w:tcPr>
          <w:p w14:paraId="00DB8F92">
            <w:pPr>
              <w:rPr>
                <w:rFonts w:hint="eastAsia"/>
              </w:rPr>
            </w:pPr>
            <w:r>
              <w:rPr>
                <w:rFonts w:hint="eastAsia"/>
              </w:rPr>
              <w:t>果业服务中心</w:t>
            </w:r>
          </w:p>
        </w:tc>
      </w:tr>
      <w:tr w14:paraId="2599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59AD92BC">
            <w:pPr>
              <w:jc w:val="center"/>
              <w:rPr>
                <w:rFonts w:hint="eastAsia"/>
              </w:rPr>
            </w:pPr>
            <w:r>
              <w:rPr>
                <w:rFonts w:hint="eastAsia"/>
              </w:rPr>
              <w:t>14</w:t>
            </w:r>
          </w:p>
        </w:tc>
        <w:tc>
          <w:tcPr>
            <w:tcW w:w="2328" w:type="dxa"/>
            <w:noWrap/>
            <w:vAlign w:val="center"/>
          </w:tcPr>
          <w:p w14:paraId="2287EC76">
            <w:pPr>
              <w:rPr>
                <w:rFonts w:hint="eastAsia"/>
              </w:rPr>
            </w:pPr>
            <w:r>
              <w:rPr>
                <w:rFonts w:hint="eastAsia"/>
              </w:rPr>
              <w:t>1000M政务外网接入</w:t>
            </w:r>
          </w:p>
        </w:tc>
        <w:tc>
          <w:tcPr>
            <w:tcW w:w="0" w:type="auto"/>
            <w:vAlign w:val="center"/>
          </w:tcPr>
          <w:p w14:paraId="01943076">
            <w:pPr>
              <w:rPr>
                <w:rFonts w:hint="eastAsia"/>
              </w:rPr>
            </w:pPr>
            <w:r>
              <w:rPr>
                <w:rFonts w:hint="eastAsia"/>
              </w:rPr>
              <w:t>档案馆</w:t>
            </w:r>
          </w:p>
        </w:tc>
      </w:tr>
      <w:tr w14:paraId="0FB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18892BD9">
            <w:pPr>
              <w:jc w:val="center"/>
              <w:rPr>
                <w:rFonts w:hint="eastAsia"/>
              </w:rPr>
            </w:pPr>
            <w:r>
              <w:rPr>
                <w:rFonts w:hint="eastAsia"/>
              </w:rPr>
              <w:t>15</w:t>
            </w:r>
          </w:p>
        </w:tc>
        <w:tc>
          <w:tcPr>
            <w:tcW w:w="2328" w:type="dxa"/>
            <w:noWrap/>
            <w:vAlign w:val="center"/>
          </w:tcPr>
          <w:p w14:paraId="62BA1D6E">
            <w:pPr>
              <w:rPr>
                <w:rFonts w:hint="eastAsia"/>
              </w:rPr>
            </w:pPr>
            <w:r>
              <w:rPr>
                <w:rFonts w:hint="eastAsia"/>
              </w:rPr>
              <w:t>1000M政务外网接入</w:t>
            </w:r>
          </w:p>
        </w:tc>
        <w:tc>
          <w:tcPr>
            <w:tcW w:w="0" w:type="auto"/>
            <w:vAlign w:val="center"/>
          </w:tcPr>
          <w:p w14:paraId="725E4FDC">
            <w:pPr>
              <w:rPr>
                <w:rFonts w:hint="eastAsia"/>
              </w:rPr>
            </w:pPr>
            <w:r>
              <w:rPr>
                <w:rFonts w:hint="eastAsia"/>
              </w:rPr>
              <w:t>工会</w:t>
            </w:r>
          </w:p>
        </w:tc>
      </w:tr>
      <w:tr w14:paraId="6D91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67D00ED4">
            <w:pPr>
              <w:jc w:val="center"/>
              <w:rPr>
                <w:rFonts w:hint="eastAsia"/>
              </w:rPr>
            </w:pPr>
            <w:r>
              <w:rPr>
                <w:rFonts w:hint="eastAsia"/>
              </w:rPr>
              <w:t>16</w:t>
            </w:r>
          </w:p>
        </w:tc>
        <w:tc>
          <w:tcPr>
            <w:tcW w:w="2328" w:type="dxa"/>
            <w:noWrap/>
            <w:vAlign w:val="center"/>
          </w:tcPr>
          <w:p w14:paraId="7D41CB00">
            <w:pPr>
              <w:rPr>
                <w:rFonts w:hint="eastAsia"/>
              </w:rPr>
            </w:pPr>
            <w:r>
              <w:rPr>
                <w:rFonts w:hint="eastAsia"/>
              </w:rPr>
              <w:t>1000M政务外网接入</w:t>
            </w:r>
          </w:p>
        </w:tc>
        <w:tc>
          <w:tcPr>
            <w:tcW w:w="0" w:type="auto"/>
            <w:vAlign w:val="center"/>
          </w:tcPr>
          <w:p w14:paraId="2B47AC15">
            <w:pPr>
              <w:rPr>
                <w:rFonts w:hint="eastAsia"/>
              </w:rPr>
            </w:pPr>
            <w:r>
              <w:rPr>
                <w:rFonts w:hint="eastAsia"/>
              </w:rPr>
              <w:t>工商联/科技局/科协</w:t>
            </w:r>
          </w:p>
        </w:tc>
      </w:tr>
      <w:tr w14:paraId="51DD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0" w:type="auto"/>
            <w:vAlign w:val="center"/>
          </w:tcPr>
          <w:p w14:paraId="46CC83E8">
            <w:pPr>
              <w:jc w:val="center"/>
              <w:rPr>
                <w:rFonts w:hint="eastAsia"/>
              </w:rPr>
            </w:pPr>
            <w:r>
              <w:rPr>
                <w:rFonts w:hint="eastAsia"/>
              </w:rPr>
              <w:t>17</w:t>
            </w:r>
          </w:p>
        </w:tc>
        <w:tc>
          <w:tcPr>
            <w:tcW w:w="2328" w:type="dxa"/>
            <w:noWrap/>
            <w:vAlign w:val="center"/>
          </w:tcPr>
          <w:p w14:paraId="0787B254">
            <w:pPr>
              <w:rPr>
                <w:rFonts w:hint="eastAsia"/>
              </w:rPr>
            </w:pPr>
            <w:r>
              <w:rPr>
                <w:rFonts w:hint="eastAsia"/>
              </w:rPr>
              <w:t>1000M政务外网接入</w:t>
            </w:r>
          </w:p>
        </w:tc>
        <w:tc>
          <w:tcPr>
            <w:tcW w:w="0" w:type="auto"/>
            <w:vAlign w:val="center"/>
          </w:tcPr>
          <w:p w14:paraId="216EFC7E">
            <w:pPr>
              <w:rPr>
                <w:rFonts w:hint="eastAsia"/>
              </w:rPr>
            </w:pPr>
            <w:r>
              <w:rPr>
                <w:rFonts w:hint="eastAsia"/>
              </w:rPr>
              <w:t>发改局/招商局</w:t>
            </w:r>
          </w:p>
        </w:tc>
      </w:tr>
      <w:tr w14:paraId="799F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3AA4716E">
            <w:pPr>
              <w:jc w:val="center"/>
              <w:rPr>
                <w:rFonts w:hint="eastAsia"/>
              </w:rPr>
            </w:pPr>
            <w:r>
              <w:rPr>
                <w:rFonts w:hint="eastAsia"/>
              </w:rPr>
              <w:t>18</w:t>
            </w:r>
          </w:p>
        </w:tc>
        <w:tc>
          <w:tcPr>
            <w:tcW w:w="2328" w:type="dxa"/>
            <w:noWrap/>
            <w:vAlign w:val="center"/>
          </w:tcPr>
          <w:p w14:paraId="1BD11094">
            <w:pPr>
              <w:rPr>
                <w:rFonts w:hint="eastAsia"/>
              </w:rPr>
            </w:pPr>
            <w:r>
              <w:rPr>
                <w:rFonts w:hint="eastAsia"/>
              </w:rPr>
              <w:t>1000M政务外网接入</w:t>
            </w:r>
          </w:p>
        </w:tc>
        <w:tc>
          <w:tcPr>
            <w:tcW w:w="0" w:type="auto"/>
            <w:vAlign w:val="center"/>
          </w:tcPr>
          <w:p w14:paraId="4838742E">
            <w:pPr>
              <w:rPr>
                <w:rFonts w:hint="eastAsia"/>
              </w:rPr>
            </w:pPr>
            <w:r>
              <w:rPr>
                <w:rFonts w:hint="eastAsia"/>
              </w:rPr>
              <w:t>教体局</w:t>
            </w:r>
          </w:p>
        </w:tc>
      </w:tr>
      <w:tr w14:paraId="0F7C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271F1B1A">
            <w:pPr>
              <w:jc w:val="center"/>
              <w:rPr>
                <w:rFonts w:hint="eastAsia"/>
              </w:rPr>
            </w:pPr>
            <w:r>
              <w:rPr>
                <w:rFonts w:hint="eastAsia"/>
              </w:rPr>
              <w:t>19</w:t>
            </w:r>
          </w:p>
        </w:tc>
        <w:tc>
          <w:tcPr>
            <w:tcW w:w="2328" w:type="dxa"/>
            <w:noWrap/>
            <w:vAlign w:val="center"/>
          </w:tcPr>
          <w:p w14:paraId="0FF35EDB">
            <w:pPr>
              <w:rPr>
                <w:rFonts w:hint="eastAsia"/>
              </w:rPr>
            </w:pPr>
            <w:r>
              <w:rPr>
                <w:rFonts w:hint="eastAsia"/>
              </w:rPr>
              <w:t>1000M政务外网接入</w:t>
            </w:r>
          </w:p>
        </w:tc>
        <w:tc>
          <w:tcPr>
            <w:tcW w:w="0" w:type="auto"/>
            <w:vAlign w:val="center"/>
          </w:tcPr>
          <w:p w14:paraId="0BE50A84">
            <w:pPr>
              <w:rPr>
                <w:rFonts w:hint="eastAsia"/>
              </w:rPr>
            </w:pPr>
            <w:r>
              <w:rPr>
                <w:rFonts w:hint="eastAsia"/>
              </w:rPr>
              <w:t>工信局/司法局/交通运输局/文旅局/自然资源局</w:t>
            </w:r>
          </w:p>
        </w:tc>
      </w:tr>
      <w:tr w14:paraId="1047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0A62D144">
            <w:pPr>
              <w:jc w:val="center"/>
              <w:rPr>
                <w:rFonts w:hint="eastAsia"/>
              </w:rPr>
            </w:pPr>
            <w:r>
              <w:rPr>
                <w:rFonts w:hint="eastAsia"/>
              </w:rPr>
              <w:t>20</w:t>
            </w:r>
          </w:p>
        </w:tc>
        <w:tc>
          <w:tcPr>
            <w:tcW w:w="2328" w:type="dxa"/>
            <w:noWrap/>
            <w:vAlign w:val="center"/>
          </w:tcPr>
          <w:p w14:paraId="4FBF579E">
            <w:pPr>
              <w:rPr>
                <w:rFonts w:hint="eastAsia"/>
              </w:rPr>
            </w:pPr>
            <w:r>
              <w:rPr>
                <w:rFonts w:hint="eastAsia"/>
              </w:rPr>
              <w:t>1000M政务外网接入</w:t>
            </w:r>
          </w:p>
        </w:tc>
        <w:tc>
          <w:tcPr>
            <w:tcW w:w="0" w:type="auto"/>
            <w:vAlign w:val="center"/>
          </w:tcPr>
          <w:p w14:paraId="0DB0BBF1">
            <w:pPr>
              <w:rPr>
                <w:rFonts w:hint="eastAsia"/>
              </w:rPr>
            </w:pPr>
            <w:r>
              <w:rPr>
                <w:rFonts w:hint="eastAsia"/>
              </w:rPr>
              <w:t>公安局</w:t>
            </w:r>
          </w:p>
        </w:tc>
      </w:tr>
      <w:tr w14:paraId="2FD2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4AD0FB20">
            <w:pPr>
              <w:jc w:val="center"/>
              <w:rPr>
                <w:rFonts w:hint="eastAsia"/>
              </w:rPr>
            </w:pPr>
            <w:r>
              <w:rPr>
                <w:rFonts w:hint="eastAsia"/>
              </w:rPr>
              <w:t>21</w:t>
            </w:r>
          </w:p>
        </w:tc>
        <w:tc>
          <w:tcPr>
            <w:tcW w:w="2328" w:type="dxa"/>
            <w:noWrap/>
            <w:vAlign w:val="center"/>
          </w:tcPr>
          <w:p w14:paraId="05010648">
            <w:pPr>
              <w:rPr>
                <w:rFonts w:hint="eastAsia"/>
              </w:rPr>
            </w:pPr>
            <w:r>
              <w:rPr>
                <w:rFonts w:hint="eastAsia"/>
              </w:rPr>
              <w:t>1000M政务外网接入</w:t>
            </w:r>
          </w:p>
        </w:tc>
        <w:tc>
          <w:tcPr>
            <w:tcW w:w="0" w:type="auto"/>
            <w:vAlign w:val="center"/>
          </w:tcPr>
          <w:p w14:paraId="5524996B">
            <w:pPr>
              <w:rPr>
                <w:rFonts w:hint="eastAsia"/>
              </w:rPr>
            </w:pPr>
            <w:r>
              <w:rPr>
                <w:rFonts w:hint="eastAsia"/>
              </w:rPr>
              <w:t>民政局</w:t>
            </w:r>
          </w:p>
        </w:tc>
      </w:tr>
      <w:tr w14:paraId="1517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0" w:type="auto"/>
            <w:vAlign w:val="center"/>
          </w:tcPr>
          <w:p w14:paraId="2CE68B29">
            <w:pPr>
              <w:jc w:val="center"/>
              <w:rPr>
                <w:rFonts w:hint="eastAsia"/>
              </w:rPr>
            </w:pPr>
            <w:r>
              <w:rPr>
                <w:rFonts w:hint="eastAsia"/>
              </w:rPr>
              <w:t>22</w:t>
            </w:r>
          </w:p>
        </w:tc>
        <w:tc>
          <w:tcPr>
            <w:tcW w:w="2328" w:type="dxa"/>
            <w:noWrap/>
            <w:vAlign w:val="center"/>
          </w:tcPr>
          <w:p w14:paraId="3BA244B1">
            <w:pPr>
              <w:rPr>
                <w:rFonts w:hint="eastAsia"/>
              </w:rPr>
            </w:pPr>
            <w:r>
              <w:rPr>
                <w:rFonts w:hint="eastAsia"/>
              </w:rPr>
              <w:t>1000M政务外网接入</w:t>
            </w:r>
          </w:p>
        </w:tc>
        <w:tc>
          <w:tcPr>
            <w:tcW w:w="0" w:type="auto"/>
            <w:vAlign w:val="center"/>
          </w:tcPr>
          <w:p w14:paraId="6122CDA6">
            <w:pPr>
              <w:rPr>
                <w:rFonts w:hint="eastAsia"/>
              </w:rPr>
            </w:pPr>
            <w:r>
              <w:rPr>
                <w:rFonts w:hint="eastAsia"/>
              </w:rPr>
              <w:t>财政局</w:t>
            </w:r>
          </w:p>
        </w:tc>
      </w:tr>
      <w:tr w14:paraId="552C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45696871">
            <w:pPr>
              <w:jc w:val="center"/>
              <w:rPr>
                <w:rFonts w:hint="eastAsia"/>
              </w:rPr>
            </w:pPr>
            <w:r>
              <w:rPr>
                <w:rFonts w:hint="eastAsia"/>
              </w:rPr>
              <w:t>23</w:t>
            </w:r>
          </w:p>
        </w:tc>
        <w:tc>
          <w:tcPr>
            <w:tcW w:w="2328" w:type="dxa"/>
            <w:noWrap/>
            <w:vAlign w:val="center"/>
          </w:tcPr>
          <w:p w14:paraId="5A17A6B5">
            <w:pPr>
              <w:rPr>
                <w:rFonts w:hint="eastAsia"/>
              </w:rPr>
            </w:pPr>
            <w:r>
              <w:rPr>
                <w:rFonts w:hint="eastAsia"/>
              </w:rPr>
              <w:t>1000M政务外网接入</w:t>
            </w:r>
          </w:p>
        </w:tc>
        <w:tc>
          <w:tcPr>
            <w:tcW w:w="0" w:type="auto"/>
            <w:vAlign w:val="center"/>
          </w:tcPr>
          <w:p w14:paraId="5F104F7E">
            <w:pPr>
              <w:rPr>
                <w:rFonts w:hint="eastAsia"/>
              </w:rPr>
            </w:pPr>
            <w:r>
              <w:rPr>
                <w:rFonts w:hint="eastAsia"/>
              </w:rPr>
              <w:t>生态环境局</w:t>
            </w:r>
          </w:p>
        </w:tc>
      </w:tr>
      <w:tr w14:paraId="737E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7107A6AF">
            <w:pPr>
              <w:jc w:val="center"/>
              <w:rPr>
                <w:rFonts w:hint="eastAsia"/>
              </w:rPr>
            </w:pPr>
            <w:r>
              <w:rPr>
                <w:rFonts w:hint="eastAsia"/>
              </w:rPr>
              <w:t>24</w:t>
            </w:r>
          </w:p>
        </w:tc>
        <w:tc>
          <w:tcPr>
            <w:tcW w:w="2328" w:type="dxa"/>
            <w:noWrap/>
            <w:vAlign w:val="center"/>
          </w:tcPr>
          <w:p w14:paraId="7A009D69">
            <w:pPr>
              <w:rPr>
                <w:rFonts w:hint="eastAsia"/>
              </w:rPr>
            </w:pPr>
            <w:r>
              <w:rPr>
                <w:rFonts w:hint="eastAsia"/>
              </w:rPr>
              <w:t>1000M政务外网接入</w:t>
            </w:r>
          </w:p>
        </w:tc>
        <w:tc>
          <w:tcPr>
            <w:tcW w:w="0" w:type="auto"/>
            <w:vAlign w:val="center"/>
          </w:tcPr>
          <w:p w14:paraId="74D1F50E">
            <w:pPr>
              <w:rPr>
                <w:rFonts w:hint="eastAsia"/>
              </w:rPr>
            </w:pPr>
            <w:r>
              <w:rPr>
                <w:rFonts w:hint="eastAsia"/>
              </w:rPr>
              <w:t>住建局</w:t>
            </w:r>
          </w:p>
        </w:tc>
      </w:tr>
      <w:tr w14:paraId="7083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688F7644">
            <w:pPr>
              <w:jc w:val="center"/>
              <w:rPr>
                <w:rFonts w:hint="eastAsia"/>
              </w:rPr>
            </w:pPr>
            <w:r>
              <w:rPr>
                <w:rFonts w:hint="eastAsia"/>
              </w:rPr>
              <w:t>25</w:t>
            </w:r>
          </w:p>
        </w:tc>
        <w:tc>
          <w:tcPr>
            <w:tcW w:w="2328" w:type="dxa"/>
            <w:noWrap/>
            <w:vAlign w:val="center"/>
          </w:tcPr>
          <w:p w14:paraId="6352726C">
            <w:pPr>
              <w:rPr>
                <w:rFonts w:hint="eastAsia"/>
              </w:rPr>
            </w:pPr>
            <w:r>
              <w:rPr>
                <w:rFonts w:hint="eastAsia"/>
              </w:rPr>
              <w:t>1000M政务外网接入</w:t>
            </w:r>
          </w:p>
        </w:tc>
        <w:tc>
          <w:tcPr>
            <w:tcW w:w="0" w:type="auto"/>
            <w:vAlign w:val="center"/>
          </w:tcPr>
          <w:p w14:paraId="3DB80F73">
            <w:pPr>
              <w:rPr>
                <w:rFonts w:hint="eastAsia"/>
              </w:rPr>
            </w:pPr>
            <w:r>
              <w:rPr>
                <w:rFonts w:hint="eastAsia"/>
              </w:rPr>
              <w:t>应急管理局/城管执法大队</w:t>
            </w:r>
          </w:p>
        </w:tc>
      </w:tr>
      <w:tr w14:paraId="44C6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77DAB571">
            <w:pPr>
              <w:jc w:val="center"/>
              <w:rPr>
                <w:rFonts w:hint="eastAsia"/>
              </w:rPr>
            </w:pPr>
            <w:r>
              <w:rPr>
                <w:rFonts w:hint="eastAsia"/>
              </w:rPr>
              <w:t>26</w:t>
            </w:r>
          </w:p>
        </w:tc>
        <w:tc>
          <w:tcPr>
            <w:tcW w:w="2328" w:type="dxa"/>
            <w:noWrap/>
            <w:vAlign w:val="center"/>
          </w:tcPr>
          <w:p w14:paraId="5D4CBD75">
            <w:pPr>
              <w:rPr>
                <w:rFonts w:hint="eastAsia"/>
              </w:rPr>
            </w:pPr>
            <w:r>
              <w:rPr>
                <w:rFonts w:hint="eastAsia"/>
              </w:rPr>
              <w:t>1000M政务外网接入</w:t>
            </w:r>
          </w:p>
        </w:tc>
        <w:tc>
          <w:tcPr>
            <w:tcW w:w="0" w:type="auto"/>
            <w:vAlign w:val="center"/>
          </w:tcPr>
          <w:p w14:paraId="79CD157B">
            <w:pPr>
              <w:rPr>
                <w:rFonts w:hint="eastAsia"/>
              </w:rPr>
            </w:pPr>
            <w:r>
              <w:rPr>
                <w:rFonts w:hint="eastAsia"/>
              </w:rPr>
              <w:t xml:space="preserve">市场监管局  </w:t>
            </w:r>
          </w:p>
        </w:tc>
      </w:tr>
      <w:tr w14:paraId="51B9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2419FC74">
            <w:pPr>
              <w:jc w:val="center"/>
              <w:rPr>
                <w:rFonts w:hint="eastAsia"/>
              </w:rPr>
            </w:pPr>
            <w:r>
              <w:rPr>
                <w:rFonts w:hint="eastAsia"/>
              </w:rPr>
              <w:t>27</w:t>
            </w:r>
          </w:p>
        </w:tc>
        <w:tc>
          <w:tcPr>
            <w:tcW w:w="2328" w:type="dxa"/>
            <w:noWrap/>
            <w:vAlign w:val="center"/>
          </w:tcPr>
          <w:p w14:paraId="1253D0EB">
            <w:pPr>
              <w:rPr>
                <w:rFonts w:hint="eastAsia"/>
              </w:rPr>
            </w:pPr>
            <w:r>
              <w:rPr>
                <w:rFonts w:hint="eastAsia"/>
              </w:rPr>
              <w:t>1000M政务外网接入</w:t>
            </w:r>
          </w:p>
        </w:tc>
        <w:tc>
          <w:tcPr>
            <w:tcW w:w="0" w:type="auto"/>
            <w:vAlign w:val="center"/>
          </w:tcPr>
          <w:p w14:paraId="5655F750">
            <w:pPr>
              <w:rPr>
                <w:rFonts w:hint="eastAsia"/>
              </w:rPr>
            </w:pPr>
            <w:r>
              <w:rPr>
                <w:rFonts w:hint="eastAsia"/>
              </w:rPr>
              <w:t>关山管委会</w:t>
            </w:r>
          </w:p>
        </w:tc>
      </w:tr>
      <w:tr w14:paraId="4EB3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6F994340">
            <w:pPr>
              <w:jc w:val="center"/>
              <w:rPr>
                <w:rFonts w:hint="eastAsia"/>
              </w:rPr>
            </w:pPr>
            <w:r>
              <w:rPr>
                <w:rFonts w:hint="eastAsia"/>
              </w:rPr>
              <w:t>28</w:t>
            </w:r>
          </w:p>
        </w:tc>
        <w:tc>
          <w:tcPr>
            <w:tcW w:w="2328" w:type="dxa"/>
            <w:noWrap/>
            <w:vAlign w:val="center"/>
          </w:tcPr>
          <w:p w14:paraId="58ECC734">
            <w:pPr>
              <w:rPr>
                <w:rFonts w:hint="eastAsia"/>
              </w:rPr>
            </w:pPr>
            <w:r>
              <w:rPr>
                <w:rFonts w:hint="eastAsia"/>
              </w:rPr>
              <w:t>1000M政务外网接入</w:t>
            </w:r>
          </w:p>
        </w:tc>
        <w:tc>
          <w:tcPr>
            <w:tcW w:w="0" w:type="auto"/>
            <w:vAlign w:val="center"/>
          </w:tcPr>
          <w:p w14:paraId="3B5DE4DE">
            <w:pPr>
              <w:rPr>
                <w:rFonts w:hint="eastAsia"/>
              </w:rPr>
            </w:pPr>
            <w:r>
              <w:rPr>
                <w:rFonts w:hint="eastAsia"/>
              </w:rPr>
              <w:t>城关镇</w:t>
            </w:r>
          </w:p>
        </w:tc>
      </w:tr>
      <w:tr w14:paraId="107B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707D4288">
            <w:pPr>
              <w:jc w:val="center"/>
              <w:rPr>
                <w:rFonts w:hint="eastAsia"/>
              </w:rPr>
            </w:pPr>
            <w:r>
              <w:rPr>
                <w:rFonts w:hint="eastAsia"/>
              </w:rPr>
              <w:t>29</w:t>
            </w:r>
          </w:p>
        </w:tc>
        <w:tc>
          <w:tcPr>
            <w:tcW w:w="2328" w:type="dxa"/>
            <w:noWrap/>
            <w:vAlign w:val="center"/>
          </w:tcPr>
          <w:p w14:paraId="0D10E56D">
            <w:pPr>
              <w:rPr>
                <w:rFonts w:hint="eastAsia"/>
              </w:rPr>
            </w:pPr>
            <w:r>
              <w:rPr>
                <w:rFonts w:hint="eastAsia"/>
              </w:rPr>
              <w:t>1000M政务外网接入</w:t>
            </w:r>
          </w:p>
        </w:tc>
        <w:tc>
          <w:tcPr>
            <w:tcW w:w="0" w:type="auto"/>
            <w:vAlign w:val="center"/>
          </w:tcPr>
          <w:p w14:paraId="0956AA13">
            <w:pPr>
              <w:rPr>
                <w:rFonts w:hint="eastAsia"/>
              </w:rPr>
            </w:pPr>
            <w:r>
              <w:rPr>
                <w:rFonts w:hint="eastAsia"/>
              </w:rPr>
              <w:t>东城社区</w:t>
            </w:r>
          </w:p>
        </w:tc>
      </w:tr>
      <w:tr w14:paraId="61CB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4322BE99">
            <w:pPr>
              <w:jc w:val="center"/>
              <w:rPr>
                <w:rFonts w:hint="eastAsia"/>
              </w:rPr>
            </w:pPr>
            <w:r>
              <w:rPr>
                <w:rFonts w:hint="eastAsia"/>
              </w:rPr>
              <w:t>30</w:t>
            </w:r>
          </w:p>
        </w:tc>
        <w:tc>
          <w:tcPr>
            <w:tcW w:w="2328" w:type="dxa"/>
            <w:noWrap/>
            <w:vAlign w:val="center"/>
          </w:tcPr>
          <w:p w14:paraId="713AE271">
            <w:pPr>
              <w:rPr>
                <w:rFonts w:hint="eastAsia"/>
              </w:rPr>
            </w:pPr>
            <w:r>
              <w:rPr>
                <w:rFonts w:hint="eastAsia"/>
              </w:rPr>
              <w:t>1000M政务外网接入</w:t>
            </w:r>
          </w:p>
        </w:tc>
        <w:tc>
          <w:tcPr>
            <w:tcW w:w="0" w:type="auto"/>
            <w:vAlign w:val="center"/>
          </w:tcPr>
          <w:p w14:paraId="410960EE">
            <w:pPr>
              <w:rPr>
                <w:rFonts w:hint="eastAsia"/>
              </w:rPr>
            </w:pPr>
            <w:r>
              <w:rPr>
                <w:rFonts w:hint="eastAsia"/>
              </w:rPr>
              <w:t>西城社区</w:t>
            </w:r>
          </w:p>
        </w:tc>
      </w:tr>
      <w:tr w14:paraId="3F73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70A781DD">
            <w:pPr>
              <w:jc w:val="center"/>
              <w:rPr>
                <w:rFonts w:hint="eastAsia"/>
              </w:rPr>
            </w:pPr>
            <w:r>
              <w:rPr>
                <w:rFonts w:hint="eastAsia"/>
              </w:rPr>
              <w:t>31</w:t>
            </w:r>
          </w:p>
        </w:tc>
        <w:tc>
          <w:tcPr>
            <w:tcW w:w="2328" w:type="dxa"/>
            <w:noWrap/>
            <w:vAlign w:val="center"/>
          </w:tcPr>
          <w:p w14:paraId="615D8787">
            <w:pPr>
              <w:rPr>
                <w:rFonts w:hint="eastAsia"/>
              </w:rPr>
            </w:pPr>
            <w:r>
              <w:rPr>
                <w:rFonts w:hint="eastAsia"/>
              </w:rPr>
              <w:t>1000M政务外网接入</w:t>
            </w:r>
          </w:p>
        </w:tc>
        <w:tc>
          <w:tcPr>
            <w:tcW w:w="0" w:type="auto"/>
            <w:vAlign w:val="center"/>
          </w:tcPr>
          <w:p w14:paraId="6062C134">
            <w:pPr>
              <w:rPr>
                <w:rFonts w:hint="eastAsia"/>
              </w:rPr>
            </w:pPr>
            <w:r>
              <w:rPr>
                <w:rFonts w:hint="eastAsia"/>
              </w:rPr>
              <w:t>东南镇</w:t>
            </w:r>
          </w:p>
        </w:tc>
      </w:tr>
      <w:tr w14:paraId="1997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6E8BFB62">
            <w:pPr>
              <w:jc w:val="center"/>
              <w:rPr>
                <w:rFonts w:hint="eastAsia"/>
              </w:rPr>
            </w:pPr>
            <w:r>
              <w:rPr>
                <w:rFonts w:hint="eastAsia"/>
              </w:rPr>
              <w:t>32</w:t>
            </w:r>
          </w:p>
        </w:tc>
        <w:tc>
          <w:tcPr>
            <w:tcW w:w="2328" w:type="dxa"/>
            <w:noWrap/>
            <w:vAlign w:val="center"/>
          </w:tcPr>
          <w:p w14:paraId="4F06BBC9">
            <w:pPr>
              <w:rPr>
                <w:rFonts w:hint="eastAsia"/>
              </w:rPr>
            </w:pPr>
            <w:r>
              <w:rPr>
                <w:rFonts w:hint="eastAsia"/>
              </w:rPr>
              <w:t>1000M政务外网接入</w:t>
            </w:r>
          </w:p>
        </w:tc>
        <w:tc>
          <w:tcPr>
            <w:tcW w:w="0" w:type="auto"/>
            <w:vAlign w:val="center"/>
          </w:tcPr>
          <w:p w14:paraId="403A14A4">
            <w:pPr>
              <w:rPr>
                <w:rFonts w:hint="eastAsia"/>
              </w:rPr>
            </w:pPr>
            <w:r>
              <w:rPr>
                <w:rFonts w:hint="eastAsia"/>
              </w:rPr>
              <w:t>温水镇</w:t>
            </w:r>
          </w:p>
        </w:tc>
      </w:tr>
      <w:tr w14:paraId="7492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0FC359E1">
            <w:pPr>
              <w:jc w:val="center"/>
              <w:rPr>
                <w:rFonts w:hint="eastAsia"/>
              </w:rPr>
            </w:pPr>
            <w:r>
              <w:rPr>
                <w:rFonts w:hint="eastAsia"/>
              </w:rPr>
              <w:t>33</w:t>
            </w:r>
          </w:p>
        </w:tc>
        <w:tc>
          <w:tcPr>
            <w:tcW w:w="2328" w:type="dxa"/>
            <w:noWrap/>
            <w:vAlign w:val="center"/>
          </w:tcPr>
          <w:p w14:paraId="2A9AA665">
            <w:pPr>
              <w:rPr>
                <w:rFonts w:hint="eastAsia"/>
              </w:rPr>
            </w:pPr>
            <w:r>
              <w:rPr>
                <w:rFonts w:hint="eastAsia"/>
              </w:rPr>
              <w:t>1000M政务外网接入</w:t>
            </w:r>
          </w:p>
        </w:tc>
        <w:tc>
          <w:tcPr>
            <w:tcW w:w="0" w:type="auto"/>
            <w:vAlign w:val="center"/>
          </w:tcPr>
          <w:p w14:paraId="76A560CF">
            <w:pPr>
              <w:rPr>
                <w:rFonts w:hint="eastAsia"/>
              </w:rPr>
            </w:pPr>
            <w:r>
              <w:rPr>
                <w:rFonts w:hint="eastAsia"/>
              </w:rPr>
              <w:t>东风镇/东风社区</w:t>
            </w:r>
          </w:p>
        </w:tc>
      </w:tr>
      <w:tr w14:paraId="18A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2346AB4A">
            <w:pPr>
              <w:jc w:val="center"/>
              <w:rPr>
                <w:rFonts w:hint="eastAsia"/>
              </w:rPr>
            </w:pPr>
            <w:r>
              <w:rPr>
                <w:rFonts w:hint="eastAsia"/>
              </w:rPr>
              <w:t>34</w:t>
            </w:r>
          </w:p>
        </w:tc>
        <w:tc>
          <w:tcPr>
            <w:tcW w:w="2328" w:type="dxa"/>
            <w:noWrap/>
            <w:vAlign w:val="center"/>
          </w:tcPr>
          <w:p w14:paraId="1267E5D0">
            <w:pPr>
              <w:rPr>
                <w:rFonts w:hint="eastAsia"/>
              </w:rPr>
            </w:pPr>
            <w:r>
              <w:rPr>
                <w:rFonts w:hint="eastAsia"/>
              </w:rPr>
              <w:t>1000M政务外网接入</w:t>
            </w:r>
          </w:p>
        </w:tc>
        <w:tc>
          <w:tcPr>
            <w:tcW w:w="0" w:type="auto"/>
            <w:vAlign w:val="center"/>
          </w:tcPr>
          <w:p w14:paraId="12033BA9">
            <w:pPr>
              <w:rPr>
                <w:rFonts w:hint="eastAsia"/>
              </w:rPr>
            </w:pPr>
            <w:r>
              <w:rPr>
                <w:rFonts w:hint="eastAsia"/>
              </w:rPr>
              <w:t>曹家湾镇</w:t>
            </w:r>
          </w:p>
        </w:tc>
      </w:tr>
      <w:tr w14:paraId="545C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471F56E6">
            <w:pPr>
              <w:jc w:val="center"/>
              <w:rPr>
                <w:rFonts w:hint="eastAsia"/>
              </w:rPr>
            </w:pPr>
            <w:r>
              <w:rPr>
                <w:rFonts w:hint="eastAsia"/>
              </w:rPr>
              <w:t>35</w:t>
            </w:r>
          </w:p>
        </w:tc>
        <w:tc>
          <w:tcPr>
            <w:tcW w:w="2328" w:type="dxa"/>
            <w:noWrap/>
            <w:vAlign w:val="center"/>
          </w:tcPr>
          <w:p w14:paraId="10161532">
            <w:pPr>
              <w:rPr>
                <w:rFonts w:hint="eastAsia"/>
              </w:rPr>
            </w:pPr>
            <w:r>
              <w:rPr>
                <w:rFonts w:hint="eastAsia"/>
              </w:rPr>
              <w:t>1000M政务外网接入</w:t>
            </w:r>
          </w:p>
        </w:tc>
        <w:tc>
          <w:tcPr>
            <w:tcW w:w="0" w:type="auto"/>
            <w:vAlign w:val="center"/>
          </w:tcPr>
          <w:p w14:paraId="18B88A49">
            <w:pPr>
              <w:rPr>
                <w:rFonts w:hint="eastAsia"/>
              </w:rPr>
            </w:pPr>
            <w:r>
              <w:rPr>
                <w:rFonts w:hint="eastAsia"/>
              </w:rPr>
              <w:t>天成镇</w:t>
            </w:r>
          </w:p>
        </w:tc>
      </w:tr>
      <w:tr w14:paraId="46CE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10732D69">
            <w:pPr>
              <w:jc w:val="center"/>
              <w:rPr>
                <w:rFonts w:hint="eastAsia"/>
              </w:rPr>
            </w:pPr>
            <w:r>
              <w:rPr>
                <w:rFonts w:hint="eastAsia"/>
              </w:rPr>
              <w:t>36</w:t>
            </w:r>
          </w:p>
        </w:tc>
        <w:tc>
          <w:tcPr>
            <w:tcW w:w="2328" w:type="dxa"/>
            <w:noWrap/>
            <w:vAlign w:val="center"/>
          </w:tcPr>
          <w:p w14:paraId="08392F94">
            <w:pPr>
              <w:rPr>
                <w:rFonts w:hint="eastAsia"/>
              </w:rPr>
            </w:pPr>
            <w:r>
              <w:rPr>
                <w:rFonts w:hint="eastAsia"/>
              </w:rPr>
              <w:t>1000M政务外网接入</w:t>
            </w:r>
          </w:p>
        </w:tc>
        <w:tc>
          <w:tcPr>
            <w:tcW w:w="0" w:type="auto"/>
            <w:vAlign w:val="center"/>
          </w:tcPr>
          <w:p w14:paraId="3C2DB480">
            <w:pPr>
              <w:rPr>
                <w:rFonts w:hint="eastAsia"/>
              </w:rPr>
            </w:pPr>
            <w:r>
              <w:rPr>
                <w:rFonts w:hint="eastAsia"/>
              </w:rPr>
              <w:t>河北镇</w:t>
            </w:r>
          </w:p>
        </w:tc>
      </w:tr>
      <w:tr w14:paraId="7A87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1E1588FF">
            <w:pPr>
              <w:jc w:val="center"/>
              <w:rPr>
                <w:rFonts w:hint="eastAsia"/>
              </w:rPr>
            </w:pPr>
            <w:r>
              <w:rPr>
                <w:rFonts w:hint="eastAsia"/>
              </w:rPr>
              <w:t>37</w:t>
            </w:r>
          </w:p>
        </w:tc>
        <w:tc>
          <w:tcPr>
            <w:tcW w:w="2328" w:type="dxa"/>
            <w:noWrap/>
            <w:vAlign w:val="center"/>
          </w:tcPr>
          <w:p w14:paraId="71EDB969">
            <w:pPr>
              <w:rPr>
                <w:rFonts w:hint="eastAsia"/>
              </w:rPr>
            </w:pPr>
            <w:r>
              <w:rPr>
                <w:rFonts w:hint="eastAsia"/>
              </w:rPr>
              <w:t>1000M政务外网接入</w:t>
            </w:r>
          </w:p>
        </w:tc>
        <w:tc>
          <w:tcPr>
            <w:tcW w:w="0" w:type="auto"/>
            <w:vAlign w:val="center"/>
          </w:tcPr>
          <w:p w14:paraId="119BBC72">
            <w:pPr>
              <w:rPr>
                <w:rFonts w:hint="eastAsia"/>
              </w:rPr>
            </w:pPr>
            <w:r>
              <w:rPr>
                <w:rFonts w:hint="eastAsia"/>
              </w:rPr>
              <w:t>固关镇</w:t>
            </w:r>
          </w:p>
        </w:tc>
      </w:tr>
      <w:tr w14:paraId="6465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63873060">
            <w:pPr>
              <w:jc w:val="center"/>
              <w:rPr>
                <w:rFonts w:hint="eastAsia"/>
              </w:rPr>
            </w:pPr>
            <w:r>
              <w:rPr>
                <w:rFonts w:hint="eastAsia"/>
              </w:rPr>
              <w:t>38</w:t>
            </w:r>
          </w:p>
        </w:tc>
        <w:tc>
          <w:tcPr>
            <w:tcW w:w="2328" w:type="dxa"/>
            <w:noWrap/>
            <w:vAlign w:val="center"/>
          </w:tcPr>
          <w:p w14:paraId="789044A3">
            <w:pPr>
              <w:rPr>
                <w:rFonts w:hint="eastAsia"/>
              </w:rPr>
            </w:pPr>
            <w:r>
              <w:rPr>
                <w:rFonts w:hint="eastAsia"/>
              </w:rPr>
              <w:t>1000M政务外网接入</w:t>
            </w:r>
          </w:p>
        </w:tc>
        <w:tc>
          <w:tcPr>
            <w:tcW w:w="0" w:type="auto"/>
            <w:vAlign w:val="center"/>
          </w:tcPr>
          <w:p w14:paraId="785140CB">
            <w:pPr>
              <w:rPr>
                <w:rFonts w:hint="eastAsia"/>
              </w:rPr>
            </w:pPr>
            <w:r>
              <w:rPr>
                <w:rFonts w:hint="eastAsia"/>
              </w:rPr>
              <w:t>八渡镇</w:t>
            </w:r>
          </w:p>
        </w:tc>
      </w:tr>
      <w:tr w14:paraId="5100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33BFA608">
            <w:pPr>
              <w:jc w:val="center"/>
              <w:rPr>
                <w:rFonts w:hint="eastAsia"/>
              </w:rPr>
            </w:pPr>
            <w:r>
              <w:rPr>
                <w:rFonts w:hint="eastAsia"/>
              </w:rPr>
              <w:t>39</w:t>
            </w:r>
          </w:p>
        </w:tc>
        <w:tc>
          <w:tcPr>
            <w:tcW w:w="2328" w:type="dxa"/>
            <w:noWrap/>
            <w:vAlign w:val="center"/>
          </w:tcPr>
          <w:p w14:paraId="6D316E10">
            <w:pPr>
              <w:rPr>
                <w:rFonts w:hint="eastAsia"/>
              </w:rPr>
            </w:pPr>
            <w:r>
              <w:rPr>
                <w:rFonts w:hint="eastAsia"/>
              </w:rPr>
              <w:t>1000M政务外网接入</w:t>
            </w:r>
          </w:p>
        </w:tc>
        <w:tc>
          <w:tcPr>
            <w:tcW w:w="0" w:type="auto"/>
            <w:vAlign w:val="center"/>
          </w:tcPr>
          <w:p w14:paraId="7696B2C9">
            <w:pPr>
              <w:rPr>
                <w:rFonts w:hint="eastAsia"/>
              </w:rPr>
            </w:pPr>
            <w:r>
              <w:rPr>
                <w:rFonts w:hint="eastAsia"/>
              </w:rPr>
              <w:t>新集川镇</w:t>
            </w:r>
          </w:p>
        </w:tc>
      </w:tr>
      <w:tr w14:paraId="2F5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1ACEF1DB">
            <w:pPr>
              <w:jc w:val="center"/>
              <w:rPr>
                <w:rFonts w:hint="eastAsia"/>
              </w:rPr>
            </w:pPr>
            <w:r>
              <w:rPr>
                <w:rFonts w:hint="eastAsia"/>
              </w:rPr>
              <w:t>40</w:t>
            </w:r>
          </w:p>
        </w:tc>
        <w:tc>
          <w:tcPr>
            <w:tcW w:w="2328" w:type="dxa"/>
            <w:noWrap/>
            <w:vAlign w:val="center"/>
          </w:tcPr>
          <w:p w14:paraId="7601B39B">
            <w:pPr>
              <w:rPr>
                <w:rFonts w:hint="eastAsia"/>
              </w:rPr>
            </w:pPr>
            <w:r>
              <w:rPr>
                <w:rFonts w:hint="eastAsia"/>
              </w:rPr>
              <w:t>1000M政务外网接入</w:t>
            </w:r>
          </w:p>
        </w:tc>
        <w:tc>
          <w:tcPr>
            <w:tcW w:w="0" w:type="auto"/>
            <w:vAlign w:val="center"/>
          </w:tcPr>
          <w:p w14:paraId="4CDF014E">
            <w:pPr>
              <w:rPr>
                <w:rFonts w:hint="eastAsia"/>
                <w:lang w:val="en-US" w:eastAsia="zh-CN"/>
              </w:rPr>
            </w:pPr>
            <w:r>
              <w:rPr>
                <w:rFonts w:hint="eastAsia"/>
              </w:rPr>
              <w:t>县委</w:t>
            </w:r>
            <w:r>
              <w:rPr>
                <w:rFonts w:hint="eastAsia"/>
                <w:lang w:val="en-US" w:eastAsia="zh-CN"/>
              </w:rPr>
              <w:t>楼</w:t>
            </w:r>
          </w:p>
        </w:tc>
      </w:tr>
      <w:tr w14:paraId="02F6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7F8665FA">
            <w:pPr>
              <w:jc w:val="center"/>
              <w:rPr>
                <w:rFonts w:hint="default"/>
                <w:lang w:val="en-US" w:eastAsia="zh-CN"/>
              </w:rPr>
            </w:pPr>
            <w:r>
              <w:rPr>
                <w:rFonts w:hint="eastAsia"/>
                <w:lang w:val="en-US" w:eastAsia="zh-CN"/>
              </w:rPr>
              <w:t>41</w:t>
            </w:r>
          </w:p>
        </w:tc>
        <w:tc>
          <w:tcPr>
            <w:tcW w:w="2328" w:type="dxa"/>
            <w:noWrap/>
            <w:vAlign w:val="center"/>
          </w:tcPr>
          <w:p w14:paraId="5168D195">
            <w:pPr>
              <w:rPr>
                <w:rFonts w:hint="eastAsia"/>
              </w:rPr>
            </w:pPr>
            <w:r>
              <w:rPr>
                <w:rFonts w:hint="eastAsia"/>
              </w:rPr>
              <w:t>1000M政务外网接入</w:t>
            </w:r>
          </w:p>
        </w:tc>
        <w:tc>
          <w:tcPr>
            <w:tcW w:w="0" w:type="auto"/>
            <w:vAlign w:val="center"/>
          </w:tcPr>
          <w:p w14:paraId="546F7858">
            <w:pPr>
              <w:rPr>
                <w:rFonts w:hint="default"/>
                <w:lang w:val="en-US" w:eastAsia="zh-CN"/>
              </w:rPr>
            </w:pPr>
            <w:r>
              <w:rPr>
                <w:rFonts w:hint="eastAsia"/>
                <w:lang w:val="en-US" w:eastAsia="zh-CN"/>
              </w:rPr>
              <w:t>人大、政协、团委、妇联</w:t>
            </w:r>
          </w:p>
        </w:tc>
      </w:tr>
      <w:tr w14:paraId="515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15C05E2A">
            <w:pPr>
              <w:jc w:val="center"/>
              <w:rPr>
                <w:rFonts w:hint="eastAsia"/>
                <w:lang w:eastAsia="zh-CN"/>
              </w:rPr>
            </w:pPr>
            <w:r>
              <w:rPr>
                <w:rFonts w:hint="eastAsia"/>
              </w:rPr>
              <w:t>4</w:t>
            </w:r>
            <w:r>
              <w:rPr>
                <w:rFonts w:hint="eastAsia"/>
                <w:lang w:val="en-US" w:eastAsia="zh-CN"/>
              </w:rPr>
              <w:t>2</w:t>
            </w:r>
          </w:p>
        </w:tc>
        <w:tc>
          <w:tcPr>
            <w:tcW w:w="2328" w:type="dxa"/>
            <w:noWrap/>
            <w:vAlign w:val="center"/>
          </w:tcPr>
          <w:p w14:paraId="5210CCED">
            <w:pPr>
              <w:rPr>
                <w:rFonts w:hint="eastAsia"/>
              </w:rPr>
            </w:pPr>
            <w:r>
              <w:rPr>
                <w:rFonts w:hint="eastAsia"/>
              </w:rPr>
              <w:t>1000M政务外网接入</w:t>
            </w:r>
          </w:p>
        </w:tc>
        <w:tc>
          <w:tcPr>
            <w:tcW w:w="0" w:type="auto"/>
            <w:vAlign w:val="center"/>
          </w:tcPr>
          <w:p w14:paraId="5BAB3745">
            <w:pPr>
              <w:rPr>
                <w:rFonts w:hint="eastAsia"/>
              </w:rPr>
            </w:pPr>
            <w:r>
              <w:rPr>
                <w:rFonts w:hint="eastAsia"/>
              </w:rPr>
              <w:t>县政府大院前楼</w:t>
            </w:r>
          </w:p>
        </w:tc>
      </w:tr>
      <w:tr w14:paraId="3A0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562E6F62">
            <w:pPr>
              <w:jc w:val="center"/>
              <w:rPr>
                <w:rFonts w:hint="eastAsia"/>
              </w:rPr>
            </w:pPr>
            <w:r>
              <w:rPr>
                <w:rFonts w:hint="eastAsia"/>
              </w:rPr>
              <w:t>4</w:t>
            </w:r>
            <w:r>
              <w:rPr>
                <w:rFonts w:hint="eastAsia"/>
                <w:lang w:val="en-US" w:eastAsia="zh-CN"/>
              </w:rPr>
              <w:t>3</w:t>
            </w:r>
          </w:p>
        </w:tc>
        <w:tc>
          <w:tcPr>
            <w:tcW w:w="2328" w:type="dxa"/>
            <w:noWrap/>
            <w:vAlign w:val="center"/>
          </w:tcPr>
          <w:p w14:paraId="6FDA4B8F">
            <w:pPr>
              <w:rPr>
                <w:rFonts w:hint="eastAsia"/>
              </w:rPr>
            </w:pPr>
            <w:r>
              <w:rPr>
                <w:rFonts w:hint="eastAsia"/>
              </w:rPr>
              <w:t>1000M政务外网接入</w:t>
            </w:r>
          </w:p>
        </w:tc>
        <w:tc>
          <w:tcPr>
            <w:tcW w:w="0" w:type="auto"/>
            <w:vAlign w:val="center"/>
          </w:tcPr>
          <w:p w14:paraId="3CB3F96E">
            <w:pPr>
              <w:rPr>
                <w:rFonts w:hint="eastAsia"/>
              </w:rPr>
            </w:pPr>
            <w:r>
              <w:rPr>
                <w:rFonts w:hint="eastAsia"/>
              </w:rPr>
              <w:t>县政府大院中楼</w:t>
            </w:r>
          </w:p>
        </w:tc>
      </w:tr>
      <w:tr w14:paraId="753F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Align w:val="center"/>
          </w:tcPr>
          <w:p w14:paraId="77526957">
            <w:pPr>
              <w:jc w:val="center"/>
              <w:rPr>
                <w:rFonts w:hint="eastAsia"/>
              </w:rPr>
            </w:pPr>
            <w:r>
              <w:rPr>
                <w:rFonts w:hint="eastAsia"/>
              </w:rPr>
              <w:t>4</w:t>
            </w:r>
            <w:r>
              <w:rPr>
                <w:rFonts w:hint="eastAsia"/>
                <w:lang w:val="en-US" w:eastAsia="zh-CN"/>
              </w:rPr>
              <w:t>4</w:t>
            </w:r>
          </w:p>
        </w:tc>
        <w:tc>
          <w:tcPr>
            <w:tcW w:w="2328" w:type="dxa"/>
            <w:noWrap/>
            <w:vAlign w:val="center"/>
          </w:tcPr>
          <w:p w14:paraId="30C55420">
            <w:pPr>
              <w:rPr>
                <w:rFonts w:hint="eastAsia"/>
              </w:rPr>
            </w:pPr>
            <w:r>
              <w:rPr>
                <w:rFonts w:hint="eastAsia"/>
              </w:rPr>
              <w:t>1000M政务外网接入</w:t>
            </w:r>
          </w:p>
        </w:tc>
        <w:tc>
          <w:tcPr>
            <w:tcW w:w="0" w:type="auto"/>
            <w:vAlign w:val="center"/>
          </w:tcPr>
          <w:p w14:paraId="1B4E74D5">
            <w:pPr>
              <w:rPr>
                <w:rFonts w:hint="default"/>
                <w:lang w:val="en-US"/>
              </w:rPr>
            </w:pPr>
            <w:r>
              <w:rPr>
                <w:rFonts w:hint="eastAsia"/>
              </w:rPr>
              <w:t>县政府大院后楼</w:t>
            </w:r>
            <w:r>
              <w:rPr>
                <w:rFonts w:hint="eastAsia"/>
                <w:lang w:eastAsia="zh-CN"/>
              </w:rPr>
              <w:t>、</w:t>
            </w:r>
            <w:r>
              <w:rPr>
                <w:rFonts w:hint="eastAsia"/>
                <w:lang w:val="en-US" w:eastAsia="zh-CN"/>
              </w:rPr>
              <w:t>机关事务中心、信访局、信息中心</w:t>
            </w:r>
          </w:p>
        </w:tc>
      </w:tr>
    </w:tbl>
    <w:p w14:paraId="5277A3E6">
      <w:pPr>
        <w:rPr>
          <w:rFonts w:hint="eastAsia"/>
          <w:sz w:val="24"/>
          <w:szCs w:val="24"/>
        </w:rPr>
      </w:pPr>
    </w:p>
    <w:p w14:paraId="64EFDBC5">
      <w:pPr>
        <w:rPr>
          <w:rFonts w:hint="default"/>
          <w:b/>
          <w:bCs/>
          <w:sz w:val="24"/>
          <w:szCs w:val="24"/>
          <w:lang w:val="en-US" w:eastAsia="zh-CN"/>
        </w:rPr>
      </w:pPr>
      <w:r>
        <w:rPr>
          <w:rFonts w:hint="eastAsia"/>
          <w:b/>
          <w:bCs/>
          <w:sz w:val="24"/>
          <w:szCs w:val="24"/>
          <w:lang w:val="en-US" w:eastAsia="zh-CN"/>
        </w:rPr>
        <w:t>3、商务要求</w:t>
      </w:r>
    </w:p>
    <w:p w14:paraId="62949A4D">
      <w:pPr>
        <w:jc w:val="center"/>
        <w:rPr>
          <w:rFonts w:hint="eastAsia" w:ascii="黑体" w:hAnsi="黑体" w:eastAsia="黑体" w:cs="黑体"/>
          <w:sz w:val="24"/>
          <w:szCs w:val="24"/>
        </w:rPr>
      </w:pPr>
      <w:r>
        <w:rPr>
          <w:rFonts w:hint="eastAsia" w:ascii="华文楷体" w:hAnsi="华文楷体" w:eastAsia="华文楷体" w:cs="华文楷体"/>
          <w:sz w:val="32"/>
          <w:szCs w:val="32"/>
        </w:rPr>
        <w:t>（一）网络链路租赁服务要求</w:t>
      </w:r>
    </w:p>
    <w:p w14:paraId="6AB9C7E1">
      <w:pPr>
        <w:jc w:val="center"/>
        <w:rPr>
          <w:rFonts w:hint="eastAsia" w:ascii="黑体" w:hAnsi="黑体" w:eastAsia="黑体" w:cs="黑体"/>
          <w:sz w:val="24"/>
          <w:szCs w:val="24"/>
        </w:rPr>
      </w:pPr>
    </w:p>
    <w:p w14:paraId="70923DC5">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1.供应商需保证线路接入速率及各项质量参数达到采购单位要求，提供的专线及服务通信质量达到国家信息产业部规定的质量标准，并负责所提供的通信数据线缆的维护。</w:t>
      </w:r>
    </w:p>
    <w:p w14:paraId="28C1AF32">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2.供应商负责提供采购方所需的网络接口，接至采购单位提供的接入设备端口，在采购方的配合下，进行安装、调试和开通。</w:t>
      </w:r>
    </w:p>
    <w:p w14:paraId="4943DB32">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3.应按照国家电信服务标准进行故障排除。对故障响应、诊断、排除各环节实施严密质量管理，定期对运行网络进行优化，达到优质服务。</w:t>
      </w:r>
    </w:p>
    <w:p w14:paraId="2970D78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4.供应商承担租用电路的安全保护和防范义务，避免人为丢失、泄露和扰乱正在使用的电路中的任何采购方信息，确保采购单位链路和信息传输的保密性、完整性、可用性。</w:t>
      </w:r>
    </w:p>
    <w:p w14:paraId="3EDF4E02">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5.供应商为采购单位提供可靠稳定通信服务。售后服务电话响应时间要求为7*24小时。除不可抗拒因素外，一般线路故障（非链路中断）处理时限为5分钟响应，20分钟到现场，1小时内解决故障；链路中断故障处理时限为5分钟响应，30分钟到现场，2小时内解决故障；每年中断超过三次或单次中断时长超过4小时，供应商应免除采购单位该条通讯线路的通信费用。因线路通信中断导致严重后果的，由供应商承担其相应责任。</w:t>
      </w:r>
    </w:p>
    <w:p w14:paraId="0C49675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6.供应商在进行链路调试工作前必须做好规划工作，保证采购单位现有网络结构不变；</w:t>
      </w:r>
    </w:p>
    <w:p w14:paraId="388A887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7.供应商提供线路和安装、调试和日常维护等方面的工作，对提供的所有端至端电路、线缆等进行巡检。供应商每月至少提供链路及设备巡检1次，具体巡检内容及时间以合同约定为准。</w:t>
      </w:r>
    </w:p>
    <w:p w14:paraId="393E901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8.供应商提供7×24小时全天候无间断的技术咨询，协助故障申报以及服务政策咨询等服务内容。</w:t>
      </w:r>
    </w:p>
    <w:p w14:paraId="07A7ACF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9.因工作需要调整接入层链路结构，供应商必须无条件配合，为保障接入层链路通畅和速率要求，产生的所有费用由供应商承担。</w:t>
      </w:r>
    </w:p>
    <w:p w14:paraId="0C68171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10.因机构改革、单位搬迁、业务变化等各种原因造成接入单位、接入线路动态变化，供应商应按照采购单位要求动态调整链路、设备等相关资源的配置，所有关于建设中的辅材、空间、配电、设备之间互联链路等资源均由供应商免费提供。</w:t>
      </w:r>
    </w:p>
    <w:p w14:paraId="2BB0711B">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11.项目建设方案</w:t>
      </w:r>
    </w:p>
    <w:p w14:paraId="255CC9B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供应商应对本项目提供以下完善的项目建设方案（包括但不限于）：总体设计方案；技术支持能力；链路风险及应对措施；安全防护措施；故障应急方案；设备投入措施；售后运行维护方案。</w:t>
      </w:r>
    </w:p>
    <w:p w14:paraId="5220BCD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12.项目验收</w:t>
      </w:r>
    </w:p>
    <w:p w14:paraId="2A00A86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项目涉及光缆铺设、光缆配件安装、光缆熔接、调试、测试、与现网平滑对接、验收等施工内容。供应商应根据相关规范的要求，自行进行勘察设计。项目实施结束后按照项目竣工验收要求进行验收，供应商需提供验收方式、验收方案及验收文档、测试报告、线路运维说明书等材料。</w:t>
      </w:r>
    </w:p>
    <w:p w14:paraId="223AAE7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供应商应在合同签订后10个日历日内，提交检测工作计划和方案并详细说明检测工作内容（至少应包括整个工程内容的功能、性能检测，参数检测等）、检测项目清单、检测方法、检测仪器和仪表等。</w:t>
      </w:r>
    </w:p>
    <w:p w14:paraId="185DA21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供应商必须修复检测中发现的故障和缺陷，修复完成后由供应商提请采购人重新进行检测。供应商承担故障和缺陷修复以及重新检测所产生的一切费用。</w:t>
      </w:r>
    </w:p>
    <w:p w14:paraId="25487860">
      <w:pPr>
        <w:jc w:val="center"/>
        <w:rPr>
          <w:rFonts w:hint="eastAsia" w:ascii="黑体" w:hAnsi="黑体" w:eastAsia="黑体" w:cs="黑体"/>
          <w:sz w:val="24"/>
          <w:szCs w:val="24"/>
        </w:rPr>
      </w:pPr>
    </w:p>
    <w:p w14:paraId="52CE7BB6">
      <w:pPr>
        <w:pStyle w:val="20"/>
        <w:spacing w:line="560" w:lineRule="exact"/>
        <w:ind w:left="0" w:leftChars="0" w:firstLine="0" w:firstLineChars="0"/>
        <w:jc w:val="center"/>
        <w:outlineLvl w:val="1"/>
        <w:rPr>
          <w:rFonts w:ascii="仿宋_GB2312" w:eastAsia="仿宋_GB2312"/>
          <w:sz w:val="32"/>
          <w:szCs w:val="32"/>
        </w:rPr>
      </w:pPr>
      <w:r>
        <w:rPr>
          <w:rFonts w:hint="eastAsia" w:ascii="华文楷体" w:hAnsi="华文楷体" w:eastAsia="华文楷体" w:cs="华文楷体"/>
          <w:sz w:val="32"/>
          <w:szCs w:val="32"/>
        </w:rPr>
        <w:t>（二）运维服务要求</w:t>
      </w:r>
    </w:p>
    <w:p w14:paraId="0FB71BF1">
      <w:pPr>
        <w:jc w:val="center"/>
        <w:rPr>
          <w:rFonts w:hint="eastAsia" w:ascii="黑体" w:hAnsi="黑体" w:eastAsia="黑体" w:cs="黑体"/>
          <w:sz w:val="24"/>
          <w:szCs w:val="24"/>
        </w:rPr>
      </w:pPr>
    </w:p>
    <w:p w14:paraId="655B5226">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1.服务目标</w:t>
      </w:r>
    </w:p>
    <w:p w14:paraId="4B57FDF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通过7*24小时技术响应运维服务，保障我县电子政务网络及党政机关统一互联网络稳定运行，包括传输链路、机房基础环境、网络设备、安全设备等。确保全年正常运行时间（小时）占比不低于99%，并达到100%的响应及时率，能够快速响应并解决出现的技术问题，确保问题能够得到及时有效的处理。</w:t>
      </w:r>
    </w:p>
    <w:p w14:paraId="160E08F5">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（2）建立规范的运行维护管理机制，制定运维应急保障方案，做好维护服务例行操作、响应支持、优化改善、安全评估服务工作，按照事件级别指标进行响应、处置设备故障和用户服务请求。</w:t>
      </w:r>
    </w:p>
    <w:p w14:paraId="2EB6EC0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（3）按照网络安全法要求，完善网络与信息安全管理制度和规范性文件，加强安全监测和防范，规范人员安全操作，及时响应处置突发安全事件，保障网络信息系统安全。</w:t>
      </w:r>
    </w:p>
    <w:p w14:paraId="6F7FEA4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（4）定期开展网络安全风险评估、应急演练及应急响应保障工作，提升信息安全突发情况的应对能力，确保政务网络平台安全可靠运行。</w:t>
      </w:r>
    </w:p>
    <w:p w14:paraId="6CEE2BC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（5）参照国家标准规范，建立包含人员、资源、技术、过程要素的运维服务管理体系，明确各项指标，强化运维管理，保证服务交付达到服务管理方的考核管理要求。</w:t>
      </w:r>
    </w:p>
    <w:p w14:paraId="1C175A3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2.服务范围</w:t>
      </w:r>
    </w:p>
    <w:p w14:paraId="7428F48E">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负责中心机房基础环境、基础设施、网络设备、安全设备、各类系统等日常巡检维护、网络监测、安全检测、风险排除、故障问题及时发现和解决等服务工作。</w:t>
      </w:r>
    </w:p>
    <w:p w14:paraId="1152C72C">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负责县委、县政府两大院各单位接入网络基础设施、交换设备、节点终端等日常巡检维护、网络监测、安全检测、风险排除、故障问题及时发现和解决等服务。</w:t>
      </w:r>
    </w:p>
    <w:p w14:paraId="33624598">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负责两大院外单位接入传输链路及相关设备的日常巡检维护、网络监测等工作，协助其完成故障排查与处理服务工作。</w:t>
      </w:r>
    </w:p>
    <w:p w14:paraId="7FD1927B">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机房/单位在新增或变更设备时协助做好设备调试工作。</w:t>
      </w:r>
    </w:p>
    <w:p w14:paraId="73CE56E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相关系统的安全防护策略、配置变更、策略优化、安全事件处理和IP</w:t>
      </w:r>
      <w:r>
        <w:rPr>
          <w:sz w:val="24"/>
          <w:szCs w:val="24"/>
        </w:rPr>
        <w:t>-</w:t>
      </w:r>
      <w:r>
        <w:rPr>
          <w:rFonts w:hint="eastAsia"/>
          <w:sz w:val="24"/>
          <w:szCs w:val="24"/>
        </w:rPr>
        <w:t>Mac变更绑定等日常工作。</w:t>
      </w:r>
    </w:p>
    <w:p w14:paraId="6E60BA66">
      <w:pPr>
        <w:rPr>
          <w:rFonts w:hint="eastAsia"/>
          <w:sz w:val="24"/>
          <w:szCs w:val="24"/>
        </w:rPr>
      </w:pPr>
    </w:p>
    <w:p w14:paraId="624F2587">
      <w:pPr>
        <w:pStyle w:val="20"/>
        <w:spacing w:line="560" w:lineRule="exact"/>
        <w:ind w:left="0" w:leftChars="0" w:firstLine="0" w:firstLineChars="0"/>
        <w:jc w:val="center"/>
        <w:outlineLvl w:val="1"/>
        <w:rPr>
          <w:rFonts w:hint="eastAsia" w:ascii="华文楷体" w:hAnsi="华文楷体" w:eastAsia="华文楷体" w:cs="华文楷体"/>
          <w:sz w:val="32"/>
          <w:szCs w:val="32"/>
        </w:rPr>
      </w:pPr>
      <w:r>
        <w:rPr>
          <w:rFonts w:hint="eastAsia" w:ascii="华文楷体" w:hAnsi="华文楷体" w:eastAsia="华文楷体" w:cs="华文楷体"/>
          <w:sz w:val="32"/>
          <w:szCs w:val="32"/>
        </w:rPr>
        <w:t>（三）技术服务要求</w:t>
      </w:r>
    </w:p>
    <w:p w14:paraId="0CEFD589">
      <w:pPr>
        <w:jc w:val="center"/>
        <w:rPr>
          <w:rFonts w:hint="eastAsia" w:ascii="黑体" w:hAnsi="黑体" w:eastAsia="黑体" w:cs="黑体"/>
          <w:sz w:val="24"/>
          <w:szCs w:val="24"/>
          <w:lang w:val="zh-CN"/>
        </w:rPr>
      </w:pPr>
    </w:p>
    <w:p w14:paraId="003429C8">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1.日常维护服务</w:t>
      </w:r>
    </w:p>
    <w:p w14:paraId="1600E3BF">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（1）</w:t>
      </w:r>
      <w:r>
        <w:rPr>
          <w:sz w:val="24"/>
          <w:szCs w:val="24"/>
        </w:rPr>
        <w:t>日常</w:t>
      </w:r>
      <w:r>
        <w:rPr>
          <w:rFonts w:hint="eastAsia"/>
          <w:sz w:val="24"/>
          <w:szCs w:val="24"/>
          <w:lang w:val="en-US" w:eastAsia="zh-CN"/>
        </w:rPr>
        <w:t>维护</w:t>
      </w:r>
      <w:r>
        <w:rPr>
          <w:sz w:val="24"/>
          <w:szCs w:val="24"/>
        </w:rPr>
        <w:t>巡检</w:t>
      </w:r>
    </w:p>
    <w:p w14:paraId="58DBA24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sz w:val="24"/>
          <w:szCs w:val="24"/>
        </w:rPr>
        <w:t>对</w:t>
      </w:r>
      <w:r>
        <w:rPr>
          <w:rFonts w:hint="eastAsia"/>
          <w:sz w:val="24"/>
          <w:szCs w:val="24"/>
          <w:lang w:val="en-US" w:eastAsia="zh-CN"/>
        </w:rPr>
        <w:t>政务网络中心</w:t>
      </w:r>
      <w:r>
        <w:rPr>
          <w:sz w:val="24"/>
          <w:szCs w:val="24"/>
        </w:rPr>
        <w:t>机房</w:t>
      </w:r>
      <w:r>
        <w:rPr>
          <w:rFonts w:hint="eastAsia"/>
          <w:sz w:val="24"/>
          <w:szCs w:val="24"/>
        </w:rPr>
        <w:t>及相关设施</w:t>
      </w:r>
      <w:r>
        <w:rPr>
          <w:rFonts w:hint="eastAsia"/>
          <w:sz w:val="24"/>
          <w:szCs w:val="24"/>
          <w:lang w:val="en-US" w:eastAsia="zh-CN"/>
        </w:rPr>
        <w:t>进行维护托管，</w:t>
      </w:r>
      <w:r>
        <w:rPr>
          <w:sz w:val="24"/>
          <w:szCs w:val="24"/>
        </w:rPr>
        <w:t>供应商</w:t>
      </w:r>
      <w:r>
        <w:rPr>
          <w:rFonts w:hint="eastAsia"/>
          <w:sz w:val="24"/>
          <w:szCs w:val="24"/>
        </w:rPr>
        <w:t>委派专业</w:t>
      </w:r>
      <w:r>
        <w:rPr>
          <w:sz w:val="24"/>
          <w:szCs w:val="24"/>
        </w:rPr>
        <w:t>工程师</w:t>
      </w:r>
      <w:r>
        <w:rPr>
          <w:rFonts w:hint="eastAsia"/>
          <w:sz w:val="24"/>
          <w:szCs w:val="24"/>
        </w:rPr>
        <w:t>（网络工程师中级及以上资质）</w:t>
      </w:r>
      <w:r>
        <w:rPr>
          <w:rFonts w:hint="eastAsia"/>
          <w:sz w:val="24"/>
          <w:szCs w:val="24"/>
          <w:lang w:val="en-US" w:eastAsia="zh-CN"/>
        </w:rPr>
        <w:t>驻场7*24小时开展机房物理环境和设备监管、</w:t>
      </w:r>
      <w:r>
        <w:rPr>
          <w:sz w:val="24"/>
          <w:szCs w:val="24"/>
        </w:rPr>
        <w:t>例行巡检和预防性维护，对可能出现的问题提供科学预测，提</w:t>
      </w:r>
      <w:r>
        <w:rPr>
          <w:rFonts w:hint="eastAsia"/>
          <w:sz w:val="24"/>
          <w:szCs w:val="24"/>
        </w:rPr>
        <w:t>出</w:t>
      </w:r>
      <w:r>
        <w:rPr>
          <w:sz w:val="24"/>
          <w:szCs w:val="24"/>
        </w:rPr>
        <w:t>预防整改措施，</w:t>
      </w:r>
      <w:r>
        <w:rPr>
          <w:rFonts w:hint="eastAsia"/>
          <w:sz w:val="24"/>
          <w:szCs w:val="24"/>
        </w:rPr>
        <w:t>经</w:t>
      </w:r>
      <w:r>
        <w:rPr>
          <w:sz w:val="24"/>
          <w:szCs w:val="24"/>
        </w:rPr>
        <w:t>授权的情况下</w:t>
      </w:r>
      <w:r>
        <w:rPr>
          <w:rFonts w:hint="eastAsia"/>
          <w:sz w:val="24"/>
          <w:szCs w:val="24"/>
        </w:rPr>
        <w:t>采取</w:t>
      </w:r>
      <w:r>
        <w:rPr>
          <w:sz w:val="24"/>
          <w:szCs w:val="24"/>
        </w:rPr>
        <w:t>必要的预防和补救措施，防患于未然</w:t>
      </w:r>
      <w:r>
        <w:rPr>
          <w:rFonts w:hint="eastAsia"/>
          <w:sz w:val="24"/>
          <w:szCs w:val="24"/>
        </w:rPr>
        <w:t>，并提供相应的日、周、月巡检报告（至少包括时间、项目、指标、结果、建议等）。</w:t>
      </w:r>
    </w:p>
    <w:p w14:paraId="6BB8D91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w:t>
      </w:r>
      <w:r>
        <w:rPr>
          <w:sz w:val="24"/>
          <w:szCs w:val="24"/>
        </w:rPr>
        <w:t>管理制度修编</w:t>
      </w:r>
    </w:p>
    <w:p w14:paraId="10C0E86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sz w:val="24"/>
          <w:szCs w:val="24"/>
        </w:rPr>
        <w:t>供应商根据客户需求制定、</w:t>
      </w:r>
      <w:r>
        <w:rPr>
          <w:rFonts w:hint="eastAsia"/>
          <w:sz w:val="24"/>
          <w:szCs w:val="24"/>
        </w:rPr>
        <w:t>完善</w:t>
      </w:r>
      <w:r>
        <w:rPr>
          <w:sz w:val="24"/>
          <w:szCs w:val="24"/>
        </w:rPr>
        <w:t>机房</w:t>
      </w:r>
      <w:r>
        <w:rPr>
          <w:rFonts w:hint="eastAsia"/>
          <w:sz w:val="24"/>
          <w:szCs w:val="24"/>
        </w:rPr>
        <w:t>管理、</w:t>
      </w:r>
      <w:r>
        <w:rPr>
          <w:sz w:val="24"/>
          <w:szCs w:val="24"/>
        </w:rPr>
        <w:t>安全管理</w:t>
      </w:r>
      <w:r>
        <w:rPr>
          <w:rFonts w:hint="eastAsia"/>
          <w:sz w:val="24"/>
          <w:szCs w:val="24"/>
        </w:rPr>
        <w:t>、应急管理的相关规章制度，包括但不限于《机房业务变更管理制度》、《运维服务管理制度及规范》、《网络与信息安全应急保障预案》、《运维服务日/月度报告制度》、《人员/设备出入机房登记制度》、《安全保密制度》等。</w:t>
      </w:r>
    </w:p>
    <w:p w14:paraId="5C03C6E4">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（3）</w:t>
      </w:r>
      <w:r>
        <w:rPr>
          <w:sz w:val="24"/>
          <w:szCs w:val="24"/>
        </w:rPr>
        <w:t>资产配置</w:t>
      </w:r>
      <w:r>
        <w:rPr>
          <w:rFonts w:hint="eastAsia"/>
          <w:sz w:val="24"/>
          <w:szCs w:val="24"/>
        </w:rPr>
        <w:t>台账</w:t>
      </w:r>
      <w:r>
        <w:rPr>
          <w:sz w:val="24"/>
          <w:szCs w:val="24"/>
        </w:rPr>
        <w:t>管理</w:t>
      </w:r>
    </w:p>
    <w:p w14:paraId="194D130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供应商对所有运维对象应建立资产台账管理制度，资产台账至少包含资产编号、分类、品牌、规格型号、用途、安装位置、数量、IP、所属单位、责任人等信息。可采用运维管理工具或Excel表格的形式保存。供应商应每半年对所运维的资产进行一次核对盘点，确保资产台账完整准确，每次盘点结束后将资产台账向采购方进行报告备案。</w:t>
      </w:r>
    </w:p>
    <w:p w14:paraId="579052A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（4）</w:t>
      </w:r>
      <w:r>
        <w:rPr>
          <w:sz w:val="24"/>
          <w:szCs w:val="24"/>
        </w:rPr>
        <w:t>重点时段</w:t>
      </w:r>
      <w:r>
        <w:rPr>
          <w:rFonts w:hint="eastAsia"/>
          <w:sz w:val="24"/>
          <w:szCs w:val="24"/>
        </w:rPr>
        <w:t>提供</w:t>
      </w:r>
      <w:r>
        <w:rPr>
          <w:sz w:val="24"/>
          <w:szCs w:val="24"/>
        </w:rPr>
        <w:t>网络安全保障服务</w:t>
      </w:r>
    </w:p>
    <w:p w14:paraId="4F5A614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sz w:val="24"/>
          <w:szCs w:val="24"/>
        </w:rPr>
        <w:t>在重大节会期间</w:t>
      </w:r>
      <w:r>
        <w:rPr>
          <w:rFonts w:hint="eastAsia"/>
          <w:sz w:val="24"/>
          <w:szCs w:val="24"/>
        </w:rPr>
        <w:t>（元旦、春节、五一、国庆及其他三天以上长假和国家重大活动）</w:t>
      </w:r>
      <w:r>
        <w:rPr>
          <w:sz w:val="24"/>
          <w:szCs w:val="24"/>
        </w:rPr>
        <w:t>，根据用户需求，安排人员值守，加强网络</w:t>
      </w:r>
      <w:r>
        <w:rPr>
          <w:rFonts w:hint="eastAsia"/>
          <w:sz w:val="24"/>
          <w:szCs w:val="24"/>
        </w:rPr>
        <w:t>稳定运行及</w:t>
      </w:r>
      <w:r>
        <w:rPr>
          <w:sz w:val="24"/>
          <w:szCs w:val="24"/>
        </w:rPr>
        <w:t>安全监测保障工作，提供重点时段强化保障服务。</w:t>
      </w:r>
    </w:p>
    <w:p w14:paraId="6D9F7965">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（5）应急预案</w:t>
      </w:r>
    </w:p>
    <w:p w14:paraId="5A15A08C">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建立和完善相关机房、网络、应用、安全应急预案，明确组织结构、安全事件分类分级、应急响应上报流程及应急处理方案，并每年开展两次应急演练，根据应急演练情况，出具《应急演练报告》，以提升运维人员应对突发事件的处置能力。</w:t>
      </w:r>
    </w:p>
    <w:p w14:paraId="3B3D56C6">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（6）</w:t>
      </w:r>
      <w:r>
        <w:rPr>
          <w:sz w:val="24"/>
          <w:szCs w:val="24"/>
        </w:rPr>
        <w:t>其他服务</w:t>
      </w:r>
    </w:p>
    <w:p w14:paraId="4079708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sz w:val="24"/>
          <w:szCs w:val="24"/>
        </w:rPr>
        <w:t>确保该</w:t>
      </w:r>
      <w:r>
        <w:rPr>
          <w:rFonts w:hint="eastAsia"/>
          <w:sz w:val="24"/>
          <w:szCs w:val="24"/>
        </w:rPr>
        <w:t>网络平台</w:t>
      </w:r>
      <w:r>
        <w:rPr>
          <w:sz w:val="24"/>
          <w:szCs w:val="24"/>
        </w:rPr>
        <w:t>正常运行的其他临时性工作。</w:t>
      </w:r>
    </w:p>
    <w:p w14:paraId="2B43E0BD">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2.故障处理和响应服务</w:t>
      </w:r>
    </w:p>
    <w:p w14:paraId="44F21915">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对项目涉及范围内的全部设备进行故障诊断，现场测试及相关故障排除，包括传输链路、网络设备、安全设备和电力系统、UPS及电池、发电机组、消防、防雷接地、空调、门禁、照明、新风、动力环境、物理场所等设施进行日常维护和故障处理。维护处理相关的设备更新、维修等产生的费用由采购方承担，供应商提供解决方案和设备替换技术服务。因供应商原因造成的任何损坏导致网络中断的，供应商必须免费、及时负责维修或更换。</w:t>
      </w:r>
    </w:p>
    <w:p w14:paraId="10539877">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供应商应提供关键设备的备品备件服务。至少包括1台汇聚交换机、2台接入交换机、1台互联网出口安全网关设备（设备性能均不低于现有设备参数），实现配件故障快速更换，缩短故障处理时间。</w:t>
      </w:r>
    </w:p>
    <w:p w14:paraId="530E70C6">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供应商为采购单位提供可靠的运行维护服务。服务电话响应时间要求为7*24小时。除不可抗拒因素外，一般故障（指影响范围不大的问题）处理时限为10分钟响应，1小时到现场，3小时内解决故障；严重故障（指有较大影响，部分业务或单位无法使用）处理时限为5分钟响应，30分钟到现场，2小时内解决故障；重大故障（整个网络无法使用，造成业务全面中断）处理时限为5分钟响应，20分钟到现场，1小时内解决故障。</w:t>
      </w:r>
    </w:p>
    <w:p w14:paraId="477DAC3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3.</w:t>
      </w:r>
      <w:r>
        <w:rPr>
          <w:sz w:val="24"/>
          <w:szCs w:val="24"/>
        </w:rPr>
        <w:t>网络安全保障</w:t>
      </w:r>
    </w:p>
    <w:p w14:paraId="436817AB">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sz w:val="24"/>
          <w:szCs w:val="24"/>
        </w:rPr>
        <w:t>供应商整体负责采购方机房、相关网络</w:t>
      </w:r>
      <w:r>
        <w:rPr>
          <w:rFonts w:hint="eastAsia"/>
          <w:sz w:val="24"/>
          <w:szCs w:val="24"/>
        </w:rPr>
        <w:t>、信息安全和物理环境的安全</w:t>
      </w:r>
      <w:r>
        <w:rPr>
          <w:sz w:val="24"/>
          <w:szCs w:val="24"/>
        </w:rPr>
        <w:t>。结合</w:t>
      </w:r>
      <w:r>
        <w:rPr>
          <w:rFonts w:hint="eastAsia"/>
          <w:sz w:val="24"/>
          <w:szCs w:val="24"/>
        </w:rPr>
        <w:t>目前网络</w:t>
      </w:r>
      <w:r>
        <w:rPr>
          <w:sz w:val="24"/>
          <w:szCs w:val="24"/>
        </w:rPr>
        <w:t>软硬件环境，按需对网络安全做例行巡检、策略优化等工作</w:t>
      </w:r>
      <w:r>
        <w:rPr>
          <w:rFonts w:hint="eastAsia"/>
          <w:sz w:val="24"/>
          <w:szCs w:val="24"/>
        </w:rPr>
        <w:t>，包括但不限于管理制度类安全检查、网络系统安全检查、主机系统安全检查等</w:t>
      </w:r>
      <w:r>
        <w:rPr>
          <w:sz w:val="24"/>
          <w:szCs w:val="24"/>
        </w:rPr>
        <w:t>。</w:t>
      </w:r>
    </w:p>
    <w:p w14:paraId="42461C10">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sz w:val="24"/>
          <w:szCs w:val="24"/>
        </w:rPr>
        <w:t>每日进行安全巡检，每月进行一次安全总结报告，就安全形势进行分析，对处置结果进行通报</w:t>
      </w:r>
      <w:r>
        <w:rPr>
          <w:rFonts w:hint="eastAsia"/>
          <w:sz w:val="24"/>
          <w:szCs w:val="24"/>
        </w:rPr>
        <w:t>，</w:t>
      </w:r>
      <w:r>
        <w:rPr>
          <w:sz w:val="24"/>
          <w:szCs w:val="24"/>
        </w:rPr>
        <w:t>并对存在问题进行</w:t>
      </w:r>
      <w:r>
        <w:rPr>
          <w:rFonts w:hint="eastAsia"/>
          <w:sz w:val="24"/>
          <w:szCs w:val="24"/>
        </w:rPr>
        <w:t>整改</w:t>
      </w:r>
      <w:r>
        <w:rPr>
          <w:sz w:val="24"/>
          <w:szCs w:val="24"/>
        </w:rPr>
        <w:t>。</w:t>
      </w:r>
    </w:p>
    <w:p w14:paraId="5E738C7A">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4.</w:t>
      </w:r>
      <w:r>
        <w:rPr>
          <w:sz w:val="24"/>
          <w:szCs w:val="24"/>
        </w:rPr>
        <w:t>保密要求</w:t>
      </w:r>
    </w:p>
    <w:p w14:paraId="5A0929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eastAsia="zh-CN"/>
        </w:rPr>
      </w:pPr>
      <w:r>
        <w:rPr>
          <w:sz w:val="24"/>
          <w:szCs w:val="24"/>
          <w:lang w:eastAsia="zh-CN"/>
        </w:rPr>
        <w:t>供应商签订合同时，需与采购人签订该项目保密协议。根据采购人要求，本项目涉及的所有资料都进行保密，不得将采购人的保密信息泄露。</w:t>
      </w:r>
    </w:p>
    <w:p w14:paraId="4973E071">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5.服务质量指标</w:t>
      </w:r>
    </w:p>
    <w:p w14:paraId="707C21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eastAsia="zh-CN"/>
        </w:rPr>
      </w:pPr>
      <w:r>
        <w:rPr>
          <w:sz w:val="24"/>
          <w:szCs w:val="24"/>
          <w:lang w:eastAsia="zh-CN"/>
        </w:rPr>
        <w:t>供应商应配合采购方共同制定服务质量指标，并按指标要求落实执行。</w:t>
      </w:r>
    </w:p>
    <w:p w14:paraId="58E52889">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6.运维服务方案</w:t>
      </w:r>
    </w:p>
    <w:p w14:paraId="60BFD7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eastAsia="zh-CN"/>
        </w:rPr>
      </w:pPr>
      <w:r>
        <w:rPr>
          <w:sz w:val="24"/>
          <w:szCs w:val="24"/>
          <w:lang w:eastAsia="zh-CN"/>
        </w:rPr>
        <w:t>供应商应针对本项目提供以下完善的运维服务方案（包括但不限于）：总体运维规划、运维服务需求分析、运维服务指标与绩效评价规划、运维服务级别、方式及服务流程、运维服务过程管理、技术支持能力、风险及应对措施、安全防护措施、故障应急方案；设备工具及人员投入措施等。</w:t>
      </w:r>
      <w:r>
        <w:rPr>
          <w:rFonts w:hint="eastAsia"/>
          <w:sz w:val="24"/>
          <w:szCs w:val="24"/>
          <w:lang w:eastAsia="zh-CN"/>
        </w:rPr>
        <w:t>运维服务</w:t>
      </w:r>
      <w:r>
        <w:rPr>
          <w:rFonts w:hint="eastAsia"/>
          <w:sz w:val="24"/>
          <w:szCs w:val="24"/>
          <w:lang w:val="en-US" w:eastAsia="zh-CN"/>
        </w:rPr>
        <w:t>设备</w:t>
      </w:r>
      <w:r>
        <w:rPr>
          <w:rFonts w:hint="eastAsia"/>
          <w:sz w:val="24"/>
          <w:szCs w:val="24"/>
          <w:lang w:eastAsia="zh-CN"/>
        </w:rPr>
        <w:t>清单如下：</w:t>
      </w:r>
    </w:p>
    <w:tbl>
      <w:tblPr>
        <w:tblStyle w:val="14"/>
        <w:tblW w:w="4745" w:type="pct"/>
        <w:jc w:val="center"/>
        <w:tblLayout w:type="fixed"/>
        <w:tblCellMar>
          <w:top w:w="0" w:type="dxa"/>
          <w:left w:w="108" w:type="dxa"/>
          <w:bottom w:w="0" w:type="dxa"/>
          <w:right w:w="108" w:type="dxa"/>
        </w:tblCellMar>
      </w:tblPr>
      <w:tblGrid>
        <w:gridCol w:w="770"/>
        <w:gridCol w:w="3503"/>
        <w:gridCol w:w="2906"/>
        <w:gridCol w:w="743"/>
        <w:gridCol w:w="849"/>
      </w:tblGrid>
      <w:tr w14:paraId="1EBB14E0">
        <w:tblPrEx>
          <w:tblCellMar>
            <w:top w:w="0" w:type="dxa"/>
            <w:left w:w="108" w:type="dxa"/>
            <w:bottom w:w="0" w:type="dxa"/>
            <w:right w:w="108" w:type="dxa"/>
          </w:tblCellMar>
        </w:tblPrEx>
        <w:trPr>
          <w:trHeight w:val="280" w:hRule="atLeast"/>
          <w:jc w:val="center"/>
        </w:trPr>
        <w:tc>
          <w:tcPr>
            <w:tcW w:w="438" w:type="pct"/>
            <w:tcBorders>
              <w:top w:val="single" w:color="auto" w:sz="4" w:space="0"/>
              <w:left w:val="single" w:color="auto" w:sz="4" w:space="0"/>
              <w:bottom w:val="single" w:color="auto" w:sz="4" w:space="0"/>
              <w:right w:val="single" w:color="auto" w:sz="4" w:space="0"/>
            </w:tcBorders>
            <w:noWrap/>
            <w:vAlign w:val="center"/>
          </w:tcPr>
          <w:p w14:paraId="4116A8C8">
            <w:pPr>
              <w:jc w:val="center"/>
              <w:rPr>
                <w:rFonts w:hint="eastAsia"/>
              </w:rPr>
            </w:pPr>
            <w:r>
              <w:rPr>
                <w:rFonts w:hint="eastAsia"/>
              </w:rPr>
              <w:t>序号</w:t>
            </w:r>
          </w:p>
        </w:tc>
        <w:tc>
          <w:tcPr>
            <w:tcW w:w="1996" w:type="pct"/>
            <w:tcBorders>
              <w:top w:val="single" w:color="auto" w:sz="4" w:space="0"/>
              <w:left w:val="nil"/>
              <w:bottom w:val="single" w:color="auto" w:sz="4" w:space="0"/>
              <w:right w:val="single" w:color="auto" w:sz="4" w:space="0"/>
            </w:tcBorders>
            <w:noWrap/>
            <w:vAlign w:val="center"/>
          </w:tcPr>
          <w:p w14:paraId="55D1F13F">
            <w:pPr>
              <w:jc w:val="both"/>
              <w:rPr>
                <w:rFonts w:hint="eastAsia"/>
              </w:rPr>
            </w:pPr>
            <w:r>
              <w:rPr>
                <w:rFonts w:hint="eastAsia"/>
              </w:rPr>
              <w:t>设备名称</w:t>
            </w:r>
          </w:p>
        </w:tc>
        <w:tc>
          <w:tcPr>
            <w:tcW w:w="1656" w:type="pct"/>
            <w:tcBorders>
              <w:top w:val="single" w:color="auto" w:sz="4" w:space="0"/>
              <w:left w:val="nil"/>
              <w:bottom w:val="single" w:color="auto" w:sz="4" w:space="0"/>
              <w:right w:val="single" w:color="auto" w:sz="4" w:space="0"/>
            </w:tcBorders>
            <w:noWrap/>
            <w:vAlign w:val="center"/>
          </w:tcPr>
          <w:p w14:paraId="53D3162C">
            <w:pPr>
              <w:jc w:val="both"/>
              <w:rPr>
                <w:rFonts w:hint="eastAsia"/>
              </w:rPr>
            </w:pPr>
            <w:r>
              <w:rPr>
                <w:rFonts w:hint="eastAsia"/>
              </w:rPr>
              <w:t>品牌</w:t>
            </w:r>
          </w:p>
        </w:tc>
        <w:tc>
          <w:tcPr>
            <w:tcW w:w="423" w:type="pct"/>
            <w:tcBorders>
              <w:top w:val="single" w:color="auto" w:sz="4" w:space="0"/>
              <w:left w:val="nil"/>
              <w:bottom w:val="single" w:color="auto" w:sz="4" w:space="0"/>
              <w:right w:val="single" w:color="auto" w:sz="4" w:space="0"/>
            </w:tcBorders>
            <w:noWrap/>
            <w:vAlign w:val="center"/>
          </w:tcPr>
          <w:p w14:paraId="37D8FBFC">
            <w:pPr>
              <w:jc w:val="center"/>
              <w:rPr>
                <w:rFonts w:hint="eastAsia"/>
              </w:rPr>
            </w:pPr>
            <w:r>
              <w:rPr>
                <w:rFonts w:hint="eastAsia"/>
              </w:rPr>
              <w:t>数量</w:t>
            </w:r>
          </w:p>
        </w:tc>
        <w:tc>
          <w:tcPr>
            <w:tcW w:w="484" w:type="pct"/>
            <w:tcBorders>
              <w:top w:val="single" w:color="auto" w:sz="4" w:space="0"/>
              <w:left w:val="nil"/>
              <w:bottom w:val="single" w:color="auto" w:sz="4" w:space="0"/>
              <w:right w:val="single" w:color="auto" w:sz="4" w:space="0"/>
            </w:tcBorders>
            <w:noWrap/>
            <w:vAlign w:val="center"/>
          </w:tcPr>
          <w:p w14:paraId="1589F245">
            <w:pPr>
              <w:jc w:val="center"/>
              <w:rPr>
                <w:rFonts w:hint="eastAsia"/>
              </w:rPr>
            </w:pPr>
            <w:r>
              <w:rPr>
                <w:rFonts w:hint="eastAsia"/>
              </w:rPr>
              <w:t>单位</w:t>
            </w:r>
          </w:p>
        </w:tc>
      </w:tr>
      <w:tr w14:paraId="492BAB83">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2A5A724D">
            <w:pPr>
              <w:jc w:val="center"/>
              <w:rPr>
                <w:rFonts w:hint="eastAsia"/>
              </w:rPr>
            </w:pPr>
            <w:r>
              <w:rPr>
                <w:rFonts w:hint="eastAsia"/>
              </w:rPr>
              <w:t>1</w:t>
            </w:r>
          </w:p>
        </w:tc>
        <w:tc>
          <w:tcPr>
            <w:tcW w:w="1996" w:type="pct"/>
            <w:tcBorders>
              <w:top w:val="nil"/>
              <w:left w:val="nil"/>
              <w:bottom w:val="single" w:color="auto" w:sz="4" w:space="0"/>
              <w:right w:val="single" w:color="auto" w:sz="4" w:space="0"/>
            </w:tcBorders>
            <w:noWrap/>
            <w:vAlign w:val="center"/>
          </w:tcPr>
          <w:p w14:paraId="0E4508AF">
            <w:pPr>
              <w:jc w:val="both"/>
              <w:rPr>
                <w:rFonts w:hint="eastAsia"/>
              </w:rPr>
            </w:pPr>
            <w:r>
              <w:rPr>
                <w:rFonts w:hint="eastAsia"/>
              </w:rPr>
              <w:t>负载均衡</w:t>
            </w:r>
          </w:p>
        </w:tc>
        <w:tc>
          <w:tcPr>
            <w:tcW w:w="1656" w:type="pct"/>
            <w:tcBorders>
              <w:top w:val="nil"/>
              <w:left w:val="nil"/>
              <w:bottom w:val="single" w:color="auto" w:sz="4" w:space="0"/>
              <w:right w:val="single" w:color="auto" w:sz="4" w:space="0"/>
            </w:tcBorders>
            <w:noWrap/>
            <w:vAlign w:val="center"/>
          </w:tcPr>
          <w:p w14:paraId="05B76BFA">
            <w:pPr>
              <w:jc w:val="both"/>
              <w:rPr>
                <w:rFonts w:hint="eastAsia"/>
              </w:rPr>
            </w:pPr>
            <w:r>
              <w:rPr>
                <w:rFonts w:hint="eastAsia"/>
              </w:rPr>
              <w:t>深信服AD-1000</w:t>
            </w:r>
          </w:p>
        </w:tc>
        <w:tc>
          <w:tcPr>
            <w:tcW w:w="423" w:type="pct"/>
            <w:tcBorders>
              <w:top w:val="nil"/>
              <w:left w:val="nil"/>
              <w:bottom w:val="single" w:color="auto" w:sz="4" w:space="0"/>
              <w:right w:val="single" w:color="auto" w:sz="4" w:space="0"/>
            </w:tcBorders>
            <w:noWrap/>
            <w:vAlign w:val="center"/>
          </w:tcPr>
          <w:p w14:paraId="39F24F3E">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3BAD6DD3">
            <w:pPr>
              <w:jc w:val="center"/>
              <w:rPr>
                <w:rFonts w:hint="eastAsia"/>
              </w:rPr>
            </w:pPr>
            <w:r>
              <w:rPr>
                <w:rFonts w:hint="eastAsia"/>
              </w:rPr>
              <w:t>台</w:t>
            </w:r>
          </w:p>
        </w:tc>
      </w:tr>
      <w:tr w14:paraId="52C035AE">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7A489DA">
            <w:pPr>
              <w:jc w:val="center"/>
              <w:rPr>
                <w:rFonts w:hint="eastAsia"/>
              </w:rPr>
            </w:pPr>
            <w:r>
              <w:rPr>
                <w:rFonts w:hint="eastAsia"/>
              </w:rPr>
              <w:t>2</w:t>
            </w:r>
          </w:p>
        </w:tc>
        <w:tc>
          <w:tcPr>
            <w:tcW w:w="1996" w:type="pct"/>
            <w:tcBorders>
              <w:top w:val="nil"/>
              <w:left w:val="nil"/>
              <w:bottom w:val="single" w:color="auto" w:sz="4" w:space="0"/>
              <w:right w:val="single" w:color="auto" w:sz="4" w:space="0"/>
            </w:tcBorders>
            <w:noWrap/>
            <w:vAlign w:val="center"/>
          </w:tcPr>
          <w:p w14:paraId="08588A21">
            <w:pPr>
              <w:jc w:val="both"/>
              <w:rPr>
                <w:rFonts w:hint="eastAsia"/>
              </w:rPr>
            </w:pPr>
            <w:r>
              <w:rPr>
                <w:rFonts w:hint="eastAsia"/>
              </w:rPr>
              <w:t>园区汇聚交换机</w:t>
            </w:r>
          </w:p>
        </w:tc>
        <w:tc>
          <w:tcPr>
            <w:tcW w:w="1656" w:type="pct"/>
            <w:tcBorders>
              <w:top w:val="nil"/>
              <w:left w:val="nil"/>
              <w:bottom w:val="single" w:color="auto" w:sz="4" w:space="0"/>
              <w:right w:val="single" w:color="auto" w:sz="4" w:space="0"/>
            </w:tcBorders>
            <w:noWrap/>
            <w:vAlign w:val="center"/>
          </w:tcPr>
          <w:p w14:paraId="70F2D4FB">
            <w:pPr>
              <w:jc w:val="both"/>
              <w:rPr>
                <w:rFonts w:hint="eastAsia"/>
              </w:rPr>
            </w:pPr>
            <w:r>
              <w:rPr>
                <w:rFonts w:hint="eastAsia"/>
              </w:rPr>
              <w:t>华为S8704</w:t>
            </w:r>
          </w:p>
        </w:tc>
        <w:tc>
          <w:tcPr>
            <w:tcW w:w="423" w:type="pct"/>
            <w:tcBorders>
              <w:top w:val="nil"/>
              <w:left w:val="nil"/>
              <w:bottom w:val="single" w:color="auto" w:sz="4" w:space="0"/>
              <w:right w:val="single" w:color="auto" w:sz="4" w:space="0"/>
            </w:tcBorders>
            <w:noWrap/>
            <w:vAlign w:val="center"/>
          </w:tcPr>
          <w:p w14:paraId="5480D996">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1FD5F299">
            <w:pPr>
              <w:jc w:val="center"/>
              <w:rPr>
                <w:rFonts w:hint="eastAsia"/>
              </w:rPr>
            </w:pPr>
            <w:r>
              <w:rPr>
                <w:rFonts w:hint="eastAsia"/>
              </w:rPr>
              <w:t>台</w:t>
            </w:r>
          </w:p>
        </w:tc>
      </w:tr>
      <w:tr w14:paraId="519011A1">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1121B20C">
            <w:pPr>
              <w:jc w:val="center"/>
              <w:rPr>
                <w:rFonts w:hint="eastAsia"/>
              </w:rPr>
            </w:pPr>
            <w:r>
              <w:rPr>
                <w:rFonts w:hint="eastAsia"/>
              </w:rPr>
              <w:t>3</w:t>
            </w:r>
          </w:p>
        </w:tc>
        <w:tc>
          <w:tcPr>
            <w:tcW w:w="1996" w:type="pct"/>
            <w:tcBorders>
              <w:top w:val="nil"/>
              <w:left w:val="nil"/>
              <w:bottom w:val="single" w:color="auto" w:sz="4" w:space="0"/>
              <w:right w:val="single" w:color="auto" w:sz="4" w:space="0"/>
            </w:tcBorders>
            <w:noWrap/>
            <w:vAlign w:val="center"/>
          </w:tcPr>
          <w:p w14:paraId="4BBF7CBB">
            <w:pPr>
              <w:jc w:val="both"/>
              <w:rPr>
                <w:rFonts w:hint="eastAsia"/>
              </w:rPr>
            </w:pPr>
            <w:r>
              <w:rPr>
                <w:rFonts w:hint="eastAsia"/>
              </w:rPr>
              <w:t>园区外汇聚交换机</w:t>
            </w:r>
          </w:p>
        </w:tc>
        <w:tc>
          <w:tcPr>
            <w:tcW w:w="1656" w:type="pct"/>
            <w:tcBorders>
              <w:top w:val="nil"/>
              <w:left w:val="nil"/>
              <w:bottom w:val="single" w:color="auto" w:sz="4" w:space="0"/>
              <w:right w:val="single" w:color="auto" w:sz="4" w:space="0"/>
            </w:tcBorders>
            <w:noWrap/>
            <w:vAlign w:val="center"/>
          </w:tcPr>
          <w:p w14:paraId="3AD094C0">
            <w:pPr>
              <w:jc w:val="both"/>
              <w:rPr>
                <w:rFonts w:hint="eastAsia"/>
              </w:rPr>
            </w:pPr>
            <w:r>
              <w:rPr>
                <w:rFonts w:hint="eastAsia"/>
              </w:rPr>
              <w:t>华为S7706</w:t>
            </w:r>
          </w:p>
        </w:tc>
        <w:tc>
          <w:tcPr>
            <w:tcW w:w="423" w:type="pct"/>
            <w:tcBorders>
              <w:top w:val="nil"/>
              <w:left w:val="nil"/>
              <w:bottom w:val="single" w:color="auto" w:sz="4" w:space="0"/>
              <w:right w:val="single" w:color="auto" w:sz="4" w:space="0"/>
            </w:tcBorders>
            <w:noWrap/>
            <w:vAlign w:val="center"/>
          </w:tcPr>
          <w:p w14:paraId="1A4E85E5">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7BF19CE5">
            <w:pPr>
              <w:jc w:val="center"/>
              <w:rPr>
                <w:rFonts w:hint="eastAsia"/>
              </w:rPr>
            </w:pPr>
            <w:r>
              <w:rPr>
                <w:rFonts w:hint="eastAsia"/>
              </w:rPr>
              <w:t>台</w:t>
            </w:r>
          </w:p>
        </w:tc>
      </w:tr>
      <w:tr w14:paraId="32586A9B">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2C94FA06">
            <w:pPr>
              <w:jc w:val="center"/>
              <w:rPr>
                <w:rFonts w:hint="eastAsia"/>
              </w:rPr>
            </w:pPr>
            <w:r>
              <w:rPr>
                <w:rFonts w:hint="eastAsia"/>
              </w:rPr>
              <w:t>4</w:t>
            </w:r>
          </w:p>
        </w:tc>
        <w:tc>
          <w:tcPr>
            <w:tcW w:w="1996" w:type="pct"/>
            <w:tcBorders>
              <w:top w:val="nil"/>
              <w:left w:val="nil"/>
              <w:bottom w:val="single" w:color="auto" w:sz="4" w:space="0"/>
              <w:right w:val="single" w:color="auto" w:sz="4" w:space="0"/>
            </w:tcBorders>
            <w:noWrap/>
            <w:vAlign w:val="center"/>
          </w:tcPr>
          <w:p w14:paraId="4A3999BF">
            <w:pPr>
              <w:jc w:val="both"/>
              <w:rPr>
                <w:rFonts w:hint="eastAsia"/>
              </w:rPr>
            </w:pPr>
            <w:r>
              <w:rPr>
                <w:rFonts w:hint="eastAsia"/>
              </w:rPr>
              <w:t>流量清洗</w:t>
            </w:r>
          </w:p>
        </w:tc>
        <w:tc>
          <w:tcPr>
            <w:tcW w:w="1656" w:type="pct"/>
            <w:tcBorders>
              <w:top w:val="nil"/>
              <w:left w:val="nil"/>
              <w:bottom w:val="single" w:color="auto" w:sz="4" w:space="0"/>
              <w:right w:val="single" w:color="auto" w:sz="4" w:space="0"/>
            </w:tcBorders>
            <w:noWrap/>
            <w:vAlign w:val="center"/>
          </w:tcPr>
          <w:p w14:paraId="7D5225C9">
            <w:pPr>
              <w:jc w:val="both"/>
              <w:rPr>
                <w:rFonts w:hint="eastAsia"/>
              </w:rPr>
            </w:pPr>
            <w:r>
              <w:rPr>
                <w:rFonts w:hint="eastAsia"/>
              </w:rPr>
              <w:t>深信服AF-1000</w:t>
            </w:r>
          </w:p>
        </w:tc>
        <w:tc>
          <w:tcPr>
            <w:tcW w:w="423" w:type="pct"/>
            <w:tcBorders>
              <w:top w:val="nil"/>
              <w:left w:val="nil"/>
              <w:bottom w:val="single" w:color="auto" w:sz="4" w:space="0"/>
              <w:right w:val="single" w:color="auto" w:sz="4" w:space="0"/>
            </w:tcBorders>
            <w:noWrap/>
            <w:vAlign w:val="center"/>
          </w:tcPr>
          <w:p w14:paraId="6F187AA9">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4CC0BD61">
            <w:pPr>
              <w:jc w:val="center"/>
              <w:rPr>
                <w:rFonts w:hint="eastAsia"/>
              </w:rPr>
            </w:pPr>
            <w:r>
              <w:rPr>
                <w:rFonts w:hint="eastAsia"/>
              </w:rPr>
              <w:t>台</w:t>
            </w:r>
          </w:p>
        </w:tc>
      </w:tr>
      <w:tr w14:paraId="565153DA">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2D66B8D8">
            <w:pPr>
              <w:jc w:val="center"/>
              <w:rPr>
                <w:rFonts w:hint="eastAsia"/>
              </w:rPr>
            </w:pPr>
            <w:r>
              <w:rPr>
                <w:rFonts w:hint="eastAsia"/>
              </w:rPr>
              <w:t>5</w:t>
            </w:r>
          </w:p>
        </w:tc>
        <w:tc>
          <w:tcPr>
            <w:tcW w:w="1996" w:type="pct"/>
            <w:tcBorders>
              <w:top w:val="nil"/>
              <w:left w:val="nil"/>
              <w:bottom w:val="single" w:color="auto" w:sz="4" w:space="0"/>
              <w:right w:val="single" w:color="auto" w:sz="4" w:space="0"/>
            </w:tcBorders>
            <w:noWrap/>
            <w:vAlign w:val="center"/>
          </w:tcPr>
          <w:p w14:paraId="12E4EE75">
            <w:pPr>
              <w:jc w:val="both"/>
              <w:rPr>
                <w:rFonts w:hint="eastAsia"/>
              </w:rPr>
            </w:pPr>
            <w:r>
              <w:rPr>
                <w:rFonts w:hint="eastAsia"/>
              </w:rPr>
              <w:t>上网行为管理</w:t>
            </w:r>
          </w:p>
        </w:tc>
        <w:tc>
          <w:tcPr>
            <w:tcW w:w="1656" w:type="pct"/>
            <w:tcBorders>
              <w:top w:val="nil"/>
              <w:left w:val="nil"/>
              <w:bottom w:val="single" w:color="auto" w:sz="4" w:space="0"/>
              <w:right w:val="single" w:color="auto" w:sz="4" w:space="0"/>
            </w:tcBorders>
            <w:noWrap/>
            <w:vAlign w:val="center"/>
          </w:tcPr>
          <w:p w14:paraId="5209921A">
            <w:pPr>
              <w:jc w:val="both"/>
              <w:rPr>
                <w:rFonts w:hint="eastAsia"/>
              </w:rPr>
            </w:pPr>
            <w:r>
              <w:rPr>
                <w:rFonts w:hint="eastAsia"/>
              </w:rPr>
              <w:t>奇安信NBM5330</w:t>
            </w:r>
          </w:p>
        </w:tc>
        <w:tc>
          <w:tcPr>
            <w:tcW w:w="423" w:type="pct"/>
            <w:tcBorders>
              <w:top w:val="nil"/>
              <w:left w:val="nil"/>
              <w:bottom w:val="single" w:color="auto" w:sz="4" w:space="0"/>
              <w:right w:val="single" w:color="auto" w:sz="4" w:space="0"/>
            </w:tcBorders>
            <w:noWrap/>
            <w:vAlign w:val="center"/>
          </w:tcPr>
          <w:p w14:paraId="22B41DC4">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055D5C22">
            <w:pPr>
              <w:jc w:val="center"/>
              <w:rPr>
                <w:rFonts w:hint="eastAsia"/>
              </w:rPr>
            </w:pPr>
            <w:r>
              <w:rPr>
                <w:rFonts w:hint="eastAsia"/>
              </w:rPr>
              <w:t>台</w:t>
            </w:r>
          </w:p>
        </w:tc>
      </w:tr>
      <w:tr w14:paraId="50574867">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61675FB5">
            <w:pPr>
              <w:jc w:val="center"/>
              <w:rPr>
                <w:rFonts w:hint="eastAsia"/>
              </w:rPr>
            </w:pPr>
            <w:r>
              <w:rPr>
                <w:rFonts w:hint="eastAsia"/>
              </w:rPr>
              <w:t>6</w:t>
            </w:r>
          </w:p>
        </w:tc>
        <w:tc>
          <w:tcPr>
            <w:tcW w:w="1996" w:type="pct"/>
            <w:tcBorders>
              <w:top w:val="nil"/>
              <w:left w:val="nil"/>
              <w:bottom w:val="single" w:color="auto" w:sz="4" w:space="0"/>
              <w:right w:val="single" w:color="auto" w:sz="4" w:space="0"/>
            </w:tcBorders>
            <w:noWrap/>
            <w:vAlign w:val="center"/>
          </w:tcPr>
          <w:p w14:paraId="716A25B9">
            <w:pPr>
              <w:jc w:val="both"/>
              <w:rPr>
                <w:rFonts w:hint="eastAsia"/>
              </w:rPr>
            </w:pPr>
            <w:r>
              <w:rPr>
                <w:rFonts w:hint="eastAsia"/>
              </w:rPr>
              <w:t>防火墙</w:t>
            </w:r>
          </w:p>
        </w:tc>
        <w:tc>
          <w:tcPr>
            <w:tcW w:w="1656" w:type="pct"/>
            <w:tcBorders>
              <w:top w:val="nil"/>
              <w:left w:val="nil"/>
              <w:bottom w:val="single" w:color="auto" w:sz="4" w:space="0"/>
              <w:right w:val="single" w:color="auto" w:sz="4" w:space="0"/>
            </w:tcBorders>
            <w:noWrap/>
            <w:vAlign w:val="center"/>
          </w:tcPr>
          <w:p w14:paraId="332A80BB">
            <w:pPr>
              <w:jc w:val="both"/>
              <w:rPr>
                <w:rFonts w:hint="eastAsia"/>
              </w:rPr>
            </w:pPr>
            <w:r>
              <w:rPr>
                <w:rFonts w:hint="eastAsia"/>
              </w:rPr>
              <w:t>华为USG6525F</w:t>
            </w:r>
          </w:p>
        </w:tc>
        <w:tc>
          <w:tcPr>
            <w:tcW w:w="423" w:type="pct"/>
            <w:tcBorders>
              <w:top w:val="nil"/>
              <w:left w:val="nil"/>
              <w:bottom w:val="single" w:color="auto" w:sz="4" w:space="0"/>
              <w:right w:val="single" w:color="auto" w:sz="4" w:space="0"/>
            </w:tcBorders>
            <w:noWrap/>
            <w:vAlign w:val="center"/>
          </w:tcPr>
          <w:p w14:paraId="2EE48A7A">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0DA0245B">
            <w:pPr>
              <w:jc w:val="center"/>
              <w:rPr>
                <w:rFonts w:hint="eastAsia"/>
              </w:rPr>
            </w:pPr>
            <w:r>
              <w:rPr>
                <w:rFonts w:hint="eastAsia"/>
              </w:rPr>
              <w:t>台</w:t>
            </w:r>
          </w:p>
        </w:tc>
      </w:tr>
      <w:tr w14:paraId="398AC84E">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5FD87C83">
            <w:pPr>
              <w:jc w:val="center"/>
              <w:rPr>
                <w:rFonts w:hint="eastAsia"/>
              </w:rPr>
            </w:pPr>
            <w:r>
              <w:rPr>
                <w:rFonts w:hint="eastAsia"/>
              </w:rPr>
              <w:t>7</w:t>
            </w:r>
          </w:p>
        </w:tc>
        <w:tc>
          <w:tcPr>
            <w:tcW w:w="1996" w:type="pct"/>
            <w:tcBorders>
              <w:top w:val="nil"/>
              <w:left w:val="nil"/>
              <w:bottom w:val="single" w:color="auto" w:sz="4" w:space="0"/>
              <w:right w:val="single" w:color="auto" w:sz="4" w:space="0"/>
            </w:tcBorders>
            <w:noWrap/>
            <w:vAlign w:val="center"/>
          </w:tcPr>
          <w:p w14:paraId="31DE4E64">
            <w:pPr>
              <w:jc w:val="both"/>
              <w:rPr>
                <w:rFonts w:hint="eastAsia"/>
              </w:rPr>
            </w:pPr>
            <w:r>
              <w:rPr>
                <w:rFonts w:hint="eastAsia"/>
              </w:rPr>
              <w:t>VPN设备</w:t>
            </w:r>
          </w:p>
        </w:tc>
        <w:tc>
          <w:tcPr>
            <w:tcW w:w="1656" w:type="pct"/>
            <w:tcBorders>
              <w:top w:val="nil"/>
              <w:left w:val="nil"/>
              <w:bottom w:val="single" w:color="auto" w:sz="4" w:space="0"/>
              <w:right w:val="single" w:color="auto" w:sz="4" w:space="0"/>
            </w:tcBorders>
            <w:noWrap/>
            <w:vAlign w:val="center"/>
          </w:tcPr>
          <w:p w14:paraId="28886546">
            <w:pPr>
              <w:jc w:val="both"/>
              <w:rPr>
                <w:rFonts w:hint="eastAsia"/>
              </w:rPr>
            </w:pPr>
            <w:r>
              <w:rPr>
                <w:rFonts w:hint="eastAsia"/>
              </w:rPr>
              <w:t>启明星辰</w:t>
            </w:r>
          </w:p>
        </w:tc>
        <w:tc>
          <w:tcPr>
            <w:tcW w:w="423" w:type="pct"/>
            <w:tcBorders>
              <w:top w:val="nil"/>
              <w:left w:val="nil"/>
              <w:bottom w:val="single" w:color="auto" w:sz="4" w:space="0"/>
              <w:right w:val="single" w:color="auto" w:sz="4" w:space="0"/>
            </w:tcBorders>
            <w:noWrap/>
            <w:vAlign w:val="center"/>
          </w:tcPr>
          <w:p w14:paraId="6E0BEB3B">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17ADC49C">
            <w:pPr>
              <w:jc w:val="center"/>
              <w:rPr>
                <w:rFonts w:hint="eastAsia"/>
              </w:rPr>
            </w:pPr>
            <w:r>
              <w:rPr>
                <w:rFonts w:hint="eastAsia"/>
              </w:rPr>
              <w:t>台</w:t>
            </w:r>
          </w:p>
        </w:tc>
      </w:tr>
      <w:tr w14:paraId="30D4CB24">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9124C53">
            <w:pPr>
              <w:jc w:val="center"/>
              <w:rPr>
                <w:rFonts w:hint="eastAsia"/>
              </w:rPr>
            </w:pPr>
            <w:r>
              <w:rPr>
                <w:rFonts w:hint="eastAsia"/>
              </w:rPr>
              <w:t>8</w:t>
            </w:r>
          </w:p>
        </w:tc>
        <w:tc>
          <w:tcPr>
            <w:tcW w:w="1996" w:type="pct"/>
            <w:tcBorders>
              <w:top w:val="nil"/>
              <w:left w:val="nil"/>
              <w:bottom w:val="single" w:color="auto" w:sz="4" w:space="0"/>
              <w:right w:val="single" w:color="auto" w:sz="4" w:space="0"/>
            </w:tcBorders>
            <w:noWrap/>
            <w:vAlign w:val="center"/>
          </w:tcPr>
          <w:p w14:paraId="2FB7B3CF">
            <w:pPr>
              <w:jc w:val="both"/>
              <w:rPr>
                <w:rFonts w:hint="eastAsia"/>
              </w:rPr>
            </w:pPr>
            <w:r>
              <w:rPr>
                <w:rFonts w:hint="eastAsia"/>
              </w:rPr>
              <w:t>电子网外网路由器</w:t>
            </w:r>
          </w:p>
        </w:tc>
        <w:tc>
          <w:tcPr>
            <w:tcW w:w="1656" w:type="pct"/>
            <w:tcBorders>
              <w:top w:val="nil"/>
              <w:left w:val="nil"/>
              <w:bottom w:val="single" w:color="auto" w:sz="4" w:space="0"/>
              <w:right w:val="single" w:color="auto" w:sz="4" w:space="0"/>
            </w:tcBorders>
            <w:noWrap/>
            <w:vAlign w:val="center"/>
          </w:tcPr>
          <w:p w14:paraId="3BDB14C6">
            <w:pPr>
              <w:jc w:val="both"/>
              <w:rPr>
                <w:rFonts w:hint="eastAsia"/>
              </w:rPr>
            </w:pPr>
            <w:r>
              <w:rPr>
                <w:rFonts w:hint="eastAsia"/>
              </w:rPr>
              <w:t>华为NE8000</w:t>
            </w:r>
          </w:p>
        </w:tc>
        <w:tc>
          <w:tcPr>
            <w:tcW w:w="423" w:type="pct"/>
            <w:tcBorders>
              <w:top w:val="nil"/>
              <w:left w:val="nil"/>
              <w:bottom w:val="single" w:color="auto" w:sz="4" w:space="0"/>
              <w:right w:val="single" w:color="auto" w:sz="4" w:space="0"/>
            </w:tcBorders>
            <w:noWrap/>
            <w:vAlign w:val="center"/>
          </w:tcPr>
          <w:p w14:paraId="45AA0610">
            <w:pPr>
              <w:jc w:val="center"/>
              <w:rPr>
                <w:rFonts w:hint="eastAsia"/>
              </w:rPr>
            </w:pPr>
            <w:r>
              <w:rPr>
                <w:rFonts w:hint="eastAsia"/>
              </w:rPr>
              <w:t>2</w:t>
            </w:r>
          </w:p>
        </w:tc>
        <w:tc>
          <w:tcPr>
            <w:tcW w:w="484" w:type="pct"/>
            <w:tcBorders>
              <w:top w:val="nil"/>
              <w:left w:val="nil"/>
              <w:bottom w:val="single" w:color="auto" w:sz="4" w:space="0"/>
              <w:right w:val="single" w:color="auto" w:sz="4" w:space="0"/>
            </w:tcBorders>
            <w:noWrap/>
            <w:vAlign w:val="center"/>
          </w:tcPr>
          <w:p w14:paraId="37E1BECD">
            <w:pPr>
              <w:jc w:val="center"/>
              <w:rPr>
                <w:rFonts w:hint="eastAsia"/>
              </w:rPr>
            </w:pPr>
            <w:r>
              <w:rPr>
                <w:rFonts w:hint="eastAsia"/>
              </w:rPr>
              <w:t>台</w:t>
            </w:r>
          </w:p>
        </w:tc>
      </w:tr>
      <w:tr w14:paraId="5A66C1E5">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2ED38AE5">
            <w:pPr>
              <w:jc w:val="center"/>
              <w:rPr>
                <w:rFonts w:hint="eastAsia"/>
              </w:rPr>
            </w:pPr>
            <w:r>
              <w:rPr>
                <w:rFonts w:hint="eastAsia"/>
              </w:rPr>
              <w:t>9</w:t>
            </w:r>
          </w:p>
        </w:tc>
        <w:tc>
          <w:tcPr>
            <w:tcW w:w="1996" w:type="pct"/>
            <w:tcBorders>
              <w:top w:val="nil"/>
              <w:left w:val="nil"/>
              <w:bottom w:val="single" w:color="auto" w:sz="4" w:space="0"/>
              <w:right w:val="single" w:color="auto" w:sz="4" w:space="0"/>
            </w:tcBorders>
            <w:noWrap/>
            <w:vAlign w:val="center"/>
          </w:tcPr>
          <w:p w14:paraId="056FF794">
            <w:pPr>
              <w:jc w:val="both"/>
              <w:rPr>
                <w:rFonts w:hint="eastAsia"/>
              </w:rPr>
            </w:pPr>
            <w:r>
              <w:rPr>
                <w:rFonts w:hint="eastAsia"/>
              </w:rPr>
              <w:t>电子网外网交换机</w:t>
            </w:r>
          </w:p>
        </w:tc>
        <w:tc>
          <w:tcPr>
            <w:tcW w:w="1656" w:type="pct"/>
            <w:tcBorders>
              <w:top w:val="nil"/>
              <w:left w:val="nil"/>
              <w:bottom w:val="single" w:color="auto" w:sz="4" w:space="0"/>
              <w:right w:val="single" w:color="auto" w:sz="4" w:space="0"/>
            </w:tcBorders>
            <w:noWrap/>
            <w:vAlign w:val="center"/>
          </w:tcPr>
          <w:p w14:paraId="40D88F55">
            <w:pPr>
              <w:jc w:val="both"/>
              <w:rPr>
                <w:rFonts w:hint="eastAsia"/>
              </w:rPr>
            </w:pPr>
            <w:r>
              <w:rPr>
                <w:rFonts w:hint="eastAsia"/>
              </w:rPr>
              <w:t>中兴ZXR3950</w:t>
            </w:r>
          </w:p>
        </w:tc>
        <w:tc>
          <w:tcPr>
            <w:tcW w:w="423" w:type="pct"/>
            <w:tcBorders>
              <w:top w:val="nil"/>
              <w:left w:val="nil"/>
              <w:bottom w:val="single" w:color="auto" w:sz="4" w:space="0"/>
              <w:right w:val="single" w:color="auto" w:sz="4" w:space="0"/>
            </w:tcBorders>
            <w:noWrap/>
            <w:vAlign w:val="center"/>
          </w:tcPr>
          <w:p w14:paraId="7300D62E">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7478F7D7">
            <w:pPr>
              <w:jc w:val="center"/>
              <w:rPr>
                <w:rFonts w:hint="eastAsia"/>
              </w:rPr>
            </w:pPr>
            <w:r>
              <w:rPr>
                <w:rFonts w:hint="eastAsia"/>
              </w:rPr>
              <w:t>台</w:t>
            </w:r>
          </w:p>
        </w:tc>
      </w:tr>
      <w:tr w14:paraId="40D1E894">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35B05101">
            <w:pPr>
              <w:jc w:val="center"/>
              <w:rPr>
                <w:rFonts w:hint="eastAsia"/>
              </w:rPr>
            </w:pPr>
            <w:r>
              <w:rPr>
                <w:rFonts w:hint="eastAsia"/>
              </w:rPr>
              <w:t>10</w:t>
            </w:r>
          </w:p>
        </w:tc>
        <w:tc>
          <w:tcPr>
            <w:tcW w:w="1996" w:type="pct"/>
            <w:tcBorders>
              <w:top w:val="nil"/>
              <w:left w:val="nil"/>
              <w:bottom w:val="single" w:color="auto" w:sz="4" w:space="0"/>
              <w:right w:val="single" w:color="auto" w:sz="4" w:space="0"/>
            </w:tcBorders>
            <w:noWrap/>
            <w:vAlign w:val="center"/>
          </w:tcPr>
          <w:p w14:paraId="7D499E9C">
            <w:pPr>
              <w:jc w:val="both"/>
              <w:rPr>
                <w:rFonts w:hint="eastAsia"/>
              </w:rPr>
            </w:pPr>
            <w:r>
              <w:rPr>
                <w:rFonts w:hint="eastAsia"/>
              </w:rPr>
              <w:t>专网接入路由器</w:t>
            </w:r>
          </w:p>
        </w:tc>
        <w:tc>
          <w:tcPr>
            <w:tcW w:w="1656" w:type="pct"/>
            <w:tcBorders>
              <w:top w:val="nil"/>
              <w:left w:val="nil"/>
              <w:bottom w:val="single" w:color="auto" w:sz="4" w:space="0"/>
              <w:right w:val="single" w:color="auto" w:sz="4" w:space="0"/>
            </w:tcBorders>
            <w:noWrap/>
            <w:vAlign w:val="center"/>
          </w:tcPr>
          <w:p w14:paraId="14D44C2F">
            <w:pPr>
              <w:jc w:val="both"/>
              <w:rPr>
                <w:rFonts w:hint="eastAsia"/>
              </w:rPr>
            </w:pPr>
            <w:r>
              <w:rPr>
                <w:rFonts w:hint="eastAsia"/>
              </w:rPr>
              <w:t>华为NE8000</w:t>
            </w:r>
          </w:p>
        </w:tc>
        <w:tc>
          <w:tcPr>
            <w:tcW w:w="423" w:type="pct"/>
            <w:tcBorders>
              <w:top w:val="nil"/>
              <w:left w:val="nil"/>
              <w:bottom w:val="single" w:color="auto" w:sz="4" w:space="0"/>
              <w:right w:val="single" w:color="auto" w:sz="4" w:space="0"/>
            </w:tcBorders>
            <w:noWrap/>
            <w:vAlign w:val="center"/>
          </w:tcPr>
          <w:p w14:paraId="17B04DB3">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58F7B4D5">
            <w:pPr>
              <w:jc w:val="center"/>
              <w:rPr>
                <w:rFonts w:hint="eastAsia"/>
              </w:rPr>
            </w:pPr>
            <w:r>
              <w:rPr>
                <w:rFonts w:hint="eastAsia"/>
              </w:rPr>
              <w:t>台</w:t>
            </w:r>
          </w:p>
        </w:tc>
      </w:tr>
      <w:tr w14:paraId="08CF6914">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2A137802">
            <w:pPr>
              <w:jc w:val="center"/>
              <w:rPr>
                <w:rFonts w:hint="eastAsia"/>
              </w:rPr>
            </w:pPr>
            <w:r>
              <w:rPr>
                <w:rFonts w:hint="eastAsia"/>
              </w:rPr>
              <w:t>11</w:t>
            </w:r>
          </w:p>
        </w:tc>
        <w:tc>
          <w:tcPr>
            <w:tcW w:w="1996" w:type="pct"/>
            <w:tcBorders>
              <w:top w:val="nil"/>
              <w:left w:val="nil"/>
              <w:bottom w:val="single" w:color="auto" w:sz="4" w:space="0"/>
              <w:right w:val="single" w:color="auto" w:sz="4" w:space="0"/>
            </w:tcBorders>
            <w:noWrap/>
            <w:vAlign w:val="center"/>
          </w:tcPr>
          <w:p w14:paraId="3ED9786A">
            <w:pPr>
              <w:jc w:val="both"/>
              <w:rPr>
                <w:rFonts w:hint="eastAsia"/>
              </w:rPr>
            </w:pPr>
            <w:r>
              <w:rPr>
                <w:rFonts w:hint="eastAsia"/>
              </w:rPr>
              <w:t>专网接入防火墙</w:t>
            </w:r>
          </w:p>
        </w:tc>
        <w:tc>
          <w:tcPr>
            <w:tcW w:w="1656" w:type="pct"/>
            <w:tcBorders>
              <w:top w:val="nil"/>
              <w:left w:val="nil"/>
              <w:bottom w:val="single" w:color="auto" w:sz="4" w:space="0"/>
              <w:right w:val="single" w:color="auto" w:sz="4" w:space="0"/>
            </w:tcBorders>
            <w:noWrap/>
            <w:vAlign w:val="center"/>
          </w:tcPr>
          <w:p w14:paraId="7D22F7DC">
            <w:pPr>
              <w:jc w:val="both"/>
              <w:rPr>
                <w:rFonts w:hint="eastAsia"/>
              </w:rPr>
            </w:pPr>
            <w:r>
              <w:rPr>
                <w:rFonts w:hint="eastAsia"/>
              </w:rPr>
              <w:t>华为USG6614F</w:t>
            </w:r>
          </w:p>
        </w:tc>
        <w:tc>
          <w:tcPr>
            <w:tcW w:w="423" w:type="pct"/>
            <w:tcBorders>
              <w:top w:val="nil"/>
              <w:left w:val="nil"/>
              <w:bottom w:val="single" w:color="auto" w:sz="4" w:space="0"/>
              <w:right w:val="single" w:color="auto" w:sz="4" w:space="0"/>
            </w:tcBorders>
            <w:noWrap/>
            <w:vAlign w:val="center"/>
          </w:tcPr>
          <w:p w14:paraId="705A0B02">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591BEECF">
            <w:pPr>
              <w:jc w:val="center"/>
              <w:rPr>
                <w:rFonts w:hint="eastAsia"/>
              </w:rPr>
            </w:pPr>
            <w:r>
              <w:rPr>
                <w:rFonts w:hint="eastAsia"/>
              </w:rPr>
              <w:t>台</w:t>
            </w:r>
          </w:p>
        </w:tc>
      </w:tr>
      <w:tr w14:paraId="2B9F8D50">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DC04453">
            <w:pPr>
              <w:jc w:val="center"/>
              <w:rPr>
                <w:rFonts w:hint="eastAsia"/>
              </w:rPr>
            </w:pPr>
            <w:r>
              <w:rPr>
                <w:rFonts w:hint="eastAsia"/>
              </w:rPr>
              <w:t>12</w:t>
            </w:r>
          </w:p>
        </w:tc>
        <w:tc>
          <w:tcPr>
            <w:tcW w:w="1996" w:type="pct"/>
            <w:tcBorders>
              <w:top w:val="nil"/>
              <w:left w:val="nil"/>
              <w:bottom w:val="single" w:color="auto" w:sz="4" w:space="0"/>
              <w:right w:val="single" w:color="auto" w:sz="4" w:space="0"/>
            </w:tcBorders>
            <w:noWrap/>
            <w:vAlign w:val="center"/>
          </w:tcPr>
          <w:p w14:paraId="670203B6">
            <w:pPr>
              <w:jc w:val="both"/>
              <w:rPr>
                <w:rFonts w:hint="eastAsia"/>
              </w:rPr>
            </w:pPr>
            <w:r>
              <w:rPr>
                <w:rFonts w:hint="eastAsia"/>
              </w:rPr>
              <w:t>应急专网接入路由器</w:t>
            </w:r>
          </w:p>
        </w:tc>
        <w:tc>
          <w:tcPr>
            <w:tcW w:w="1656" w:type="pct"/>
            <w:tcBorders>
              <w:top w:val="nil"/>
              <w:left w:val="nil"/>
              <w:bottom w:val="single" w:color="auto" w:sz="4" w:space="0"/>
              <w:right w:val="single" w:color="auto" w:sz="4" w:space="0"/>
            </w:tcBorders>
            <w:noWrap/>
            <w:vAlign w:val="center"/>
          </w:tcPr>
          <w:p w14:paraId="3ADD3C9D">
            <w:pPr>
              <w:jc w:val="both"/>
              <w:rPr>
                <w:rFonts w:hint="eastAsia"/>
              </w:rPr>
            </w:pPr>
            <w:r>
              <w:rPr>
                <w:rFonts w:hint="eastAsia"/>
              </w:rPr>
              <w:t>中兴ZXR5800</w:t>
            </w:r>
          </w:p>
        </w:tc>
        <w:tc>
          <w:tcPr>
            <w:tcW w:w="423" w:type="pct"/>
            <w:tcBorders>
              <w:top w:val="nil"/>
              <w:left w:val="nil"/>
              <w:bottom w:val="single" w:color="auto" w:sz="4" w:space="0"/>
              <w:right w:val="single" w:color="auto" w:sz="4" w:space="0"/>
            </w:tcBorders>
            <w:noWrap/>
            <w:vAlign w:val="center"/>
          </w:tcPr>
          <w:p w14:paraId="1D698256">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6E89BEB1">
            <w:pPr>
              <w:jc w:val="center"/>
              <w:rPr>
                <w:rFonts w:hint="eastAsia"/>
              </w:rPr>
            </w:pPr>
            <w:r>
              <w:rPr>
                <w:rFonts w:hint="eastAsia"/>
              </w:rPr>
              <w:t>台</w:t>
            </w:r>
          </w:p>
        </w:tc>
      </w:tr>
      <w:tr w14:paraId="6A684BE1">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20368B54">
            <w:pPr>
              <w:jc w:val="center"/>
              <w:rPr>
                <w:rFonts w:hint="eastAsia"/>
              </w:rPr>
            </w:pPr>
            <w:r>
              <w:rPr>
                <w:rFonts w:hint="eastAsia"/>
              </w:rPr>
              <w:t>13</w:t>
            </w:r>
          </w:p>
        </w:tc>
        <w:tc>
          <w:tcPr>
            <w:tcW w:w="1996" w:type="pct"/>
            <w:tcBorders>
              <w:top w:val="nil"/>
              <w:left w:val="nil"/>
              <w:bottom w:val="single" w:color="auto" w:sz="4" w:space="0"/>
              <w:right w:val="single" w:color="auto" w:sz="4" w:space="0"/>
            </w:tcBorders>
            <w:noWrap/>
            <w:vAlign w:val="center"/>
          </w:tcPr>
          <w:p w14:paraId="39836D94">
            <w:pPr>
              <w:jc w:val="both"/>
              <w:rPr>
                <w:rFonts w:hint="eastAsia"/>
              </w:rPr>
            </w:pPr>
            <w:r>
              <w:rPr>
                <w:rFonts w:hint="eastAsia"/>
              </w:rPr>
              <w:t>应急专网接入交换机</w:t>
            </w:r>
          </w:p>
        </w:tc>
        <w:tc>
          <w:tcPr>
            <w:tcW w:w="1656" w:type="pct"/>
            <w:tcBorders>
              <w:top w:val="nil"/>
              <w:left w:val="nil"/>
              <w:bottom w:val="single" w:color="auto" w:sz="4" w:space="0"/>
              <w:right w:val="single" w:color="auto" w:sz="4" w:space="0"/>
            </w:tcBorders>
            <w:noWrap/>
            <w:vAlign w:val="center"/>
          </w:tcPr>
          <w:p w14:paraId="0B196975">
            <w:pPr>
              <w:jc w:val="both"/>
              <w:rPr>
                <w:rFonts w:hint="eastAsia"/>
              </w:rPr>
            </w:pPr>
            <w:r>
              <w:rPr>
                <w:rFonts w:hint="eastAsia"/>
              </w:rPr>
              <w:t>中兴ZXR5950</w:t>
            </w:r>
          </w:p>
        </w:tc>
        <w:tc>
          <w:tcPr>
            <w:tcW w:w="423" w:type="pct"/>
            <w:tcBorders>
              <w:top w:val="nil"/>
              <w:left w:val="nil"/>
              <w:bottom w:val="single" w:color="auto" w:sz="4" w:space="0"/>
              <w:right w:val="single" w:color="auto" w:sz="4" w:space="0"/>
            </w:tcBorders>
            <w:noWrap/>
            <w:vAlign w:val="center"/>
          </w:tcPr>
          <w:p w14:paraId="687CFB89">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312D6316">
            <w:pPr>
              <w:jc w:val="center"/>
              <w:rPr>
                <w:rFonts w:hint="eastAsia"/>
              </w:rPr>
            </w:pPr>
            <w:r>
              <w:rPr>
                <w:rFonts w:hint="eastAsia"/>
              </w:rPr>
              <w:t>台</w:t>
            </w:r>
          </w:p>
        </w:tc>
      </w:tr>
      <w:tr w14:paraId="30404AC7">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8DED685">
            <w:pPr>
              <w:jc w:val="center"/>
              <w:rPr>
                <w:rFonts w:hint="eastAsia"/>
              </w:rPr>
            </w:pPr>
            <w:r>
              <w:rPr>
                <w:rFonts w:hint="eastAsia"/>
              </w:rPr>
              <w:t>14</w:t>
            </w:r>
          </w:p>
        </w:tc>
        <w:tc>
          <w:tcPr>
            <w:tcW w:w="1996" w:type="pct"/>
            <w:tcBorders>
              <w:top w:val="nil"/>
              <w:left w:val="nil"/>
              <w:bottom w:val="single" w:color="auto" w:sz="4" w:space="0"/>
              <w:right w:val="single" w:color="auto" w:sz="4" w:space="0"/>
            </w:tcBorders>
            <w:noWrap/>
            <w:vAlign w:val="center"/>
          </w:tcPr>
          <w:p w14:paraId="18E954D4">
            <w:pPr>
              <w:jc w:val="both"/>
              <w:rPr>
                <w:rFonts w:hint="eastAsia"/>
              </w:rPr>
            </w:pPr>
            <w:r>
              <w:rPr>
                <w:rFonts w:hint="eastAsia"/>
              </w:rPr>
              <w:t>漏洞扫描系统</w:t>
            </w:r>
          </w:p>
        </w:tc>
        <w:tc>
          <w:tcPr>
            <w:tcW w:w="1656" w:type="pct"/>
            <w:tcBorders>
              <w:top w:val="nil"/>
              <w:left w:val="nil"/>
              <w:bottom w:val="single" w:color="auto" w:sz="4" w:space="0"/>
              <w:right w:val="single" w:color="auto" w:sz="4" w:space="0"/>
            </w:tcBorders>
            <w:noWrap/>
            <w:vAlign w:val="center"/>
          </w:tcPr>
          <w:p w14:paraId="167B9943">
            <w:pPr>
              <w:jc w:val="both"/>
              <w:rPr>
                <w:rFonts w:hint="eastAsia"/>
              </w:rPr>
            </w:pPr>
            <w:r>
              <w:rPr>
                <w:rFonts w:hint="eastAsia"/>
              </w:rPr>
              <w:t>启明星辰天镜CSNS</w:t>
            </w:r>
          </w:p>
        </w:tc>
        <w:tc>
          <w:tcPr>
            <w:tcW w:w="423" w:type="pct"/>
            <w:tcBorders>
              <w:top w:val="nil"/>
              <w:left w:val="nil"/>
              <w:bottom w:val="single" w:color="auto" w:sz="4" w:space="0"/>
              <w:right w:val="single" w:color="auto" w:sz="4" w:space="0"/>
            </w:tcBorders>
            <w:noWrap/>
            <w:vAlign w:val="center"/>
          </w:tcPr>
          <w:p w14:paraId="362378F0">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6193B7B7">
            <w:pPr>
              <w:jc w:val="center"/>
              <w:rPr>
                <w:rFonts w:hint="eastAsia"/>
              </w:rPr>
            </w:pPr>
            <w:r>
              <w:rPr>
                <w:rFonts w:hint="eastAsia"/>
              </w:rPr>
              <w:t>台</w:t>
            </w:r>
          </w:p>
        </w:tc>
      </w:tr>
      <w:tr w14:paraId="584EA95E">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7511A548">
            <w:pPr>
              <w:jc w:val="center"/>
              <w:rPr>
                <w:rFonts w:hint="eastAsia"/>
              </w:rPr>
            </w:pPr>
            <w:r>
              <w:rPr>
                <w:rFonts w:hint="eastAsia"/>
              </w:rPr>
              <w:t>15</w:t>
            </w:r>
          </w:p>
        </w:tc>
        <w:tc>
          <w:tcPr>
            <w:tcW w:w="1996" w:type="pct"/>
            <w:tcBorders>
              <w:top w:val="nil"/>
              <w:left w:val="nil"/>
              <w:bottom w:val="single" w:color="auto" w:sz="4" w:space="0"/>
              <w:right w:val="single" w:color="auto" w:sz="4" w:space="0"/>
            </w:tcBorders>
            <w:noWrap/>
            <w:vAlign w:val="center"/>
          </w:tcPr>
          <w:p w14:paraId="16D29A11">
            <w:pPr>
              <w:jc w:val="both"/>
              <w:rPr>
                <w:rFonts w:hint="eastAsia"/>
              </w:rPr>
            </w:pPr>
            <w:r>
              <w:rPr>
                <w:rFonts w:hint="eastAsia"/>
              </w:rPr>
              <w:t>安全审计</w:t>
            </w:r>
          </w:p>
        </w:tc>
        <w:tc>
          <w:tcPr>
            <w:tcW w:w="1656" w:type="pct"/>
            <w:tcBorders>
              <w:top w:val="nil"/>
              <w:left w:val="nil"/>
              <w:bottom w:val="single" w:color="auto" w:sz="4" w:space="0"/>
              <w:right w:val="single" w:color="auto" w:sz="4" w:space="0"/>
            </w:tcBorders>
            <w:noWrap/>
            <w:vAlign w:val="center"/>
          </w:tcPr>
          <w:p w14:paraId="300DEFB3">
            <w:pPr>
              <w:jc w:val="both"/>
              <w:rPr>
                <w:rFonts w:hint="eastAsia"/>
              </w:rPr>
            </w:pPr>
            <w:r>
              <w:rPr>
                <w:rFonts w:hint="eastAsia"/>
              </w:rPr>
              <w:t>启明星辰天玥GE500E</w:t>
            </w:r>
          </w:p>
        </w:tc>
        <w:tc>
          <w:tcPr>
            <w:tcW w:w="423" w:type="pct"/>
            <w:tcBorders>
              <w:top w:val="nil"/>
              <w:left w:val="nil"/>
              <w:bottom w:val="single" w:color="auto" w:sz="4" w:space="0"/>
              <w:right w:val="single" w:color="auto" w:sz="4" w:space="0"/>
            </w:tcBorders>
            <w:noWrap/>
            <w:vAlign w:val="center"/>
          </w:tcPr>
          <w:p w14:paraId="7BFD2978">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27E525D8">
            <w:pPr>
              <w:jc w:val="center"/>
              <w:rPr>
                <w:rFonts w:hint="eastAsia"/>
              </w:rPr>
            </w:pPr>
            <w:r>
              <w:rPr>
                <w:rFonts w:hint="eastAsia"/>
              </w:rPr>
              <w:t>台</w:t>
            </w:r>
          </w:p>
        </w:tc>
      </w:tr>
      <w:tr w14:paraId="3576B33A">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94BAD97">
            <w:pPr>
              <w:jc w:val="center"/>
              <w:rPr>
                <w:rFonts w:hint="eastAsia"/>
              </w:rPr>
            </w:pPr>
            <w:r>
              <w:rPr>
                <w:rFonts w:hint="eastAsia"/>
              </w:rPr>
              <w:t>16</w:t>
            </w:r>
          </w:p>
        </w:tc>
        <w:tc>
          <w:tcPr>
            <w:tcW w:w="1996" w:type="pct"/>
            <w:tcBorders>
              <w:top w:val="nil"/>
              <w:left w:val="nil"/>
              <w:bottom w:val="single" w:color="auto" w:sz="4" w:space="0"/>
              <w:right w:val="single" w:color="auto" w:sz="4" w:space="0"/>
            </w:tcBorders>
            <w:noWrap/>
            <w:vAlign w:val="center"/>
          </w:tcPr>
          <w:p w14:paraId="5933A793">
            <w:pPr>
              <w:jc w:val="both"/>
              <w:rPr>
                <w:rFonts w:hint="eastAsia"/>
              </w:rPr>
            </w:pPr>
            <w:r>
              <w:rPr>
                <w:rFonts w:hint="eastAsia"/>
              </w:rPr>
              <w:t>电子政务内网路由器</w:t>
            </w:r>
          </w:p>
        </w:tc>
        <w:tc>
          <w:tcPr>
            <w:tcW w:w="1656" w:type="pct"/>
            <w:tcBorders>
              <w:top w:val="nil"/>
              <w:left w:val="nil"/>
              <w:bottom w:val="single" w:color="auto" w:sz="4" w:space="0"/>
              <w:right w:val="single" w:color="auto" w:sz="4" w:space="0"/>
            </w:tcBorders>
            <w:noWrap/>
            <w:vAlign w:val="center"/>
          </w:tcPr>
          <w:p w14:paraId="4994380F">
            <w:pPr>
              <w:jc w:val="both"/>
              <w:rPr>
                <w:rFonts w:hint="eastAsia"/>
              </w:rPr>
            </w:pPr>
            <w:r>
              <w:rPr>
                <w:rFonts w:hint="eastAsia"/>
              </w:rPr>
              <w:t>锐捷14E</w:t>
            </w:r>
          </w:p>
        </w:tc>
        <w:tc>
          <w:tcPr>
            <w:tcW w:w="423" w:type="pct"/>
            <w:tcBorders>
              <w:top w:val="nil"/>
              <w:left w:val="nil"/>
              <w:bottom w:val="single" w:color="auto" w:sz="4" w:space="0"/>
              <w:right w:val="single" w:color="auto" w:sz="4" w:space="0"/>
            </w:tcBorders>
            <w:noWrap/>
            <w:vAlign w:val="center"/>
          </w:tcPr>
          <w:p w14:paraId="11AACB0F">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01048E2C">
            <w:pPr>
              <w:jc w:val="center"/>
              <w:rPr>
                <w:rFonts w:hint="eastAsia"/>
              </w:rPr>
            </w:pPr>
            <w:r>
              <w:rPr>
                <w:rFonts w:hint="eastAsia"/>
              </w:rPr>
              <w:t>台</w:t>
            </w:r>
          </w:p>
        </w:tc>
      </w:tr>
      <w:tr w14:paraId="22FF69D2">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090679C">
            <w:pPr>
              <w:jc w:val="center"/>
              <w:rPr>
                <w:rFonts w:hint="eastAsia"/>
              </w:rPr>
            </w:pPr>
            <w:r>
              <w:rPr>
                <w:rFonts w:hint="eastAsia"/>
              </w:rPr>
              <w:t>17</w:t>
            </w:r>
          </w:p>
        </w:tc>
        <w:tc>
          <w:tcPr>
            <w:tcW w:w="1996" w:type="pct"/>
            <w:tcBorders>
              <w:top w:val="nil"/>
              <w:left w:val="nil"/>
              <w:bottom w:val="single" w:color="auto" w:sz="4" w:space="0"/>
              <w:right w:val="single" w:color="auto" w:sz="4" w:space="0"/>
            </w:tcBorders>
            <w:noWrap/>
            <w:vAlign w:val="center"/>
          </w:tcPr>
          <w:p w14:paraId="7B1B0F39">
            <w:pPr>
              <w:jc w:val="both"/>
              <w:rPr>
                <w:rFonts w:hint="eastAsia"/>
              </w:rPr>
            </w:pPr>
            <w:r>
              <w:rPr>
                <w:rFonts w:hint="eastAsia"/>
              </w:rPr>
              <w:t>电子政务内网防火墙</w:t>
            </w:r>
          </w:p>
        </w:tc>
        <w:tc>
          <w:tcPr>
            <w:tcW w:w="1656" w:type="pct"/>
            <w:tcBorders>
              <w:top w:val="nil"/>
              <w:left w:val="nil"/>
              <w:bottom w:val="single" w:color="auto" w:sz="4" w:space="0"/>
              <w:right w:val="single" w:color="auto" w:sz="4" w:space="0"/>
            </w:tcBorders>
            <w:noWrap/>
            <w:vAlign w:val="center"/>
          </w:tcPr>
          <w:p w14:paraId="556BBEA7">
            <w:pPr>
              <w:jc w:val="both"/>
              <w:rPr>
                <w:rFonts w:hint="eastAsia"/>
              </w:rPr>
            </w:pPr>
            <w:r>
              <w:rPr>
                <w:rFonts w:hint="eastAsia"/>
              </w:rPr>
              <w:t>博达</w:t>
            </w:r>
          </w:p>
        </w:tc>
        <w:tc>
          <w:tcPr>
            <w:tcW w:w="423" w:type="pct"/>
            <w:tcBorders>
              <w:top w:val="nil"/>
              <w:left w:val="nil"/>
              <w:bottom w:val="single" w:color="auto" w:sz="4" w:space="0"/>
              <w:right w:val="single" w:color="auto" w:sz="4" w:space="0"/>
            </w:tcBorders>
            <w:noWrap/>
            <w:vAlign w:val="center"/>
          </w:tcPr>
          <w:p w14:paraId="34D82DAB">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62C5470B">
            <w:pPr>
              <w:jc w:val="center"/>
              <w:rPr>
                <w:rFonts w:hint="eastAsia"/>
              </w:rPr>
            </w:pPr>
            <w:r>
              <w:rPr>
                <w:rFonts w:hint="eastAsia"/>
              </w:rPr>
              <w:t>台</w:t>
            </w:r>
          </w:p>
        </w:tc>
      </w:tr>
      <w:tr w14:paraId="1012C852">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CFC0263">
            <w:pPr>
              <w:jc w:val="center"/>
              <w:rPr>
                <w:rFonts w:hint="eastAsia"/>
              </w:rPr>
            </w:pPr>
            <w:r>
              <w:rPr>
                <w:rFonts w:hint="eastAsia"/>
              </w:rPr>
              <w:t>18</w:t>
            </w:r>
          </w:p>
        </w:tc>
        <w:tc>
          <w:tcPr>
            <w:tcW w:w="1996" w:type="pct"/>
            <w:tcBorders>
              <w:top w:val="nil"/>
              <w:left w:val="nil"/>
              <w:bottom w:val="single" w:color="auto" w:sz="4" w:space="0"/>
              <w:right w:val="single" w:color="auto" w:sz="4" w:space="0"/>
            </w:tcBorders>
            <w:noWrap/>
            <w:vAlign w:val="center"/>
          </w:tcPr>
          <w:p w14:paraId="41C236BD">
            <w:pPr>
              <w:jc w:val="both"/>
              <w:rPr>
                <w:rFonts w:hint="eastAsia"/>
              </w:rPr>
            </w:pPr>
            <w:r>
              <w:rPr>
                <w:rFonts w:hint="eastAsia"/>
              </w:rPr>
              <w:t>电子政务内网汇聚交换机</w:t>
            </w:r>
          </w:p>
        </w:tc>
        <w:tc>
          <w:tcPr>
            <w:tcW w:w="1656" w:type="pct"/>
            <w:tcBorders>
              <w:top w:val="nil"/>
              <w:left w:val="nil"/>
              <w:bottom w:val="single" w:color="auto" w:sz="4" w:space="0"/>
              <w:right w:val="single" w:color="auto" w:sz="4" w:space="0"/>
            </w:tcBorders>
            <w:noWrap/>
            <w:vAlign w:val="center"/>
          </w:tcPr>
          <w:p w14:paraId="382C7E5D">
            <w:pPr>
              <w:jc w:val="both"/>
              <w:rPr>
                <w:rFonts w:hint="eastAsia"/>
              </w:rPr>
            </w:pPr>
            <w:r>
              <w:rPr>
                <w:rFonts w:hint="eastAsia"/>
              </w:rPr>
              <w:t>华为S7706</w:t>
            </w:r>
          </w:p>
        </w:tc>
        <w:tc>
          <w:tcPr>
            <w:tcW w:w="423" w:type="pct"/>
            <w:tcBorders>
              <w:top w:val="nil"/>
              <w:left w:val="nil"/>
              <w:bottom w:val="single" w:color="auto" w:sz="4" w:space="0"/>
              <w:right w:val="single" w:color="auto" w:sz="4" w:space="0"/>
            </w:tcBorders>
            <w:noWrap/>
            <w:vAlign w:val="center"/>
          </w:tcPr>
          <w:p w14:paraId="58BB7077">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61C3278D">
            <w:pPr>
              <w:jc w:val="center"/>
              <w:rPr>
                <w:rFonts w:hint="eastAsia"/>
              </w:rPr>
            </w:pPr>
            <w:r>
              <w:rPr>
                <w:rFonts w:hint="eastAsia"/>
              </w:rPr>
              <w:t>台</w:t>
            </w:r>
          </w:p>
        </w:tc>
      </w:tr>
      <w:tr w14:paraId="464EEA4D">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17D8048E">
            <w:pPr>
              <w:jc w:val="center"/>
              <w:rPr>
                <w:rFonts w:hint="eastAsia"/>
              </w:rPr>
            </w:pPr>
            <w:r>
              <w:rPr>
                <w:rFonts w:hint="eastAsia"/>
              </w:rPr>
              <w:t>19</w:t>
            </w:r>
          </w:p>
        </w:tc>
        <w:tc>
          <w:tcPr>
            <w:tcW w:w="1996" w:type="pct"/>
            <w:tcBorders>
              <w:top w:val="nil"/>
              <w:left w:val="nil"/>
              <w:bottom w:val="single" w:color="auto" w:sz="4" w:space="0"/>
              <w:right w:val="single" w:color="auto" w:sz="4" w:space="0"/>
            </w:tcBorders>
            <w:noWrap/>
            <w:vAlign w:val="center"/>
          </w:tcPr>
          <w:p w14:paraId="5EFA4BF4">
            <w:pPr>
              <w:jc w:val="both"/>
              <w:rPr>
                <w:rFonts w:hint="eastAsia"/>
              </w:rPr>
            </w:pPr>
            <w:r>
              <w:rPr>
                <w:rFonts w:hint="eastAsia"/>
              </w:rPr>
              <w:t>机房接入交换机</w:t>
            </w:r>
          </w:p>
        </w:tc>
        <w:tc>
          <w:tcPr>
            <w:tcW w:w="1656" w:type="pct"/>
            <w:tcBorders>
              <w:top w:val="nil"/>
              <w:left w:val="nil"/>
              <w:bottom w:val="single" w:color="auto" w:sz="4" w:space="0"/>
              <w:right w:val="single" w:color="auto" w:sz="4" w:space="0"/>
            </w:tcBorders>
            <w:noWrap/>
            <w:vAlign w:val="center"/>
          </w:tcPr>
          <w:p w14:paraId="40D14E8A">
            <w:pPr>
              <w:jc w:val="both"/>
              <w:rPr>
                <w:rFonts w:hint="eastAsia"/>
              </w:rPr>
            </w:pPr>
            <w:r>
              <w:rPr>
                <w:rFonts w:hint="eastAsia"/>
              </w:rPr>
              <w:t>神州数码</w:t>
            </w:r>
          </w:p>
        </w:tc>
        <w:tc>
          <w:tcPr>
            <w:tcW w:w="423" w:type="pct"/>
            <w:tcBorders>
              <w:top w:val="nil"/>
              <w:left w:val="nil"/>
              <w:bottom w:val="single" w:color="auto" w:sz="4" w:space="0"/>
              <w:right w:val="single" w:color="auto" w:sz="4" w:space="0"/>
            </w:tcBorders>
            <w:noWrap/>
            <w:vAlign w:val="center"/>
          </w:tcPr>
          <w:p w14:paraId="545E0815">
            <w:pPr>
              <w:jc w:val="center"/>
              <w:rPr>
                <w:rFonts w:hint="eastAsia"/>
              </w:rPr>
            </w:pPr>
            <w:r>
              <w:rPr>
                <w:rFonts w:hint="eastAsia"/>
              </w:rPr>
              <w:t>4</w:t>
            </w:r>
          </w:p>
        </w:tc>
        <w:tc>
          <w:tcPr>
            <w:tcW w:w="484" w:type="pct"/>
            <w:tcBorders>
              <w:top w:val="nil"/>
              <w:left w:val="nil"/>
              <w:bottom w:val="single" w:color="auto" w:sz="4" w:space="0"/>
              <w:right w:val="single" w:color="auto" w:sz="4" w:space="0"/>
            </w:tcBorders>
            <w:noWrap/>
            <w:vAlign w:val="center"/>
          </w:tcPr>
          <w:p w14:paraId="61417AEE">
            <w:pPr>
              <w:jc w:val="center"/>
              <w:rPr>
                <w:rFonts w:hint="eastAsia"/>
              </w:rPr>
            </w:pPr>
            <w:r>
              <w:rPr>
                <w:rFonts w:hint="eastAsia"/>
              </w:rPr>
              <w:t>台</w:t>
            </w:r>
          </w:p>
        </w:tc>
      </w:tr>
      <w:tr w14:paraId="3068DC52">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7FAA66F4">
            <w:pPr>
              <w:jc w:val="center"/>
              <w:rPr>
                <w:rFonts w:hint="eastAsia"/>
              </w:rPr>
            </w:pPr>
            <w:r>
              <w:rPr>
                <w:rFonts w:hint="eastAsia"/>
              </w:rPr>
              <w:t>20</w:t>
            </w:r>
          </w:p>
        </w:tc>
        <w:tc>
          <w:tcPr>
            <w:tcW w:w="1996" w:type="pct"/>
            <w:tcBorders>
              <w:top w:val="nil"/>
              <w:left w:val="nil"/>
              <w:bottom w:val="single" w:color="auto" w:sz="4" w:space="0"/>
              <w:right w:val="single" w:color="auto" w:sz="4" w:space="0"/>
            </w:tcBorders>
            <w:noWrap/>
            <w:vAlign w:val="center"/>
          </w:tcPr>
          <w:p w14:paraId="435B5C25">
            <w:pPr>
              <w:jc w:val="both"/>
              <w:rPr>
                <w:rFonts w:hint="eastAsia"/>
              </w:rPr>
            </w:pPr>
            <w:r>
              <w:rPr>
                <w:rFonts w:hint="eastAsia"/>
              </w:rPr>
              <w:t>动力配电柜</w:t>
            </w:r>
          </w:p>
        </w:tc>
        <w:tc>
          <w:tcPr>
            <w:tcW w:w="1656" w:type="pct"/>
            <w:tcBorders>
              <w:top w:val="nil"/>
              <w:left w:val="nil"/>
              <w:bottom w:val="single" w:color="auto" w:sz="4" w:space="0"/>
              <w:right w:val="single" w:color="auto" w:sz="4" w:space="0"/>
            </w:tcBorders>
            <w:noWrap/>
            <w:vAlign w:val="center"/>
          </w:tcPr>
          <w:p w14:paraId="0D61EA1D">
            <w:pPr>
              <w:jc w:val="both"/>
              <w:rPr>
                <w:rFonts w:hint="eastAsia"/>
              </w:rPr>
            </w:pPr>
            <w:r>
              <w:rPr>
                <w:rFonts w:hint="eastAsia"/>
              </w:rPr>
              <w:t>德力西</w:t>
            </w:r>
          </w:p>
        </w:tc>
        <w:tc>
          <w:tcPr>
            <w:tcW w:w="423" w:type="pct"/>
            <w:tcBorders>
              <w:top w:val="nil"/>
              <w:left w:val="nil"/>
              <w:bottom w:val="single" w:color="auto" w:sz="4" w:space="0"/>
              <w:right w:val="single" w:color="auto" w:sz="4" w:space="0"/>
            </w:tcBorders>
            <w:noWrap/>
            <w:vAlign w:val="center"/>
          </w:tcPr>
          <w:p w14:paraId="362FFA3B">
            <w:pPr>
              <w:jc w:val="center"/>
              <w:rPr>
                <w:rFonts w:hint="eastAsia"/>
              </w:rPr>
            </w:pPr>
            <w:r>
              <w:rPr>
                <w:rFonts w:hint="eastAsia"/>
              </w:rPr>
              <w:t>2</w:t>
            </w:r>
          </w:p>
        </w:tc>
        <w:tc>
          <w:tcPr>
            <w:tcW w:w="484" w:type="pct"/>
            <w:tcBorders>
              <w:top w:val="nil"/>
              <w:left w:val="nil"/>
              <w:bottom w:val="single" w:color="auto" w:sz="4" w:space="0"/>
              <w:right w:val="single" w:color="auto" w:sz="4" w:space="0"/>
            </w:tcBorders>
            <w:noWrap/>
            <w:vAlign w:val="center"/>
          </w:tcPr>
          <w:p w14:paraId="0FE80C01">
            <w:pPr>
              <w:jc w:val="center"/>
              <w:rPr>
                <w:rFonts w:hint="eastAsia"/>
              </w:rPr>
            </w:pPr>
            <w:r>
              <w:rPr>
                <w:rFonts w:hint="eastAsia"/>
              </w:rPr>
              <w:t>套</w:t>
            </w:r>
          </w:p>
        </w:tc>
      </w:tr>
      <w:tr w14:paraId="375C94F2">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D11D21B">
            <w:pPr>
              <w:jc w:val="center"/>
              <w:rPr>
                <w:rFonts w:hint="eastAsia"/>
              </w:rPr>
            </w:pPr>
            <w:r>
              <w:rPr>
                <w:rFonts w:hint="eastAsia"/>
              </w:rPr>
              <w:t>21</w:t>
            </w:r>
          </w:p>
        </w:tc>
        <w:tc>
          <w:tcPr>
            <w:tcW w:w="1996" w:type="pct"/>
            <w:tcBorders>
              <w:top w:val="nil"/>
              <w:left w:val="nil"/>
              <w:bottom w:val="single" w:color="auto" w:sz="4" w:space="0"/>
              <w:right w:val="single" w:color="auto" w:sz="4" w:space="0"/>
            </w:tcBorders>
            <w:noWrap/>
            <w:vAlign w:val="center"/>
          </w:tcPr>
          <w:p w14:paraId="4D3895AC">
            <w:pPr>
              <w:jc w:val="both"/>
              <w:rPr>
                <w:rFonts w:hint="eastAsia"/>
              </w:rPr>
            </w:pPr>
            <w:r>
              <w:rPr>
                <w:rFonts w:hint="eastAsia"/>
              </w:rPr>
              <w:t>机房新风机</w:t>
            </w:r>
          </w:p>
        </w:tc>
        <w:tc>
          <w:tcPr>
            <w:tcW w:w="1656" w:type="pct"/>
            <w:tcBorders>
              <w:top w:val="nil"/>
              <w:left w:val="nil"/>
              <w:bottom w:val="single" w:color="auto" w:sz="4" w:space="0"/>
              <w:right w:val="single" w:color="auto" w:sz="4" w:space="0"/>
            </w:tcBorders>
            <w:noWrap/>
            <w:vAlign w:val="center"/>
          </w:tcPr>
          <w:p w14:paraId="75463CDA">
            <w:pPr>
              <w:jc w:val="both"/>
              <w:rPr>
                <w:rFonts w:hint="eastAsia"/>
              </w:rPr>
            </w:pPr>
            <w:r>
              <w:rPr>
                <w:rFonts w:hint="eastAsia"/>
              </w:rPr>
              <w:t>环都</w:t>
            </w:r>
          </w:p>
        </w:tc>
        <w:tc>
          <w:tcPr>
            <w:tcW w:w="423" w:type="pct"/>
            <w:tcBorders>
              <w:top w:val="nil"/>
              <w:left w:val="nil"/>
              <w:bottom w:val="single" w:color="auto" w:sz="4" w:space="0"/>
              <w:right w:val="single" w:color="auto" w:sz="4" w:space="0"/>
            </w:tcBorders>
            <w:noWrap/>
            <w:vAlign w:val="center"/>
          </w:tcPr>
          <w:p w14:paraId="692C60A0">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36384783">
            <w:pPr>
              <w:jc w:val="center"/>
              <w:rPr>
                <w:rFonts w:hint="eastAsia"/>
              </w:rPr>
            </w:pPr>
            <w:r>
              <w:rPr>
                <w:rFonts w:hint="eastAsia"/>
              </w:rPr>
              <w:t>套</w:t>
            </w:r>
          </w:p>
        </w:tc>
      </w:tr>
      <w:tr w14:paraId="6AC3BD98">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46831642">
            <w:pPr>
              <w:jc w:val="center"/>
              <w:rPr>
                <w:rFonts w:hint="eastAsia"/>
              </w:rPr>
            </w:pPr>
            <w:r>
              <w:rPr>
                <w:rFonts w:hint="eastAsia"/>
              </w:rPr>
              <w:t>22</w:t>
            </w:r>
          </w:p>
        </w:tc>
        <w:tc>
          <w:tcPr>
            <w:tcW w:w="1996" w:type="pct"/>
            <w:tcBorders>
              <w:top w:val="nil"/>
              <w:left w:val="nil"/>
              <w:bottom w:val="single" w:color="auto" w:sz="4" w:space="0"/>
              <w:right w:val="single" w:color="auto" w:sz="4" w:space="0"/>
            </w:tcBorders>
            <w:noWrap/>
            <w:vAlign w:val="center"/>
          </w:tcPr>
          <w:p w14:paraId="2969C6FD">
            <w:pPr>
              <w:jc w:val="both"/>
              <w:rPr>
                <w:rFonts w:hint="eastAsia"/>
              </w:rPr>
            </w:pPr>
            <w:r>
              <w:rPr>
                <w:rFonts w:hint="eastAsia"/>
              </w:rPr>
              <w:t>机柜式空调</w:t>
            </w:r>
          </w:p>
        </w:tc>
        <w:tc>
          <w:tcPr>
            <w:tcW w:w="1656" w:type="pct"/>
            <w:tcBorders>
              <w:top w:val="nil"/>
              <w:left w:val="nil"/>
              <w:bottom w:val="single" w:color="auto" w:sz="4" w:space="0"/>
              <w:right w:val="single" w:color="auto" w:sz="4" w:space="0"/>
            </w:tcBorders>
            <w:noWrap/>
            <w:vAlign w:val="center"/>
          </w:tcPr>
          <w:p w14:paraId="6CC0792E">
            <w:pPr>
              <w:jc w:val="both"/>
              <w:rPr>
                <w:rFonts w:hint="eastAsia"/>
              </w:rPr>
            </w:pPr>
            <w:r>
              <w:rPr>
                <w:rFonts w:hint="eastAsia"/>
              </w:rPr>
              <w:t>美的</w:t>
            </w:r>
          </w:p>
        </w:tc>
        <w:tc>
          <w:tcPr>
            <w:tcW w:w="423" w:type="pct"/>
            <w:tcBorders>
              <w:top w:val="nil"/>
              <w:left w:val="nil"/>
              <w:bottom w:val="single" w:color="auto" w:sz="4" w:space="0"/>
              <w:right w:val="single" w:color="auto" w:sz="4" w:space="0"/>
            </w:tcBorders>
            <w:noWrap/>
            <w:vAlign w:val="center"/>
          </w:tcPr>
          <w:p w14:paraId="17D92081">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147DC727">
            <w:pPr>
              <w:jc w:val="center"/>
              <w:rPr>
                <w:rFonts w:hint="eastAsia"/>
              </w:rPr>
            </w:pPr>
            <w:r>
              <w:rPr>
                <w:rFonts w:hint="eastAsia"/>
              </w:rPr>
              <w:t>套</w:t>
            </w:r>
          </w:p>
        </w:tc>
      </w:tr>
      <w:tr w14:paraId="44DC4521">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1A0EF1F8">
            <w:pPr>
              <w:jc w:val="center"/>
              <w:rPr>
                <w:rFonts w:hint="eastAsia"/>
              </w:rPr>
            </w:pPr>
            <w:r>
              <w:rPr>
                <w:rFonts w:hint="eastAsia"/>
              </w:rPr>
              <w:t>23</w:t>
            </w:r>
          </w:p>
        </w:tc>
        <w:tc>
          <w:tcPr>
            <w:tcW w:w="1996" w:type="pct"/>
            <w:tcBorders>
              <w:top w:val="nil"/>
              <w:left w:val="nil"/>
              <w:bottom w:val="single" w:color="auto" w:sz="4" w:space="0"/>
              <w:right w:val="single" w:color="auto" w:sz="4" w:space="0"/>
            </w:tcBorders>
            <w:noWrap/>
            <w:vAlign w:val="center"/>
          </w:tcPr>
          <w:p w14:paraId="6C4DA9A6">
            <w:pPr>
              <w:jc w:val="both"/>
              <w:rPr>
                <w:rFonts w:hint="eastAsia"/>
              </w:rPr>
            </w:pPr>
            <w:r>
              <w:rPr>
                <w:rFonts w:hint="eastAsia"/>
              </w:rPr>
              <w:t>消防系统监控</w:t>
            </w:r>
          </w:p>
        </w:tc>
        <w:tc>
          <w:tcPr>
            <w:tcW w:w="1656" w:type="pct"/>
            <w:tcBorders>
              <w:top w:val="nil"/>
              <w:left w:val="nil"/>
              <w:bottom w:val="single" w:color="auto" w:sz="4" w:space="0"/>
              <w:right w:val="single" w:color="auto" w:sz="4" w:space="0"/>
            </w:tcBorders>
            <w:noWrap/>
            <w:vAlign w:val="center"/>
          </w:tcPr>
          <w:p w14:paraId="1CE8B4BF">
            <w:pPr>
              <w:jc w:val="both"/>
              <w:rPr>
                <w:rFonts w:hint="eastAsia"/>
              </w:rPr>
            </w:pPr>
            <w:r>
              <w:rPr>
                <w:rFonts w:hint="eastAsia"/>
              </w:rPr>
              <w:t>海湾</w:t>
            </w:r>
          </w:p>
        </w:tc>
        <w:tc>
          <w:tcPr>
            <w:tcW w:w="423" w:type="pct"/>
            <w:tcBorders>
              <w:top w:val="nil"/>
              <w:left w:val="nil"/>
              <w:bottom w:val="single" w:color="auto" w:sz="4" w:space="0"/>
              <w:right w:val="single" w:color="auto" w:sz="4" w:space="0"/>
            </w:tcBorders>
            <w:noWrap/>
            <w:vAlign w:val="center"/>
          </w:tcPr>
          <w:p w14:paraId="23EFC676">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3601BE0C">
            <w:pPr>
              <w:jc w:val="center"/>
              <w:rPr>
                <w:rFonts w:hint="eastAsia"/>
              </w:rPr>
            </w:pPr>
            <w:r>
              <w:rPr>
                <w:rFonts w:hint="eastAsia"/>
              </w:rPr>
              <w:t>套</w:t>
            </w:r>
          </w:p>
        </w:tc>
      </w:tr>
      <w:tr w14:paraId="3D414E62">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6C8E7207">
            <w:pPr>
              <w:jc w:val="center"/>
              <w:rPr>
                <w:rFonts w:hint="eastAsia"/>
              </w:rPr>
            </w:pPr>
            <w:r>
              <w:rPr>
                <w:rFonts w:hint="eastAsia"/>
              </w:rPr>
              <w:t>24</w:t>
            </w:r>
          </w:p>
        </w:tc>
        <w:tc>
          <w:tcPr>
            <w:tcW w:w="1996" w:type="pct"/>
            <w:tcBorders>
              <w:top w:val="nil"/>
              <w:left w:val="nil"/>
              <w:bottom w:val="single" w:color="auto" w:sz="4" w:space="0"/>
              <w:right w:val="single" w:color="auto" w:sz="4" w:space="0"/>
            </w:tcBorders>
            <w:noWrap/>
            <w:vAlign w:val="center"/>
          </w:tcPr>
          <w:p w14:paraId="39633354">
            <w:pPr>
              <w:jc w:val="both"/>
              <w:rPr>
                <w:rFonts w:hint="eastAsia"/>
              </w:rPr>
            </w:pPr>
            <w:r>
              <w:rPr>
                <w:rFonts w:hint="eastAsia"/>
              </w:rPr>
              <w:t>UPS及电池</w:t>
            </w:r>
          </w:p>
        </w:tc>
        <w:tc>
          <w:tcPr>
            <w:tcW w:w="1656" w:type="pct"/>
            <w:tcBorders>
              <w:top w:val="nil"/>
              <w:left w:val="nil"/>
              <w:bottom w:val="single" w:color="auto" w:sz="4" w:space="0"/>
              <w:right w:val="single" w:color="auto" w:sz="4" w:space="0"/>
            </w:tcBorders>
            <w:noWrap/>
            <w:vAlign w:val="center"/>
          </w:tcPr>
          <w:p w14:paraId="1DCD207D">
            <w:pPr>
              <w:jc w:val="both"/>
              <w:rPr>
                <w:rFonts w:hint="eastAsia"/>
              </w:rPr>
            </w:pPr>
            <w:r>
              <w:rPr>
                <w:rFonts w:hint="eastAsia"/>
              </w:rPr>
              <w:t>山特</w:t>
            </w:r>
          </w:p>
        </w:tc>
        <w:tc>
          <w:tcPr>
            <w:tcW w:w="423" w:type="pct"/>
            <w:tcBorders>
              <w:top w:val="nil"/>
              <w:left w:val="nil"/>
              <w:bottom w:val="single" w:color="auto" w:sz="4" w:space="0"/>
              <w:right w:val="single" w:color="auto" w:sz="4" w:space="0"/>
            </w:tcBorders>
            <w:noWrap/>
            <w:vAlign w:val="center"/>
          </w:tcPr>
          <w:p w14:paraId="013E55D8">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665E39D4">
            <w:pPr>
              <w:jc w:val="center"/>
              <w:rPr>
                <w:rFonts w:hint="eastAsia"/>
              </w:rPr>
            </w:pPr>
            <w:r>
              <w:rPr>
                <w:rFonts w:hint="eastAsia"/>
              </w:rPr>
              <w:t>套</w:t>
            </w:r>
          </w:p>
        </w:tc>
      </w:tr>
      <w:tr w14:paraId="64BD8723">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62814B58">
            <w:pPr>
              <w:jc w:val="center"/>
              <w:rPr>
                <w:rFonts w:hint="eastAsia"/>
              </w:rPr>
            </w:pPr>
            <w:r>
              <w:rPr>
                <w:rFonts w:hint="eastAsia"/>
              </w:rPr>
              <w:t>25</w:t>
            </w:r>
          </w:p>
        </w:tc>
        <w:tc>
          <w:tcPr>
            <w:tcW w:w="1996" w:type="pct"/>
            <w:tcBorders>
              <w:top w:val="nil"/>
              <w:left w:val="nil"/>
              <w:bottom w:val="single" w:color="auto" w:sz="4" w:space="0"/>
              <w:right w:val="single" w:color="auto" w:sz="4" w:space="0"/>
            </w:tcBorders>
            <w:noWrap/>
            <w:vAlign w:val="center"/>
          </w:tcPr>
          <w:p w14:paraId="54D22EC0">
            <w:pPr>
              <w:jc w:val="both"/>
              <w:rPr>
                <w:rFonts w:hint="eastAsia"/>
              </w:rPr>
            </w:pPr>
            <w:r>
              <w:rPr>
                <w:rFonts w:hint="eastAsia"/>
              </w:rPr>
              <w:t>柴油发电机</w:t>
            </w:r>
          </w:p>
        </w:tc>
        <w:tc>
          <w:tcPr>
            <w:tcW w:w="1656" w:type="pct"/>
            <w:tcBorders>
              <w:top w:val="nil"/>
              <w:left w:val="nil"/>
              <w:bottom w:val="single" w:color="auto" w:sz="4" w:space="0"/>
              <w:right w:val="single" w:color="auto" w:sz="4" w:space="0"/>
            </w:tcBorders>
            <w:noWrap/>
            <w:vAlign w:val="center"/>
          </w:tcPr>
          <w:p w14:paraId="23DBB5B3">
            <w:pPr>
              <w:jc w:val="both"/>
              <w:rPr>
                <w:rFonts w:hint="eastAsia"/>
              </w:rPr>
            </w:pPr>
            <w:r>
              <w:rPr>
                <w:rFonts w:hint="eastAsia"/>
              </w:rPr>
              <w:t>康明斯</w:t>
            </w:r>
          </w:p>
        </w:tc>
        <w:tc>
          <w:tcPr>
            <w:tcW w:w="423" w:type="pct"/>
            <w:tcBorders>
              <w:top w:val="nil"/>
              <w:left w:val="nil"/>
              <w:bottom w:val="single" w:color="auto" w:sz="4" w:space="0"/>
              <w:right w:val="single" w:color="auto" w:sz="4" w:space="0"/>
            </w:tcBorders>
            <w:noWrap/>
            <w:vAlign w:val="center"/>
          </w:tcPr>
          <w:p w14:paraId="10C67AB8">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66305561">
            <w:pPr>
              <w:jc w:val="center"/>
              <w:rPr>
                <w:rFonts w:hint="eastAsia"/>
              </w:rPr>
            </w:pPr>
            <w:r>
              <w:rPr>
                <w:rFonts w:hint="eastAsia"/>
              </w:rPr>
              <w:t>套</w:t>
            </w:r>
          </w:p>
        </w:tc>
      </w:tr>
      <w:tr w14:paraId="4DD958A3">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4643F852">
            <w:pPr>
              <w:jc w:val="center"/>
              <w:rPr>
                <w:rFonts w:hint="eastAsia"/>
              </w:rPr>
            </w:pPr>
            <w:r>
              <w:rPr>
                <w:rFonts w:hint="eastAsia"/>
              </w:rPr>
              <w:t>26</w:t>
            </w:r>
          </w:p>
        </w:tc>
        <w:tc>
          <w:tcPr>
            <w:tcW w:w="1996" w:type="pct"/>
            <w:tcBorders>
              <w:top w:val="nil"/>
              <w:left w:val="nil"/>
              <w:bottom w:val="single" w:color="auto" w:sz="4" w:space="0"/>
              <w:right w:val="single" w:color="auto" w:sz="4" w:space="0"/>
            </w:tcBorders>
            <w:noWrap/>
            <w:vAlign w:val="center"/>
          </w:tcPr>
          <w:p w14:paraId="48354258">
            <w:pPr>
              <w:jc w:val="both"/>
              <w:rPr>
                <w:rFonts w:hint="eastAsia"/>
              </w:rPr>
            </w:pPr>
            <w:r>
              <w:rPr>
                <w:rFonts w:hint="eastAsia"/>
              </w:rPr>
              <w:t>网络监控及存储</w:t>
            </w:r>
          </w:p>
        </w:tc>
        <w:tc>
          <w:tcPr>
            <w:tcW w:w="1656" w:type="pct"/>
            <w:tcBorders>
              <w:top w:val="nil"/>
              <w:left w:val="nil"/>
              <w:bottom w:val="single" w:color="auto" w:sz="4" w:space="0"/>
              <w:right w:val="single" w:color="auto" w:sz="4" w:space="0"/>
            </w:tcBorders>
            <w:noWrap/>
            <w:vAlign w:val="center"/>
          </w:tcPr>
          <w:p w14:paraId="512745CB">
            <w:pPr>
              <w:jc w:val="both"/>
              <w:rPr>
                <w:rFonts w:hint="eastAsia"/>
              </w:rPr>
            </w:pPr>
            <w:r>
              <w:rPr>
                <w:rFonts w:hint="eastAsia"/>
              </w:rPr>
              <w:t>大华</w:t>
            </w:r>
          </w:p>
        </w:tc>
        <w:tc>
          <w:tcPr>
            <w:tcW w:w="423" w:type="pct"/>
            <w:tcBorders>
              <w:top w:val="nil"/>
              <w:left w:val="nil"/>
              <w:bottom w:val="single" w:color="auto" w:sz="4" w:space="0"/>
              <w:right w:val="single" w:color="auto" w:sz="4" w:space="0"/>
            </w:tcBorders>
            <w:noWrap/>
            <w:vAlign w:val="center"/>
          </w:tcPr>
          <w:p w14:paraId="3DE0F1DA">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41103A79">
            <w:pPr>
              <w:jc w:val="center"/>
              <w:rPr>
                <w:rFonts w:hint="eastAsia"/>
              </w:rPr>
            </w:pPr>
            <w:r>
              <w:rPr>
                <w:rFonts w:hint="eastAsia"/>
              </w:rPr>
              <w:t>套</w:t>
            </w:r>
          </w:p>
        </w:tc>
      </w:tr>
      <w:tr w14:paraId="475BDF5F">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817C43A">
            <w:pPr>
              <w:jc w:val="center"/>
              <w:rPr>
                <w:rFonts w:hint="eastAsia"/>
              </w:rPr>
            </w:pPr>
            <w:r>
              <w:rPr>
                <w:rFonts w:hint="eastAsia"/>
              </w:rPr>
              <w:t>27</w:t>
            </w:r>
          </w:p>
        </w:tc>
        <w:tc>
          <w:tcPr>
            <w:tcW w:w="1996" w:type="pct"/>
            <w:tcBorders>
              <w:top w:val="nil"/>
              <w:left w:val="nil"/>
              <w:bottom w:val="single" w:color="auto" w:sz="4" w:space="0"/>
              <w:right w:val="single" w:color="auto" w:sz="4" w:space="0"/>
            </w:tcBorders>
            <w:noWrap/>
            <w:vAlign w:val="center"/>
          </w:tcPr>
          <w:p w14:paraId="1649527B">
            <w:pPr>
              <w:jc w:val="both"/>
              <w:rPr>
                <w:rFonts w:hint="eastAsia"/>
              </w:rPr>
            </w:pPr>
            <w:r>
              <w:rPr>
                <w:rFonts w:hint="eastAsia"/>
              </w:rPr>
              <w:t>门禁系统</w:t>
            </w:r>
          </w:p>
        </w:tc>
        <w:tc>
          <w:tcPr>
            <w:tcW w:w="1656" w:type="pct"/>
            <w:tcBorders>
              <w:top w:val="nil"/>
              <w:left w:val="nil"/>
              <w:bottom w:val="single" w:color="auto" w:sz="4" w:space="0"/>
              <w:right w:val="single" w:color="auto" w:sz="4" w:space="0"/>
            </w:tcBorders>
            <w:noWrap/>
            <w:vAlign w:val="center"/>
          </w:tcPr>
          <w:p w14:paraId="67447E72">
            <w:pPr>
              <w:jc w:val="both"/>
              <w:rPr>
                <w:rFonts w:hint="eastAsia"/>
              </w:rPr>
            </w:pPr>
            <w:r>
              <w:rPr>
                <w:rFonts w:hint="eastAsia"/>
              </w:rPr>
              <w:t>微耕</w:t>
            </w:r>
          </w:p>
        </w:tc>
        <w:tc>
          <w:tcPr>
            <w:tcW w:w="423" w:type="pct"/>
            <w:tcBorders>
              <w:top w:val="nil"/>
              <w:left w:val="nil"/>
              <w:bottom w:val="single" w:color="auto" w:sz="4" w:space="0"/>
              <w:right w:val="single" w:color="auto" w:sz="4" w:space="0"/>
            </w:tcBorders>
            <w:noWrap/>
            <w:vAlign w:val="center"/>
          </w:tcPr>
          <w:p w14:paraId="279059D0">
            <w:pPr>
              <w:jc w:val="center"/>
              <w:rPr>
                <w:rFonts w:hint="eastAsia"/>
              </w:rPr>
            </w:pPr>
            <w:r>
              <w:rPr>
                <w:rFonts w:hint="eastAsia"/>
              </w:rPr>
              <w:t>2</w:t>
            </w:r>
          </w:p>
        </w:tc>
        <w:tc>
          <w:tcPr>
            <w:tcW w:w="484" w:type="pct"/>
            <w:tcBorders>
              <w:top w:val="nil"/>
              <w:left w:val="nil"/>
              <w:bottom w:val="single" w:color="auto" w:sz="4" w:space="0"/>
              <w:right w:val="single" w:color="auto" w:sz="4" w:space="0"/>
            </w:tcBorders>
            <w:noWrap/>
            <w:vAlign w:val="center"/>
          </w:tcPr>
          <w:p w14:paraId="327A5566">
            <w:pPr>
              <w:jc w:val="center"/>
              <w:rPr>
                <w:rFonts w:hint="eastAsia"/>
              </w:rPr>
            </w:pPr>
            <w:r>
              <w:rPr>
                <w:rFonts w:hint="eastAsia"/>
              </w:rPr>
              <w:t>套</w:t>
            </w:r>
          </w:p>
        </w:tc>
      </w:tr>
      <w:tr w14:paraId="2D47DDE0">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6082AB96">
            <w:pPr>
              <w:jc w:val="center"/>
              <w:rPr>
                <w:rFonts w:hint="eastAsia"/>
              </w:rPr>
            </w:pPr>
            <w:r>
              <w:rPr>
                <w:rFonts w:hint="eastAsia"/>
              </w:rPr>
              <w:t>28</w:t>
            </w:r>
          </w:p>
        </w:tc>
        <w:tc>
          <w:tcPr>
            <w:tcW w:w="1996" w:type="pct"/>
            <w:tcBorders>
              <w:top w:val="nil"/>
              <w:left w:val="nil"/>
              <w:bottom w:val="single" w:color="auto" w:sz="4" w:space="0"/>
              <w:right w:val="single" w:color="auto" w:sz="4" w:space="0"/>
            </w:tcBorders>
            <w:noWrap/>
            <w:vAlign w:val="center"/>
          </w:tcPr>
          <w:p w14:paraId="21B482F0">
            <w:pPr>
              <w:jc w:val="both"/>
              <w:rPr>
                <w:rFonts w:hint="eastAsia"/>
              </w:rPr>
            </w:pPr>
            <w:r>
              <w:rPr>
                <w:rFonts w:hint="eastAsia"/>
              </w:rPr>
              <w:t>县政府接入交换机</w:t>
            </w:r>
          </w:p>
        </w:tc>
        <w:tc>
          <w:tcPr>
            <w:tcW w:w="1656" w:type="pct"/>
            <w:tcBorders>
              <w:top w:val="nil"/>
              <w:left w:val="nil"/>
              <w:bottom w:val="single" w:color="auto" w:sz="4" w:space="0"/>
              <w:right w:val="single" w:color="auto" w:sz="4" w:space="0"/>
            </w:tcBorders>
            <w:noWrap/>
            <w:vAlign w:val="center"/>
          </w:tcPr>
          <w:p w14:paraId="6F31CF51">
            <w:pPr>
              <w:jc w:val="both"/>
              <w:rPr>
                <w:rFonts w:hint="eastAsia"/>
              </w:rPr>
            </w:pPr>
            <w:r>
              <w:rPr>
                <w:rFonts w:hint="eastAsia"/>
              </w:rPr>
              <w:t>神码、华为</w:t>
            </w:r>
          </w:p>
        </w:tc>
        <w:tc>
          <w:tcPr>
            <w:tcW w:w="423" w:type="pct"/>
            <w:tcBorders>
              <w:top w:val="nil"/>
              <w:left w:val="nil"/>
              <w:bottom w:val="single" w:color="auto" w:sz="4" w:space="0"/>
              <w:right w:val="single" w:color="auto" w:sz="4" w:space="0"/>
            </w:tcBorders>
            <w:noWrap/>
            <w:vAlign w:val="center"/>
          </w:tcPr>
          <w:p w14:paraId="3EF8526E">
            <w:pPr>
              <w:jc w:val="center"/>
              <w:rPr>
                <w:rFonts w:hint="eastAsia"/>
              </w:rPr>
            </w:pPr>
            <w:r>
              <w:rPr>
                <w:rFonts w:hint="eastAsia"/>
              </w:rPr>
              <w:t>16</w:t>
            </w:r>
          </w:p>
        </w:tc>
        <w:tc>
          <w:tcPr>
            <w:tcW w:w="484" w:type="pct"/>
            <w:tcBorders>
              <w:top w:val="nil"/>
              <w:left w:val="nil"/>
              <w:bottom w:val="single" w:color="auto" w:sz="4" w:space="0"/>
              <w:right w:val="single" w:color="auto" w:sz="4" w:space="0"/>
            </w:tcBorders>
            <w:noWrap/>
            <w:vAlign w:val="center"/>
          </w:tcPr>
          <w:p w14:paraId="46D08F58">
            <w:pPr>
              <w:jc w:val="center"/>
              <w:rPr>
                <w:rFonts w:hint="eastAsia"/>
              </w:rPr>
            </w:pPr>
            <w:r>
              <w:rPr>
                <w:rFonts w:hint="eastAsia"/>
              </w:rPr>
              <w:t>台</w:t>
            </w:r>
          </w:p>
        </w:tc>
      </w:tr>
      <w:tr w14:paraId="26212B52">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4972AF11">
            <w:pPr>
              <w:jc w:val="center"/>
              <w:rPr>
                <w:rFonts w:hint="eastAsia"/>
              </w:rPr>
            </w:pPr>
            <w:r>
              <w:rPr>
                <w:rFonts w:hint="eastAsia"/>
              </w:rPr>
              <w:t>29</w:t>
            </w:r>
          </w:p>
        </w:tc>
        <w:tc>
          <w:tcPr>
            <w:tcW w:w="1996" w:type="pct"/>
            <w:tcBorders>
              <w:top w:val="nil"/>
              <w:left w:val="nil"/>
              <w:bottom w:val="single" w:color="auto" w:sz="4" w:space="0"/>
              <w:right w:val="single" w:color="auto" w:sz="4" w:space="0"/>
            </w:tcBorders>
            <w:noWrap/>
            <w:vAlign w:val="center"/>
          </w:tcPr>
          <w:p w14:paraId="3ED0849D">
            <w:pPr>
              <w:jc w:val="both"/>
              <w:rPr>
                <w:rFonts w:hint="eastAsia"/>
              </w:rPr>
            </w:pPr>
            <w:r>
              <w:rPr>
                <w:rFonts w:hint="eastAsia"/>
              </w:rPr>
              <w:t>县委接入交换机</w:t>
            </w:r>
          </w:p>
        </w:tc>
        <w:tc>
          <w:tcPr>
            <w:tcW w:w="1656" w:type="pct"/>
            <w:tcBorders>
              <w:top w:val="nil"/>
              <w:left w:val="nil"/>
              <w:bottom w:val="single" w:color="auto" w:sz="4" w:space="0"/>
              <w:right w:val="single" w:color="auto" w:sz="4" w:space="0"/>
            </w:tcBorders>
            <w:noWrap/>
            <w:vAlign w:val="center"/>
          </w:tcPr>
          <w:p w14:paraId="0B17CB42">
            <w:pPr>
              <w:jc w:val="both"/>
              <w:rPr>
                <w:rFonts w:hint="eastAsia"/>
              </w:rPr>
            </w:pPr>
            <w:r>
              <w:rPr>
                <w:rFonts w:hint="eastAsia"/>
              </w:rPr>
              <w:t>神码、华为、锐捷</w:t>
            </w:r>
          </w:p>
        </w:tc>
        <w:tc>
          <w:tcPr>
            <w:tcW w:w="423" w:type="pct"/>
            <w:tcBorders>
              <w:top w:val="nil"/>
              <w:left w:val="nil"/>
              <w:bottom w:val="single" w:color="auto" w:sz="4" w:space="0"/>
              <w:right w:val="single" w:color="auto" w:sz="4" w:space="0"/>
            </w:tcBorders>
            <w:noWrap/>
            <w:vAlign w:val="center"/>
          </w:tcPr>
          <w:p w14:paraId="552F1BA6">
            <w:pPr>
              <w:jc w:val="center"/>
              <w:rPr>
                <w:rFonts w:hint="eastAsia"/>
              </w:rPr>
            </w:pPr>
            <w:r>
              <w:rPr>
                <w:rFonts w:hint="eastAsia"/>
              </w:rPr>
              <w:t>11</w:t>
            </w:r>
          </w:p>
        </w:tc>
        <w:tc>
          <w:tcPr>
            <w:tcW w:w="484" w:type="pct"/>
            <w:tcBorders>
              <w:top w:val="nil"/>
              <w:left w:val="nil"/>
              <w:bottom w:val="single" w:color="auto" w:sz="4" w:space="0"/>
              <w:right w:val="single" w:color="auto" w:sz="4" w:space="0"/>
            </w:tcBorders>
            <w:noWrap/>
            <w:vAlign w:val="center"/>
          </w:tcPr>
          <w:p w14:paraId="386DDC9F">
            <w:pPr>
              <w:jc w:val="center"/>
              <w:rPr>
                <w:rFonts w:hint="eastAsia"/>
              </w:rPr>
            </w:pPr>
            <w:r>
              <w:rPr>
                <w:rFonts w:hint="eastAsia"/>
              </w:rPr>
              <w:t>台</w:t>
            </w:r>
          </w:p>
        </w:tc>
      </w:tr>
      <w:tr w14:paraId="60B38F1F">
        <w:tblPrEx>
          <w:tblCellMar>
            <w:top w:w="0" w:type="dxa"/>
            <w:left w:w="108" w:type="dxa"/>
            <w:bottom w:w="0" w:type="dxa"/>
            <w:right w:w="108" w:type="dxa"/>
          </w:tblCellMar>
        </w:tblPrEx>
        <w:trPr>
          <w:trHeight w:val="280" w:hRule="atLeast"/>
          <w:jc w:val="center"/>
        </w:trPr>
        <w:tc>
          <w:tcPr>
            <w:tcW w:w="438" w:type="pct"/>
            <w:tcBorders>
              <w:top w:val="nil"/>
              <w:left w:val="single" w:color="auto" w:sz="4" w:space="0"/>
              <w:bottom w:val="single" w:color="auto" w:sz="4" w:space="0"/>
              <w:right w:val="single" w:color="auto" w:sz="4" w:space="0"/>
            </w:tcBorders>
            <w:noWrap/>
            <w:vAlign w:val="center"/>
          </w:tcPr>
          <w:p w14:paraId="0300ADFC">
            <w:pPr>
              <w:jc w:val="center"/>
              <w:rPr>
                <w:rFonts w:hint="eastAsia"/>
              </w:rPr>
            </w:pPr>
            <w:r>
              <w:rPr>
                <w:rFonts w:hint="eastAsia"/>
              </w:rPr>
              <w:t>30</w:t>
            </w:r>
          </w:p>
        </w:tc>
        <w:tc>
          <w:tcPr>
            <w:tcW w:w="1996" w:type="pct"/>
            <w:tcBorders>
              <w:top w:val="nil"/>
              <w:left w:val="nil"/>
              <w:bottom w:val="single" w:color="auto" w:sz="4" w:space="0"/>
              <w:right w:val="single" w:color="auto" w:sz="4" w:space="0"/>
            </w:tcBorders>
            <w:noWrap/>
            <w:vAlign w:val="center"/>
          </w:tcPr>
          <w:p w14:paraId="688F0D16">
            <w:pPr>
              <w:jc w:val="both"/>
              <w:rPr>
                <w:rFonts w:hint="eastAsia"/>
              </w:rPr>
            </w:pPr>
            <w:r>
              <w:rPr>
                <w:rFonts w:hint="eastAsia"/>
              </w:rPr>
              <w:t>环境监控系统</w:t>
            </w:r>
          </w:p>
        </w:tc>
        <w:tc>
          <w:tcPr>
            <w:tcW w:w="1656" w:type="pct"/>
            <w:tcBorders>
              <w:top w:val="nil"/>
              <w:left w:val="nil"/>
              <w:bottom w:val="single" w:color="auto" w:sz="4" w:space="0"/>
              <w:right w:val="single" w:color="auto" w:sz="4" w:space="0"/>
            </w:tcBorders>
            <w:noWrap/>
            <w:vAlign w:val="center"/>
          </w:tcPr>
          <w:p w14:paraId="71C6AD7D">
            <w:pPr>
              <w:jc w:val="both"/>
              <w:rPr>
                <w:rFonts w:hint="eastAsia"/>
              </w:rPr>
            </w:pPr>
            <w:r>
              <w:rPr>
                <w:rFonts w:hint="eastAsia"/>
              </w:rPr>
              <w:t>　</w:t>
            </w:r>
          </w:p>
        </w:tc>
        <w:tc>
          <w:tcPr>
            <w:tcW w:w="423" w:type="pct"/>
            <w:tcBorders>
              <w:top w:val="nil"/>
              <w:left w:val="nil"/>
              <w:bottom w:val="single" w:color="auto" w:sz="4" w:space="0"/>
              <w:right w:val="single" w:color="auto" w:sz="4" w:space="0"/>
            </w:tcBorders>
            <w:noWrap/>
            <w:vAlign w:val="center"/>
          </w:tcPr>
          <w:p w14:paraId="44F02DDF">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30E8C6E9">
            <w:pPr>
              <w:jc w:val="center"/>
              <w:rPr>
                <w:rFonts w:hint="eastAsia"/>
              </w:rPr>
            </w:pPr>
            <w:r>
              <w:rPr>
                <w:rFonts w:hint="eastAsia"/>
              </w:rPr>
              <w:t>套</w:t>
            </w:r>
          </w:p>
        </w:tc>
      </w:tr>
      <w:tr w14:paraId="4EB8DA0B">
        <w:tblPrEx>
          <w:tblCellMar>
            <w:top w:w="0" w:type="dxa"/>
            <w:left w:w="108" w:type="dxa"/>
            <w:bottom w:w="0" w:type="dxa"/>
            <w:right w:w="108" w:type="dxa"/>
          </w:tblCellMar>
        </w:tblPrEx>
        <w:trPr>
          <w:trHeight w:val="309" w:hRule="atLeast"/>
          <w:jc w:val="center"/>
        </w:trPr>
        <w:tc>
          <w:tcPr>
            <w:tcW w:w="438" w:type="pct"/>
            <w:tcBorders>
              <w:top w:val="nil"/>
              <w:left w:val="single" w:color="auto" w:sz="4" w:space="0"/>
              <w:bottom w:val="single" w:color="auto" w:sz="4" w:space="0"/>
              <w:right w:val="single" w:color="auto" w:sz="4" w:space="0"/>
            </w:tcBorders>
            <w:noWrap/>
            <w:vAlign w:val="center"/>
          </w:tcPr>
          <w:p w14:paraId="64DD8CD2">
            <w:pPr>
              <w:jc w:val="center"/>
              <w:rPr>
                <w:rFonts w:hint="eastAsia"/>
              </w:rPr>
            </w:pPr>
            <w:r>
              <w:rPr>
                <w:rFonts w:hint="eastAsia"/>
              </w:rPr>
              <w:t>31</w:t>
            </w:r>
          </w:p>
        </w:tc>
        <w:tc>
          <w:tcPr>
            <w:tcW w:w="1996" w:type="pct"/>
            <w:tcBorders>
              <w:top w:val="nil"/>
              <w:left w:val="nil"/>
              <w:bottom w:val="single" w:color="auto" w:sz="4" w:space="0"/>
              <w:right w:val="single" w:color="auto" w:sz="4" w:space="0"/>
            </w:tcBorders>
            <w:noWrap/>
            <w:vAlign w:val="center"/>
          </w:tcPr>
          <w:p w14:paraId="29690E61">
            <w:pPr>
              <w:jc w:val="both"/>
              <w:rPr>
                <w:rFonts w:hint="eastAsia"/>
              </w:rPr>
            </w:pPr>
            <w:r>
              <w:rPr>
                <w:rFonts w:hint="eastAsia"/>
              </w:rPr>
              <w:t>其他配套</w:t>
            </w:r>
          </w:p>
        </w:tc>
        <w:tc>
          <w:tcPr>
            <w:tcW w:w="1656" w:type="pct"/>
            <w:tcBorders>
              <w:top w:val="nil"/>
              <w:left w:val="nil"/>
              <w:bottom w:val="single" w:color="auto" w:sz="4" w:space="0"/>
              <w:right w:val="single" w:color="auto" w:sz="4" w:space="0"/>
            </w:tcBorders>
            <w:noWrap/>
            <w:vAlign w:val="center"/>
          </w:tcPr>
          <w:p w14:paraId="1FBE8746">
            <w:pPr>
              <w:jc w:val="both"/>
              <w:rPr>
                <w:rFonts w:hint="eastAsia"/>
              </w:rPr>
            </w:pPr>
            <w:r>
              <w:rPr>
                <w:rFonts w:hint="eastAsia"/>
              </w:rPr>
              <w:t>配电、照面、布线</w:t>
            </w:r>
          </w:p>
        </w:tc>
        <w:tc>
          <w:tcPr>
            <w:tcW w:w="423" w:type="pct"/>
            <w:tcBorders>
              <w:top w:val="nil"/>
              <w:left w:val="nil"/>
              <w:bottom w:val="single" w:color="auto" w:sz="4" w:space="0"/>
              <w:right w:val="single" w:color="auto" w:sz="4" w:space="0"/>
            </w:tcBorders>
            <w:noWrap/>
            <w:vAlign w:val="center"/>
          </w:tcPr>
          <w:p w14:paraId="47C29602">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73FBE60B">
            <w:pPr>
              <w:jc w:val="center"/>
              <w:rPr>
                <w:rFonts w:hint="eastAsia"/>
              </w:rPr>
            </w:pPr>
            <w:r>
              <w:rPr>
                <w:rFonts w:hint="eastAsia"/>
              </w:rPr>
              <w:t>批</w:t>
            </w:r>
          </w:p>
        </w:tc>
      </w:tr>
      <w:tr w14:paraId="4F937E1A">
        <w:tblPrEx>
          <w:tblCellMar>
            <w:top w:w="0" w:type="dxa"/>
            <w:left w:w="108" w:type="dxa"/>
            <w:bottom w:w="0" w:type="dxa"/>
            <w:right w:w="108" w:type="dxa"/>
          </w:tblCellMar>
        </w:tblPrEx>
        <w:trPr>
          <w:trHeight w:val="234" w:hRule="atLeast"/>
          <w:jc w:val="center"/>
        </w:trPr>
        <w:tc>
          <w:tcPr>
            <w:tcW w:w="438" w:type="pct"/>
            <w:tcBorders>
              <w:top w:val="nil"/>
              <w:left w:val="single" w:color="auto" w:sz="4" w:space="0"/>
              <w:bottom w:val="single" w:color="auto" w:sz="4" w:space="0"/>
              <w:right w:val="single" w:color="auto" w:sz="4" w:space="0"/>
            </w:tcBorders>
            <w:noWrap/>
            <w:vAlign w:val="center"/>
          </w:tcPr>
          <w:p w14:paraId="178BD992">
            <w:pPr>
              <w:jc w:val="center"/>
              <w:rPr>
                <w:rFonts w:hint="eastAsia"/>
              </w:rPr>
            </w:pPr>
            <w:r>
              <w:rPr>
                <w:rFonts w:hint="eastAsia"/>
              </w:rPr>
              <w:t>32</w:t>
            </w:r>
          </w:p>
        </w:tc>
        <w:tc>
          <w:tcPr>
            <w:tcW w:w="1996" w:type="pct"/>
            <w:tcBorders>
              <w:top w:val="nil"/>
              <w:left w:val="nil"/>
              <w:bottom w:val="single" w:color="auto" w:sz="4" w:space="0"/>
              <w:right w:val="single" w:color="auto" w:sz="4" w:space="0"/>
            </w:tcBorders>
            <w:noWrap/>
            <w:vAlign w:val="center"/>
          </w:tcPr>
          <w:p w14:paraId="57C7E9A3">
            <w:pPr>
              <w:jc w:val="both"/>
              <w:rPr>
                <w:rFonts w:hint="eastAsia"/>
              </w:rPr>
            </w:pPr>
            <w:r>
              <w:rPr>
                <w:rFonts w:hint="eastAsia"/>
              </w:rPr>
              <w:t>其他</w:t>
            </w:r>
          </w:p>
        </w:tc>
        <w:tc>
          <w:tcPr>
            <w:tcW w:w="1656" w:type="pct"/>
            <w:tcBorders>
              <w:top w:val="nil"/>
              <w:left w:val="nil"/>
              <w:bottom w:val="single" w:color="auto" w:sz="4" w:space="0"/>
              <w:right w:val="single" w:color="auto" w:sz="4" w:space="0"/>
            </w:tcBorders>
            <w:noWrap/>
            <w:vAlign w:val="center"/>
          </w:tcPr>
          <w:p w14:paraId="45EBFA91">
            <w:pPr>
              <w:jc w:val="both"/>
              <w:rPr>
                <w:rFonts w:hint="eastAsia"/>
              </w:rPr>
            </w:pPr>
            <w:r>
              <w:rPr>
                <w:rFonts w:hint="eastAsia"/>
              </w:rPr>
              <w:t>相关的其他设施设备</w:t>
            </w:r>
          </w:p>
        </w:tc>
        <w:tc>
          <w:tcPr>
            <w:tcW w:w="423" w:type="pct"/>
            <w:tcBorders>
              <w:top w:val="nil"/>
              <w:left w:val="nil"/>
              <w:bottom w:val="single" w:color="auto" w:sz="4" w:space="0"/>
              <w:right w:val="single" w:color="auto" w:sz="4" w:space="0"/>
            </w:tcBorders>
            <w:noWrap/>
            <w:vAlign w:val="center"/>
          </w:tcPr>
          <w:p w14:paraId="4253C0FC">
            <w:pPr>
              <w:jc w:val="center"/>
              <w:rPr>
                <w:rFonts w:hint="eastAsia"/>
              </w:rPr>
            </w:pPr>
            <w:r>
              <w:rPr>
                <w:rFonts w:hint="eastAsia"/>
              </w:rPr>
              <w:t>1</w:t>
            </w:r>
          </w:p>
        </w:tc>
        <w:tc>
          <w:tcPr>
            <w:tcW w:w="484" w:type="pct"/>
            <w:tcBorders>
              <w:top w:val="nil"/>
              <w:left w:val="nil"/>
              <w:bottom w:val="single" w:color="auto" w:sz="4" w:space="0"/>
              <w:right w:val="single" w:color="auto" w:sz="4" w:space="0"/>
            </w:tcBorders>
            <w:noWrap/>
            <w:vAlign w:val="center"/>
          </w:tcPr>
          <w:p w14:paraId="00CE6BB7">
            <w:pPr>
              <w:jc w:val="center"/>
              <w:rPr>
                <w:rFonts w:hint="eastAsia"/>
              </w:rPr>
            </w:pPr>
            <w:r>
              <w:rPr>
                <w:rFonts w:hint="eastAsia"/>
              </w:rPr>
              <w:t>批</w:t>
            </w:r>
          </w:p>
        </w:tc>
      </w:tr>
    </w:tbl>
    <w:p w14:paraId="785739EB">
      <w:pPr>
        <w:rPr>
          <w:rFonts w:hint="default"/>
          <w:sz w:val="24"/>
          <w:szCs w:val="24"/>
          <w:lang w:val="en-US" w:eastAsia="zh-CN"/>
        </w:rPr>
      </w:pPr>
    </w:p>
    <w:p w14:paraId="5C4C3000">
      <w:pPr>
        <w:rPr>
          <w:rFonts w:hint="default"/>
          <w:lang w:val="en-US" w:eastAsia="zh-CN"/>
        </w:rPr>
      </w:pPr>
      <w:r>
        <w:rPr>
          <w:rFonts w:hint="default"/>
          <w:lang w:val="en-US" w:eastAsia="zh-CN"/>
        </w:rPr>
        <w:br w:type="page"/>
      </w:r>
    </w:p>
    <w:p w14:paraId="0924C7B2">
      <w:pPr>
        <w:pStyle w:val="10"/>
        <w:tabs>
          <w:tab w:val="right" w:leader="dot" w:pos="9072"/>
          <w:tab w:val="clear" w:pos="8760"/>
        </w:tabs>
        <w:jc w:val="center"/>
        <w:rPr>
          <w:rFonts w:hint="eastAsia"/>
          <w:sz w:val="44"/>
          <w:szCs w:val="44"/>
          <w:shd w:val="clear" w:color="auto" w:fill="auto"/>
          <w:lang w:eastAsia="zh-CN"/>
        </w:rPr>
      </w:pPr>
      <w:r>
        <w:rPr>
          <w:rFonts w:hint="eastAsia"/>
          <w:sz w:val="44"/>
          <w:szCs w:val="44"/>
          <w:shd w:val="clear" w:color="auto" w:fill="auto"/>
          <w:lang w:eastAsia="zh-CN"/>
        </w:rPr>
        <w:fldChar w:fldCharType="begin"/>
      </w:r>
      <w:r>
        <w:rPr>
          <w:rFonts w:hint="eastAsia"/>
          <w:sz w:val="44"/>
          <w:szCs w:val="44"/>
          <w:shd w:val="clear" w:color="auto" w:fill="auto"/>
          <w:lang w:eastAsia="zh-CN"/>
        </w:rPr>
        <w:instrText xml:space="preserve"> HYPERLINK \l _Toc25728 </w:instrText>
      </w:r>
      <w:r>
        <w:rPr>
          <w:rFonts w:hint="eastAsia"/>
          <w:sz w:val="44"/>
          <w:szCs w:val="44"/>
          <w:shd w:val="clear" w:color="auto" w:fill="auto"/>
          <w:lang w:eastAsia="zh-CN"/>
        </w:rPr>
        <w:fldChar w:fldCharType="separate"/>
      </w:r>
      <w:r>
        <w:rPr>
          <w:rFonts w:hint="eastAsia"/>
          <w:sz w:val="44"/>
          <w:szCs w:val="44"/>
          <w:shd w:val="clear" w:color="auto" w:fill="auto"/>
          <w:lang w:val="en-US" w:eastAsia="zh-CN"/>
        </w:rPr>
        <w:t>第五部分 合同主要条款</w:t>
      </w:r>
      <w:r>
        <w:rPr>
          <w:rFonts w:hint="eastAsia"/>
          <w:sz w:val="44"/>
          <w:szCs w:val="44"/>
          <w:shd w:val="clear" w:color="auto" w:fill="auto"/>
          <w:lang w:eastAsia="zh-CN"/>
        </w:rPr>
        <w:fldChar w:fldCharType="end"/>
      </w:r>
    </w:p>
    <w:p w14:paraId="473B0E50">
      <w:pPr>
        <w:rPr>
          <w:rFonts w:hint="eastAsia"/>
          <w:lang w:eastAsia="zh-CN"/>
        </w:rPr>
      </w:pPr>
    </w:p>
    <w:p w14:paraId="09FDDCA5">
      <w:pPr>
        <w:rPr>
          <w:rFonts w:hint="eastAsia" w:ascii="宋体" w:hAnsi="宋体" w:eastAsia="宋体" w:cs="宋体"/>
          <w:b/>
          <w:bCs/>
          <w:color w:val="auto"/>
          <w:sz w:val="24"/>
          <w:szCs w:val="24"/>
        </w:rPr>
      </w:pPr>
    </w:p>
    <w:p w14:paraId="01522174">
      <w:pPr>
        <w:adjustRightInd w:val="0"/>
        <w:snapToGrid w:val="0"/>
        <w:spacing w:line="240" w:lineRule="auto"/>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w:t>
      </w:r>
    </w:p>
    <w:p w14:paraId="5BA4F583">
      <w:pPr>
        <w:adjustRightInd w:val="0"/>
        <w:snapToGrid w:val="0"/>
        <w:spacing w:line="240" w:lineRule="auto"/>
        <w:ind w:firstLine="482" w:firstLineChars="200"/>
        <w:rPr>
          <w:rFonts w:ascii="宋体" w:hAnsi="宋体" w:cs="宋体"/>
          <w:sz w:val="24"/>
        </w:rPr>
      </w:pPr>
      <w:r>
        <w:rPr>
          <w:rFonts w:hint="eastAsia" w:ascii="宋体" w:hAnsi="宋体" w:cs="宋体"/>
          <w:b/>
          <w:sz w:val="24"/>
        </w:rPr>
        <w:t>供应商（乙方）：</w:t>
      </w:r>
      <w:r>
        <w:rPr>
          <w:rFonts w:hint="eastAsia" w:ascii="宋体" w:hAnsi="宋体" w:cs="宋体"/>
          <w:b/>
          <w:sz w:val="24"/>
          <w:u w:val="single"/>
        </w:rPr>
        <w:t xml:space="preserve">                                  </w:t>
      </w:r>
    </w:p>
    <w:p w14:paraId="2A5C4E48">
      <w:pPr>
        <w:adjustRightInd w:val="0"/>
        <w:snapToGrid w:val="0"/>
        <w:spacing w:line="24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14:paraId="4113E9C4">
      <w:pPr>
        <w:spacing w:line="240" w:lineRule="auto"/>
        <w:rPr>
          <w:rFonts w:ascii="宋体" w:hAnsi="宋体" w:cs="宋体"/>
          <w:b/>
          <w:sz w:val="24"/>
        </w:rPr>
      </w:pPr>
      <w:r>
        <w:rPr>
          <w:rFonts w:hint="eastAsia" w:ascii="宋体" w:hAnsi="宋体" w:cs="宋体"/>
          <w:b/>
          <w:sz w:val="24"/>
        </w:rPr>
        <w:t>一、项目概况</w:t>
      </w:r>
    </w:p>
    <w:p w14:paraId="37653A5A">
      <w:pPr>
        <w:adjustRightInd w:val="0"/>
        <w:snapToGrid w:val="0"/>
        <w:spacing w:line="240" w:lineRule="auto"/>
        <w:ind w:firstLine="475" w:firstLineChars="198"/>
        <w:rPr>
          <w:rFonts w:ascii="宋体" w:hAnsi="宋体" w:cs="宋体"/>
          <w:sz w:val="24"/>
        </w:rPr>
      </w:pPr>
      <w:r>
        <w:rPr>
          <w:rFonts w:hint="eastAsia" w:ascii="宋体" w:hAnsi="宋体" w:cs="宋体"/>
          <w:sz w:val="24"/>
        </w:rPr>
        <w:t>1. 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EB9F859">
      <w:pPr>
        <w:adjustRightInd w:val="0"/>
        <w:snapToGrid w:val="0"/>
        <w:spacing w:line="240" w:lineRule="auto"/>
        <w:ind w:firstLine="475" w:firstLineChars="198"/>
        <w:rPr>
          <w:rFonts w:ascii="宋体" w:hAnsi="宋体" w:cs="宋体"/>
          <w:sz w:val="24"/>
        </w:rPr>
      </w:pPr>
      <w:r>
        <w:rPr>
          <w:rFonts w:hint="eastAsia" w:ascii="宋体" w:hAnsi="宋体" w:cs="宋体"/>
          <w:sz w:val="24"/>
        </w:rPr>
        <w:t>2. 项目</w:t>
      </w:r>
      <w:r>
        <w:rPr>
          <w:rFonts w:hint="eastAsia" w:ascii="宋体" w:hAnsi="宋体" w:cs="宋体"/>
          <w:sz w:val="24"/>
          <w:lang w:val="en-US" w:eastAsia="zh-CN"/>
        </w:rPr>
        <w:t>实施</w:t>
      </w:r>
      <w:r>
        <w:rPr>
          <w:rFonts w:hint="eastAsia" w:ascii="宋体" w:hAnsi="宋体" w:cs="宋体"/>
          <w:sz w:val="24"/>
        </w:rPr>
        <w:t>地点：</w:t>
      </w:r>
      <w:r>
        <w:rPr>
          <w:rFonts w:hint="eastAsia" w:ascii="宋体" w:hAnsi="宋体" w:cs="宋体"/>
          <w:sz w:val="24"/>
          <w:u w:val="single"/>
        </w:rPr>
        <w:t xml:space="preserve">                         </w:t>
      </w:r>
    </w:p>
    <w:p w14:paraId="78D1A8B4">
      <w:pPr>
        <w:spacing w:line="240" w:lineRule="auto"/>
        <w:rPr>
          <w:rFonts w:ascii="宋体" w:hAnsi="宋体" w:cs="宋体"/>
          <w:b/>
          <w:sz w:val="24"/>
        </w:rPr>
      </w:pPr>
      <w:r>
        <w:rPr>
          <w:rFonts w:hint="eastAsia" w:ascii="宋体" w:hAnsi="宋体" w:cs="宋体"/>
          <w:b/>
          <w:sz w:val="24"/>
        </w:rPr>
        <w:t>二、组成本合同的文件</w:t>
      </w:r>
    </w:p>
    <w:p w14:paraId="52C9184C">
      <w:pPr>
        <w:adjustRightInd w:val="0"/>
        <w:snapToGrid w:val="0"/>
        <w:spacing w:line="240" w:lineRule="auto"/>
        <w:ind w:firstLine="475" w:firstLineChars="198"/>
        <w:rPr>
          <w:rFonts w:ascii="宋体" w:hAnsi="宋体" w:cs="宋体"/>
          <w:sz w:val="24"/>
        </w:rPr>
      </w:pPr>
      <w:r>
        <w:rPr>
          <w:rFonts w:hint="eastAsia" w:ascii="宋体" w:hAnsi="宋体" w:cs="宋体"/>
          <w:sz w:val="24"/>
        </w:rPr>
        <w:t xml:space="preserve">1. </w:t>
      </w:r>
      <w:r>
        <w:rPr>
          <w:rFonts w:hint="eastAsia" w:ascii="宋体" w:hAnsi="宋体" w:cs="宋体"/>
          <w:sz w:val="24"/>
          <w:lang w:val="en-US" w:eastAsia="zh-CN"/>
        </w:rPr>
        <w:t>合同</w:t>
      </w:r>
      <w:r>
        <w:rPr>
          <w:rFonts w:hint="eastAsia" w:ascii="宋体" w:hAnsi="宋体" w:cs="宋体"/>
          <w:sz w:val="24"/>
        </w:rPr>
        <w:t>书；</w:t>
      </w:r>
    </w:p>
    <w:p w14:paraId="6AFEA96B">
      <w:pPr>
        <w:adjustRightInd w:val="0"/>
        <w:snapToGrid w:val="0"/>
        <w:spacing w:line="240" w:lineRule="auto"/>
        <w:ind w:firstLine="475" w:firstLineChars="198"/>
        <w:rPr>
          <w:rFonts w:ascii="宋体" w:hAnsi="宋体" w:cs="宋体"/>
          <w:sz w:val="24"/>
        </w:rPr>
      </w:pPr>
      <w:r>
        <w:rPr>
          <w:rFonts w:hint="eastAsia" w:ascii="宋体" w:hAnsi="宋体" w:cs="宋体"/>
          <w:sz w:val="24"/>
        </w:rPr>
        <w:t>2. 成交通知书、响应文件、竞争性磋商文件、澄清、补充文件；</w:t>
      </w:r>
    </w:p>
    <w:p w14:paraId="598CD3DE">
      <w:pPr>
        <w:adjustRightInd w:val="0"/>
        <w:snapToGrid w:val="0"/>
        <w:spacing w:line="24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3. </w:t>
      </w:r>
      <w:r>
        <w:rPr>
          <w:rFonts w:hint="eastAsia" w:ascii="宋体" w:hAnsi="宋体" w:cs="宋体"/>
          <w:sz w:val="24"/>
        </w:rPr>
        <w:t>本合同签订后，双方依法签订的补充协议也是本合同文件的组成部分。</w:t>
      </w:r>
    </w:p>
    <w:p w14:paraId="5CF231D2">
      <w:pPr>
        <w:spacing w:line="240" w:lineRule="auto"/>
        <w:rPr>
          <w:rFonts w:ascii="宋体" w:hAnsi="宋体" w:cs="宋体"/>
          <w:b/>
          <w:sz w:val="24"/>
        </w:rPr>
      </w:pPr>
      <w:r>
        <w:rPr>
          <w:rFonts w:hint="eastAsia" w:ascii="宋体" w:hAnsi="宋体" w:cs="宋体"/>
          <w:b/>
          <w:sz w:val="24"/>
        </w:rPr>
        <w:t>三、合同金额</w:t>
      </w:r>
    </w:p>
    <w:p w14:paraId="20BB0E5D">
      <w:pPr>
        <w:adjustRightInd w:val="0"/>
        <w:snapToGrid w:val="0"/>
        <w:spacing w:line="240" w:lineRule="auto"/>
        <w:ind w:firstLine="475" w:firstLineChars="198"/>
        <w:rPr>
          <w:rFonts w:hint="eastAsia" w:ascii="宋体" w:hAnsi="宋体" w:cs="宋体"/>
          <w:sz w:val="24"/>
        </w:rPr>
      </w:pPr>
      <w:r>
        <w:rPr>
          <w:rFonts w:hint="eastAsia" w:ascii="宋体" w:hAnsi="宋体" w:cs="宋体"/>
          <w:sz w:val="24"/>
        </w:rPr>
        <w:t>合同总价款（含税金额）：</w:t>
      </w:r>
    </w:p>
    <w:p w14:paraId="5C14C8E4">
      <w:pPr>
        <w:adjustRightInd w:val="0"/>
        <w:snapToGrid w:val="0"/>
        <w:spacing w:line="240" w:lineRule="auto"/>
        <w:ind w:firstLine="475" w:firstLineChars="198"/>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大写</w:t>
      </w:r>
      <w:r>
        <w:rPr>
          <w:rFonts w:hint="eastAsia" w:ascii="宋体" w:hAnsi="宋体" w:cs="宋体"/>
          <w:sz w:val="24"/>
          <w:lang w:eastAsia="zh-CN"/>
        </w:rPr>
        <w:t>）</w:t>
      </w:r>
      <w:r>
        <w:rPr>
          <w:rFonts w:hint="eastAsia" w:ascii="宋体" w:hAnsi="宋体" w:cs="宋体"/>
          <w:sz w:val="24"/>
          <w:u w:val="single"/>
        </w:rPr>
        <w:fldChar w:fldCharType="begin"/>
      </w:r>
      <w:r>
        <w:rPr>
          <w:rFonts w:hint="eastAsia" w:ascii="宋体" w:hAnsi="宋体" w:cs="宋体"/>
          <w:sz w:val="24"/>
          <w:u w:val="single"/>
        </w:rPr>
        <w:instrText xml:space="preserve"> = 219854 \* CHINESENUM4 \* MERGEFORMAT </w:instrText>
      </w:r>
      <w:r>
        <w:rPr>
          <w:rFonts w:hint="eastAsia" w:ascii="宋体" w:hAnsi="宋体" w:cs="宋体"/>
          <w:sz w:val="24"/>
          <w:u w:val="single"/>
        </w:rPr>
        <w:fldChar w:fldCharType="separate"/>
      </w:r>
      <w:r>
        <w:rPr>
          <w:rFonts w:hint="eastAsia" w:ascii="宋体" w:hAnsi="宋体" w:cs="宋体"/>
          <w:sz w:val="24"/>
          <w:u w:val="single"/>
        </w:rPr>
        <w:t xml:space="preserve">               </w:t>
      </w:r>
      <w:r>
        <w:rPr>
          <w:rFonts w:hint="eastAsia" w:ascii="宋体" w:hAnsi="宋体" w:cs="宋体"/>
          <w:sz w:val="24"/>
          <w:u w:val="single"/>
        </w:rPr>
        <w:fldChar w:fldCharType="end"/>
      </w:r>
      <w:r>
        <w:rPr>
          <w:rFonts w:hint="eastAsia" w:ascii="宋体" w:hAnsi="宋体" w:cs="宋体"/>
          <w:sz w:val="24"/>
        </w:rPr>
        <w:t>（</w:t>
      </w:r>
      <w:r>
        <w:rPr>
          <w:rFonts w:hint="eastAsia" w:ascii="宋体" w:hAnsi="宋体" w:cs="宋体"/>
          <w:sz w:val="24"/>
          <w:lang w:val="en-US" w:eastAsia="zh-CN"/>
        </w:rPr>
        <w:t>小写</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14:paraId="46933D9B">
      <w:pPr>
        <w:adjustRightInd w:val="0"/>
        <w:snapToGrid w:val="0"/>
        <w:spacing w:line="240" w:lineRule="auto"/>
        <w:ind w:firstLine="475" w:firstLineChars="198"/>
        <w:rPr>
          <w:rFonts w:ascii="宋体" w:hAnsi="宋体" w:cs="宋体"/>
          <w:sz w:val="24"/>
        </w:rPr>
      </w:pPr>
      <w:r>
        <w:rPr>
          <w:rFonts w:hint="eastAsia" w:ascii="宋体" w:hAnsi="宋体" w:cs="宋体"/>
          <w:sz w:val="24"/>
        </w:rPr>
        <w:t>合同总价即中标价，为一次性报价，不受市场价变化影响。合同价格为含税价，供应商（成交人）提供服务所发生的一切税（包括增值税）费等都已包含于合同价款中。</w:t>
      </w:r>
    </w:p>
    <w:p w14:paraId="7E4ED60E">
      <w:pPr>
        <w:adjustRightInd w:val="0"/>
        <w:snapToGrid w:val="0"/>
        <w:spacing w:line="240" w:lineRule="auto"/>
        <w:rPr>
          <w:rFonts w:ascii="宋体" w:hAnsi="宋体" w:cs="宋体"/>
          <w:b/>
          <w:sz w:val="24"/>
        </w:rPr>
      </w:pPr>
      <w:r>
        <w:rPr>
          <w:rFonts w:hint="eastAsia" w:ascii="宋体" w:hAnsi="宋体" w:cs="宋体"/>
          <w:b/>
          <w:sz w:val="24"/>
        </w:rPr>
        <w:t>四、结算方式</w:t>
      </w:r>
    </w:p>
    <w:p w14:paraId="67CFB92D">
      <w:pPr>
        <w:spacing w:line="240" w:lineRule="auto"/>
        <w:ind w:firstLine="360" w:firstLineChars="150"/>
        <w:rPr>
          <w:rFonts w:hint="eastAsia" w:ascii="宋体" w:hAnsi="宋体" w:cs="宋体"/>
          <w:sz w:val="24"/>
        </w:rPr>
      </w:pPr>
      <w:r>
        <w:rPr>
          <w:rFonts w:hint="eastAsia" w:ascii="宋体" w:hAnsi="宋体" w:cs="宋体"/>
          <w:sz w:val="24"/>
        </w:rPr>
        <w:t>1.结算单位：</w:t>
      </w:r>
    </w:p>
    <w:p w14:paraId="536F77A2">
      <w:pPr>
        <w:spacing w:line="240" w:lineRule="auto"/>
        <w:ind w:firstLine="360" w:firstLineChars="150"/>
        <w:rPr>
          <w:rFonts w:ascii="宋体" w:hAnsi="宋体" w:cs="宋体"/>
          <w:sz w:val="24"/>
        </w:rPr>
      </w:pPr>
      <w:r>
        <w:rPr>
          <w:rFonts w:hint="eastAsia" w:ascii="宋体" w:hAnsi="宋体" w:cs="宋体"/>
          <w:sz w:val="24"/>
        </w:rPr>
        <w:t>银行转账，由采购人负责结算。在付款前，供应商必须开具发票给采购人。</w:t>
      </w:r>
    </w:p>
    <w:p w14:paraId="6AD41C61">
      <w:pPr>
        <w:spacing w:line="240" w:lineRule="auto"/>
        <w:ind w:firstLine="360" w:firstLineChars="150"/>
        <w:rPr>
          <w:rFonts w:ascii="宋体" w:hAnsi="宋体" w:cs="宋体"/>
          <w:sz w:val="24"/>
        </w:rPr>
      </w:pPr>
      <w:r>
        <w:rPr>
          <w:rFonts w:hint="eastAsia" w:ascii="宋体" w:hAnsi="宋体" w:cs="宋体"/>
          <w:sz w:val="24"/>
        </w:rPr>
        <w:t xml:space="preserve">2.付款方式： </w:t>
      </w:r>
    </w:p>
    <w:p w14:paraId="58A8F7E1">
      <w:pPr>
        <w:spacing w:line="240" w:lineRule="auto"/>
        <w:ind w:firstLine="480" w:firstLineChars="200"/>
        <w:rPr>
          <w:rFonts w:ascii="宋体" w:hAnsi="宋体" w:cs="宋体"/>
          <w:sz w:val="24"/>
          <w:highlight w:val="none"/>
        </w:rPr>
      </w:pPr>
      <w:r>
        <w:rPr>
          <w:rFonts w:hint="eastAsia" w:ascii="宋体" w:hAnsi="宋体" w:cs="宋体"/>
          <w:sz w:val="24"/>
          <w:highlight w:val="none"/>
        </w:rPr>
        <w:t>按年度支付合同价款（供应商出具测试报告，使用方出具履约情况报告，若履约情况不满足使用方要求，使用方有权终止合同）。</w:t>
      </w:r>
    </w:p>
    <w:p w14:paraId="6093E0B2">
      <w:pPr>
        <w:spacing w:line="240" w:lineRule="auto"/>
        <w:rPr>
          <w:rFonts w:ascii="宋体" w:hAnsi="宋体" w:cs="宋体"/>
          <w:b/>
          <w:sz w:val="24"/>
        </w:rPr>
      </w:pPr>
      <w:r>
        <w:rPr>
          <w:rFonts w:hint="eastAsia" w:ascii="宋体" w:hAnsi="宋体" w:cs="宋体"/>
          <w:b/>
          <w:sz w:val="24"/>
        </w:rPr>
        <w:t xml:space="preserve">五、服务期  </w:t>
      </w:r>
    </w:p>
    <w:p w14:paraId="1BA764E7">
      <w:pPr>
        <w:tabs>
          <w:tab w:val="left" w:pos="840"/>
        </w:tabs>
        <w:spacing w:line="240" w:lineRule="auto"/>
        <w:ind w:firstLine="480" w:firstLineChars="200"/>
        <w:rPr>
          <w:rFonts w:hint="eastAsia" w:ascii="宋体" w:hAnsi="宋体" w:cs="宋体"/>
          <w:sz w:val="24"/>
        </w:rPr>
      </w:pPr>
      <w:r>
        <w:rPr>
          <w:rFonts w:hint="eastAsia" w:ascii="宋体" w:hAnsi="宋体" w:cs="宋体"/>
          <w:sz w:val="24"/>
        </w:rPr>
        <w:t>服务期：</w:t>
      </w:r>
      <w:r>
        <w:rPr>
          <w:rFonts w:hint="eastAsia" w:ascii="宋体" w:hAnsi="宋体" w:cs="宋体"/>
          <w:sz w:val="24"/>
          <w:lang w:val="en-US" w:eastAsia="zh-CN"/>
        </w:rPr>
        <w:t>1</w:t>
      </w:r>
      <w:r>
        <w:rPr>
          <w:rFonts w:hint="eastAsia" w:ascii="宋体" w:hAnsi="宋体" w:cs="宋体"/>
          <w:sz w:val="24"/>
        </w:rPr>
        <w:t>年，即：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CD3A052">
      <w:pPr>
        <w:tabs>
          <w:tab w:val="left" w:pos="840"/>
        </w:tabs>
        <w:spacing w:line="24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服务期满，采购单位根据中标单位履约情况和服务质量，可按年度续签2次。</w:t>
      </w:r>
    </w:p>
    <w:p w14:paraId="6444D615">
      <w:pPr>
        <w:tabs>
          <w:tab w:val="left" w:pos="840"/>
        </w:tabs>
        <w:spacing w:line="240" w:lineRule="auto"/>
        <w:rPr>
          <w:rFonts w:ascii="宋体" w:hAnsi="宋体" w:cs="宋体"/>
          <w:b/>
          <w:sz w:val="24"/>
        </w:rPr>
      </w:pPr>
      <w:r>
        <w:rPr>
          <w:rFonts w:hint="eastAsia" w:ascii="宋体" w:hAnsi="宋体" w:cs="宋体"/>
          <w:b/>
          <w:sz w:val="24"/>
        </w:rPr>
        <w:t>六、内容及要求</w:t>
      </w:r>
    </w:p>
    <w:p w14:paraId="0AF232BD">
      <w:pPr>
        <w:tabs>
          <w:tab w:val="left" w:pos="840"/>
        </w:tabs>
        <w:spacing w:line="240" w:lineRule="auto"/>
        <w:ind w:firstLine="480" w:firstLineChars="200"/>
        <w:rPr>
          <w:rFonts w:ascii="宋体" w:hAnsi="宋体" w:cs="宋体"/>
          <w:b/>
          <w:sz w:val="24"/>
        </w:rPr>
      </w:pPr>
      <w:r>
        <w:rPr>
          <w:rFonts w:hint="eastAsia" w:ascii="宋体" w:hAnsi="宋体" w:cs="宋体"/>
          <w:sz w:val="24"/>
          <w:highlight w:val="none"/>
        </w:rPr>
        <w:t>主要工作内容及要求：完成甲方的</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项目名称</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竞争性</w:t>
      </w:r>
      <w:r>
        <w:rPr>
          <w:rFonts w:hint="eastAsia" w:ascii="宋体" w:hAnsi="宋体" w:cs="宋体"/>
          <w:sz w:val="24"/>
          <w:highlight w:val="none"/>
        </w:rPr>
        <w:t>磋商文件</w:t>
      </w:r>
      <w:r>
        <w:rPr>
          <w:rFonts w:hint="eastAsia" w:ascii="宋体" w:hAnsi="宋体" w:cs="宋体"/>
          <w:sz w:val="24"/>
          <w:highlight w:val="none"/>
          <w:lang w:val="en-US" w:eastAsia="zh-CN"/>
        </w:rPr>
        <w:t>中</w:t>
      </w:r>
      <w:r>
        <w:rPr>
          <w:rFonts w:hint="eastAsia" w:ascii="宋体" w:hAnsi="宋体" w:cs="宋体"/>
          <w:sz w:val="24"/>
          <w:highlight w:val="none"/>
          <w:lang w:eastAsia="zh-CN"/>
        </w:rPr>
        <w:t>“采购内容及要求”</w:t>
      </w:r>
      <w:r>
        <w:rPr>
          <w:rFonts w:hint="eastAsia" w:ascii="宋体" w:hAnsi="宋体" w:cs="宋体"/>
          <w:sz w:val="24"/>
          <w:highlight w:val="none"/>
          <w:lang w:val="en-US" w:eastAsia="zh-CN"/>
        </w:rPr>
        <w:t>的全部内容</w:t>
      </w:r>
      <w:r>
        <w:rPr>
          <w:rFonts w:hint="eastAsia" w:ascii="宋体" w:hAnsi="宋体" w:cs="宋体"/>
          <w:sz w:val="24"/>
          <w:highlight w:val="none"/>
        </w:rPr>
        <w:t>。如供应商迨于或不能履行义务，采购人有权委托第三方处理，由此产生的费用</w:t>
      </w:r>
      <w:r>
        <w:rPr>
          <w:rFonts w:hint="eastAsia" w:ascii="宋体" w:hAnsi="宋体" w:cs="宋体"/>
          <w:sz w:val="24"/>
        </w:rPr>
        <w:t>和风险由供应商承担，费用由采购人从</w:t>
      </w:r>
      <w:r>
        <w:rPr>
          <w:rFonts w:hint="eastAsia" w:ascii="宋体" w:hAnsi="宋体" w:cs="宋体"/>
          <w:sz w:val="24"/>
          <w:lang w:val="en-US" w:eastAsia="zh-CN"/>
        </w:rPr>
        <w:t>服务费</w:t>
      </w:r>
      <w:r>
        <w:rPr>
          <w:rFonts w:hint="eastAsia" w:ascii="宋体" w:hAnsi="宋体" w:cs="宋体"/>
          <w:sz w:val="24"/>
        </w:rPr>
        <w:t>中直接扣除，不足部分仍由供应商承担。</w:t>
      </w:r>
    </w:p>
    <w:p w14:paraId="100D2019">
      <w:pPr>
        <w:spacing w:line="240" w:lineRule="auto"/>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、验收</w:t>
      </w:r>
    </w:p>
    <w:p w14:paraId="53ACB140">
      <w:pPr>
        <w:tabs>
          <w:tab w:val="left" w:pos="840"/>
        </w:tabs>
        <w:spacing w:line="240" w:lineRule="auto"/>
        <w:ind w:firstLine="480" w:firstLineChars="200"/>
        <w:rPr>
          <w:rFonts w:ascii="宋体" w:hAnsi="宋体" w:cs="宋体"/>
          <w:b/>
          <w:sz w:val="24"/>
        </w:rPr>
      </w:pPr>
      <w:r>
        <w:rPr>
          <w:rFonts w:hint="eastAsia" w:ascii="宋体" w:hAnsi="宋体" w:cs="宋体"/>
          <w:sz w:val="24"/>
        </w:rPr>
        <w:t>该项目完成后，供应商向采购人申请验收，组织采购人相关人员和专家组成的验收小组对项目进行最终验收。验收依据为本合同文本、招投标文件和国内相应的标准、规范。验收合格后，采购人填写终验验收单。验收不合格的，限期整改，整改过程中产生的费用和货物发生的一切损失由供应商承担；整改超过二次的，采购人有权单方解除本合同，供应商应无条件退还已收取的全部合同价款，并按合同总价10%向采购人支付违约金，违约金不足弥补采购人损失的，由供应商负责赔偿。</w:t>
      </w:r>
    </w:p>
    <w:p w14:paraId="4EB8E477">
      <w:pPr>
        <w:spacing w:line="240" w:lineRule="auto"/>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、保密</w:t>
      </w:r>
    </w:p>
    <w:p w14:paraId="172F820B">
      <w:pPr>
        <w:tabs>
          <w:tab w:val="left" w:pos="1080"/>
        </w:tabs>
        <w:spacing w:line="240" w:lineRule="auto"/>
        <w:ind w:firstLine="360" w:firstLineChars="150"/>
        <w:rPr>
          <w:rFonts w:ascii="宋体" w:hAnsi="宋体" w:cs="宋体"/>
          <w:sz w:val="24"/>
        </w:rPr>
      </w:pPr>
      <w:r>
        <w:rPr>
          <w:rFonts w:hint="eastAsia" w:ascii="宋体" w:hAnsi="宋体" w:cs="宋体"/>
          <w:sz w:val="24"/>
        </w:rPr>
        <w:t>对工作中了解到的采购人的技术、机密等进行严格保密，不得向他人泄漏。本合同的解除或终止不免除供应商应承担的保密义务。</w:t>
      </w:r>
    </w:p>
    <w:p w14:paraId="41B43916">
      <w:pPr>
        <w:spacing w:line="240" w:lineRule="auto"/>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、知识产权</w:t>
      </w:r>
    </w:p>
    <w:p w14:paraId="3A01C43E">
      <w:pPr>
        <w:tabs>
          <w:tab w:val="left" w:pos="1080"/>
        </w:tabs>
        <w:spacing w:line="240" w:lineRule="auto"/>
        <w:ind w:firstLine="360" w:firstLineChars="150"/>
        <w:rPr>
          <w:rFonts w:ascii="宋体" w:hAnsi="宋体" w:cs="宋体"/>
          <w:sz w:val="24"/>
        </w:rPr>
      </w:pPr>
      <w:r>
        <w:rPr>
          <w:rFonts w:hint="eastAsia" w:ascii="宋体" w:hAnsi="宋体" w:cs="宋体"/>
          <w:sz w:val="24"/>
        </w:rPr>
        <w:t>供应商应对所供服务具有或已取得合法知识产权，供应商应保证所供服务不会出现因第三方提出侵犯其专利权、商标权或其他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16A4C399">
      <w:pPr>
        <w:spacing w:line="240" w:lineRule="auto"/>
        <w:rPr>
          <w:rFonts w:ascii="宋体" w:hAnsi="宋体" w:cs="宋体"/>
          <w:b/>
          <w:sz w:val="24"/>
        </w:rPr>
      </w:pPr>
      <w:r>
        <w:rPr>
          <w:rFonts w:hint="eastAsia" w:ascii="宋体" w:hAnsi="宋体" w:cs="宋体"/>
          <w:b/>
          <w:sz w:val="24"/>
        </w:rPr>
        <w:t>十、合同争议的解决</w:t>
      </w:r>
    </w:p>
    <w:p w14:paraId="037A64DD">
      <w:pPr>
        <w:tabs>
          <w:tab w:val="left" w:pos="1080"/>
        </w:tabs>
        <w:spacing w:line="240" w:lineRule="auto"/>
        <w:ind w:firstLine="360" w:firstLineChars="150"/>
        <w:rPr>
          <w:rFonts w:ascii="宋体" w:hAnsi="宋体" w:cs="宋体"/>
          <w:sz w:val="24"/>
        </w:rPr>
      </w:pPr>
      <w:r>
        <w:rPr>
          <w:rFonts w:hint="eastAsia" w:ascii="宋体" w:hAnsi="宋体" w:cs="宋体"/>
          <w:sz w:val="24"/>
        </w:rPr>
        <w:t>合同执行中发生争议的，当事人双方应协商解决。协商达不成一致时，可向当地行政仲裁机关申请仲裁或者向人民法院提请诉讼。</w:t>
      </w:r>
    </w:p>
    <w:p w14:paraId="7BC9B1AD">
      <w:pPr>
        <w:spacing w:line="240" w:lineRule="auto"/>
        <w:jc w:val="left"/>
        <w:rPr>
          <w:rFonts w:ascii="宋体" w:hAnsi="宋体" w:cs="宋体"/>
          <w:b/>
          <w:bCs/>
          <w:sz w:val="24"/>
        </w:rPr>
      </w:pPr>
      <w:r>
        <w:rPr>
          <w:rFonts w:hint="eastAsia" w:ascii="宋体" w:hAnsi="宋体" w:cs="宋体"/>
          <w:b/>
          <w:bCs/>
          <w:sz w:val="24"/>
        </w:rPr>
        <w:t>十</w:t>
      </w:r>
      <w:r>
        <w:rPr>
          <w:rFonts w:hint="eastAsia" w:ascii="宋体" w:hAnsi="宋体" w:cs="宋体"/>
          <w:b/>
          <w:bCs/>
          <w:sz w:val="24"/>
          <w:lang w:val="en-US" w:eastAsia="zh-CN"/>
        </w:rPr>
        <w:t>一</w:t>
      </w:r>
      <w:r>
        <w:rPr>
          <w:rFonts w:hint="eastAsia" w:ascii="宋体" w:hAnsi="宋体" w:cs="宋体"/>
          <w:b/>
          <w:bCs/>
          <w:sz w:val="24"/>
        </w:rPr>
        <w:t>、不可抗力情况下的免责约定</w:t>
      </w:r>
    </w:p>
    <w:p w14:paraId="27EA3F66">
      <w:pPr>
        <w:tabs>
          <w:tab w:val="left" w:pos="1080"/>
        </w:tabs>
        <w:spacing w:line="240" w:lineRule="auto"/>
        <w:ind w:firstLine="360" w:firstLineChars="150"/>
        <w:rPr>
          <w:rFonts w:ascii="宋体" w:hAnsi="宋体" w:cs="宋体"/>
          <w:sz w:val="24"/>
        </w:rPr>
      </w:pPr>
      <w:r>
        <w:rPr>
          <w:rFonts w:hint="eastAsia" w:ascii="宋体" w:hAnsi="宋体" w:cs="宋体"/>
          <w:sz w:val="24"/>
        </w:rPr>
        <w:t>双方约定不可抗力情况指：双方不可预见、不可避免、不可克服的客观情况，但不包括双方的违约或疏忽。这些事件包括但不限于：战争、严重火灾、洪水、台风、地震等。</w:t>
      </w:r>
    </w:p>
    <w:p w14:paraId="0A19AA10">
      <w:pPr>
        <w:spacing w:line="240" w:lineRule="auto"/>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、违约责任</w:t>
      </w:r>
    </w:p>
    <w:p w14:paraId="1C7E4CEE">
      <w:pPr>
        <w:spacing w:line="240" w:lineRule="auto"/>
        <w:ind w:firstLine="480" w:firstLineChars="200"/>
        <w:rPr>
          <w:rFonts w:ascii="宋体" w:hAnsi="宋体" w:cs="宋体"/>
          <w:sz w:val="24"/>
        </w:rPr>
      </w:pPr>
      <w:r>
        <w:rPr>
          <w:rFonts w:hint="eastAsia" w:ascii="宋体" w:hAnsi="宋体" w:cs="宋体"/>
          <w:sz w:val="24"/>
        </w:rPr>
        <w:t>乙方未全面履行合同义务或者发生违约，甲方有权随时终止合同；因乙方原因，导致出现责任事故或其他事故，甲方有权按规定程序和有关信用评价办法，</w:t>
      </w:r>
      <w:r>
        <w:rPr>
          <w:rFonts w:hint="eastAsia" w:ascii="宋体" w:hAnsi="宋体" w:cs="宋体"/>
          <w:sz w:val="24"/>
          <w:lang w:val="en-US" w:eastAsia="zh-CN"/>
        </w:rPr>
        <w:t>下调</w:t>
      </w:r>
      <w:r>
        <w:rPr>
          <w:rFonts w:hint="eastAsia" w:ascii="宋体" w:hAnsi="宋体" w:cs="宋体"/>
          <w:sz w:val="24"/>
        </w:rPr>
        <w:t>乙方信用等级；同时甲方保留要求乙方退还合同价款、赔偿损失的权利，并按照相关法规追究乙方责任。</w:t>
      </w:r>
    </w:p>
    <w:p w14:paraId="1613A6BD">
      <w:pPr>
        <w:spacing w:line="240" w:lineRule="auto"/>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三</w:t>
      </w:r>
      <w:r>
        <w:rPr>
          <w:rFonts w:hint="eastAsia" w:ascii="宋体" w:hAnsi="宋体" w:cs="宋体"/>
          <w:b/>
          <w:sz w:val="24"/>
        </w:rPr>
        <w:t>、其他</w:t>
      </w:r>
    </w:p>
    <w:p w14:paraId="216F2496">
      <w:pPr>
        <w:tabs>
          <w:tab w:val="left" w:pos="980"/>
        </w:tabs>
        <w:kinsoku w:val="0"/>
        <w:spacing w:line="240" w:lineRule="auto"/>
        <w:ind w:firstLine="480" w:firstLineChars="200"/>
        <w:rPr>
          <w:rFonts w:ascii="宋体" w:hAnsi="宋体" w:cs="宋体"/>
          <w:sz w:val="24"/>
        </w:rPr>
      </w:pPr>
      <w:r>
        <w:rPr>
          <w:rFonts w:hint="eastAsia" w:ascii="宋体" w:hAnsi="宋体" w:cs="宋体"/>
          <w:sz w:val="24"/>
        </w:rPr>
        <w:t xml:space="preserve"> 本合同一式</w:t>
      </w:r>
      <w:r>
        <w:rPr>
          <w:rFonts w:hint="eastAsia" w:ascii="宋体" w:hAnsi="宋体" w:cs="宋体"/>
          <w:sz w:val="24"/>
          <w:u w:val="single"/>
        </w:rPr>
        <w:t xml:space="preserve"> 八 </w:t>
      </w:r>
      <w:r>
        <w:rPr>
          <w:rFonts w:hint="eastAsia" w:ascii="宋体" w:hAnsi="宋体" w:cs="宋体"/>
          <w:sz w:val="24"/>
        </w:rPr>
        <w:t>份，具有同等法律效力，双方各执</w:t>
      </w:r>
      <w:r>
        <w:rPr>
          <w:rFonts w:hint="eastAsia" w:ascii="宋体" w:hAnsi="宋体" w:cs="宋体"/>
          <w:sz w:val="24"/>
          <w:u w:val="single"/>
        </w:rPr>
        <w:t>四</w:t>
      </w:r>
      <w:r>
        <w:rPr>
          <w:rFonts w:hint="eastAsia" w:ascii="宋体" w:hAnsi="宋体" w:cs="宋体"/>
          <w:sz w:val="24"/>
        </w:rPr>
        <w:t>份，双方签字盖章后生效。未尽事宜，双方协商解决。</w:t>
      </w:r>
    </w:p>
    <w:p w14:paraId="6B289593">
      <w:pPr>
        <w:adjustRightInd w:val="0"/>
        <w:snapToGrid w:val="0"/>
        <w:spacing w:line="240" w:lineRule="auto"/>
        <w:ind w:firstLine="475" w:firstLineChars="198"/>
        <w:rPr>
          <w:rFonts w:ascii="宋体" w:hAnsi="宋体" w:cs="宋体"/>
          <w:sz w:val="24"/>
        </w:rPr>
      </w:pPr>
    </w:p>
    <w:p w14:paraId="6DE22BAA">
      <w:pPr>
        <w:adjustRightInd w:val="0"/>
        <w:snapToGrid w:val="0"/>
        <w:spacing w:line="240" w:lineRule="auto"/>
        <w:ind w:firstLine="475" w:firstLineChars="198"/>
        <w:rPr>
          <w:rFonts w:ascii="宋体" w:hAnsi="宋体" w:cs="宋体"/>
          <w:sz w:val="24"/>
        </w:rPr>
      </w:pPr>
    </w:p>
    <w:p w14:paraId="127C2053">
      <w:pPr>
        <w:adjustRightInd w:val="0"/>
        <w:snapToGrid w:val="0"/>
        <w:spacing w:line="240" w:lineRule="auto"/>
        <w:ind w:firstLine="475" w:firstLineChars="198"/>
        <w:rPr>
          <w:rFonts w:ascii="宋体" w:hAnsi="宋体" w:cs="宋体"/>
          <w:sz w:val="24"/>
        </w:rPr>
      </w:pPr>
    </w:p>
    <w:p w14:paraId="434E5338">
      <w:pPr>
        <w:adjustRightInd w:val="0"/>
        <w:snapToGrid w:val="0"/>
        <w:spacing w:line="240" w:lineRule="auto"/>
        <w:ind w:firstLine="475" w:firstLineChars="198"/>
        <w:rPr>
          <w:rFonts w:ascii="宋体" w:hAnsi="宋体" w:cs="宋体"/>
          <w:sz w:val="24"/>
        </w:rPr>
      </w:pPr>
    </w:p>
    <w:p w14:paraId="7F85F226">
      <w:pPr>
        <w:adjustRightInd w:val="0"/>
        <w:snapToGrid w:val="0"/>
        <w:spacing w:line="240" w:lineRule="auto"/>
        <w:ind w:firstLine="475" w:firstLineChars="198"/>
        <w:rPr>
          <w:rFonts w:ascii="宋体" w:hAnsi="宋体" w:cs="宋体"/>
          <w:sz w:val="24"/>
        </w:rPr>
      </w:pPr>
    </w:p>
    <w:p w14:paraId="6F42A4B3">
      <w:pPr>
        <w:adjustRightInd w:val="0"/>
        <w:snapToGrid w:val="0"/>
        <w:spacing w:line="240" w:lineRule="auto"/>
        <w:ind w:firstLine="475" w:firstLineChars="198"/>
        <w:rPr>
          <w:rFonts w:ascii="宋体" w:hAnsi="宋体" w:cs="宋体"/>
          <w:sz w:val="24"/>
        </w:rPr>
      </w:pPr>
    </w:p>
    <w:p w14:paraId="72FD52A4">
      <w:pPr>
        <w:adjustRightInd w:val="0"/>
        <w:snapToGrid w:val="0"/>
        <w:spacing w:line="240" w:lineRule="auto"/>
        <w:ind w:firstLine="475" w:firstLineChars="198"/>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14:paraId="30D0443C">
      <w:pPr>
        <w:adjustRightInd w:val="0"/>
        <w:snapToGrid w:val="0"/>
        <w:spacing w:line="240" w:lineRule="auto"/>
        <w:ind w:firstLine="475" w:firstLineChars="198"/>
        <w:rPr>
          <w:rFonts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14:paraId="6D89390A">
      <w:pPr>
        <w:adjustRightInd w:val="0"/>
        <w:snapToGrid w:val="0"/>
        <w:spacing w:line="240" w:lineRule="auto"/>
        <w:ind w:firstLine="475" w:firstLineChars="198"/>
        <w:rPr>
          <w:rFonts w:ascii="宋体" w:hAnsi="宋体" w:cs="宋体"/>
          <w:sz w:val="24"/>
        </w:rPr>
      </w:pPr>
      <w:r>
        <w:rPr>
          <w:rFonts w:hint="eastAsia" w:ascii="宋体" w:hAnsi="宋体" w:cs="宋体"/>
          <w:sz w:val="24"/>
        </w:rPr>
        <w:t xml:space="preserve">法定代表人或其授权                   法定代表人或其授权 </w:t>
      </w:r>
    </w:p>
    <w:p w14:paraId="7C055B54">
      <w:pPr>
        <w:adjustRightInd w:val="0"/>
        <w:snapToGrid w:val="0"/>
        <w:spacing w:line="240" w:lineRule="auto"/>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14:paraId="6EFEFE84">
      <w:pPr>
        <w:spacing w:line="240" w:lineRule="auto"/>
        <w:ind w:firstLine="480" w:firstLineChars="200"/>
        <w:rPr>
          <w:rFonts w:ascii="宋体" w:hAnsi="宋体" w:cs="宋体"/>
          <w:b/>
          <w:bCs/>
          <w:sz w:val="24"/>
        </w:rPr>
        <w:sectPr>
          <w:footerReference r:id="rId4" w:type="first"/>
          <w:footerReference r:id="rId3" w:type="default"/>
          <w:pgSz w:w="11906" w:h="16838"/>
          <w:pgMar w:top="1440" w:right="1440" w:bottom="1440" w:left="1440" w:header="850" w:footer="992" w:gutter="0"/>
          <w:pgNumType w:fmt="numberInDash"/>
          <w:cols w:space="0" w:num="1"/>
          <w:titlePg/>
          <w:docGrid w:type="lines" w:linePitch="317" w:charSpace="0"/>
        </w:sectPr>
      </w:pPr>
      <w:r>
        <w:rPr>
          <w:rFonts w:hint="eastAsia" w:ascii="宋体" w:hAnsi="宋体" w:cs="宋体"/>
          <w:sz w:val="24"/>
        </w:rPr>
        <w:t>订立时间：</w:t>
      </w:r>
      <w:r>
        <w:rPr>
          <w:rFonts w:hint="eastAsia" w:ascii="宋体" w:hAnsi="宋体" w:cs="宋体"/>
          <w:sz w:val="24"/>
          <w:u w:val="single"/>
        </w:rPr>
        <w:t xml:space="preserve">                 </w:t>
      </w:r>
      <w:r>
        <w:rPr>
          <w:rFonts w:hint="eastAsia" w:ascii="宋体" w:hAnsi="宋体" w:cs="宋体"/>
          <w:sz w:val="24"/>
        </w:rPr>
        <w:t xml:space="preserve">          订立时间：</w:t>
      </w:r>
      <w:r>
        <w:rPr>
          <w:rFonts w:hint="eastAsia" w:ascii="宋体" w:hAnsi="宋体" w:cs="宋体"/>
          <w:sz w:val="24"/>
          <w:u w:val="single"/>
        </w:rPr>
        <w:t xml:space="preserve">               </w:t>
      </w:r>
    </w:p>
    <w:p w14:paraId="4F42C671">
      <w:pPr>
        <w:pStyle w:val="10"/>
        <w:tabs>
          <w:tab w:val="right" w:leader="dot" w:pos="9072"/>
          <w:tab w:val="clear" w:pos="8760"/>
        </w:tabs>
        <w:jc w:val="center"/>
        <w:rPr>
          <w:rFonts w:hint="eastAsia"/>
          <w:sz w:val="44"/>
          <w:szCs w:val="44"/>
          <w:shd w:val="clear" w:color="auto" w:fill="auto"/>
          <w:lang w:eastAsia="zh-CN"/>
        </w:rPr>
      </w:pPr>
      <w:r>
        <w:rPr>
          <w:rFonts w:hint="eastAsia"/>
          <w:sz w:val="44"/>
          <w:szCs w:val="44"/>
          <w:shd w:val="clear" w:color="auto" w:fill="auto"/>
          <w:lang w:eastAsia="zh-CN"/>
        </w:rPr>
        <w:fldChar w:fldCharType="begin"/>
      </w:r>
      <w:r>
        <w:rPr>
          <w:rFonts w:hint="eastAsia"/>
          <w:sz w:val="44"/>
          <w:szCs w:val="44"/>
          <w:shd w:val="clear" w:color="auto" w:fill="auto"/>
          <w:lang w:eastAsia="zh-CN"/>
        </w:rPr>
        <w:instrText xml:space="preserve"> HYPERLINK \l _Toc6424 </w:instrText>
      </w:r>
      <w:r>
        <w:rPr>
          <w:rFonts w:hint="eastAsia"/>
          <w:sz w:val="44"/>
          <w:szCs w:val="44"/>
          <w:shd w:val="clear" w:color="auto" w:fill="auto"/>
          <w:lang w:eastAsia="zh-CN"/>
        </w:rPr>
        <w:fldChar w:fldCharType="separate"/>
      </w:r>
      <w:r>
        <w:rPr>
          <w:rFonts w:hint="eastAsia"/>
          <w:sz w:val="44"/>
          <w:szCs w:val="44"/>
          <w:shd w:val="clear" w:color="auto" w:fill="auto"/>
          <w:lang w:val="zh-CN" w:eastAsia="zh-CN"/>
        </w:rPr>
        <w:t>第</w:t>
      </w:r>
      <w:r>
        <w:rPr>
          <w:rFonts w:hint="eastAsia"/>
          <w:sz w:val="44"/>
          <w:szCs w:val="44"/>
          <w:shd w:val="clear" w:color="auto" w:fill="auto"/>
          <w:lang w:val="en-US" w:eastAsia="zh-CN"/>
        </w:rPr>
        <w:t>六</w:t>
      </w:r>
      <w:r>
        <w:rPr>
          <w:rFonts w:hint="eastAsia"/>
          <w:sz w:val="44"/>
          <w:szCs w:val="44"/>
          <w:shd w:val="clear" w:color="auto" w:fill="auto"/>
          <w:lang w:val="zh-CN" w:eastAsia="zh-CN"/>
        </w:rPr>
        <w:t>部分</w:t>
      </w:r>
      <w:r>
        <w:rPr>
          <w:rFonts w:hint="eastAsia"/>
          <w:sz w:val="44"/>
          <w:szCs w:val="44"/>
          <w:shd w:val="clear" w:color="auto" w:fill="auto"/>
          <w:lang w:val="en-US" w:eastAsia="zh-CN"/>
        </w:rPr>
        <w:t xml:space="preserve"> </w:t>
      </w:r>
      <w:r>
        <w:rPr>
          <w:rFonts w:hint="eastAsia"/>
          <w:sz w:val="44"/>
          <w:szCs w:val="44"/>
          <w:shd w:val="clear" w:color="auto" w:fill="auto"/>
          <w:lang w:val="zh-CN" w:eastAsia="zh-CN"/>
        </w:rPr>
        <w:t>竞争性磋商响应文件格式</w:t>
      </w:r>
      <w:r>
        <w:rPr>
          <w:rFonts w:hint="eastAsia"/>
          <w:sz w:val="44"/>
          <w:szCs w:val="44"/>
          <w:shd w:val="clear" w:color="auto" w:fill="auto"/>
          <w:lang w:eastAsia="zh-CN"/>
        </w:rPr>
        <w:fldChar w:fldCharType="end"/>
      </w:r>
    </w:p>
    <w:p w14:paraId="7495F91F">
      <w:pPr>
        <w:jc w:val="center"/>
        <w:rPr>
          <w:rFonts w:hint="eastAsia" w:asciiTheme="minorEastAsia" w:hAnsiTheme="minorEastAsia" w:eastAsiaTheme="minorEastAsia" w:cstheme="minorEastAsia"/>
          <w:sz w:val="44"/>
          <w:szCs w:val="44"/>
        </w:rPr>
      </w:pPr>
    </w:p>
    <w:p w14:paraId="1A63A66B">
      <w:pPr>
        <w:rPr>
          <w:rFonts w:hint="eastAsia" w:asciiTheme="minorEastAsia" w:hAnsiTheme="minorEastAsia" w:eastAsiaTheme="minorEastAsia" w:cstheme="minorEastAsia"/>
          <w:sz w:val="32"/>
          <w:szCs w:val="32"/>
          <w:lang w:val="en-US" w:eastAsia="zh-CN"/>
        </w:rPr>
      </w:pPr>
    </w:p>
    <w:p w14:paraId="16EFC607">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项目编号：</w:t>
      </w:r>
      <w:r>
        <w:rPr>
          <w:rFonts w:hint="eastAsia" w:asciiTheme="minorEastAsia" w:hAnsiTheme="minorEastAsia" w:eastAsiaTheme="minorEastAsia" w:cstheme="minorEastAsia"/>
          <w:sz w:val="32"/>
          <w:szCs w:val="32"/>
          <w:lang w:val="en-US" w:eastAsia="zh-CN"/>
        </w:rPr>
        <w:t>LXZFCGZX-2025290101</w:t>
      </w:r>
    </w:p>
    <w:p w14:paraId="06062147">
      <w:pPr>
        <w:spacing w:line="360" w:lineRule="auto"/>
        <w:ind w:right="420"/>
        <w:jc w:val="right"/>
        <w:rPr>
          <w:rFonts w:ascii="宋体" w:hAnsi="宋体" w:cs="宋体"/>
          <w:b/>
          <w:sz w:val="28"/>
          <w:szCs w:val="28"/>
        </w:rPr>
      </w:pPr>
    </w:p>
    <w:p w14:paraId="2EBD00B9">
      <w:pPr>
        <w:spacing w:line="360" w:lineRule="auto"/>
        <w:ind w:right="420"/>
        <w:jc w:val="left"/>
        <w:rPr>
          <w:rFonts w:ascii="宋体" w:hAnsi="宋体" w:cs="宋体"/>
          <w:b/>
          <w:sz w:val="28"/>
          <w:szCs w:val="28"/>
        </w:rPr>
      </w:pPr>
    </w:p>
    <w:p w14:paraId="59ABE90D">
      <w:pPr>
        <w:adjustRightInd w:val="0"/>
        <w:snapToGrid w:val="0"/>
        <w:spacing w:line="36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陇县电子政务网络链路、互联网出口链路</w:t>
      </w:r>
    </w:p>
    <w:p w14:paraId="440F3F56">
      <w:pPr>
        <w:adjustRightInd w:val="0"/>
        <w:snapToGrid w:val="0"/>
        <w:spacing w:line="36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租赁及运维服务项目</w:t>
      </w:r>
    </w:p>
    <w:p w14:paraId="2A34EA01">
      <w:pPr>
        <w:adjustRightInd w:val="0"/>
        <w:snapToGrid w:val="0"/>
        <w:spacing w:line="360" w:lineRule="auto"/>
        <w:jc w:val="center"/>
        <w:rPr>
          <w:rFonts w:ascii="宋体" w:hAnsi="宋体" w:cs="宋体"/>
          <w:b/>
          <w:sz w:val="52"/>
          <w:szCs w:val="52"/>
        </w:rPr>
      </w:pPr>
      <w:r>
        <w:rPr>
          <w:rFonts w:hint="eastAsia" w:ascii="宋体" w:hAnsi="宋体" w:cs="宋体"/>
          <w:b/>
          <w:sz w:val="52"/>
          <w:szCs w:val="52"/>
        </w:rPr>
        <w:t>竞争性磋商响应文件</w:t>
      </w:r>
    </w:p>
    <w:p w14:paraId="031DD477">
      <w:pPr>
        <w:adjustRightInd w:val="0"/>
        <w:snapToGrid w:val="0"/>
        <w:spacing w:line="360" w:lineRule="auto"/>
        <w:jc w:val="center"/>
        <w:rPr>
          <w:rFonts w:ascii="宋体" w:hAnsi="宋体" w:cs="宋体"/>
          <w:b/>
          <w:sz w:val="32"/>
          <w:szCs w:val="32"/>
        </w:rPr>
      </w:pPr>
    </w:p>
    <w:p w14:paraId="535F8F9F">
      <w:pPr>
        <w:pStyle w:val="3"/>
        <w:rPr>
          <w:rFonts w:ascii="宋体" w:hAnsi="宋体" w:cs="宋体"/>
        </w:rPr>
      </w:pPr>
    </w:p>
    <w:p w14:paraId="022982A1">
      <w:pPr>
        <w:rPr>
          <w:rFonts w:ascii="宋体" w:hAnsi="宋体" w:cs="宋体"/>
        </w:rPr>
      </w:pPr>
    </w:p>
    <w:p w14:paraId="58510551">
      <w:pPr>
        <w:adjustRightInd w:val="0"/>
        <w:snapToGrid w:val="0"/>
        <w:spacing w:line="360" w:lineRule="auto"/>
        <w:rPr>
          <w:rFonts w:ascii="宋体" w:hAnsi="宋体" w:cs="宋体"/>
          <w:b/>
          <w:sz w:val="30"/>
        </w:rPr>
      </w:pPr>
    </w:p>
    <w:p w14:paraId="090F44D8">
      <w:pPr>
        <w:ind w:left="0" w:leftChars="0" w:firstLine="840" w:firstLineChars="279"/>
        <w:rPr>
          <w:rFonts w:ascii="宋体" w:hAnsi="宋体" w:cs="宋体"/>
          <w:b/>
          <w:sz w:val="30"/>
          <w:szCs w:val="30"/>
        </w:rPr>
      </w:pPr>
      <w:r>
        <w:rPr>
          <w:rFonts w:hint="eastAsia" w:ascii="宋体" w:hAnsi="宋体" w:cs="宋体"/>
          <w:b/>
          <w:sz w:val="30"/>
          <w:szCs w:val="30"/>
        </w:rPr>
        <w:t>供应商名称：</w:t>
      </w:r>
      <w:r>
        <w:rPr>
          <w:rFonts w:hint="eastAsia" w:ascii="宋体" w:hAnsi="宋体" w:cs="宋体"/>
          <w:b/>
          <w:sz w:val="30"/>
          <w:szCs w:val="30"/>
          <w:u w:val="single"/>
        </w:rPr>
        <w:t xml:space="preserve">                   </w:t>
      </w:r>
      <w:r>
        <w:rPr>
          <w:rFonts w:hint="eastAsia" w:ascii="宋体" w:hAnsi="宋体" w:cs="宋体"/>
          <w:b/>
          <w:sz w:val="30"/>
          <w:szCs w:val="30"/>
        </w:rPr>
        <w:t>（公章）</w:t>
      </w:r>
    </w:p>
    <w:p w14:paraId="45154EAD">
      <w:pPr>
        <w:spacing w:line="240" w:lineRule="auto"/>
        <w:ind w:left="0" w:leftChars="0" w:firstLine="840" w:firstLineChars="279"/>
        <w:rPr>
          <w:rFonts w:hint="eastAsia" w:ascii="宋体" w:hAnsi="宋体" w:cs="宋体"/>
          <w:b/>
          <w:sz w:val="30"/>
          <w:szCs w:val="30"/>
        </w:rPr>
      </w:pPr>
    </w:p>
    <w:p w14:paraId="5383958F">
      <w:pPr>
        <w:spacing w:line="240" w:lineRule="auto"/>
        <w:ind w:left="0" w:leftChars="0" w:firstLine="840" w:firstLineChars="279"/>
        <w:rPr>
          <w:rFonts w:ascii="宋体" w:hAnsi="宋体" w:cs="宋体"/>
          <w:b/>
          <w:sz w:val="30"/>
          <w:szCs w:val="30"/>
        </w:rPr>
      </w:pPr>
      <w:r>
        <w:rPr>
          <w:rFonts w:hint="eastAsia" w:ascii="宋体" w:hAnsi="宋体" w:cs="宋体"/>
          <w:b/>
          <w:sz w:val="30"/>
          <w:szCs w:val="30"/>
        </w:rPr>
        <w:t>法定代表人或授权代表：</w:t>
      </w:r>
      <w:r>
        <w:rPr>
          <w:rFonts w:hint="eastAsia" w:ascii="宋体" w:hAnsi="宋体" w:cs="宋体"/>
          <w:b/>
          <w:sz w:val="30"/>
          <w:szCs w:val="30"/>
          <w:u w:val="single"/>
        </w:rPr>
        <w:t xml:space="preserve">         </w:t>
      </w:r>
      <w:r>
        <w:rPr>
          <w:rFonts w:hint="eastAsia" w:ascii="宋体" w:hAnsi="宋体" w:cs="宋体"/>
          <w:b/>
          <w:sz w:val="30"/>
          <w:szCs w:val="30"/>
        </w:rPr>
        <w:t>（签字或盖章）</w:t>
      </w:r>
    </w:p>
    <w:p w14:paraId="2B54189E">
      <w:pPr>
        <w:ind w:left="0" w:leftChars="0" w:firstLine="840" w:firstLineChars="279"/>
        <w:rPr>
          <w:rFonts w:hint="eastAsia" w:ascii="宋体" w:hAnsi="宋体" w:cs="宋体"/>
          <w:b/>
          <w:sz w:val="30"/>
          <w:szCs w:val="30"/>
        </w:rPr>
      </w:pPr>
    </w:p>
    <w:p w14:paraId="6CD31CE3">
      <w:pPr>
        <w:ind w:left="0" w:leftChars="0" w:firstLine="840" w:firstLineChars="279"/>
        <w:rPr>
          <w:rFonts w:ascii="宋体" w:hAnsi="宋体" w:cs="宋体"/>
          <w:b/>
          <w:sz w:val="30"/>
          <w:szCs w:val="30"/>
        </w:rPr>
      </w:pPr>
      <w:r>
        <w:rPr>
          <w:rFonts w:hint="eastAsia" w:ascii="宋体" w:hAnsi="宋体" w:cs="宋体"/>
          <w:b/>
          <w:sz w:val="30"/>
          <w:szCs w:val="30"/>
        </w:rPr>
        <w:t>日期：</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 xml:space="preserve">  </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 xml:space="preserve"> </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 xml:space="preserve">  </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 xml:space="preserve">  </w:t>
      </w:r>
      <w:r>
        <w:rPr>
          <w:rFonts w:hint="eastAsia" w:ascii="宋体" w:hAnsi="宋体" w:cs="宋体"/>
          <w:b/>
          <w:sz w:val="30"/>
          <w:szCs w:val="30"/>
          <w:u w:val="single"/>
        </w:rPr>
        <w:t xml:space="preserve"> </w:t>
      </w:r>
      <w:r>
        <w:rPr>
          <w:rFonts w:hint="eastAsia" w:ascii="宋体" w:hAnsi="宋体" w:cs="宋体"/>
          <w:b/>
          <w:sz w:val="30"/>
          <w:szCs w:val="30"/>
        </w:rPr>
        <w:t>日</w:t>
      </w:r>
    </w:p>
    <w:p w14:paraId="49E84FF0">
      <w:pPr>
        <w:overflowPunct w:val="0"/>
        <w:spacing w:line="360" w:lineRule="auto"/>
        <w:jc w:val="center"/>
        <w:rPr>
          <w:rFonts w:hint="eastAsia"/>
          <w:sz w:val="44"/>
          <w:szCs w:val="44"/>
          <w:shd w:val="clear" w:color="auto" w:fill="auto"/>
          <w:lang w:eastAsia="zh-CN"/>
        </w:rPr>
      </w:pPr>
      <w:r>
        <w:rPr>
          <w:rFonts w:hint="eastAsia"/>
          <w:sz w:val="44"/>
          <w:szCs w:val="44"/>
          <w:shd w:val="clear" w:color="auto" w:fill="auto"/>
          <w:lang w:eastAsia="zh-CN"/>
        </w:rPr>
        <w:br w:type="page"/>
      </w:r>
    </w:p>
    <w:p w14:paraId="1A167537">
      <w:pPr>
        <w:overflowPunct w:val="0"/>
        <w:spacing w:line="360" w:lineRule="auto"/>
        <w:jc w:val="center"/>
        <w:rPr>
          <w:rFonts w:hint="eastAsia"/>
          <w:sz w:val="44"/>
          <w:szCs w:val="44"/>
          <w:shd w:val="clear" w:color="auto" w:fill="auto"/>
          <w:lang w:eastAsia="zh-CN"/>
        </w:rPr>
      </w:pPr>
    </w:p>
    <w:p w14:paraId="5D19CC30">
      <w:pPr>
        <w:overflowPunct w:val="0"/>
        <w:spacing w:line="360" w:lineRule="auto"/>
        <w:jc w:val="center"/>
        <w:rPr>
          <w:rFonts w:ascii="宋体" w:hAnsi="宋体" w:cs="宋体"/>
          <w:b/>
          <w:sz w:val="44"/>
          <w:szCs w:val="44"/>
        </w:rPr>
      </w:pPr>
      <w:r>
        <w:rPr>
          <w:rFonts w:hint="eastAsia" w:ascii="宋体" w:hAnsi="宋体" w:cs="宋体"/>
          <w:b/>
          <w:sz w:val="44"/>
          <w:szCs w:val="44"/>
        </w:rPr>
        <w:t>目      录</w:t>
      </w:r>
    </w:p>
    <w:p w14:paraId="7632CC27">
      <w:pPr>
        <w:overflowPunct w:val="0"/>
        <w:spacing w:line="360" w:lineRule="auto"/>
        <w:jc w:val="center"/>
        <w:rPr>
          <w:rFonts w:ascii="宋体" w:hAnsi="宋体" w:cs="宋体"/>
          <w:bCs/>
          <w:sz w:val="30"/>
          <w:szCs w:val="30"/>
        </w:rPr>
      </w:pPr>
    </w:p>
    <w:p w14:paraId="63904C40">
      <w:pPr>
        <w:spacing w:line="500" w:lineRule="exact"/>
        <w:ind w:firstLine="420"/>
        <w:rPr>
          <w:rFonts w:ascii="宋体" w:hAnsi="宋体" w:cs="宋体"/>
          <w:sz w:val="24"/>
        </w:rPr>
      </w:pPr>
      <w:r>
        <w:rPr>
          <w:rFonts w:hint="eastAsia" w:ascii="宋体" w:hAnsi="宋体" w:cs="宋体"/>
          <w:sz w:val="24"/>
          <w:lang w:val="en-US" w:eastAsia="zh-CN"/>
        </w:rPr>
        <w:t>1、企业法人营业执照</w:t>
      </w:r>
      <w:r>
        <w:rPr>
          <w:rFonts w:hint="eastAsia" w:ascii="宋体" w:hAnsi="宋体" w:cs="宋体"/>
          <w:sz w:val="24"/>
        </w:rPr>
        <w:t>……………………………………………………（页码）</w:t>
      </w:r>
    </w:p>
    <w:p w14:paraId="0D597C69">
      <w:pPr>
        <w:spacing w:line="500" w:lineRule="exact"/>
        <w:ind w:firstLine="420"/>
        <w:rPr>
          <w:rFonts w:ascii="宋体" w:hAnsi="宋体" w:cs="宋体"/>
          <w:sz w:val="24"/>
        </w:rPr>
      </w:pPr>
      <w:r>
        <w:rPr>
          <w:rFonts w:hint="eastAsia" w:ascii="宋体" w:hAnsi="宋体" w:cs="宋体"/>
          <w:sz w:val="24"/>
          <w:lang w:val="en-US" w:eastAsia="zh-CN"/>
        </w:rPr>
        <w:t>2、法定代表人授权书</w:t>
      </w:r>
      <w:r>
        <w:rPr>
          <w:rFonts w:hint="eastAsia" w:ascii="宋体" w:hAnsi="宋体" w:cs="宋体"/>
          <w:sz w:val="24"/>
        </w:rPr>
        <w:t>……………………………………………………（页码）</w:t>
      </w:r>
    </w:p>
    <w:p w14:paraId="0FB6D784">
      <w:pPr>
        <w:spacing w:line="500" w:lineRule="exact"/>
        <w:ind w:firstLine="420"/>
        <w:rPr>
          <w:rFonts w:ascii="宋体" w:hAnsi="宋体" w:cs="宋体"/>
          <w:sz w:val="24"/>
        </w:rPr>
      </w:pPr>
      <w:r>
        <w:rPr>
          <w:rFonts w:hint="eastAsia" w:ascii="宋体" w:hAnsi="宋体" w:cs="宋体"/>
          <w:sz w:val="24"/>
          <w:lang w:val="en-US" w:eastAsia="zh-CN"/>
        </w:rPr>
        <w:t>3、</w:t>
      </w:r>
      <w:r>
        <w:rPr>
          <w:rFonts w:hint="eastAsia"/>
          <w:sz w:val="24"/>
          <w:szCs w:val="24"/>
          <w:lang w:eastAsia="zh-CN"/>
        </w:rPr>
        <w:t>财务</w:t>
      </w:r>
      <w:r>
        <w:rPr>
          <w:rFonts w:hint="eastAsia"/>
          <w:sz w:val="24"/>
          <w:szCs w:val="24"/>
          <w:lang w:val="en-US" w:eastAsia="zh-CN"/>
        </w:rPr>
        <w:t>状况</w:t>
      </w:r>
      <w:r>
        <w:rPr>
          <w:rFonts w:hint="eastAsia" w:ascii="宋体" w:hAnsi="宋体" w:cs="宋体"/>
          <w:sz w:val="24"/>
        </w:rPr>
        <w:t>………………………………………………………………（页码）</w:t>
      </w:r>
    </w:p>
    <w:p w14:paraId="1A450906">
      <w:pPr>
        <w:spacing w:line="500" w:lineRule="exact"/>
        <w:ind w:firstLine="420"/>
        <w:rPr>
          <w:rFonts w:ascii="宋体" w:hAnsi="宋体" w:cs="宋体"/>
          <w:sz w:val="24"/>
        </w:rPr>
      </w:pPr>
      <w:r>
        <w:rPr>
          <w:rFonts w:hint="eastAsia" w:ascii="宋体" w:hAnsi="宋体" w:cs="宋体"/>
          <w:sz w:val="24"/>
          <w:lang w:val="en-US" w:eastAsia="zh-CN"/>
        </w:rPr>
        <w:t>4、</w:t>
      </w:r>
      <w:r>
        <w:rPr>
          <w:rFonts w:hint="eastAsia"/>
          <w:sz w:val="24"/>
          <w:szCs w:val="24"/>
          <w:lang w:eastAsia="zh-CN"/>
        </w:rPr>
        <w:t>社保缴纳证明</w:t>
      </w:r>
      <w:r>
        <w:rPr>
          <w:rFonts w:hint="eastAsia" w:ascii="宋体" w:hAnsi="宋体" w:cs="宋体"/>
          <w:sz w:val="24"/>
        </w:rPr>
        <w:t>…………………………………………………………（页码）</w:t>
      </w:r>
    </w:p>
    <w:p w14:paraId="497EB79B">
      <w:pPr>
        <w:spacing w:line="500" w:lineRule="exact"/>
        <w:ind w:firstLine="420"/>
        <w:rPr>
          <w:rFonts w:ascii="宋体" w:hAnsi="宋体" w:cs="宋体"/>
          <w:sz w:val="24"/>
        </w:rPr>
      </w:pPr>
      <w:r>
        <w:rPr>
          <w:rFonts w:hint="eastAsia" w:ascii="宋体" w:hAnsi="宋体" w:cs="宋体"/>
          <w:sz w:val="24"/>
          <w:lang w:val="en-US" w:eastAsia="zh-CN"/>
        </w:rPr>
        <w:t>5、</w:t>
      </w:r>
      <w:r>
        <w:rPr>
          <w:rFonts w:hint="eastAsia"/>
          <w:sz w:val="24"/>
          <w:szCs w:val="24"/>
          <w:lang w:eastAsia="zh-CN"/>
        </w:rPr>
        <w:t>税收缴纳证明</w:t>
      </w:r>
      <w:r>
        <w:rPr>
          <w:rFonts w:hint="eastAsia" w:ascii="宋体" w:hAnsi="宋体" w:cs="宋体"/>
          <w:sz w:val="24"/>
        </w:rPr>
        <w:t>…………………………………………………………（页码）</w:t>
      </w:r>
    </w:p>
    <w:p w14:paraId="7BE19705">
      <w:pPr>
        <w:spacing w:line="500" w:lineRule="exact"/>
        <w:ind w:firstLine="420"/>
        <w:rPr>
          <w:rFonts w:ascii="宋体" w:hAnsi="宋体" w:cs="宋体"/>
          <w:sz w:val="24"/>
        </w:rPr>
      </w:pPr>
      <w:r>
        <w:rPr>
          <w:rFonts w:hint="eastAsia" w:ascii="宋体" w:hAnsi="宋体" w:cs="宋体"/>
          <w:sz w:val="24"/>
          <w:lang w:val="en-US" w:eastAsia="zh-CN"/>
        </w:rPr>
        <w:t>6、</w:t>
      </w:r>
      <w:r>
        <w:rPr>
          <w:rFonts w:hint="eastAsia"/>
          <w:sz w:val="24"/>
          <w:szCs w:val="24"/>
          <w:lang w:eastAsia="zh-CN"/>
        </w:rPr>
        <w:t>信用记录</w:t>
      </w:r>
      <w:r>
        <w:rPr>
          <w:rFonts w:hint="eastAsia"/>
          <w:sz w:val="24"/>
          <w:szCs w:val="24"/>
          <w:lang w:val="en-US" w:eastAsia="zh-CN"/>
        </w:rPr>
        <w:t>查询截图和声明函</w:t>
      </w:r>
      <w:r>
        <w:rPr>
          <w:rFonts w:hint="eastAsia" w:ascii="宋体" w:hAnsi="宋体" w:cs="宋体"/>
          <w:sz w:val="24"/>
        </w:rPr>
        <w:t>…………………………………………（页码）</w:t>
      </w:r>
    </w:p>
    <w:p w14:paraId="621B60E2">
      <w:pPr>
        <w:spacing w:line="500" w:lineRule="exact"/>
        <w:ind w:firstLine="420"/>
        <w:rPr>
          <w:rFonts w:ascii="宋体" w:hAnsi="宋体" w:cs="宋体"/>
          <w:sz w:val="24"/>
        </w:rPr>
      </w:pPr>
      <w:r>
        <w:rPr>
          <w:rFonts w:hint="eastAsia" w:ascii="宋体" w:hAnsi="宋体" w:cs="宋体"/>
          <w:sz w:val="24"/>
          <w:lang w:val="en-US" w:eastAsia="zh-CN"/>
        </w:rPr>
        <w:t>7、</w:t>
      </w:r>
      <w:r>
        <w:rPr>
          <w:rFonts w:hint="eastAsia"/>
          <w:sz w:val="24"/>
          <w:szCs w:val="24"/>
          <w:lang w:val="en-US" w:eastAsia="zh-CN"/>
        </w:rPr>
        <w:t>无</w:t>
      </w:r>
      <w:r>
        <w:rPr>
          <w:rFonts w:hint="eastAsia"/>
          <w:sz w:val="24"/>
          <w:szCs w:val="24"/>
          <w:lang w:eastAsia="zh-CN"/>
        </w:rPr>
        <w:t>重大违法记录书面声明</w:t>
      </w:r>
      <w:r>
        <w:rPr>
          <w:rFonts w:hint="eastAsia" w:ascii="宋体" w:hAnsi="宋体" w:cs="宋体"/>
          <w:sz w:val="24"/>
        </w:rPr>
        <w:t>……………………………………………（页码）</w:t>
      </w:r>
    </w:p>
    <w:p w14:paraId="42CEBB2C">
      <w:pPr>
        <w:spacing w:line="500" w:lineRule="exact"/>
        <w:ind w:firstLine="420"/>
        <w:rPr>
          <w:rFonts w:ascii="宋体" w:hAnsi="宋体" w:cs="宋体"/>
          <w:sz w:val="24"/>
        </w:rPr>
      </w:pPr>
      <w:r>
        <w:rPr>
          <w:rFonts w:hint="eastAsia" w:ascii="宋体" w:hAnsi="宋体" w:cs="宋体"/>
          <w:sz w:val="24"/>
          <w:lang w:val="en-US" w:eastAsia="zh-CN"/>
        </w:rPr>
        <w:t>8、</w:t>
      </w:r>
      <w:r>
        <w:rPr>
          <w:rFonts w:hint="eastAsia"/>
          <w:sz w:val="24"/>
          <w:szCs w:val="24"/>
          <w:lang w:eastAsia="zh-CN"/>
        </w:rPr>
        <w:t>履</w:t>
      </w:r>
      <w:r>
        <w:rPr>
          <w:rFonts w:hint="eastAsia"/>
          <w:sz w:val="24"/>
          <w:szCs w:val="24"/>
          <w:lang w:val="en-US" w:eastAsia="zh-CN"/>
        </w:rPr>
        <w:t>约承诺书</w:t>
      </w:r>
      <w:r>
        <w:rPr>
          <w:rFonts w:hint="eastAsia" w:ascii="宋体" w:hAnsi="宋体" w:cs="宋体"/>
          <w:sz w:val="24"/>
        </w:rPr>
        <w:t>……………………………………………………………（页码）</w:t>
      </w:r>
    </w:p>
    <w:p w14:paraId="55D0962A">
      <w:pPr>
        <w:spacing w:line="500" w:lineRule="exact"/>
        <w:ind w:firstLine="420"/>
        <w:rPr>
          <w:rFonts w:hint="eastAsia" w:ascii="宋体" w:hAnsi="宋体" w:cs="宋体"/>
          <w:sz w:val="24"/>
        </w:rPr>
      </w:pPr>
      <w:r>
        <w:rPr>
          <w:rFonts w:hint="eastAsia" w:ascii="宋体" w:hAnsi="宋体" w:cs="宋体"/>
          <w:sz w:val="24"/>
          <w:lang w:val="en-US" w:eastAsia="zh-CN"/>
        </w:rPr>
        <w:t>9、</w:t>
      </w:r>
      <w:r>
        <w:rPr>
          <w:rFonts w:hint="eastAsia"/>
          <w:sz w:val="24"/>
          <w:szCs w:val="24"/>
          <w:lang w:eastAsia="zh-CN"/>
        </w:rPr>
        <w:t>控股管理关系</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5F6A6AB8">
      <w:pPr>
        <w:spacing w:line="500" w:lineRule="exact"/>
        <w:ind w:firstLine="420"/>
        <w:rPr>
          <w:rFonts w:ascii="宋体" w:hAnsi="宋体" w:cs="宋体"/>
          <w:sz w:val="24"/>
        </w:rPr>
      </w:pPr>
      <w:r>
        <w:rPr>
          <w:rFonts w:hint="eastAsia" w:ascii="宋体" w:hAnsi="宋体" w:cs="宋体"/>
          <w:sz w:val="24"/>
          <w:lang w:val="en-US" w:eastAsia="zh-CN"/>
        </w:rPr>
        <w:t>10、</w:t>
      </w:r>
      <w:r>
        <w:rPr>
          <w:rFonts w:hint="eastAsia"/>
          <w:sz w:val="24"/>
          <w:szCs w:val="24"/>
          <w:lang w:eastAsia="zh-CN"/>
        </w:rPr>
        <w:t>中小企业</w:t>
      </w:r>
      <w:r>
        <w:rPr>
          <w:rFonts w:hint="eastAsia"/>
          <w:sz w:val="24"/>
          <w:szCs w:val="24"/>
          <w:lang w:val="en-US" w:eastAsia="zh-CN"/>
        </w:rPr>
        <w:t>声明函</w:t>
      </w:r>
      <w:r>
        <w:rPr>
          <w:rFonts w:hint="eastAsia" w:ascii="宋体" w:hAnsi="宋体" w:cs="宋体"/>
          <w:sz w:val="24"/>
        </w:rPr>
        <w:t>………………………………………………………（页码）</w:t>
      </w:r>
    </w:p>
    <w:p w14:paraId="27916B42">
      <w:pPr>
        <w:spacing w:line="500" w:lineRule="exact"/>
        <w:ind w:firstLine="420"/>
        <w:rPr>
          <w:rFonts w:hint="eastAsia" w:ascii="宋体" w:hAnsi="宋体" w:cs="宋体"/>
          <w:sz w:val="24"/>
        </w:rPr>
      </w:pPr>
      <w:r>
        <w:rPr>
          <w:rFonts w:hint="eastAsia" w:ascii="宋体" w:hAnsi="宋体" w:cs="宋体"/>
          <w:sz w:val="24"/>
          <w:lang w:val="en-US" w:eastAsia="zh-CN"/>
        </w:rPr>
        <w:t>11、</w:t>
      </w:r>
      <w:r>
        <w:rPr>
          <w:rFonts w:hint="eastAsia"/>
          <w:sz w:val="24"/>
          <w:szCs w:val="24"/>
          <w:lang w:val="en-US" w:eastAsia="zh-CN"/>
        </w:rPr>
        <w:t>非联合体声明</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566CE017">
      <w:pPr>
        <w:spacing w:line="500" w:lineRule="exact"/>
        <w:ind w:firstLine="420"/>
        <w:rPr>
          <w:rFonts w:ascii="宋体" w:hAnsi="宋体" w:cs="宋体"/>
          <w:sz w:val="24"/>
        </w:rPr>
      </w:pPr>
      <w:r>
        <w:rPr>
          <w:rFonts w:hint="eastAsia" w:ascii="宋体" w:hAnsi="宋体" w:cs="宋体"/>
          <w:sz w:val="24"/>
          <w:lang w:val="en-US" w:eastAsia="zh-CN"/>
        </w:rPr>
        <w:t>12、</w:t>
      </w:r>
      <w:r>
        <w:rPr>
          <w:rFonts w:hint="eastAsia"/>
          <w:sz w:val="24"/>
          <w:szCs w:val="24"/>
          <w:lang w:val="en-US" w:eastAsia="zh-CN"/>
        </w:rPr>
        <w:t>宝鸡市政府采购供应商诚信承诺书</w:t>
      </w:r>
      <w:r>
        <w:rPr>
          <w:rFonts w:hint="eastAsia" w:ascii="宋体" w:hAnsi="宋体" w:cs="宋体"/>
          <w:sz w:val="24"/>
        </w:rPr>
        <w:t>…………………………………（页码）</w:t>
      </w:r>
    </w:p>
    <w:p w14:paraId="61BFAE03">
      <w:pPr>
        <w:spacing w:line="500" w:lineRule="exact"/>
        <w:ind w:firstLine="420"/>
        <w:rPr>
          <w:rFonts w:hint="eastAsia" w:ascii="宋体" w:hAnsi="宋体" w:cs="宋体"/>
          <w:sz w:val="24"/>
        </w:rPr>
      </w:pPr>
      <w:r>
        <w:rPr>
          <w:rFonts w:hint="eastAsia" w:ascii="宋体" w:hAnsi="宋体" w:cs="宋体"/>
          <w:sz w:val="24"/>
          <w:lang w:val="en-US" w:eastAsia="zh-CN"/>
        </w:rPr>
        <w:t>13、磋商响应函</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305F8C9B">
      <w:pPr>
        <w:spacing w:line="500" w:lineRule="exact"/>
        <w:ind w:firstLine="420"/>
        <w:rPr>
          <w:rFonts w:ascii="宋体" w:hAnsi="宋体" w:cs="宋体"/>
          <w:sz w:val="24"/>
        </w:rPr>
      </w:pPr>
      <w:r>
        <w:rPr>
          <w:rFonts w:hint="eastAsia" w:ascii="宋体" w:hAnsi="宋体" w:cs="宋体"/>
          <w:sz w:val="24"/>
          <w:lang w:val="en-US" w:eastAsia="zh-CN"/>
        </w:rPr>
        <w:t>14、磋商一览表</w:t>
      </w:r>
      <w:r>
        <w:rPr>
          <w:rFonts w:hint="eastAsia" w:ascii="宋体" w:hAnsi="宋体" w:cs="宋体"/>
          <w:sz w:val="24"/>
        </w:rPr>
        <w:t>……………………………………………………………（页码）</w:t>
      </w:r>
    </w:p>
    <w:p w14:paraId="6C1AF628">
      <w:pPr>
        <w:spacing w:line="500" w:lineRule="exact"/>
        <w:ind w:firstLine="420"/>
        <w:rPr>
          <w:rFonts w:hint="eastAsia" w:ascii="宋体" w:hAnsi="宋体" w:cs="宋体"/>
          <w:sz w:val="24"/>
        </w:rPr>
      </w:pPr>
      <w:r>
        <w:rPr>
          <w:rFonts w:hint="eastAsia" w:ascii="宋体" w:hAnsi="宋体" w:cs="宋体"/>
          <w:sz w:val="24"/>
          <w:lang w:val="en-US" w:eastAsia="zh-CN"/>
        </w:rPr>
        <w:t>15、</w:t>
      </w:r>
      <w:r>
        <w:rPr>
          <w:rFonts w:hint="eastAsia"/>
          <w:sz w:val="24"/>
          <w:szCs w:val="24"/>
          <w:lang w:val="en-US" w:eastAsia="zh-CN"/>
        </w:rPr>
        <w:t>技术响应偏离表</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7A0C4AAD">
      <w:pPr>
        <w:spacing w:line="500" w:lineRule="exact"/>
        <w:ind w:firstLine="420"/>
        <w:rPr>
          <w:rFonts w:ascii="宋体" w:hAnsi="宋体" w:cs="宋体"/>
          <w:sz w:val="24"/>
        </w:rPr>
      </w:pPr>
      <w:r>
        <w:rPr>
          <w:rFonts w:hint="eastAsia" w:ascii="宋体" w:hAnsi="宋体" w:cs="宋体"/>
          <w:sz w:val="24"/>
          <w:lang w:val="en-US" w:eastAsia="zh-CN"/>
        </w:rPr>
        <w:t>16、商务响应偏离表</w:t>
      </w:r>
      <w:r>
        <w:rPr>
          <w:rFonts w:hint="eastAsia" w:ascii="宋体" w:hAnsi="宋体" w:cs="宋体"/>
          <w:sz w:val="24"/>
        </w:rPr>
        <w:t>………………………………………………………（页码）</w:t>
      </w:r>
    </w:p>
    <w:p w14:paraId="1B6022DA">
      <w:pPr>
        <w:spacing w:line="500" w:lineRule="exact"/>
        <w:ind w:firstLine="420"/>
        <w:rPr>
          <w:rFonts w:hint="eastAsia" w:ascii="宋体" w:hAnsi="宋体" w:cs="宋体" w:eastAsiaTheme="minorEastAsia"/>
          <w:sz w:val="24"/>
          <w:lang w:val="en-US" w:eastAsia="zh-CN"/>
        </w:rPr>
      </w:pPr>
      <w:r>
        <w:rPr>
          <w:rFonts w:hint="eastAsia" w:ascii="宋体" w:hAnsi="宋体" w:cs="宋体"/>
          <w:sz w:val="24"/>
          <w:lang w:val="en-US" w:eastAsia="zh-CN"/>
        </w:rPr>
        <w:t>17、运维方案及组织设计</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r>
        <w:rPr>
          <w:rFonts w:hint="eastAsia" w:ascii="宋体" w:hAnsi="宋体" w:cs="宋体"/>
          <w:sz w:val="24"/>
          <w:lang w:eastAsia="zh-CN"/>
        </w:rPr>
        <w:t>）</w:t>
      </w:r>
    </w:p>
    <w:p w14:paraId="042FB5F4">
      <w:pPr>
        <w:spacing w:line="500" w:lineRule="exact"/>
        <w:ind w:firstLine="420"/>
        <w:rPr>
          <w:rFonts w:hint="eastAsia" w:ascii="宋体" w:hAnsi="宋体" w:cs="宋体" w:eastAsiaTheme="minorEastAsia"/>
          <w:sz w:val="24"/>
          <w:lang w:val="en-US" w:eastAsia="zh-CN"/>
        </w:rPr>
      </w:pPr>
      <w:r>
        <w:rPr>
          <w:rFonts w:hint="eastAsia" w:ascii="宋体" w:hAnsi="宋体" w:cs="宋体"/>
          <w:sz w:val="24"/>
          <w:lang w:val="en-US" w:eastAsia="zh-CN"/>
        </w:rPr>
        <w:t>18、供应商业绩</w:t>
      </w:r>
      <w:r>
        <w:rPr>
          <w:rFonts w:hint="eastAsia" w:ascii="宋体" w:hAnsi="宋体" w:cs="宋体"/>
          <w:sz w:val="24"/>
        </w:rPr>
        <w:t>……………………………………………………………（页码</w:t>
      </w:r>
      <w:r>
        <w:rPr>
          <w:rFonts w:hint="eastAsia" w:ascii="宋体" w:hAnsi="宋体" w:cs="宋体"/>
          <w:sz w:val="24"/>
          <w:lang w:eastAsia="zh-CN"/>
        </w:rPr>
        <w:t>）</w:t>
      </w:r>
    </w:p>
    <w:p w14:paraId="705E5249">
      <w:pPr>
        <w:spacing w:line="500" w:lineRule="exact"/>
        <w:ind w:firstLine="420"/>
        <w:rPr>
          <w:rFonts w:hint="eastAsia" w:ascii="宋体" w:hAnsi="宋体" w:cs="宋体"/>
          <w:sz w:val="24"/>
        </w:rPr>
      </w:pPr>
      <w:r>
        <w:rPr>
          <w:rFonts w:hint="eastAsia" w:ascii="宋体" w:hAnsi="宋体" w:cs="宋体"/>
          <w:sz w:val="24"/>
          <w:lang w:val="en-US" w:eastAsia="zh-CN"/>
        </w:rPr>
        <w:t>19、供应商认为应说明的其他事项</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01D39DC5">
      <w:pPr>
        <w:rPr>
          <w:rFonts w:hint="eastAsia" w:ascii="宋体" w:hAnsi="宋体" w:cs="宋体"/>
          <w:sz w:val="24"/>
        </w:rPr>
      </w:pPr>
      <w:r>
        <w:rPr>
          <w:rFonts w:hint="eastAsia" w:ascii="宋体" w:hAnsi="宋体" w:cs="宋体"/>
          <w:sz w:val="24"/>
        </w:rPr>
        <w:br w:type="page"/>
      </w:r>
    </w:p>
    <w:p w14:paraId="193488D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企业法人营业执照</w:t>
      </w:r>
    </w:p>
    <w:p w14:paraId="2163C38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具有独立承担民事责任能力的企业法人、事业法人或其他组织，提供三证合一的营业执照（事业单位须事业单位法人证、组织机构代码证等证明文件；其他组织应提供合法证明文件）； </w:t>
      </w:r>
    </w:p>
    <w:p w14:paraId="1A68D425">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2、法定代表人授权书</w:t>
      </w:r>
    </w:p>
    <w:p w14:paraId="3917BAA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供应商应授权合法的人员参加投标全过程，其中法定代表人直接参加投标的，须出具法人身份证，并与营业执照上信息一致，法定代表人授权代表参加投标的，须出具法定代表人授权书及授权代表身份证；</w:t>
      </w:r>
    </w:p>
    <w:p w14:paraId="22AA679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3、财务状况</w:t>
      </w:r>
    </w:p>
    <w:p w14:paraId="4B18AE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提供由具有财务审计资质单位出具的</w:t>
      </w:r>
      <w:r>
        <w:rPr>
          <w:rFonts w:hint="eastAsia"/>
          <w:sz w:val="24"/>
          <w:szCs w:val="24"/>
          <w:lang w:val="en-US" w:eastAsia="zh-CN"/>
        </w:rPr>
        <w:t>2024年度</w:t>
      </w:r>
      <w:r>
        <w:rPr>
          <w:rFonts w:hint="eastAsia"/>
          <w:sz w:val="24"/>
          <w:szCs w:val="24"/>
          <w:lang w:eastAsia="zh-CN"/>
        </w:rPr>
        <w:t>审计报告</w:t>
      </w:r>
      <w:r>
        <w:rPr>
          <w:rFonts w:hint="eastAsia"/>
          <w:sz w:val="24"/>
          <w:szCs w:val="24"/>
          <w:lang w:val="en-US" w:eastAsia="zh-CN"/>
        </w:rPr>
        <w:t>（包括“四表一注”，即资产负债表、利润表、现金流量表、所有者权益变动表及其附注，成立时间至提交投标文件截止时间不足一年的可提供成立后任意时段的资产负债表）</w:t>
      </w:r>
      <w:r>
        <w:rPr>
          <w:rFonts w:hint="eastAsia"/>
          <w:sz w:val="24"/>
          <w:szCs w:val="24"/>
          <w:lang w:eastAsia="zh-CN"/>
        </w:rPr>
        <w:t>或提供投标截止时间前三个月内其基本开户银行出具的资信证明（附开户许可证或开户备案证明）； </w:t>
      </w:r>
    </w:p>
    <w:p w14:paraId="745B018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4、社保缴纳证明</w:t>
      </w:r>
    </w:p>
    <w:p w14:paraId="481773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提供2024年1月至今已缴存的至少六个月的社会保障资金缴存单据或社保机构开具的社会保险参保缴费情况证明，依法不需要缴纳社会保障资金的单位应提供相关证明材料；</w:t>
      </w:r>
    </w:p>
    <w:p w14:paraId="1FCEF134">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5、税收缴纳证明</w:t>
      </w:r>
    </w:p>
    <w:p w14:paraId="52674D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提供2024年1月至今已缴存的至少六个月的纳税证明或完税证明，依法免税的单位应提供相关证明材料；</w:t>
      </w:r>
    </w:p>
    <w:p w14:paraId="5386E88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6、信用记录查询截图和声明函</w:t>
      </w:r>
    </w:p>
    <w:p w14:paraId="69807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供应商未被列入“信用中国”网站(www.creditchina.gov.cn)“失信被执行人和重大税收违法失信主体；未被列入“中国政府采购网”(www.ccgp.gov.cn)“严重违法失信行为记录名单中被财政部门禁止参加政府采购活动的供应商”；</w:t>
      </w:r>
    </w:p>
    <w:p w14:paraId="24BDA050">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7、无重大违法记录书面声明</w:t>
      </w:r>
    </w:p>
    <w:p w14:paraId="2B7B67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参加政府采购活动前3年内在经营活动中没有重大违法记录的书面声明；</w:t>
      </w:r>
    </w:p>
    <w:p w14:paraId="019B803E">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8、履约承诺书</w:t>
      </w:r>
    </w:p>
    <w:p w14:paraId="7083F9E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具有履行合同所必需的设备和专业技术能力；</w:t>
      </w:r>
    </w:p>
    <w:p w14:paraId="1D58E8B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9、控股管理关系</w:t>
      </w:r>
    </w:p>
    <w:p w14:paraId="4DAAB2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本项目不接受联合体投标，单位负责人为同一人或者存在控股、管理关系的不同单位不得同时参加（提供书面承诺）；</w:t>
      </w:r>
    </w:p>
    <w:p w14:paraId="2EBE21F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10、中小企业声明函</w:t>
      </w:r>
    </w:p>
    <w:p w14:paraId="688B2A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本项目</w:t>
      </w:r>
      <w:r>
        <w:rPr>
          <w:rFonts w:hint="eastAsia"/>
          <w:sz w:val="24"/>
          <w:szCs w:val="24"/>
          <w:lang w:val="en-US" w:eastAsia="zh-CN"/>
        </w:rPr>
        <w:t>不</w:t>
      </w:r>
      <w:r>
        <w:rPr>
          <w:rFonts w:hint="eastAsia"/>
          <w:sz w:val="24"/>
          <w:szCs w:val="24"/>
          <w:lang w:eastAsia="zh-CN"/>
        </w:rPr>
        <w:t>专门面向中小企业采购（供应商须为中小企业），</w:t>
      </w:r>
      <w:r>
        <w:rPr>
          <w:rFonts w:hint="eastAsia"/>
          <w:sz w:val="24"/>
          <w:szCs w:val="24"/>
          <w:lang w:val="en-US" w:eastAsia="zh-CN"/>
        </w:rPr>
        <w:t>享受价格优惠政策的小微企业、监狱企业、残疾人福利性单位需提供企业类型</w:t>
      </w:r>
      <w:r>
        <w:rPr>
          <w:rFonts w:hint="eastAsia"/>
          <w:sz w:val="24"/>
          <w:szCs w:val="24"/>
          <w:lang w:eastAsia="zh-CN"/>
        </w:rPr>
        <w:t>声明函；</w:t>
      </w:r>
    </w:p>
    <w:p w14:paraId="72F5CF0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11、非联合体声明</w:t>
      </w:r>
    </w:p>
    <w:p w14:paraId="79039C0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eastAsia="zh-CN"/>
        </w:rPr>
      </w:pPr>
      <w:r>
        <w:rPr>
          <w:rFonts w:hint="eastAsia"/>
          <w:sz w:val="24"/>
          <w:szCs w:val="24"/>
          <w:lang w:eastAsia="zh-CN"/>
        </w:rPr>
        <w:t>本项目不接受联合体投标（</w:t>
      </w:r>
      <w:r>
        <w:rPr>
          <w:rFonts w:hint="eastAsia"/>
          <w:sz w:val="24"/>
          <w:szCs w:val="24"/>
          <w:lang w:val="en-US" w:eastAsia="zh-CN"/>
        </w:rPr>
        <w:t>提供声明函</w:t>
      </w:r>
      <w:r>
        <w:rPr>
          <w:rFonts w:hint="eastAsia"/>
          <w:sz w:val="24"/>
          <w:szCs w:val="24"/>
          <w:lang w:eastAsia="zh-CN"/>
        </w:rPr>
        <w:t>）。</w:t>
      </w:r>
    </w:p>
    <w:p w14:paraId="551905C7">
      <w:pPr>
        <w:rPr>
          <w:rFonts w:hint="eastAsia"/>
          <w:sz w:val="24"/>
          <w:szCs w:val="24"/>
          <w:lang w:eastAsia="zh-CN"/>
        </w:rPr>
      </w:pPr>
      <w:r>
        <w:rPr>
          <w:rFonts w:hint="eastAsia"/>
          <w:sz w:val="24"/>
          <w:szCs w:val="24"/>
          <w:lang w:eastAsia="zh-CN"/>
        </w:rPr>
        <w:br w:type="page"/>
      </w:r>
    </w:p>
    <w:p w14:paraId="02D98F9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12、宝鸡市政府采购供应商诚信承诺书</w:t>
      </w:r>
    </w:p>
    <w:p w14:paraId="754AAED4">
      <w:pPr>
        <w:pStyle w:val="5"/>
        <w:rPr>
          <w:rFonts w:hint="eastAsia"/>
          <w:lang w:val="en-US" w:eastAsia="zh-CN"/>
        </w:rPr>
      </w:pPr>
    </w:p>
    <w:p w14:paraId="4C8D4CC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致：（采购人名称）</w:t>
      </w:r>
    </w:p>
    <w:p w14:paraId="40F25F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的我方</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自愿参加贵单位组织的编号为</w:t>
      </w:r>
      <w:r>
        <w:rPr>
          <w:rFonts w:hint="eastAsia" w:ascii="宋体" w:hAnsi="宋体" w:eastAsia="宋体" w:cs="宋体"/>
          <w:color w:val="auto"/>
          <w:sz w:val="24"/>
          <w:szCs w:val="24"/>
          <w:highlight w:val="none"/>
          <w:u w:val="single"/>
        </w:rPr>
        <w:t xml:space="preserve">       （采购项目编号）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(采购项目名称)的政府采购活动，我方已知悉并理解本项目采购文件的各项要求。为贯彻公开、公平、公正和诚实信用的政府采购原则，共同维护宝鸡市政府采购市场良好秩序，我方郑重声明和承诺如下：</w:t>
      </w:r>
    </w:p>
    <w:p w14:paraId="1F22BC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一、在参加本次政府采购活动中严格遵守《中</w:t>
      </w:r>
      <w:r>
        <w:rPr>
          <w:rFonts w:hint="eastAsia" w:ascii="宋体" w:hAnsi="宋体" w:eastAsia="宋体" w:cs="宋体"/>
          <w:color w:val="auto"/>
          <w:sz w:val="24"/>
          <w:szCs w:val="24"/>
          <w:highlight w:val="none"/>
          <w:lang w:eastAsia="zh-CN"/>
        </w:rPr>
        <w:t>华</w:t>
      </w:r>
      <w:r>
        <w:rPr>
          <w:rFonts w:hint="eastAsia" w:ascii="宋体" w:hAnsi="宋体" w:eastAsia="宋体" w:cs="宋体"/>
          <w:color w:val="auto"/>
          <w:sz w:val="24"/>
          <w:szCs w:val="24"/>
          <w:highlight w:val="none"/>
        </w:rPr>
        <w:t>人民共和国政府采购法》等法律、法规、规章及宝鸡市有关规定。</w:t>
      </w:r>
    </w:p>
    <w:p w14:paraId="783F990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二、我方郑重声明，在参加本次政府采购活动前三年内，无因违法经营受到刑事处罚或者责令停产停业、吊销许可证或者执照、较大数额罚款等重大违法记录。</w:t>
      </w:r>
    </w:p>
    <w:p w14:paraId="711ED2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我方同时声明，在参加本次政府采购活动前，未被列入失信被执行人、重大税收违法案件当事人名单、政府采购严重违法失信行为记录名单。</w:t>
      </w:r>
    </w:p>
    <w:p w14:paraId="0A9993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我方对以上声明的真实性负责，接受采购人、采购代理机构根据相关政策规定进行的信用记录查询。如发现以上声明不实，我方承担相应后果。</w:t>
      </w:r>
    </w:p>
    <w:p w14:paraId="172560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三、我方郑重承诺，在参加本次政府采购活动中： </w:t>
      </w:r>
    </w:p>
    <w:p w14:paraId="7D25F5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不向采购人、采购代理机构和评审专家提供任何形式的商业贿赂或者提供其他不正当利益。对索取或接觉商业贿赂的单位和个人，及时向财政部门和监察机关举报；</w:t>
      </w:r>
    </w:p>
    <w:p w14:paraId="0C7B548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不与其它供应商串通采取围标、陪标等商业欺诈手段。谋取中标(成交) :</w:t>
      </w:r>
    </w:p>
    <w:p w14:paraId="673920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不出借或借用资质；</w:t>
      </w:r>
    </w:p>
    <w:p w14:paraId="322870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不与采购人、采购代理机构、评审专家恶意串通；</w:t>
      </w:r>
    </w:p>
    <w:p w14:paraId="064DB9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不采取不正当手段诋毁、排挤其他供应商；</w:t>
      </w:r>
    </w:p>
    <w:p w14:paraId="20D838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不以虚假材料谋取中标(成交)</w:t>
      </w:r>
      <w:r>
        <w:rPr>
          <w:rFonts w:hint="eastAsia" w:ascii="宋体" w:hAnsi="宋体" w:eastAsia="宋体" w:cs="宋体"/>
          <w:color w:val="auto"/>
          <w:sz w:val="24"/>
          <w:szCs w:val="24"/>
          <w:highlight w:val="none"/>
          <w:lang w:eastAsia="zh-CN"/>
        </w:rPr>
        <w:t>；</w:t>
      </w:r>
    </w:p>
    <w:p w14:paraId="14B543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不以低于成本价或恶意低价竞争；</w:t>
      </w:r>
    </w:p>
    <w:p w14:paraId="62CA6D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不与采购人在招标采购过程中进行协商谈判；</w:t>
      </w:r>
    </w:p>
    <w:p w14:paraId="3E863D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中标或者成交后不得提供假冒伪劣产品；</w:t>
      </w:r>
    </w:p>
    <w:p w14:paraId="1BEED0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中标或者成交后非因不可抗力不得变更投标(响应)文件中承诺的项目管理实施人员；</w:t>
      </w:r>
    </w:p>
    <w:p w14:paraId="24E814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中标或者成交后无正当理由不得拒不与采购人签订政府采购合同；</w:t>
      </w:r>
    </w:p>
    <w:p w14:paraId="03668B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不得有未按照采购文件确定的事项与采购人签订政府采购合同，或者与采购人另行订立背离合同实质性内容协议的行为；</w:t>
      </w:r>
    </w:p>
    <w:p w14:paraId="3E9CFF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不转包或违法分包政府采购合同，不擅自变更、中止或者终止政府采购合同；</w:t>
      </w:r>
    </w:p>
    <w:p w14:paraId="19B74B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不捏造事实、提供虚假材料或者以非法手段取得证明材料进行质疑、投诉；</w:t>
      </w:r>
    </w:p>
    <w:p w14:paraId="51EF0C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不得有拒绝有关部门监督检查或者提供虚假情况的行为</w:t>
      </w:r>
      <w:r>
        <w:rPr>
          <w:rFonts w:hint="eastAsia" w:ascii="宋体" w:hAnsi="宋体" w:eastAsia="宋体" w:cs="宋体"/>
          <w:color w:val="auto"/>
          <w:sz w:val="24"/>
          <w:szCs w:val="24"/>
          <w:highlight w:val="none"/>
          <w:lang w:eastAsia="zh-CN"/>
        </w:rPr>
        <w:t>；</w:t>
      </w:r>
    </w:p>
    <w:p w14:paraId="1F162D0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不得有其他违反国家法律法规和规章要求的违法犯罪或者失信行为。</w:t>
      </w:r>
    </w:p>
    <w:p w14:paraId="4A8943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664844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1、投标(响应)无效；</w:t>
      </w:r>
    </w:p>
    <w:p w14:paraId="2F6F01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2、不予退还磋商保证金或者履约保证金；</w:t>
      </w:r>
    </w:p>
    <w:p w14:paraId="6D0090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3、约谈法人代表或者主要负责人，责令整改；</w:t>
      </w:r>
    </w:p>
    <w:p w14:paraId="224112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4、中标(成交)无效；</w:t>
      </w:r>
    </w:p>
    <w:p w14:paraId="39914E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5、处以采购金额千分之五以上千分之十以下的罚款，列入不良行为记录名单，在一至三年内禁止参加政府采购活动；</w:t>
      </w:r>
    </w:p>
    <w:p w14:paraId="21906F0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6、没收违法得所得；</w:t>
      </w:r>
    </w:p>
    <w:p w14:paraId="055FB7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7、吊销营业执照；</w:t>
      </w:r>
    </w:p>
    <w:p w14:paraId="776EF3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8、政府相关部门的联合惩戒措施；</w:t>
      </w:r>
    </w:p>
    <w:p w14:paraId="7C4217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9、追究民事责任；</w:t>
      </w:r>
    </w:p>
    <w:p w14:paraId="1B2B14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10、追究刑事责任；</w:t>
      </w:r>
    </w:p>
    <w:p w14:paraId="760C74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11、法律法规规定的其他处理处罚措施。</w:t>
      </w:r>
    </w:p>
    <w:p w14:paraId="41FF4268">
      <w:pPr>
        <w:keepNext w:val="0"/>
        <w:keepLines w:val="0"/>
        <w:pageBreakBefore w:val="0"/>
        <w:widowControl w:val="0"/>
        <w:kinsoku/>
        <w:wordWrap/>
        <w:overflowPunct/>
        <w:topLinePunct w:val="0"/>
        <w:autoSpaceDE/>
        <w:autoSpaceDN/>
        <w:bidi w:val="0"/>
        <w:adjustRightInd/>
        <w:snapToGrid/>
        <w:spacing w:line="240" w:lineRule="auto"/>
        <w:ind w:left="0" w:leftChars="0" w:firstLine="2738" w:firstLineChars="1141"/>
        <w:textAlignment w:val="auto"/>
        <w:outlineLvl w:val="9"/>
        <w:rPr>
          <w:rFonts w:hint="eastAsia" w:ascii="宋体" w:hAnsi="宋体" w:eastAsia="宋体" w:cs="宋体"/>
          <w:color w:val="auto"/>
          <w:sz w:val="24"/>
          <w:szCs w:val="24"/>
          <w:highlight w:val="none"/>
        </w:rPr>
      </w:pPr>
    </w:p>
    <w:p w14:paraId="6803192E">
      <w:pPr>
        <w:keepNext w:val="0"/>
        <w:keepLines w:val="0"/>
        <w:pageBreakBefore w:val="0"/>
        <w:widowControl w:val="0"/>
        <w:kinsoku/>
        <w:wordWrap/>
        <w:overflowPunct/>
        <w:topLinePunct w:val="0"/>
        <w:autoSpaceDE/>
        <w:autoSpaceDN/>
        <w:bidi w:val="0"/>
        <w:adjustRightInd/>
        <w:snapToGrid/>
        <w:spacing w:line="240" w:lineRule="auto"/>
        <w:ind w:left="0" w:leftChars="0" w:firstLine="2738" w:firstLineChars="1141"/>
        <w:textAlignment w:val="auto"/>
        <w:outlineLvl w:val="9"/>
        <w:rPr>
          <w:rFonts w:hint="eastAsia" w:ascii="宋体" w:hAnsi="宋体" w:eastAsia="宋体" w:cs="宋体"/>
          <w:color w:val="auto"/>
          <w:sz w:val="24"/>
          <w:szCs w:val="24"/>
          <w:highlight w:val="none"/>
        </w:rPr>
      </w:pPr>
    </w:p>
    <w:p w14:paraId="691CBF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0EB32B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50DA03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ED56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4F59A0B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418DE0EB">
      <w:pPr>
        <w:pStyle w:val="5"/>
        <w:rPr>
          <w:rFonts w:hint="eastAsia" w:ascii="宋体" w:hAnsi="宋体" w:eastAsia="宋体" w:cs="宋体"/>
          <w:color w:val="auto"/>
          <w:sz w:val="24"/>
          <w:szCs w:val="24"/>
          <w:highlight w:val="none"/>
        </w:rPr>
      </w:pPr>
    </w:p>
    <w:p w14:paraId="248A392F">
      <w:pPr>
        <w:pStyle w:val="6"/>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5A4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261" w:type="dxa"/>
            <w:vAlign w:val="center"/>
          </w:tcPr>
          <w:p w14:paraId="1586D7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身份证复印件</w:t>
            </w:r>
            <w:r>
              <w:rPr>
                <w:rFonts w:hint="eastAsia" w:ascii="宋体" w:hAnsi="宋体" w:eastAsia="宋体" w:cs="宋体"/>
                <w:color w:val="auto"/>
                <w:sz w:val="24"/>
                <w:szCs w:val="24"/>
                <w:highlight w:val="none"/>
                <w:lang w:val="en-US" w:eastAsia="zh-CN"/>
              </w:rPr>
              <w:t>正面</w:t>
            </w:r>
          </w:p>
        </w:tc>
        <w:tc>
          <w:tcPr>
            <w:tcW w:w="4261" w:type="dxa"/>
            <w:vAlign w:val="center"/>
          </w:tcPr>
          <w:p w14:paraId="228CC5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身份证复印件</w:t>
            </w:r>
            <w:r>
              <w:rPr>
                <w:rFonts w:hint="eastAsia" w:ascii="宋体" w:hAnsi="宋体" w:eastAsia="宋体" w:cs="宋体"/>
                <w:color w:val="auto"/>
                <w:sz w:val="24"/>
                <w:szCs w:val="24"/>
                <w:highlight w:val="none"/>
                <w:lang w:val="en-US" w:eastAsia="zh-CN"/>
              </w:rPr>
              <w:t>反面</w:t>
            </w:r>
          </w:p>
        </w:tc>
      </w:tr>
    </w:tbl>
    <w:p w14:paraId="049355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40AC75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7F9CDF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5A8E4A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法定代表人联系电话：</w:t>
      </w:r>
      <w:r>
        <w:rPr>
          <w:rFonts w:hint="eastAsia" w:ascii="宋体" w:hAnsi="宋体" w:eastAsia="宋体" w:cs="宋体"/>
          <w:color w:val="auto"/>
          <w:sz w:val="24"/>
          <w:szCs w:val="24"/>
          <w:highlight w:val="none"/>
          <w:u w:val="single"/>
        </w:rPr>
        <w:t xml:space="preserve">           </w:t>
      </w:r>
    </w:p>
    <w:p w14:paraId="61EAA7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7666E9D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7D4622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3DCFB4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w:t>
      </w:r>
    </w:p>
    <w:p w14:paraId="1574A477">
      <w:pPr>
        <w:pStyle w:val="6"/>
        <w:rPr>
          <w:rFonts w:hint="eastAsia"/>
          <w:lang w:val="en-US" w:eastAsia="zh-CN"/>
        </w:rPr>
      </w:pPr>
    </w:p>
    <w:p w14:paraId="7409FBD4">
      <w:pPr>
        <w:pStyle w:val="5"/>
        <w:rPr>
          <w:rFonts w:hint="default"/>
          <w:lang w:val="en-US" w:eastAsia="zh-CN"/>
        </w:rPr>
      </w:pPr>
    </w:p>
    <w:p w14:paraId="749CAADE">
      <w:pPr>
        <w:rPr>
          <w:rFonts w:hint="eastAsia"/>
          <w:sz w:val="44"/>
          <w:szCs w:val="44"/>
          <w:shd w:val="clear" w:color="auto" w:fill="auto"/>
          <w:lang w:eastAsia="zh-CN"/>
        </w:rPr>
      </w:pPr>
    </w:p>
    <w:p w14:paraId="36DEC8B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sz w:val="44"/>
          <w:szCs w:val="44"/>
          <w:shd w:val="clear" w:color="auto" w:fill="auto"/>
          <w:lang w:eastAsia="zh-CN"/>
        </w:rPr>
        <w:br w:type="page"/>
      </w:r>
      <w:r>
        <w:rPr>
          <w:rFonts w:hint="eastAsia" w:ascii="黑体" w:hAnsi="黑体" w:eastAsia="黑体" w:cs="黑体"/>
          <w:sz w:val="28"/>
          <w:szCs w:val="28"/>
          <w:lang w:val="en-US" w:eastAsia="zh-CN"/>
        </w:rPr>
        <w:t>13、磋商响应函</w:t>
      </w:r>
    </w:p>
    <w:p w14:paraId="68007FA9">
      <w:pPr>
        <w:pageBreakBefore w:val="0"/>
        <w:kinsoku/>
        <w:overflowPunct/>
        <w:topLinePunct w:val="0"/>
        <w:bidi w:val="0"/>
        <w:spacing w:line="46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 xml:space="preserve">                  </w:t>
      </w:r>
    </w:p>
    <w:p w14:paraId="5FC561AD">
      <w:pPr>
        <w:pageBreakBefore w:val="0"/>
        <w:kinsoku/>
        <w:overflowPunct/>
        <w:topLinePunct w:val="0"/>
        <w:bidi w:val="0"/>
        <w:spacing w:line="460" w:lineRule="atLeast"/>
        <w:ind w:firstLine="480" w:firstLineChars="200"/>
        <w:outlineLvl w:val="9"/>
        <w:rPr>
          <w:rFonts w:hint="eastAsia" w:ascii="宋体" w:hAnsi="宋体" w:eastAsia="宋体" w:cs="宋体"/>
          <w:color w:val="auto"/>
          <w:kern w:val="20"/>
          <w:sz w:val="24"/>
          <w:highlight w:val="none"/>
          <w:lang w:val="zh-CN"/>
        </w:rPr>
      </w:pPr>
      <w:r>
        <w:rPr>
          <w:rFonts w:hint="eastAsia" w:ascii="宋体" w:hAnsi="宋体" w:eastAsia="宋体" w:cs="宋体"/>
          <w:color w:val="auto"/>
          <w:sz w:val="24"/>
          <w:highlight w:val="none"/>
          <w:lang w:val="zh-CN"/>
        </w:rPr>
        <w:t>我单位收到贵公司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zh-CN"/>
        </w:rPr>
        <w:t>磋商文件，经详细研究，我们决定参加本次磋商活动。</w:t>
      </w:r>
      <w:r>
        <w:rPr>
          <w:rFonts w:hint="eastAsia" w:ascii="宋体" w:hAnsi="宋体" w:eastAsia="宋体" w:cs="宋体"/>
          <w:color w:val="auto"/>
          <w:sz w:val="24"/>
          <w:highlight w:val="none"/>
        </w:rPr>
        <w:t>并正式授权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（姓名和职务）代表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（供应商全称）就该项目进行磋商。</w:t>
      </w:r>
      <w:r>
        <w:rPr>
          <w:rFonts w:hint="eastAsia" w:ascii="宋体" w:hAnsi="宋体" w:eastAsia="宋体" w:cs="宋体"/>
          <w:color w:val="auto"/>
          <w:sz w:val="24"/>
          <w:highlight w:val="none"/>
          <w:lang w:val="zh-CN"/>
        </w:rPr>
        <w:t>为此，我方郑重声明以下诸点，并负法律责任。</w:t>
      </w:r>
    </w:p>
    <w:p w14:paraId="7CF24CA5">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、愿意按照磋商文件中的要求，提供本项目技术服务，完成合同的责任和义务。</w:t>
      </w:r>
    </w:p>
    <w:p w14:paraId="2DF3B728">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、按磋商文件的规定，我公司的第一次磋商总报价为：人民币（大写：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日历天，质量</w:t>
      </w:r>
      <w:r>
        <w:rPr>
          <w:rFonts w:hint="eastAsia" w:ascii="宋体" w:hAnsi="宋体" w:eastAsia="宋体" w:cs="宋体"/>
          <w:color w:val="auto"/>
          <w:sz w:val="24"/>
          <w:highlight w:val="none"/>
        </w:rPr>
        <w:t>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并对其后的磋商报价负法律责任。</w:t>
      </w:r>
    </w:p>
    <w:p w14:paraId="01EEE633">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随同本磋商响应函递交磋商保证金一份，金额为人民币（大写：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w:t>
      </w:r>
      <w:r>
        <w:rPr>
          <w:rFonts w:hint="eastAsia" w:ascii="宋体" w:hAnsi="宋体" w:eastAsia="宋体" w:cs="宋体"/>
          <w:color w:val="auto"/>
          <w:sz w:val="24"/>
          <w:highlight w:val="none"/>
        </w:rPr>
        <w:t>。</w:t>
      </w:r>
    </w:p>
    <w:p w14:paraId="54757A63">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、我方提交的响应文件份数符合磋商文件第二章供应商须知前附表要求。</w:t>
      </w:r>
    </w:p>
    <w:p w14:paraId="1AAADD84">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、我方已详细阅读了磋商文件，完全理解并放弃提出含糊不清或易形成歧义的表述和资料。</w:t>
      </w:r>
    </w:p>
    <w:p w14:paraId="3F7C687B">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、磋商后在规定的有效期内如若撤回，我方愿接受政府采购的有关处罚决定。</w:t>
      </w:r>
    </w:p>
    <w:p w14:paraId="03AC36AF">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、同意向贵方提供可能要求的，与本次磋商有关的任何证据或资料，且尊重磋商小组的评审结论和结果。</w:t>
      </w:r>
    </w:p>
    <w:p w14:paraId="316658FE">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、我方的响应文件在磋商后有效期为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日历天，若我方成交，响应文件有效期延长至合同执行完毕。</w:t>
      </w:r>
    </w:p>
    <w:p w14:paraId="6D25B500">
      <w:pPr>
        <w:pageBreakBefore w:val="0"/>
        <w:kinsoku/>
        <w:overflowPunct/>
        <w:topLinePunct w:val="0"/>
        <w:bidi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0"/>
          <w:sz w:val="24"/>
          <w:highlight w:val="none"/>
        </w:rPr>
        <w:t>9、其他补充说明：</w:t>
      </w:r>
      <w:r>
        <w:rPr>
          <w:rFonts w:hint="eastAsia" w:ascii="宋体" w:hAnsi="宋体" w:eastAsia="宋体" w:cs="宋体"/>
          <w:color w:val="auto"/>
          <w:kern w:val="20"/>
          <w:sz w:val="24"/>
          <w:highlight w:val="none"/>
          <w:u w:val="single"/>
        </w:rPr>
        <w:t xml:space="preserve">              （补充说明事项）         </w:t>
      </w:r>
    </w:p>
    <w:p w14:paraId="28C27227">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、有关于本磋商文件的函电，请按下列地址联系。</w:t>
      </w:r>
    </w:p>
    <w:p w14:paraId="43315118">
      <w:pPr>
        <w:pageBreakBefore w:val="0"/>
        <w:widowControl w:val="0"/>
        <w:kinsoku/>
        <w:overflowPunct/>
        <w:topLinePunct w:val="0"/>
        <w:bidi w:val="0"/>
        <w:ind w:firstLine="220" w:firstLineChars="100"/>
        <w:jc w:val="both"/>
        <w:outlineLvl w:val="9"/>
        <w:rPr>
          <w:rFonts w:hint="eastAsia" w:ascii="宋体" w:hAnsi="宋体" w:eastAsia="宋体" w:cs="宋体"/>
          <w:color w:val="auto"/>
          <w:kern w:val="2"/>
          <w:sz w:val="22"/>
          <w:szCs w:val="22"/>
          <w:highlight w:val="none"/>
          <w:lang w:val="en-US" w:eastAsia="zh-CN" w:bidi="ar-SA"/>
        </w:rPr>
      </w:pPr>
    </w:p>
    <w:p w14:paraId="4A72DA52">
      <w:pPr>
        <w:pageBreakBefore w:val="0"/>
        <w:kinsoku/>
        <w:overflowPunct/>
        <w:topLinePunct w:val="0"/>
        <w:bidi w:val="0"/>
        <w:spacing w:line="360" w:lineRule="auto"/>
        <w:outlineLvl w:val="9"/>
        <w:rPr>
          <w:rFonts w:hint="eastAsia" w:ascii="宋体" w:hAnsi="宋体" w:eastAsia="宋体" w:cs="宋体"/>
          <w:color w:val="auto"/>
          <w:sz w:val="22"/>
          <w:szCs w:val="22"/>
          <w:highlight w:val="none"/>
        </w:rPr>
      </w:pPr>
    </w:p>
    <w:p w14:paraId="6ABD4E7C">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r>
        <w:rPr>
          <w:rFonts w:hint="eastAsia" w:ascii="宋体" w:hAnsi="宋体" w:eastAsia="宋体" w:cs="宋体"/>
          <w:color w:val="auto"/>
          <w:sz w:val="24"/>
          <w:highlight w:val="none"/>
          <w:u w:val="single"/>
        </w:rPr>
        <w:t xml:space="preserve">    (全称、盖章)      </w:t>
      </w:r>
    </w:p>
    <w:p w14:paraId="1E5BB510">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(签字或盖章)      </w:t>
      </w:r>
      <w:r>
        <w:rPr>
          <w:rFonts w:hint="eastAsia" w:ascii="宋体" w:hAnsi="宋体" w:eastAsia="宋体" w:cs="宋体"/>
          <w:color w:val="auto"/>
          <w:sz w:val="24"/>
          <w:highlight w:val="none"/>
        </w:rPr>
        <w:t xml:space="preserve">  </w:t>
      </w:r>
    </w:p>
    <w:p w14:paraId="5AA5BD3F">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CE9A0F">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41C0E5E8">
      <w:pPr>
        <w:pageBreakBefore w:val="0"/>
        <w:kinsoku/>
        <w:overflowPunct/>
        <w:topLinePunct w:val="0"/>
        <w:bidi w:val="0"/>
        <w:spacing w:line="360" w:lineRule="auto"/>
        <w:ind w:firstLine="4320" w:firstLineChars="18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607D7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宋体" w:hAnsi="宋体" w:eastAsia="宋体" w:cs="宋体"/>
          <w:b/>
          <w:bCs/>
          <w:iCs/>
          <w:color w:val="auto"/>
          <w:sz w:val="28"/>
          <w:szCs w:val="28"/>
          <w:highlight w:val="none"/>
        </w:rPr>
        <w:br w:type="page"/>
      </w:r>
      <w:r>
        <w:rPr>
          <w:rFonts w:hint="eastAsia" w:ascii="黑体" w:hAnsi="黑体" w:eastAsia="黑体" w:cs="黑体"/>
          <w:sz w:val="28"/>
          <w:szCs w:val="28"/>
          <w:lang w:val="en-US" w:eastAsia="zh-CN"/>
        </w:rPr>
        <w:t>14、磋商一览表</w:t>
      </w:r>
    </w:p>
    <w:p w14:paraId="700B7101">
      <w:pPr>
        <w:widowControl/>
        <w:snapToGrid w:val="0"/>
        <w:jc w:val="left"/>
        <w:rPr>
          <w:rFonts w:hint="eastAsia" w:ascii="宋体" w:hAnsi="宋体" w:eastAsia="宋体" w:cs="宋体"/>
          <w:kern w:val="0"/>
          <w:sz w:val="18"/>
          <w:szCs w:val="20"/>
          <w:highlight w:val="none"/>
          <w:lang w:val="en-US" w:eastAsia="zh-CN" w:bidi="ar-SA"/>
        </w:rPr>
      </w:pPr>
    </w:p>
    <w:p w14:paraId="09842EC2">
      <w:pPr>
        <w:widowControl/>
        <w:snapToGrid w:val="0"/>
        <w:jc w:val="left"/>
        <w:rPr>
          <w:rFonts w:hint="eastAsia" w:ascii="宋体" w:hAnsi="宋体" w:eastAsia="宋体" w:cs="宋体"/>
          <w:kern w:val="0"/>
          <w:sz w:val="18"/>
          <w:szCs w:val="20"/>
          <w:highlight w:val="none"/>
          <w:lang w:val="en-US" w:eastAsia="zh-CN" w:bidi="ar-SA"/>
        </w:rPr>
      </w:pPr>
    </w:p>
    <w:p w14:paraId="74394845">
      <w:pPr>
        <w:widowControl/>
        <w:snapToGrid w:val="0"/>
        <w:jc w:val="left"/>
        <w:rPr>
          <w:rFonts w:hint="eastAsia" w:ascii="宋体" w:hAnsi="宋体" w:eastAsia="宋体" w:cs="宋体"/>
          <w:kern w:val="0"/>
          <w:sz w:val="18"/>
          <w:szCs w:val="20"/>
          <w:highlight w:val="none"/>
          <w:lang w:val="en-US" w:eastAsia="zh-CN" w:bidi="ar-SA"/>
        </w:rPr>
      </w:pPr>
    </w:p>
    <w:p w14:paraId="510652A1">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lang w:val="en-US" w:eastAsia="zh-CN"/>
        </w:rPr>
      </w:pPr>
    </w:p>
    <w:p w14:paraId="13BEB180">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单位：人民币</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元</w:t>
      </w:r>
    </w:p>
    <w:p w14:paraId="521D949A">
      <w:pPr>
        <w:widowControl/>
        <w:snapToGrid w:val="0"/>
        <w:jc w:val="left"/>
        <w:rPr>
          <w:rFonts w:hint="eastAsia" w:ascii="宋体" w:hAnsi="宋体" w:eastAsia="宋体" w:cs="宋体"/>
          <w:kern w:val="0"/>
          <w:sz w:val="18"/>
          <w:szCs w:val="20"/>
          <w:highlight w:val="none"/>
          <w:lang w:val="en-US" w:eastAsia="zh-CN" w:bidi="ar-SA"/>
        </w:rPr>
      </w:pPr>
    </w:p>
    <w:tbl>
      <w:tblPr>
        <w:tblStyle w:val="14"/>
        <w:tblW w:w="8629" w:type="dxa"/>
        <w:jc w:val="center"/>
        <w:tblLayout w:type="fixed"/>
        <w:tblCellMar>
          <w:top w:w="0" w:type="dxa"/>
          <w:left w:w="108" w:type="dxa"/>
          <w:bottom w:w="0" w:type="dxa"/>
          <w:right w:w="108" w:type="dxa"/>
        </w:tblCellMar>
      </w:tblPr>
      <w:tblGrid>
        <w:gridCol w:w="1801"/>
        <w:gridCol w:w="6828"/>
      </w:tblGrid>
      <w:tr w14:paraId="5280FAF4">
        <w:tblPrEx>
          <w:tblCellMar>
            <w:top w:w="0" w:type="dxa"/>
            <w:left w:w="108" w:type="dxa"/>
            <w:bottom w:w="0" w:type="dxa"/>
            <w:right w:w="108" w:type="dxa"/>
          </w:tblCellMar>
        </w:tblPrEx>
        <w:trPr>
          <w:trHeight w:val="880" w:hRule="exact"/>
          <w:jc w:val="center"/>
        </w:trPr>
        <w:tc>
          <w:tcPr>
            <w:tcW w:w="8629" w:type="dxa"/>
            <w:gridSpan w:val="2"/>
            <w:tcBorders>
              <w:top w:val="single" w:color="auto" w:sz="4" w:space="0"/>
              <w:left w:val="single" w:color="auto" w:sz="4" w:space="0"/>
              <w:bottom w:val="single" w:color="auto" w:sz="4" w:space="0"/>
              <w:right w:val="single" w:color="auto" w:sz="4" w:space="0"/>
            </w:tcBorders>
            <w:noWrap w:val="0"/>
            <w:vAlign w:val="center"/>
          </w:tcPr>
          <w:p w14:paraId="7B3765F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color w:val="auto"/>
                <w:kern w:val="0"/>
                <w:sz w:val="22"/>
                <w:szCs w:val="22"/>
                <w:highlight w:val="none"/>
                <w:u w:val="single"/>
              </w:rPr>
            </w:pPr>
            <w:r>
              <w:rPr>
                <w:rFonts w:hint="eastAsia" w:ascii="宋体" w:hAnsi="宋体" w:eastAsia="宋体" w:cs="宋体"/>
                <w:bCs/>
                <w:color w:val="auto"/>
                <w:kern w:val="0"/>
                <w:sz w:val="22"/>
                <w:szCs w:val="22"/>
                <w:highlight w:val="none"/>
              </w:rPr>
              <w:t>采购项目</w:t>
            </w:r>
            <w:r>
              <w:rPr>
                <w:rFonts w:hint="eastAsia" w:ascii="宋体" w:hAnsi="宋体" w:eastAsia="宋体" w:cs="宋体"/>
                <w:color w:val="auto"/>
                <w:kern w:val="0"/>
                <w:sz w:val="22"/>
                <w:szCs w:val="22"/>
                <w:highlight w:val="none"/>
              </w:rPr>
              <w:t>编号：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p>
        </w:tc>
      </w:tr>
      <w:tr w14:paraId="44C53B2A">
        <w:tblPrEx>
          <w:tblCellMar>
            <w:top w:w="0" w:type="dxa"/>
            <w:left w:w="108" w:type="dxa"/>
            <w:bottom w:w="0" w:type="dxa"/>
            <w:right w:w="108" w:type="dxa"/>
          </w:tblCellMar>
        </w:tblPrEx>
        <w:trPr>
          <w:trHeight w:val="850" w:hRule="exact"/>
          <w:jc w:val="center"/>
        </w:trPr>
        <w:tc>
          <w:tcPr>
            <w:tcW w:w="8629" w:type="dxa"/>
            <w:gridSpan w:val="2"/>
            <w:tcBorders>
              <w:top w:val="single" w:color="auto" w:sz="4" w:space="0"/>
              <w:left w:val="single" w:color="auto" w:sz="4" w:space="0"/>
              <w:bottom w:val="single" w:color="auto" w:sz="4" w:space="0"/>
              <w:right w:val="single" w:color="auto" w:sz="4" w:space="0"/>
            </w:tcBorders>
            <w:noWrap w:val="0"/>
            <w:vAlign w:val="center"/>
          </w:tcPr>
          <w:p w14:paraId="45E2D61E">
            <w:pPr>
              <w:pageBreakBefore w:val="0"/>
              <w:kinsoku/>
              <w:overflowPunct/>
              <w:topLinePunct w:val="0"/>
              <w:bidi w:val="0"/>
              <w:spacing w:line="240" w:lineRule="auto"/>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采购项目名称：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p>
        </w:tc>
      </w:tr>
      <w:tr w14:paraId="0467AE93">
        <w:tblPrEx>
          <w:tblCellMar>
            <w:top w:w="0" w:type="dxa"/>
            <w:left w:w="108" w:type="dxa"/>
            <w:bottom w:w="0" w:type="dxa"/>
            <w:right w:w="108" w:type="dxa"/>
          </w:tblCellMar>
        </w:tblPrEx>
        <w:trPr>
          <w:trHeight w:val="1185"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6E2D7B88">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磋商报价</w:t>
            </w:r>
          </w:p>
        </w:tc>
        <w:tc>
          <w:tcPr>
            <w:tcW w:w="6828" w:type="dxa"/>
            <w:tcBorders>
              <w:top w:val="single" w:color="auto" w:sz="4" w:space="0"/>
              <w:left w:val="nil"/>
              <w:bottom w:val="single" w:color="auto" w:sz="4" w:space="0"/>
              <w:right w:val="single" w:color="auto" w:sz="4" w:space="0"/>
            </w:tcBorders>
            <w:noWrap w:val="0"/>
            <w:vAlign w:val="center"/>
          </w:tcPr>
          <w:p w14:paraId="51F1BDFA">
            <w:pPr>
              <w:pageBreakBefore w:val="0"/>
              <w:kinsoku/>
              <w:overflowPunct/>
              <w:topLinePunct w:val="0"/>
              <w:bidi w:val="0"/>
              <w:spacing w:before="120" w:beforeLines="50" w:line="360" w:lineRule="auto"/>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小写：¥</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kern w:val="0"/>
                <w:sz w:val="22"/>
                <w:szCs w:val="22"/>
                <w:highlight w:val="none"/>
              </w:rPr>
              <w:t>元</w:t>
            </w:r>
          </w:p>
          <w:p w14:paraId="795BB050">
            <w:pPr>
              <w:pageBreakBefore w:val="0"/>
              <w:kinsoku/>
              <w:overflowPunct/>
              <w:topLinePunct w:val="0"/>
              <w:bidi w:val="0"/>
              <w:spacing w:line="360" w:lineRule="auto"/>
              <w:ind w:right="-351" w:rightChars="-167"/>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大写：</w:t>
            </w:r>
            <w:r>
              <w:rPr>
                <w:rFonts w:hint="eastAsia" w:ascii="宋体" w:hAnsi="宋体" w:eastAsia="宋体" w:cs="宋体"/>
                <w:bCs/>
                <w:color w:val="auto"/>
                <w:kern w:val="0"/>
                <w:sz w:val="22"/>
                <w:szCs w:val="22"/>
                <w:highlight w:val="none"/>
                <w:u w:val="single"/>
              </w:rPr>
              <w:t xml:space="preserve">                        </w:t>
            </w:r>
          </w:p>
        </w:tc>
      </w:tr>
      <w:tr w14:paraId="3D8DFF95">
        <w:tblPrEx>
          <w:tblCellMar>
            <w:top w:w="0" w:type="dxa"/>
            <w:left w:w="108" w:type="dxa"/>
            <w:bottom w:w="0" w:type="dxa"/>
            <w:right w:w="108" w:type="dxa"/>
          </w:tblCellMar>
        </w:tblPrEx>
        <w:trPr>
          <w:trHeight w:val="870"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075FC333">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工 期</w:t>
            </w:r>
          </w:p>
        </w:tc>
        <w:tc>
          <w:tcPr>
            <w:tcW w:w="6828" w:type="dxa"/>
            <w:tcBorders>
              <w:top w:val="single" w:color="auto" w:sz="4" w:space="0"/>
              <w:left w:val="nil"/>
              <w:bottom w:val="single" w:color="auto" w:sz="4" w:space="0"/>
              <w:right w:val="single" w:color="auto" w:sz="4" w:space="0"/>
            </w:tcBorders>
            <w:noWrap w:val="0"/>
            <w:vAlign w:val="center"/>
          </w:tcPr>
          <w:p w14:paraId="133D0521">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p>
        </w:tc>
      </w:tr>
      <w:tr w14:paraId="37EE54CB">
        <w:tblPrEx>
          <w:tblCellMar>
            <w:top w:w="0" w:type="dxa"/>
            <w:left w:w="108" w:type="dxa"/>
            <w:bottom w:w="0" w:type="dxa"/>
            <w:right w:w="108" w:type="dxa"/>
          </w:tblCellMar>
        </w:tblPrEx>
        <w:trPr>
          <w:trHeight w:val="900"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0D95A194">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质 量</w:t>
            </w:r>
          </w:p>
        </w:tc>
        <w:tc>
          <w:tcPr>
            <w:tcW w:w="6828" w:type="dxa"/>
            <w:tcBorders>
              <w:top w:val="single" w:color="auto" w:sz="4" w:space="0"/>
              <w:left w:val="nil"/>
              <w:bottom w:val="single" w:color="auto" w:sz="4" w:space="0"/>
              <w:right w:val="single" w:color="auto" w:sz="4" w:space="0"/>
            </w:tcBorders>
            <w:noWrap w:val="0"/>
            <w:vAlign w:val="center"/>
          </w:tcPr>
          <w:p w14:paraId="0AF00D52">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p>
        </w:tc>
      </w:tr>
      <w:tr w14:paraId="60F4DE9F">
        <w:tblPrEx>
          <w:tblCellMar>
            <w:top w:w="0" w:type="dxa"/>
            <w:left w:w="108" w:type="dxa"/>
            <w:bottom w:w="0" w:type="dxa"/>
            <w:right w:w="108" w:type="dxa"/>
          </w:tblCellMar>
        </w:tblPrEx>
        <w:trPr>
          <w:trHeight w:val="903"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3DC5AB1B">
            <w:pPr>
              <w:pageBreakBefore w:val="0"/>
              <w:kinsoku/>
              <w:overflowPunct/>
              <w:topLinePunct w:val="0"/>
              <w:bidi w:val="0"/>
              <w:spacing w:line="36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备注</w:t>
            </w:r>
          </w:p>
        </w:tc>
        <w:tc>
          <w:tcPr>
            <w:tcW w:w="6828" w:type="dxa"/>
            <w:tcBorders>
              <w:top w:val="single" w:color="auto" w:sz="4" w:space="0"/>
              <w:left w:val="nil"/>
              <w:bottom w:val="single" w:color="auto" w:sz="4" w:space="0"/>
              <w:right w:val="single" w:color="auto" w:sz="4" w:space="0"/>
            </w:tcBorders>
            <w:noWrap w:val="0"/>
            <w:vAlign w:val="center"/>
          </w:tcPr>
          <w:p w14:paraId="4DBA6799">
            <w:pPr>
              <w:pageBreakBefore w:val="0"/>
              <w:kinsoku/>
              <w:overflowPunct/>
              <w:topLinePunct w:val="0"/>
              <w:autoSpaceDE w:val="0"/>
              <w:autoSpaceDN w:val="0"/>
              <w:bidi w:val="0"/>
              <w:adjustRightInd w:val="0"/>
              <w:snapToGrid w:val="0"/>
              <w:spacing w:before="120" w:beforeLines="50" w:line="400" w:lineRule="atLeas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1.本报价表格式不允许变更。若表中的项目内容确需增项，可在“备注”栏内补充。</w:t>
            </w:r>
          </w:p>
          <w:p w14:paraId="7646BFD5">
            <w:pPr>
              <w:pageBreakBefore w:val="0"/>
              <w:kinsoku/>
              <w:overflowPunct/>
              <w:topLinePunct w:val="0"/>
              <w:bidi w:val="0"/>
              <w:spacing w:before="120" w:beforeLines="50" w:line="360" w:lineRule="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 xml:space="preserve">    2.本报价为完成本次项目内容所需的全部费用。</w:t>
            </w:r>
          </w:p>
        </w:tc>
      </w:tr>
    </w:tbl>
    <w:p w14:paraId="7161F0E6">
      <w:pPr>
        <w:pageBreakBefore w:val="0"/>
        <w:tabs>
          <w:tab w:val="left" w:pos="720"/>
        </w:tabs>
        <w:kinsoku/>
        <w:overflowPunct/>
        <w:topLinePunct w:val="0"/>
        <w:bidi w:val="0"/>
        <w:spacing w:before="120" w:beforeLines="50" w:line="480" w:lineRule="exact"/>
        <w:jc w:val="left"/>
        <w:outlineLvl w:val="9"/>
        <w:rPr>
          <w:rFonts w:hint="eastAsia" w:ascii="宋体" w:hAnsi="宋体" w:eastAsia="宋体" w:cs="宋体"/>
          <w:b w:val="0"/>
          <w:bCs w:val="0"/>
          <w:color w:val="auto"/>
          <w:sz w:val="24"/>
          <w:highlight w:val="none"/>
        </w:rPr>
      </w:pPr>
    </w:p>
    <w:p w14:paraId="38C3E5B7">
      <w:pPr>
        <w:keepNext w:val="0"/>
        <w:keepLines w:val="0"/>
        <w:pageBreakBefore w:val="0"/>
        <w:widowControl w:val="0"/>
        <w:kinsoku/>
        <w:wordWrap/>
        <w:overflowPunct/>
        <w:topLinePunct w:val="0"/>
        <w:autoSpaceDE/>
        <w:autoSpaceDN/>
        <w:bidi w:val="0"/>
        <w:adjustRightInd/>
        <w:snapToGrid/>
        <w:spacing w:line="600" w:lineRule="exact"/>
        <w:ind w:left="218" w:leftChars="104" w:firstLine="0" w:firstLine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  章）</w:t>
      </w:r>
    </w:p>
    <w:p w14:paraId="5AD2DF0F">
      <w:pPr>
        <w:keepNext w:val="0"/>
        <w:keepLines w:val="0"/>
        <w:pageBreakBefore w:val="0"/>
        <w:widowControl w:val="0"/>
        <w:kinsoku/>
        <w:wordWrap/>
        <w:overflowPunct/>
        <w:topLinePunct w:val="0"/>
        <w:autoSpaceDE/>
        <w:autoSpaceDN/>
        <w:bidi w:val="0"/>
        <w:adjustRightInd/>
        <w:snapToGrid/>
        <w:spacing w:line="600" w:lineRule="exact"/>
        <w:ind w:left="218" w:leftChars="104" w:firstLine="0" w:firstLineChars="0"/>
        <w:textAlignment w:val="auto"/>
        <w:outlineLvl w:val="9"/>
        <w:rPr>
          <w:rFonts w:hint="eastAsia" w:ascii="宋体" w:hAnsi="宋体" w:eastAsia="宋体" w:cs="宋体"/>
          <w:color w:val="auto"/>
          <w:sz w:val="24"/>
          <w:highlight w:val="none"/>
        </w:rPr>
      </w:pPr>
    </w:p>
    <w:p w14:paraId="41DA97B3">
      <w:pPr>
        <w:keepNext w:val="0"/>
        <w:keepLines w:val="0"/>
        <w:pageBreakBefore w:val="0"/>
        <w:widowControl w:val="0"/>
        <w:kinsoku/>
        <w:wordWrap/>
        <w:overflowPunct/>
        <w:topLinePunct w:val="0"/>
        <w:autoSpaceDE/>
        <w:autoSpaceDN/>
        <w:bidi w:val="0"/>
        <w:adjustRightInd/>
        <w:snapToGrid/>
        <w:spacing w:line="600" w:lineRule="exact"/>
        <w:ind w:left="218" w:leftChars="104" w:firstLine="0" w:firstLine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52B9C702">
      <w:pPr>
        <w:keepNext w:val="0"/>
        <w:keepLines w:val="0"/>
        <w:pageBreakBefore w:val="0"/>
        <w:widowControl w:val="0"/>
        <w:kinsoku/>
        <w:wordWrap/>
        <w:overflowPunct/>
        <w:topLinePunct w:val="0"/>
        <w:autoSpaceDE/>
        <w:autoSpaceDN/>
        <w:bidi w:val="0"/>
        <w:adjustRightInd/>
        <w:snapToGrid/>
        <w:spacing w:line="600" w:lineRule="exact"/>
        <w:ind w:left="218" w:leftChars="104" w:firstLine="0" w:firstLineChars="0"/>
        <w:textAlignment w:val="auto"/>
        <w:outlineLvl w:val="9"/>
        <w:rPr>
          <w:rFonts w:hint="eastAsia" w:ascii="宋体" w:hAnsi="宋体" w:eastAsia="宋体" w:cs="宋体"/>
          <w:color w:val="auto"/>
          <w:sz w:val="24"/>
          <w:highlight w:val="none"/>
        </w:rPr>
      </w:pPr>
    </w:p>
    <w:p w14:paraId="648A867D">
      <w:pPr>
        <w:keepNext w:val="0"/>
        <w:keepLines w:val="0"/>
        <w:pageBreakBefore w:val="0"/>
        <w:widowControl w:val="0"/>
        <w:kinsoku/>
        <w:wordWrap/>
        <w:overflowPunct/>
        <w:topLinePunct w:val="0"/>
        <w:autoSpaceDE/>
        <w:autoSpaceDN/>
        <w:bidi w:val="0"/>
        <w:adjustRightInd/>
        <w:snapToGrid/>
        <w:spacing w:line="600" w:lineRule="exact"/>
        <w:ind w:left="218" w:leftChars="104" w:firstLine="0" w:firstLineChars="0"/>
        <w:jc w:val="both"/>
        <w:textAlignment w:val="auto"/>
        <w:outlineLvl w:val="9"/>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日      期：</w:t>
      </w:r>
      <w:r>
        <w:rPr>
          <w:rFonts w:hint="eastAsia" w:ascii="宋体" w:hAnsi="宋体" w:eastAsia="宋体" w:cs="宋体"/>
          <w:color w:val="auto"/>
          <w:kern w:val="2"/>
          <w:sz w:val="24"/>
          <w:szCs w:val="20"/>
          <w:highlight w:val="none"/>
          <w:u w:val="single"/>
          <w:lang w:val="en-US" w:eastAsia="zh-CN" w:bidi="ar-SA"/>
        </w:rPr>
        <w:t xml:space="preserve">                           </w:t>
      </w:r>
    </w:p>
    <w:p w14:paraId="3E8C1607">
      <w:pPr>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u w:val="single"/>
          <w:lang w:val="en-US" w:eastAsia="zh-CN" w:bidi="ar-SA"/>
        </w:rPr>
        <w:br w:type="page"/>
      </w:r>
    </w:p>
    <w:p w14:paraId="2A2ABC7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15、技术响应偏离表</w:t>
      </w:r>
    </w:p>
    <w:p w14:paraId="4F603DA0">
      <w:pPr>
        <w:spacing w:line="360" w:lineRule="auto"/>
        <w:jc w:val="both"/>
        <w:textAlignment w:val="baseline"/>
        <w:rPr>
          <w:rFonts w:hint="eastAsia" w:ascii="宋体" w:hAnsi="宋体" w:eastAsia="宋体" w:cs="宋体"/>
          <w:sz w:val="24"/>
          <w:highlight w:val="none"/>
        </w:rPr>
      </w:pPr>
    </w:p>
    <w:p w14:paraId="049018D0">
      <w:pPr>
        <w:spacing w:line="360" w:lineRule="auto"/>
        <w:jc w:val="both"/>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项目名称：</w:t>
      </w:r>
    </w:p>
    <w:p w14:paraId="0A2B8655">
      <w:pPr>
        <w:spacing w:line="360" w:lineRule="auto"/>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项目编号：</w:t>
      </w:r>
    </w:p>
    <w:tbl>
      <w:tblPr>
        <w:tblStyle w:val="14"/>
        <w:tblW w:w="10113" w:type="dxa"/>
        <w:tblInd w:w="-5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028C91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830ACB8">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14:paraId="2C20938E">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要求</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7E68E33">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响应</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D30F49F">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偏离情况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8C3FA8">
            <w:pPr>
              <w:adjustRightInd w:val="0"/>
              <w:snapToGrid w:val="0"/>
              <w:spacing w:before="190" w:beforeLines="50" w:line="360" w:lineRule="auto"/>
              <w:jc w:val="center"/>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备注</w:t>
            </w:r>
          </w:p>
        </w:tc>
      </w:tr>
      <w:tr w14:paraId="16E536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E537F4E">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4DFFEA00">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3F8CCD6">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A097F7">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5E1B9C3">
            <w:pPr>
              <w:adjustRightInd w:val="0"/>
              <w:snapToGrid w:val="0"/>
              <w:spacing w:before="190" w:beforeLines="50" w:line="360" w:lineRule="auto"/>
              <w:ind w:left="43"/>
              <w:jc w:val="center"/>
              <w:rPr>
                <w:rFonts w:hint="eastAsia" w:ascii="宋体" w:hAnsi="宋体" w:eastAsia="宋体" w:cs="宋体"/>
                <w:b/>
                <w:sz w:val="24"/>
                <w:highlight w:val="none"/>
              </w:rPr>
            </w:pPr>
          </w:p>
        </w:tc>
      </w:tr>
      <w:tr w14:paraId="5B3392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B8C2868">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625F16F8">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5BD98C4">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315F24B">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0D7B2A9">
            <w:pPr>
              <w:adjustRightInd w:val="0"/>
              <w:snapToGrid w:val="0"/>
              <w:spacing w:before="190" w:beforeLines="50" w:line="360" w:lineRule="auto"/>
              <w:ind w:left="43"/>
              <w:jc w:val="center"/>
              <w:rPr>
                <w:rFonts w:hint="eastAsia" w:ascii="宋体" w:hAnsi="宋体" w:eastAsia="宋体" w:cs="宋体"/>
                <w:b/>
                <w:sz w:val="24"/>
                <w:highlight w:val="none"/>
              </w:rPr>
            </w:pPr>
          </w:p>
        </w:tc>
      </w:tr>
      <w:tr w14:paraId="3452AA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F3499D7">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61C886E4">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27BF9CB3">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4D4E6C3">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083DF8D">
            <w:pPr>
              <w:adjustRightInd w:val="0"/>
              <w:snapToGrid w:val="0"/>
              <w:spacing w:before="190" w:beforeLines="50" w:line="360" w:lineRule="auto"/>
              <w:ind w:left="43"/>
              <w:jc w:val="center"/>
              <w:rPr>
                <w:rFonts w:hint="eastAsia" w:ascii="宋体" w:hAnsi="宋体" w:eastAsia="宋体" w:cs="宋体"/>
                <w:b/>
                <w:sz w:val="24"/>
                <w:highlight w:val="none"/>
              </w:rPr>
            </w:pPr>
          </w:p>
        </w:tc>
      </w:tr>
      <w:tr w14:paraId="51EF57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04545E4">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0A171A98">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520E755">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9A05C89">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BF6F8A1">
            <w:pPr>
              <w:adjustRightInd w:val="0"/>
              <w:snapToGrid w:val="0"/>
              <w:spacing w:before="190" w:beforeLines="50" w:line="360" w:lineRule="auto"/>
              <w:jc w:val="center"/>
              <w:rPr>
                <w:rFonts w:hint="eastAsia" w:ascii="宋体" w:hAnsi="宋体" w:eastAsia="宋体" w:cs="宋体"/>
                <w:b/>
                <w:sz w:val="24"/>
                <w:highlight w:val="none"/>
              </w:rPr>
            </w:pPr>
          </w:p>
        </w:tc>
      </w:tr>
      <w:tr w14:paraId="46DB5A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2278E07">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7C74190D">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3E759FDB">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FE50128">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20B60B4">
            <w:pPr>
              <w:adjustRightInd w:val="0"/>
              <w:snapToGrid w:val="0"/>
              <w:spacing w:before="190" w:beforeLines="50" w:line="360" w:lineRule="auto"/>
              <w:jc w:val="center"/>
              <w:rPr>
                <w:rFonts w:hint="eastAsia" w:ascii="宋体" w:hAnsi="宋体" w:eastAsia="宋体" w:cs="宋体"/>
                <w:b/>
                <w:sz w:val="24"/>
                <w:highlight w:val="none"/>
              </w:rPr>
            </w:pPr>
          </w:p>
        </w:tc>
      </w:tr>
      <w:tr w14:paraId="1514C3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AB25497">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28C727E2">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178A6A0">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51CB5DD">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454B219">
            <w:pPr>
              <w:adjustRightInd w:val="0"/>
              <w:snapToGrid w:val="0"/>
              <w:spacing w:before="190" w:beforeLines="50" w:line="360" w:lineRule="auto"/>
              <w:jc w:val="center"/>
              <w:rPr>
                <w:rFonts w:hint="eastAsia" w:ascii="宋体" w:hAnsi="宋体" w:eastAsia="宋体" w:cs="宋体"/>
                <w:b/>
                <w:sz w:val="24"/>
                <w:highlight w:val="none"/>
              </w:rPr>
            </w:pPr>
          </w:p>
        </w:tc>
      </w:tr>
    </w:tbl>
    <w:p w14:paraId="54A6EA44">
      <w:pPr>
        <w:tabs>
          <w:tab w:val="left" w:pos="6300"/>
        </w:tabs>
        <w:snapToGrid w:val="0"/>
        <w:spacing w:before="190"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注：1.本表须按</w:t>
      </w:r>
      <w:r>
        <w:rPr>
          <w:rFonts w:hint="eastAsia" w:ascii="宋体" w:hAnsi="宋体" w:eastAsia="宋体" w:cs="宋体"/>
          <w:sz w:val="24"/>
          <w:szCs w:val="24"/>
          <w:highlight w:val="none"/>
          <w:lang w:val="en-US" w:eastAsia="zh-CN"/>
        </w:rPr>
        <w:t>采购文件技术</w:t>
      </w:r>
      <w:r>
        <w:rPr>
          <w:rFonts w:hint="eastAsia" w:ascii="宋体" w:hAnsi="宋体" w:eastAsia="宋体" w:cs="宋体"/>
          <w:sz w:val="24"/>
          <w:szCs w:val="24"/>
          <w:highlight w:val="none"/>
          <w:lang w:eastAsia="zh-CN"/>
        </w:rPr>
        <w:t>要求所列各项条款</w:t>
      </w:r>
      <w:r>
        <w:rPr>
          <w:rFonts w:hint="eastAsia" w:ascii="宋体" w:hAnsi="宋体" w:eastAsia="宋体" w:cs="宋体"/>
          <w:sz w:val="24"/>
          <w:szCs w:val="24"/>
          <w:highlight w:val="none"/>
        </w:rPr>
        <w:t>进行比较和响应；</w:t>
      </w:r>
    </w:p>
    <w:p w14:paraId="0F511F75">
      <w:pPr>
        <w:widowControl w:val="0"/>
        <w:spacing w:line="360" w:lineRule="auto"/>
        <w:ind w:firstLine="480" w:firstLineChars="20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2.在“偏离情况”项填写正偏离、负偏离或无偏离。</w:t>
      </w:r>
    </w:p>
    <w:p w14:paraId="6AFD531D">
      <w:pPr>
        <w:adjustRightInd w:val="0"/>
        <w:snapToGrid w:val="0"/>
        <w:spacing w:line="600" w:lineRule="auto"/>
        <w:ind w:firstLine="1920" w:firstLineChars="800"/>
        <w:rPr>
          <w:rFonts w:hint="eastAsia" w:ascii="宋体" w:hAnsi="宋体" w:eastAsia="宋体" w:cs="宋体"/>
          <w:color w:val="auto"/>
          <w:sz w:val="24"/>
          <w:szCs w:val="24"/>
          <w:highlight w:val="none"/>
          <w:lang w:eastAsia="zh-CN"/>
        </w:rPr>
      </w:pPr>
    </w:p>
    <w:p w14:paraId="697DD2EE">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410F07F4">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20D39CB6">
      <w:pPr>
        <w:autoSpaceDE w:val="0"/>
        <w:autoSpaceDN w:val="0"/>
        <w:adjustRightInd w:val="0"/>
        <w:spacing w:line="60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78FEFD">
      <w:pPr>
        <w:rPr>
          <w:rFonts w:hint="eastAsia"/>
          <w:sz w:val="24"/>
          <w:szCs w:val="24"/>
          <w:lang w:val="en-US" w:eastAsia="zh-CN"/>
        </w:rPr>
      </w:pPr>
    </w:p>
    <w:p w14:paraId="554A738F">
      <w:pPr>
        <w:pStyle w:val="5"/>
        <w:rPr>
          <w:rFonts w:hint="eastAsia"/>
          <w:lang w:val="en-US" w:eastAsia="zh-CN"/>
        </w:rPr>
      </w:pPr>
    </w:p>
    <w:p w14:paraId="4512FE5E">
      <w:pPr>
        <w:spacing w:line="500" w:lineRule="exact"/>
        <w:ind w:firstLine="420"/>
        <w:rPr>
          <w:rFonts w:hint="eastAsia" w:ascii="宋体" w:hAnsi="宋体" w:cs="宋体"/>
          <w:sz w:val="24"/>
          <w:lang w:val="en-US" w:eastAsia="zh-CN"/>
        </w:rPr>
      </w:pPr>
    </w:p>
    <w:p w14:paraId="6446750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16、商务响应偏离表</w:t>
      </w:r>
    </w:p>
    <w:p w14:paraId="6E3E5E5E">
      <w:pPr>
        <w:spacing w:line="360" w:lineRule="auto"/>
        <w:jc w:val="both"/>
        <w:textAlignment w:val="baseline"/>
        <w:rPr>
          <w:rFonts w:hint="eastAsia" w:ascii="宋体" w:hAnsi="宋体" w:eastAsia="宋体" w:cs="宋体"/>
          <w:sz w:val="24"/>
          <w:highlight w:val="none"/>
        </w:rPr>
      </w:pPr>
    </w:p>
    <w:p w14:paraId="4AC4BF7D">
      <w:pPr>
        <w:spacing w:line="360" w:lineRule="auto"/>
        <w:jc w:val="both"/>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项目名称：</w:t>
      </w:r>
    </w:p>
    <w:p w14:paraId="0AB1973D">
      <w:pPr>
        <w:spacing w:line="360" w:lineRule="auto"/>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项目编号：</w:t>
      </w:r>
    </w:p>
    <w:tbl>
      <w:tblPr>
        <w:tblStyle w:val="14"/>
        <w:tblW w:w="10113" w:type="dxa"/>
        <w:tblInd w:w="-5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5AD195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E9D5647">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14:paraId="47B33638">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商务</w:t>
            </w:r>
            <w:r>
              <w:rPr>
                <w:rFonts w:hint="eastAsia" w:ascii="宋体" w:hAnsi="宋体" w:eastAsia="宋体" w:cs="宋体"/>
                <w:sz w:val="24"/>
                <w:highlight w:val="none"/>
              </w:rPr>
              <w:t>要求</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0514A22">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商务</w:t>
            </w:r>
            <w:r>
              <w:rPr>
                <w:rFonts w:hint="eastAsia" w:ascii="宋体" w:hAnsi="宋体" w:eastAsia="宋体" w:cs="宋体"/>
                <w:sz w:val="24"/>
                <w:highlight w:val="none"/>
              </w:rPr>
              <w:t>响应</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70841C">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偏离情况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00523C0">
            <w:pPr>
              <w:adjustRightInd w:val="0"/>
              <w:snapToGrid w:val="0"/>
              <w:spacing w:before="190" w:beforeLines="50" w:line="360" w:lineRule="auto"/>
              <w:jc w:val="center"/>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备注</w:t>
            </w:r>
          </w:p>
        </w:tc>
      </w:tr>
      <w:tr w14:paraId="1DF68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CDCBB2E">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2265706F">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2A99A4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5C7731F">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FA33BC4">
            <w:pPr>
              <w:adjustRightInd w:val="0"/>
              <w:snapToGrid w:val="0"/>
              <w:spacing w:before="190" w:beforeLines="50" w:line="360" w:lineRule="auto"/>
              <w:ind w:left="43"/>
              <w:jc w:val="center"/>
              <w:rPr>
                <w:rFonts w:hint="eastAsia" w:ascii="宋体" w:hAnsi="宋体" w:eastAsia="宋体" w:cs="宋体"/>
                <w:b/>
                <w:sz w:val="24"/>
                <w:highlight w:val="none"/>
              </w:rPr>
            </w:pPr>
          </w:p>
        </w:tc>
      </w:tr>
      <w:tr w14:paraId="01F31C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2"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6B9ACF7">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48907258">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002210C">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959920D">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9BBCDF5">
            <w:pPr>
              <w:adjustRightInd w:val="0"/>
              <w:snapToGrid w:val="0"/>
              <w:spacing w:before="190" w:beforeLines="50" w:line="360" w:lineRule="auto"/>
              <w:ind w:left="43"/>
              <w:jc w:val="center"/>
              <w:rPr>
                <w:rFonts w:hint="eastAsia" w:ascii="宋体" w:hAnsi="宋体" w:eastAsia="宋体" w:cs="宋体"/>
                <w:b/>
                <w:sz w:val="24"/>
                <w:highlight w:val="none"/>
              </w:rPr>
            </w:pPr>
          </w:p>
        </w:tc>
      </w:tr>
      <w:tr w14:paraId="339238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BEDAE8B">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5651932F">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64957E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17B16C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5E832AB">
            <w:pPr>
              <w:adjustRightInd w:val="0"/>
              <w:snapToGrid w:val="0"/>
              <w:spacing w:before="190" w:beforeLines="50" w:line="360" w:lineRule="auto"/>
              <w:ind w:left="43"/>
              <w:jc w:val="center"/>
              <w:rPr>
                <w:rFonts w:hint="eastAsia" w:ascii="宋体" w:hAnsi="宋体" w:eastAsia="宋体" w:cs="宋体"/>
                <w:b/>
                <w:sz w:val="24"/>
                <w:highlight w:val="none"/>
              </w:rPr>
            </w:pPr>
          </w:p>
        </w:tc>
      </w:tr>
      <w:tr w14:paraId="68A406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DBCE0BB">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77F6EA59">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15BAEA0">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C01702">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CA92197">
            <w:pPr>
              <w:adjustRightInd w:val="0"/>
              <w:snapToGrid w:val="0"/>
              <w:spacing w:before="190" w:beforeLines="50" w:line="360" w:lineRule="auto"/>
              <w:jc w:val="center"/>
              <w:rPr>
                <w:rFonts w:hint="eastAsia" w:ascii="宋体" w:hAnsi="宋体" w:eastAsia="宋体" w:cs="宋体"/>
                <w:b/>
                <w:sz w:val="24"/>
                <w:highlight w:val="none"/>
              </w:rPr>
            </w:pPr>
          </w:p>
        </w:tc>
      </w:tr>
      <w:tr w14:paraId="129E93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00B406E">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11B2CFB7">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FF736B7">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D3D927A">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A3EC2A">
            <w:pPr>
              <w:adjustRightInd w:val="0"/>
              <w:snapToGrid w:val="0"/>
              <w:spacing w:before="190" w:beforeLines="50" w:line="360" w:lineRule="auto"/>
              <w:jc w:val="center"/>
              <w:rPr>
                <w:rFonts w:hint="eastAsia" w:ascii="宋体" w:hAnsi="宋体" w:eastAsia="宋体" w:cs="宋体"/>
                <w:b/>
                <w:sz w:val="24"/>
                <w:highlight w:val="none"/>
              </w:rPr>
            </w:pPr>
          </w:p>
        </w:tc>
      </w:tr>
      <w:tr w14:paraId="577264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4"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94039A5">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1731A222">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E855DB8">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58909E8">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FF4F237">
            <w:pPr>
              <w:adjustRightInd w:val="0"/>
              <w:snapToGrid w:val="0"/>
              <w:spacing w:before="190" w:beforeLines="50" w:line="360" w:lineRule="auto"/>
              <w:jc w:val="center"/>
              <w:rPr>
                <w:rFonts w:hint="eastAsia" w:ascii="宋体" w:hAnsi="宋体" w:eastAsia="宋体" w:cs="宋体"/>
                <w:b/>
                <w:sz w:val="24"/>
                <w:highlight w:val="none"/>
              </w:rPr>
            </w:pPr>
          </w:p>
        </w:tc>
      </w:tr>
    </w:tbl>
    <w:p w14:paraId="6E3FF35A">
      <w:pPr>
        <w:tabs>
          <w:tab w:val="left" w:pos="6300"/>
        </w:tabs>
        <w:snapToGrid w:val="0"/>
        <w:spacing w:before="190"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注：1.本表须按</w:t>
      </w:r>
      <w:r>
        <w:rPr>
          <w:rFonts w:hint="eastAsia" w:ascii="宋体" w:hAnsi="宋体" w:eastAsia="宋体" w:cs="宋体"/>
          <w:sz w:val="24"/>
          <w:szCs w:val="24"/>
          <w:highlight w:val="none"/>
          <w:lang w:val="en-US" w:eastAsia="zh-CN"/>
        </w:rPr>
        <w:t>采购文件商务</w:t>
      </w:r>
      <w:r>
        <w:rPr>
          <w:rFonts w:hint="eastAsia" w:ascii="宋体" w:hAnsi="宋体" w:eastAsia="宋体" w:cs="宋体"/>
          <w:sz w:val="24"/>
          <w:szCs w:val="24"/>
          <w:highlight w:val="none"/>
          <w:lang w:eastAsia="zh-CN"/>
        </w:rPr>
        <w:t>要求所列各项条款</w:t>
      </w:r>
      <w:r>
        <w:rPr>
          <w:rFonts w:hint="eastAsia" w:ascii="宋体" w:hAnsi="宋体" w:eastAsia="宋体" w:cs="宋体"/>
          <w:sz w:val="24"/>
          <w:szCs w:val="24"/>
          <w:highlight w:val="none"/>
        </w:rPr>
        <w:t>进行比较和响应；</w:t>
      </w:r>
    </w:p>
    <w:p w14:paraId="22377F3A">
      <w:pPr>
        <w:widowControl w:val="0"/>
        <w:spacing w:line="360" w:lineRule="auto"/>
        <w:ind w:firstLine="480" w:firstLineChars="20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2.在“偏离情况”项填写正偏离、负偏离或无偏离。</w:t>
      </w:r>
    </w:p>
    <w:p w14:paraId="3C867D6A">
      <w:pPr>
        <w:adjustRightInd w:val="0"/>
        <w:snapToGrid w:val="0"/>
        <w:spacing w:line="600" w:lineRule="auto"/>
        <w:ind w:firstLine="1920" w:firstLineChars="800"/>
        <w:rPr>
          <w:rFonts w:hint="eastAsia" w:ascii="宋体" w:hAnsi="宋体" w:eastAsia="宋体" w:cs="宋体"/>
          <w:color w:val="auto"/>
          <w:sz w:val="24"/>
          <w:szCs w:val="24"/>
          <w:highlight w:val="none"/>
          <w:lang w:eastAsia="zh-CN"/>
        </w:rPr>
      </w:pPr>
    </w:p>
    <w:p w14:paraId="10ED3998">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445A3E6D">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2A75123C">
      <w:pPr>
        <w:autoSpaceDE w:val="0"/>
        <w:autoSpaceDN w:val="0"/>
        <w:adjustRightInd w:val="0"/>
        <w:spacing w:line="60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DF527D">
      <w:pPr>
        <w:rPr>
          <w:rFonts w:hint="eastAsia" w:ascii="宋体" w:hAnsi="宋体" w:cs="宋体"/>
          <w:sz w:val="24"/>
          <w:lang w:val="en-US" w:eastAsia="zh-CN"/>
        </w:rPr>
      </w:pPr>
    </w:p>
    <w:p w14:paraId="447A16ED">
      <w:pPr>
        <w:spacing w:line="500" w:lineRule="exact"/>
        <w:ind w:firstLine="420"/>
        <w:rPr>
          <w:rFonts w:hint="eastAsia" w:ascii="宋体" w:hAnsi="宋体" w:cs="宋体"/>
          <w:sz w:val="24"/>
          <w:lang w:val="en-US" w:eastAsia="zh-CN"/>
        </w:rPr>
      </w:pPr>
    </w:p>
    <w:p w14:paraId="7914F1C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17、运维方案及组织设计</w:t>
      </w:r>
    </w:p>
    <w:p w14:paraId="671F0828">
      <w:pPr>
        <w:rPr>
          <w:rFonts w:hint="eastAsia" w:ascii="宋体" w:hAnsi="宋体" w:cs="宋体"/>
          <w:sz w:val="24"/>
          <w:lang w:val="en-US" w:eastAsia="zh-CN"/>
        </w:rPr>
      </w:pPr>
    </w:p>
    <w:p w14:paraId="70171E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请各投标人结合采购文件中《第三部分 磋商评审办法及内容》的比较与评价打分表涉及的条款，从实施方案、售后服务及服务团队、项目团队等方面编制运维方案及组织设计的具体内容。</w:t>
      </w:r>
    </w:p>
    <w:p w14:paraId="36687E5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3639FDB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3F39896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6106E9E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647428E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168C8CD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3698615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18、供应商业绩</w:t>
      </w:r>
    </w:p>
    <w:p w14:paraId="4DEE84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投标人提供2021年至今类似项目业绩（以合同签订时间为准），提供1份得1分，满分3分，须提供合同复印件、中标通知书复印件及验收报告复印件。</w:t>
      </w:r>
    </w:p>
    <w:p w14:paraId="30A0441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16BDD48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2595062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4D99D4A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0A07B48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4860822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p>
    <w:p w14:paraId="6D68F6A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19、供应商认为应说明的其他事项</w:t>
      </w:r>
    </w:p>
    <w:p w14:paraId="10376122">
      <w:pPr>
        <w:pStyle w:val="5"/>
        <w:rPr>
          <w:rFonts w:hint="eastAsia"/>
          <w:lang w:val="en-US" w:eastAsia="zh-CN"/>
        </w:rPr>
      </w:pPr>
    </w:p>
    <w:p w14:paraId="2D3E4D28">
      <w:pPr>
        <w:rPr>
          <w:rFonts w:hint="default"/>
          <w:sz w:val="24"/>
          <w:szCs w:val="24"/>
          <w:lang w:val="en-US" w:eastAsia="zh-CN"/>
        </w:rPr>
      </w:pPr>
    </w:p>
    <w:p w14:paraId="648DAAB2">
      <w:pPr>
        <w:rPr>
          <w:rFonts w:hint="default"/>
          <w:sz w:val="24"/>
          <w:szCs w:val="24"/>
          <w:lang w:val="en-US" w:eastAsia="zh-CN"/>
        </w:rPr>
      </w:pPr>
    </w:p>
    <w:p w14:paraId="5B857C8B">
      <w:pPr>
        <w:rPr>
          <w:rFonts w:hint="default"/>
          <w:sz w:val="24"/>
          <w:szCs w:val="24"/>
          <w:lang w:val="en-US" w:eastAsia="zh-CN"/>
        </w:rPr>
      </w:pPr>
    </w:p>
    <w:p w14:paraId="4965A5EF">
      <w:pPr>
        <w:rPr>
          <w:rFonts w:hint="default"/>
          <w:sz w:val="24"/>
          <w:szCs w:val="24"/>
          <w:lang w:val="en-US" w:eastAsia="zh-CN"/>
        </w:rPr>
      </w:pPr>
    </w:p>
    <w:p w14:paraId="02433A64">
      <w:pPr>
        <w:rPr>
          <w:rFonts w:hint="default"/>
          <w:sz w:val="24"/>
          <w:szCs w:val="24"/>
          <w:lang w:val="en-US" w:eastAsia="zh-CN"/>
        </w:rPr>
      </w:pPr>
    </w:p>
    <w:p w14:paraId="4F9989FB">
      <w:pPr>
        <w:rPr>
          <w:rFonts w:hint="default"/>
          <w:sz w:val="24"/>
          <w:szCs w:val="24"/>
          <w:lang w:val="en-US" w:eastAsia="zh-CN"/>
        </w:rPr>
      </w:pPr>
    </w:p>
    <w:p w14:paraId="1E35A60E">
      <w:pPr>
        <w:rPr>
          <w:rFonts w:hint="default"/>
          <w:sz w:val="32"/>
          <w:szCs w:val="32"/>
          <w:lang w:val="en-US" w:eastAsia="zh-CN"/>
        </w:rPr>
      </w:pPr>
      <w:r>
        <w:rPr>
          <w:rFonts w:hint="eastAsia"/>
          <w:sz w:val="32"/>
          <w:szCs w:val="32"/>
          <w:lang w:val="en-US" w:eastAsia="zh-CN"/>
        </w:rPr>
        <w:t>此页以下无内容</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27CE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72AF4F">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172AF4F">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0E5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07CA2B">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A07CA2B">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1A4B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DFF7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FDFF7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9A7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54B6C"/>
    <w:multiLevelType w:val="singleLevel"/>
    <w:tmpl w:val="BA454B6C"/>
    <w:lvl w:ilvl="0" w:tentative="0">
      <w:start w:val="1"/>
      <w:numFmt w:val="decimal"/>
      <w:suff w:val="nothing"/>
      <w:lvlText w:val="%1、"/>
      <w:lvlJc w:val="left"/>
    </w:lvl>
  </w:abstractNum>
  <w:abstractNum w:abstractNumId="1">
    <w:nsid w:val="DC62CD6A"/>
    <w:multiLevelType w:val="singleLevel"/>
    <w:tmpl w:val="DC62CD6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163C5"/>
    <w:rsid w:val="063876A4"/>
    <w:rsid w:val="06905192"/>
    <w:rsid w:val="09774799"/>
    <w:rsid w:val="0B3C4EB8"/>
    <w:rsid w:val="0B4002FA"/>
    <w:rsid w:val="0D6F52CB"/>
    <w:rsid w:val="10DD1A4C"/>
    <w:rsid w:val="11C02274"/>
    <w:rsid w:val="13EB1DF4"/>
    <w:rsid w:val="1460757D"/>
    <w:rsid w:val="1579026E"/>
    <w:rsid w:val="159266A5"/>
    <w:rsid w:val="16F9776F"/>
    <w:rsid w:val="194F7776"/>
    <w:rsid w:val="1986470C"/>
    <w:rsid w:val="1D0933D3"/>
    <w:rsid w:val="1E1046E0"/>
    <w:rsid w:val="1ED91EAE"/>
    <w:rsid w:val="22791318"/>
    <w:rsid w:val="25837A8A"/>
    <w:rsid w:val="2F781F2D"/>
    <w:rsid w:val="324E00CB"/>
    <w:rsid w:val="32B3229B"/>
    <w:rsid w:val="398279E2"/>
    <w:rsid w:val="40431237"/>
    <w:rsid w:val="41F05C9D"/>
    <w:rsid w:val="465B470D"/>
    <w:rsid w:val="51FA2EF3"/>
    <w:rsid w:val="545F361A"/>
    <w:rsid w:val="548163C5"/>
    <w:rsid w:val="54FD405D"/>
    <w:rsid w:val="56486A5C"/>
    <w:rsid w:val="571B6514"/>
    <w:rsid w:val="5E0E10C8"/>
    <w:rsid w:val="60A0180B"/>
    <w:rsid w:val="62B874C4"/>
    <w:rsid w:val="63E102C9"/>
    <w:rsid w:val="6B026917"/>
    <w:rsid w:val="6CC47F2E"/>
    <w:rsid w:val="72F07E56"/>
    <w:rsid w:val="740444D1"/>
    <w:rsid w:val="770F745E"/>
    <w:rsid w:val="7F16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after="50" w:afterLines="50" w:line="600" w:lineRule="exact"/>
      <w:jc w:val="center"/>
      <w:outlineLvl w:val="0"/>
    </w:pPr>
    <w:rPr>
      <w:rFonts w:ascii="Times New Roman" w:hAnsi="Times New Roman" w:eastAsia="宋体"/>
      <w:b/>
      <w:bCs/>
      <w:kern w:val="44"/>
      <w:sz w:val="30"/>
      <w:szCs w:val="44"/>
    </w:rPr>
  </w:style>
  <w:style w:type="paragraph" w:styleId="3">
    <w:name w:val="heading 2"/>
    <w:basedOn w:val="1"/>
    <w:next w:val="1"/>
    <w:unhideWhenUsed/>
    <w:qFormat/>
    <w:uiPriority w:val="0"/>
    <w:pPr>
      <w:keepNext/>
      <w:keepLines/>
      <w:spacing w:line="360" w:lineRule="auto"/>
      <w:jc w:val="center"/>
      <w:outlineLvl w:val="1"/>
    </w:pPr>
    <w:rPr>
      <w:rFonts w:ascii="Arial" w:hAnsi="Arial"/>
      <w:b/>
      <w:bCs/>
      <w:sz w:val="28"/>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rPr>
      <w:color w:val="000000"/>
      <w:szCs w:val="36"/>
    </w:rPr>
  </w:style>
  <w:style w:type="paragraph" w:styleId="5">
    <w:name w:val="Body Text"/>
    <w:basedOn w:val="1"/>
    <w:next w:val="6"/>
    <w:qFormat/>
    <w:uiPriority w:val="0"/>
    <w:rPr>
      <w:color w:val="993300"/>
      <w:sz w:val="24"/>
    </w:rPr>
  </w:style>
  <w:style w:type="paragraph" w:styleId="6">
    <w:name w:val="Body Text 2"/>
    <w:basedOn w:val="1"/>
    <w:unhideWhenUsed/>
    <w:qFormat/>
    <w:uiPriority w:val="99"/>
    <w:rPr>
      <w:sz w:val="28"/>
    </w:rPr>
  </w:style>
  <w:style w:type="paragraph" w:styleId="7">
    <w:name w:val="Block Text"/>
    <w:basedOn w:val="1"/>
    <w:qFormat/>
    <w:uiPriority w:val="99"/>
    <w:pPr>
      <w:adjustRightInd w:val="0"/>
      <w:ind w:left="420" w:right="33"/>
      <w:jc w:val="left"/>
      <w:textAlignment w:val="baseline"/>
    </w:pPr>
    <w:rPr>
      <w:kern w:val="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qFormat/>
    <w:uiPriority w:val="39"/>
    <w:pPr>
      <w:tabs>
        <w:tab w:val="right" w:leader="middleDot" w:pos="8760"/>
      </w:tabs>
      <w:spacing w:line="700" w:lineRule="exact"/>
    </w:pPr>
  </w:style>
  <w:style w:type="paragraph" w:styleId="11">
    <w:name w:val="toc 2"/>
    <w:basedOn w:val="1"/>
    <w:next w:val="1"/>
    <w:qFormat/>
    <w:uiPriority w:val="39"/>
    <w:pPr>
      <w:spacing w:line="240" w:lineRule="auto"/>
      <w:ind w:left="420" w:leftChars="200"/>
    </w:pPr>
  </w:style>
  <w:style w:type="paragraph" w:styleId="12">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100" w:beforeLines="0" w:beforeAutospacing="1" w:after="100" w:afterLines="0" w:afterAutospacing="1" w:line="240" w:lineRule="auto"/>
      <w:jc w:val="left"/>
    </w:pPr>
    <w:rPr>
      <w:rFonts w:ascii="宋体" w:hAnsi="宋体"/>
      <w:kern w:val="0"/>
      <w:sz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1"/>
    <w:basedOn w:val="1"/>
    <w:qFormat/>
    <w:uiPriority w:val="0"/>
    <w:pPr>
      <w:widowControl/>
      <w:autoSpaceDE w:val="0"/>
      <w:autoSpaceDN w:val="0"/>
      <w:adjustRightInd w:val="0"/>
      <w:ind w:firstLine="600" w:firstLineChars="250"/>
      <w:jc w:val="left"/>
    </w:pPr>
    <w:rPr>
      <w:rFonts w:ascii="宋体" w:hAnsi="宋体" w:cs="宋体"/>
      <w:bCs/>
      <w:kern w:val="0"/>
      <w:sz w:val="24"/>
    </w:rPr>
  </w:style>
  <w:style w:type="paragraph" w:customStyle="1" w:styleId="19">
    <w:name w:val="Table Paragraph"/>
    <w:basedOn w:val="1"/>
    <w:qFormat/>
    <w:uiPriority w:val="1"/>
    <w:rPr>
      <w:rFonts w:ascii="宋体" w:hAnsi="宋体" w:cs="宋体"/>
      <w:lang w:val="zh-CN" w:bidi="zh-CN"/>
    </w:rPr>
  </w:style>
  <w:style w:type="paragraph" w:styleId="20">
    <w:name w:val="List Paragraph"/>
    <w:basedOn w:val="1"/>
    <w:qFormat/>
    <w:uiPriority w:val="34"/>
    <w:pPr>
      <w:ind w:firstLine="420"/>
    </w:p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7808</Words>
  <Characters>8297</Characters>
  <Lines>0</Lines>
  <Paragraphs>0</Paragraphs>
  <TotalTime>17</TotalTime>
  <ScaleCrop>false</ScaleCrop>
  <LinksUpToDate>false</LinksUpToDate>
  <CharactersWithSpaces>8476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2025-10-09T03:00:00Z</dcterms:created>
  <dc:creator>中国梦</dc:creator>
  <cp:lastModifiedBy>中国梦</cp:lastModifiedBy>
  <dcterms:modified xsi:type="dcterms:W3CDTF">2025-10-14T08:11:35Z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FFE13E43F4424EDCB4B074B6AB360D20_11</vt:lpwstr>
  </property>
  <property fmtid="{D5CDD505-2E9C-101B-9397-08002B2CF9AE}" pid="4" name="KSOTemplateDocerSaveRecord">
    <vt:lpwstr>eyJoZGlkIjoiZDZmMzhmMzk2ZDI1NDAwM2VhYWMwMjJjNDQ1MDQ5MWMiLCJ1c2VySWQiOiI1OTE1Nzk0MzcifQ==</vt:lpwstr>
  </property>
</Properties>
</file>