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285F">
      <w:pPr>
        <w:pStyle w:val="2"/>
        <w:rPr>
          <w:rFonts w:hint="eastAsia" w:ascii="仿宋" w:hAnsi="仿宋" w:eastAsia="仿宋" w:cs="仿宋"/>
          <w:b/>
          <w:bCs/>
          <w:color w:val="333333"/>
          <w:kern w:val="0"/>
          <w:szCs w:val="32"/>
          <w:highlight w:val="none"/>
          <w:shd w:val="clear" w:color="auto" w:fill="FFFFFF"/>
          <w:lang w:val="en-US" w:eastAsia="zh-CN"/>
        </w:rPr>
      </w:pPr>
      <w:bookmarkStart w:id="0" w:name="_Toc24450"/>
      <w:bookmarkStart w:id="1" w:name="_Toc20148"/>
      <w:bookmarkStart w:id="2" w:name="_Toc5864"/>
      <w:bookmarkStart w:id="3" w:name="_Toc14801"/>
      <w:bookmarkStart w:id="4" w:name="_Toc15065"/>
      <w:bookmarkStart w:id="5" w:name="_Toc23891"/>
      <w:bookmarkStart w:id="6" w:name="_Toc19636"/>
      <w:bookmarkStart w:id="7" w:name="_Toc21716"/>
      <w:bookmarkStart w:id="8" w:name="_Toc20465"/>
      <w:r>
        <w:rPr>
          <w:rFonts w:hint="eastAsia" w:ascii="仿宋" w:hAnsi="仿宋" w:eastAsia="仿宋" w:cs="仿宋"/>
          <w:highlight w:val="none"/>
          <w:lang w:val="en-US" w:eastAsia="zh-CN"/>
        </w:rPr>
        <w:t xml:space="preserve"> </w:t>
      </w:r>
      <w:r>
        <w:rPr>
          <w:rFonts w:hint="eastAsia" w:ascii="仿宋" w:hAnsi="仿宋" w:eastAsia="仿宋" w:cs="仿宋"/>
          <w:b/>
          <w:bCs/>
          <w:color w:val="333333"/>
          <w:kern w:val="0"/>
          <w:szCs w:val="32"/>
          <w:highlight w:val="none"/>
          <w:shd w:val="clear" w:color="auto" w:fill="FFFFFF"/>
          <w:lang w:val="en-US" w:eastAsia="zh-CN"/>
        </w:rPr>
        <w:t>采购需求</w:t>
      </w:r>
      <w:bookmarkEnd w:id="0"/>
      <w:bookmarkEnd w:id="1"/>
      <w:bookmarkEnd w:id="2"/>
      <w:bookmarkEnd w:id="3"/>
      <w:bookmarkEnd w:id="4"/>
      <w:bookmarkEnd w:id="5"/>
      <w:bookmarkEnd w:id="6"/>
      <w:bookmarkEnd w:id="7"/>
      <w:bookmarkEnd w:id="8"/>
    </w:p>
    <w:p w14:paraId="70BE63D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仿宋" w:hAnsi="仿宋" w:eastAsia="仿宋" w:cs="仿宋"/>
          <w:b/>
          <w:bCs/>
          <w:sz w:val="30"/>
          <w:szCs w:val="30"/>
          <w:highlight w:val="none"/>
          <w:lang w:val="en-US" w:eastAsia="zh-CN"/>
        </w:rPr>
      </w:pPr>
      <w:bookmarkStart w:id="9" w:name="_Toc6634"/>
      <w:r>
        <w:rPr>
          <w:rFonts w:hint="eastAsia" w:ascii="仿宋" w:hAnsi="仿宋" w:eastAsia="仿宋" w:cs="仿宋"/>
          <w:b/>
          <w:bCs/>
          <w:sz w:val="30"/>
          <w:szCs w:val="30"/>
          <w:highlight w:val="none"/>
          <w:lang w:val="en-US" w:eastAsia="zh-CN"/>
        </w:rPr>
        <w:t>一、技术要求</w:t>
      </w:r>
      <w:bookmarkEnd w:id="9"/>
      <w:bookmarkStart w:id="11" w:name="_GoBack"/>
      <w:bookmarkEnd w:id="11"/>
    </w:p>
    <w:p w14:paraId="73F7F009">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（一）服务内容</w:t>
      </w:r>
    </w:p>
    <w:p w14:paraId="39E5DCBE">
      <w:pPr>
        <w:keepNext w:val="0"/>
        <w:keepLines w:val="0"/>
        <w:pageBreakBefore w:val="0"/>
        <w:widowControl w:val="0"/>
        <w:kinsoku/>
        <w:wordWrap/>
        <w:overflowPunct/>
        <w:topLinePunct w:val="0"/>
        <w:autoSpaceDE/>
        <w:autoSpaceDN/>
        <w:bidi w:val="0"/>
        <w:snapToGrid/>
        <w:spacing w:line="360" w:lineRule="auto"/>
        <w:ind w:firstLine="300" w:firstLineChars="100"/>
        <w:rPr>
          <w:rFonts w:hint="eastAsia" w:ascii="仿宋" w:hAnsi="仿宋" w:cs="仿宋"/>
          <w:sz w:val="30"/>
          <w:szCs w:val="30"/>
          <w:highlight w:val="none"/>
          <w:lang w:val="en-US" w:eastAsia="zh-CN"/>
        </w:rPr>
      </w:pPr>
      <w:r>
        <w:rPr>
          <w:rFonts w:hint="eastAsia" w:ascii="仿宋" w:hAnsi="仿宋" w:cs="仿宋"/>
          <w:sz w:val="30"/>
          <w:szCs w:val="30"/>
          <w:highlight w:val="none"/>
          <w:lang w:val="en-US" w:eastAsia="zh-CN"/>
        </w:rPr>
        <w:t>采购内容：</w:t>
      </w:r>
      <w:r>
        <w:rPr>
          <w:rFonts w:hint="eastAsia" w:ascii="仿宋" w:hAnsi="仿宋" w:eastAsia="仿宋" w:cs="仿宋"/>
          <w:sz w:val="30"/>
          <w:szCs w:val="30"/>
          <w:highlight w:val="none"/>
          <w:lang w:val="en-US" w:eastAsia="zh-CN"/>
        </w:rPr>
        <w:t>钓台街道垃圾清运</w:t>
      </w:r>
      <w:r>
        <w:rPr>
          <w:rFonts w:hint="eastAsia" w:ascii="仿宋" w:hAnsi="仿宋" w:cs="仿宋"/>
          <w:sz w:val="30"/>
          <w:szCs w:val="30"/>
          <w:highlight w:val="none"/>
          <w:lang w:val="en-US" w:eastAsia="zh-CN"/>
        </w:rPr>
        <w:t>。</w:t>
      </w:r>
      <w:r>
        <w:rPr>
          <w:rFonts w:hint="eastAsia" w:ascii="仿宋" w:hAnsi="仿宋" w:eastAsia="仿宋" w:cs="仿宋"/>
          <w:b w:val="0"/>
          <w:bCs w:val="0"/>
          <w:sz w:val="30"/>
          <w:szCs w:val="30"/>
          <w:highlight w:val="none"/>
          <w:lang w:eastAsia="zh-CN"/>
        </w:rPr>
        <w:t>建筑垃圾清运</w:t>
      </w:r>
      <w:r>
        <w:rPr>
          <w:rFonts w:hint="eastAsia" w:ascii="仿宋" w:hAnsi="仿宋" w:cs="仿宋"/>
          <w:b w:val="0"/>
          <w:bCs w:val="0"/>
          <w:sz w:val="30"/>
          <w:szCs w:val="30"/>
          <w:highlight w:val="none"/>
          <w:lang w:val="en-US" w:eastAsia="zh-CN"/>
        </w:rPr>
        <w:t>工作内容</w:t>
      </w:r>
      <w:r>
        <w:rPr>
          <w:rFonts w:hint="eastAsia" w:ascii="仿宋" w:hAnsi="仿宋" w:eastAsia="仿宋" w:cs="仿宋"/>
          <w:b w:val="0"/>
          <w:bCs w:val="0"/>
          <w:sz w:val="30"/>
          <w:szCs w:val="30"/>
          <w:highlight w:val="none"/>
          <w:lang w:val="en-US" w:eastAsia="zh-CN"/>
        </w:rPr>
        <w:t>包含但不限于垃圾</w:t>
      </w:r>
      <w:r>
        <w:rPr>
          <w:rFonts w:hint="eastAsia" w:ascii="仿宋" w:hAnsi="仿宋" w:cs="仿宋"/>
          <w:b w:val="0"/>
          <w:bCs w:val="0"/>
          <w:sz w:val="30"/>
          <w:szCs w:val="30"/>
          <w:highlight w:val="none"/>
          <w:lang w:val="en-US" w:eastAsia="zh-CN"/>
        </w:rPr>
        <w:t>装卸</w:t>
      </w:r>
      <w:r>
        <w:rPr>
          <w:rFonts w:hint="eastAsia" w:ascii="仿宋" w:hAnsi="仿宋" w:eastAsia="仿宋" w:cs="仿宋"/>
          <w:b w:val="0"/>
          <w:bCs w:val="0"/>
          <w:sz w:val="30"/>
          <w:szCs w:val="30"/>
          <w:highlight w:val="none"/>
          <w:lang w:val="en-US" w:eastAsia="zh-CN"/>
        </w:rPr>
        <w:t>、</w:t>
      </w:r>
      <w:r>
        <w:rPr>
          <w:rFonts w:hint="eastAsia" w:ascii="仿宋" w:hAnsi="仿宋" w:cs="仿宋"/>
          <w:b w:val="0"/>
          <w:bCs w:val="0"/>
          <w:sz w:val="30"/>
          <w:szCs w:val="30"/>
          <w:highlight w:val="none"/>
          <w:lang w:val="en-US" w:eastAsia="zh-CN"/>
        </w:rPr>
        <w:t>运输等</w:t>
      </w:r>
      <w:r>
        <w:rPr>
          <w:rFonts w:hint="eastAsia" w:ascii="仿宋" w:hAnsi="仿宋" w:eastAsia="仿宋" w:cs="仿宋"/>
          <w:sz w:val="30"/>
          <w:szCs w:val="30"/>
          <w:highlight w:val="none"/>
          <w:lang w:val="en-US" w:eastAsia="zh-CN"/>
        </w:rPr>
        <w:t>。</w:t>
      </w:r>
    </w:p>
    <w:p w14:paraId="61C517CA">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cs="仿宋"/>
          <w:sz w:val="30"/>
          <w:szCs w:val="30"/>
          <w:highlight w:val="none"/>
          <w:lang w:val="en-US" w:eastAsia="zh-CN"/>
        </w:rPr>
        <w:t>项目位置：</w:t>
      </w:r>
      <w:r>
        <w:rPr>
          <w:rFonts w:hint="eastAsia" w:ascii="仿宋" w:hAnsi="仿宋" w:eastAsia="仿宋" w:cs="仿宋"/>
          <w:sz w:val="30"/>
          <w:szCs w:val="30"/>
          <w:highlight w:val="none"/>
          <w:lang w:val="en-US" w:eastAsia="zh-CN"/>
        </w:rPr>
        <w:t>沣西新城钓台街道垃圾清运项目涉及11个点位，项目位置范围沣西新城钓台街道辖区内</w:t>
      </w:r>
      <w:r>
        <w:rPr>
          <w:rFonts w:hint="eastAsia" w:ascii="仿宋" w:hAnsi="仿宋" w:cs="仿宋"/>
          <w:sz w:val="30"/>
          <w:szCs w:val="30"/>
          <w:highlight w:val="none"/>
          <w:lang w:val="en-US" w:eastAsia="zh-CN"/>
        </w:rPr>
        <w:t>。</w:t>
      </w:r>
    </w:p>
    <w:p w14:paraId="6C07AC38">
      <w:pPr>
        <w:keepNext w:val="0"/>
        <w:keepLines w:val="0"/>
        <w:pageBreakBefore w:val="0"/>
        <w:widowControl w:val="0"/>
        <w:kinsoku/>
        <w:wordWrap/>
        <w:overflowPunct/>
        <w:topLinePunct w:val="0"/>
        <w:autoSpaceDE/>
        <w:autoSpaceDN/>
        <w:bidi w:val="0"/>
        <w:snapToGrid/>
        <w:spacing w:line="360" w:lineRule="auto"/>
        <w:ind w:firstLine="300" w:firstLineChars="100"/>
        <w:rPr>
          <w:rFonts w:hint="eastAsia" w:ascii="仿宋" w:hAnsi="仿宋" w:eastAsia="仿宋" w:cs="仿宋"/>
          <w:sz w:val="30"/>
          <w:szCs w:val="30"/>
          <w:highlight w:val="none"/>
          <w:lang w:val="en-US" w:eastAsia="zh-CN"/>
        </w:rPr>
      </w:pPr>
      <w:r>
        <w:rPr>
          <w:rFonts w:hint="eastAsia" w:ascii="仿宋" w:hAnsi="仿宋" w:cs="仿宋"/>
          <w:sz w:val="30"/>
          <w:szCs w:val="30"/>
          <w:highlight w:val="none"/>
          <w:lang w:val="en-US" w:eastAsia="zh-CN"/>
        </w:rPr>
        <w:t>垃圾数量：</w:t>
      </w:r>
      <w:r>
        <w:rPr>
          <w:rFonts w:hint="eastAsia" w:ascii="仿宋" w:hAnsi="仿宋" w:eastAsia="仿宋" w:cs="仿宋"/>
          <w:sz w:val="30"/>
          <w:szCs w:val="30"/>
          <w:highlight w:val="none"/>
          <w:lang w:val="en-US" w:eastAsia="zh-CN"/>
        </w:rPr>
        <w:t>垃圾总方量</w:t>
      </w:r>
      <w:r>
        <w:rPr>
          <w:rFonts w:hint="eastAsia" w:ascii="仿宋" w:hAnsi="仿宋" w:cs="仿宋"/>
          <w:sz w:val="30"/>
          <w:szCs w:val="30"/>
          <w:highlight w:val="none"/>
          <w:lang w:val="en-US" w:eastAsia="zh-CN"/>
        </w:rPr>
        <w:t>约</w:t>
      </w:r>
      <w:r>
        <w:rPr>
          <w:rFonts w:hint="eastAsia" w:ascii="仿宋" w:hAnsi="仿宋" w:eastAsia="仿宋" w:cs="仿宋"/>
          <w:sz w:val="30"/>
          <w:szCs w:val="30"/>
          <w:highlight w:val="none"/>
          <w:lang w:val="en-US" w:eastAsia="zh-CN"/>
        </w:rPr>
        <w:t>51199.3</w:t>
      </w:r>
      <w:r>
        <w:rPr>
          <w:rFonts w:hint="eastAsia" w:ascii="仿宋" w:hAnsi="仿宋" w:cs="仿宋"/>
          <w:sz w:val="30"/>
          <w:szCs w:val="30"/>
          <w:highlight w:val="none"/>
          <w:lang w:val="en-US" w:eastAsia="zh-CN"/>
        </w:rPr>
        <w:t>立方米</w:t>
      </w:r>
      <w:r>
        <w:rPr>
          <w:rFonts w:hint="eastAsia" w:ascii="仿宋" w:hAnsi="仿宋" w:eastAsia="仿宋" w:cs="仿宋"/>
          <w:sz w:val="30"/>
          <w:szCs w:val="30"/>
          <w:highlight w:val="none"/>
          <w:lang w:val="en-US" w:eastAsia="zh-CN"/>
        </w:rPr>
        <w:t>。</w:t>
      </w:r>
    </w:p>
    <w:p w14:paraId="4B7EC2AE">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（二）服务</w:t>
      </w:r>
      <w:r>
        <w:rPr>
          <w:rFonts w:hint="eastAsia" w:ascii="仿宋" w:hAnsi="仿宋" w:cs="仿宋"/>
          <w:b/>
          <w:bCs/>
          <w:sz w:val="30"/>
          <w:szCs w:val="30"/>
          <w:highlight w:val="none"/>
          <w:lang w:val="en-US" w:eastAsia="zh-CN"/>
        </w:rPr>
        <w:t>要求</w:t>
      </w:r>
    </w:p>
    <w:p w14:paraId="219ABE10">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1.</w:t>
      </w:r>
      <w:r>
        <w:rPr>
          <w:rFonts w:hint="eastAsia" w:ascii="仿宋" w:hAnsi="仿宋" w:cs="仿宋"/>
          <w:sz w:val="30"/>
          <w:szCs w:val="30"/>
          <w:highlight w:val="none"/>
          <w:lang w:val="en-US" w:eastAsia="zh-CN"/>
        </w:rPr>
        <w:t>建筑</w:t>
      </w:r>
      <w:r>
        <w:rPr>
          <w:rFonts w:hint="eastAsia" w:ascii="仿宋" w:hAnsi="仿宋" w:eastAsia="仿宋" w:cs="仿宋"/>
          <w:sz w:val="30"/>
          <w:szCs w:val="30"/>
          <w:highlight w:val="none"/>
        </w:rPr>
        <w:t>垃圾清运</w:t>
      </w:r>
      <w:r>
        <w:rPr>
          <w:rFonts w:hint="eastAsia" w:ascii="仿宋" w:hAnsi="仿宋" w:eastAsia="仿宋" w:cs="仿宋"/>
          <w:sz w:val="30"/>
          <w:szCs w:val="30"/>
          <w:highlight w:val="none"/>
          <w:lang w:val="en-US" w:eastAsia="zh-CN"/>
        </w:rPr>
        <w:t>工作</w:t>
      </w:r>
      <w:r>
        <w:rPr>
          <w:rFonts w:hint="eastAsia" w:ascii="仿宋" w:hAnsi="仿宋" w:eastAsia="仿宋" w:cs="仿宋"/>
          <w:sz w:val="30"/>
          <w:szCs w:val="30"/>
          <w:highlight w:val="none"/>
        </w:rPr>
        <w:t>严格</w:t>
      </w:r>
      <w:r>
        <w:rPr>
          <w:rFonts w:hint="eastAsia" w:ascii="仿宋" w:hAnsi="仿宋" w:eastAsia="仿宋" w:cs="仿宋"/>
          <w:sz w:val="30"/>
          <w:szCs w:val="30"/>
          <w:highlight w:val="none"/>
          <w:lang w:val="en-US" w:eastAsia="zh-CN"/>
        </w:rPr>
        <w:t>按照</w:t>
      </w:r>
      <w:r>
        <w:rPr>
          <w:rFonts w:hint="eastAsia" w:ascii="仿宋" w:hAnsi="仿宋" w:cs="仿宋"/>
          <w:sz w:val="30"/>
          <w:szCs w:val="30"/>
          <w:highlight w:val="none"/>
          <w:lang w:val="en-US" w:eastAsia="zh-CN"/>
        </w:rPr>
        <w:t>西咸新区的</w:t>
      </w:r>
      <w:r>
        <w:rPr>
          <w:rFonts w:hint="eastAsia" w:ascii="仿宋" w:hAnsi="仿宋" w:eastAsia="仿宋" w:cs="仿宋"/>
          <w:sz w:val="30"/>
          <w:szCs w:val="30"/>
          <w:highlight w:val="none"/>
          <w:lang w:val="en-US" w:eastAsia="zh-CN"/>
        </w:rPr>
        <w:t>有关</w:t>
      </w:r>
      <w:r>
        <w:rPr>
          <w:rFonts w:hint="eastAsia" w:ascii="仿宋" w:hAnsi="仿宋" w:eastAsia="仿宋" w:cs="仿宋"/>
          <w:sz w:val="30"/>
          <w:szCs w:val="30"/>
          <w:highlight w:val="none"/>
        </w:rPr>
        <w:t>要求执行，清运至</w:t>
      </w:r>
      <w:r>
        <w:rPr>
          <w:rFonts w:hint="eastAsia" w:ascii="仿宋" w:hAnsi="仿宋" w:cs="仿宋"/>
          <w:sz w:val="30"/>
          <w:szCs w:val="30"/>
          <w:highlight w:val="none"/>
          <w:lang w:val="en-US" w:eastAsia="zh-CN"/>
        </w:rPr>
        <w:t>采购人指定</w:t>
      </w:r>
      <w:r>
        <w:rPr>
          <w:rFonts w:hint="eastAsia" w:ascii="仿宋" w:hAnsi="仿宋" w:eastAsia="仿宋" w:cs="仿宋"/>
          <w:sz w:val="30"/>
          <w:szCs w:val="30"/>
          <w:highlight w:val="none"/>
        </w:rPr>
        <w:t>消纳地点。禁止在道路、桥梁、公共场地、公共绿地、农田、河流、湖泊、供排水设施、水利设施以及其他非指定场地倾倒清运垃圾。垃圾清运后应及时对清运地点进行收尾清理，平整地面。</w:t>
      </w:r>
    </w:p>
    <w:p w14:paraId="742328F1">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在安全文明施工问题上，必须严格按照标准规范严格执行，在此期间所发生的一切</w:t>
      </w:r>
      <w:r>
        <w:rPr>
          <w:rFonts w:hint="eastAsia" w:ascii="仿宋" w:hAnsi="仿宋" w:eastAsia="仿宋" w:cs="仿宋"/>
          <w:sz w:val="30"/>
          <w:szCs w:val="30"/>
          <w:highlight w:val="none"/>
          <w:lang w:val="en-US" w:eastAsia="zh-CN"/>
        </w:rPr>
        <w:t>安全</w:t>
      </w:r>
      <w:r>
        <w:rPr>
          <w:rFonts w:hint="eastAsia" w:ascii="仿宋" w:hAnsi="仿宋" w:eastAsia="仿宋" w:cs="仿宋"/>
          <w:sz w:val="30"/>
          <w:szCs w:val="30"/>
          <w:highlight w:val="none"/>
        </w:rPr>
        <w:t>事故</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均</w:t>
      </w:r>
      <w:r>
        <w:rPr>
          <w:rFonts w:hint="eastAsia" w:ascii="仿宋" w:hAnsi="仿宋" w:eastAsia="仿宋" w:cs="仿宋"/>
          <w:sz w:val="30"/>
          <w:szCs w:val="30"/>
          <w:highlight w:val="none"/>
        </w:rPr>
        <w:t>由</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自行承担。</w:t>
      </w:r>
    </w:p>
    <w:p w14:paraId="1F671BCD">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项目实施过程中不</w:t>
      </w:r>
      <w:r>
        <w:rPr>
          <w:rFonts w:hint="eastAsia" w:ascii="仿宋" w:hAnsi="仿宋" w:eastAsia="仿宋" w:cs="仿宋"/>
          <w:sz w:val="30"/>
          <w:szCs w:val="30"/>
          <w:highlight w:val="none"/>
          <w:lang w:val="en-US" w:eastAsia="zh-CN"/>
        </w:rPr>
        <w:t>得</w:t>
      </w:r>
      <w:r>
        <w:rPr>
          <w:rFonts w:hint="eastAsia" w:ascii="仿宋" w:hAnsi="仿宋" w:eastAsia="仿宋" w:cs="仿宋"/>
          <w:sz w:val="30"/>
          <w:szCs w:val="30"/>
          <w:highlight w:val="none"/>
        </w:rPr>
        <w:t>与其他人员发生纠纷，在服务期间与其他人员产生的纠纷，均由中标</w:t>
      </w:r>
      <w:r>
        <w:rPr>
          <w:rFonts w:hint="eastAsia" w:ascii="仿宋" w:hAnsi="仿宋" w:eastAsia="仿宋" w:cs="仿宋"/>
          <w:sz w:val="30"/>
          <w:szCs w:val="30"/>
          <w:highlight w:val="none"/>
          <w:lang w:val="en-US" w:eastAsia="zh-CN"/>
        </w:rPr>
        <w:t>人</w:t>
      </w:r>
      <w:r>
        <w:rPr>
          <w:rFonts w:hint="eastAsia" w:ascii="仿宋" w:hAnsi="仿宋" w:eastAsia="仿宋" w:cs="仿宋"/>
          <w:sz w:val="30"/>
          <w:szCs w:val="30"/>
          <w:highlight w:val="none"/>
        </w:rPr>
        <w:t>承担全部责任。</w:t>
      </w:r>
    </w:p>
    <w:p w14:paraId="37449461">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在清运垃圾前需按照</w:t>
      </w:r>
      <w:r>
        <w:rPr>
          <w:rFonts w:hint="eastAsia" w:ascii="仿宋" w:hAnsi="仿宋" w:eastAsia="仿宋" w:cs="仿宋"/>
          <w:sz w:val="30"/>
          <w:szCs w:val="30"/>
          <w:highlight w:val="none"/>
          <w:lang w:val="en-US" w:eastAsia="zh-CN"/>
        </w:rPr>
        <w:t>城管</w:t>
      </w:r>
      <w:r>
        <w:rPr>
          <w:rFonts w:hint="eastAsia" w:ascii="仿宋" w:hAnsi="仿宋" w:eastAsia="仿宋" w:cs="仿宋"/>
          <w:sz w:val="30"/>
          <w:szCs w:val="30"/>
          <w:highlight w:val="none"/>
        </w:rPr>
        <w:t>执法</w:t>
      </w:r>
      <w:r>
        <w:rPr>
          <w:rFonts w:hint="eastAsia" w:ascii="仿宋" w:hAnsi="仿宋" w:eastAsia="仿宋" w:cs="仿宋"/>
          <w:sz w:val="30"/>
          <w:szCs w:val="30"/>
          <w:highlight w:val="none"/>
          <w:lang w:val="en-US" w:eastAsia="zh-CN"/>
        </w:rPr>
        <w:t>等政府主管</w:t>
      </w:r>
      <w:r>
        <w:rPr>
          <w:rFonts w:hint="eastAsia" w:ascii="仿宋" w:hAnsi="仿宋" w:eastAsia="仿宋" w:cs="仿宋"/>
          <w:sz w:val="30"/>
          <w:szCs w:val="30"/>
          <w:highlight w:val="none"/>
        </w:rPr>
        <w:t>部门的要求安装车辆冲洗设备及垃圾覆盖绿网、防尘措施等。</w:t>
      </w:r>
    </w:p>
    <w:p w14:paraId="4291DA16">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应当对建筑垃圾进行分类，不得将建筑垃圾与生活垃圾、危险废物混合处置。清运前应设置符合相关技术规范的围蔽设施，出口道路硬化处理，设置车辆冲洗设备并有效使用，设置洗车槽和沉淀池并有效使用，采取措施避免扬尘。</w:t>
      </w:r>
    </w:p>
    <w:p w14:paraId="0622AD95">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cs="仿宋"/>
          <w:sz w:val="30"/>
          <w:szCs w:val="30"/>
          <w:highlight w:val="none"/>
          <w:lang w:val="en-US" w:eastAsia="zh-CN"/>
        </w:rPr>
        <w:t>供应商</w:t>
      </w:r>
      <w:r>
        <w:rPr>
          <w:rFonts w:hint="eastAsia" w:ascii="仿宋" w:hAnsi="仿宋" w:eastAsia="仿宋" w:cs="仿宋"/>
          <w:sz w:val="30"/>
          <w:szCs w:val="30"/>
          <w:highlight w:val="none"/>
        </w:rPr>
        <w:t>应当建立健全建筑垃圾运输车辆安全管理、驾驶人培训、车辆清运规范服务制度，加强车辆维修养护，保证运输安全规范。</w:t>
      </w:r>
    </w:p>
    <w:p w14:paraId="6A802D6B">
      <w:pPr>
        <w:keepNext w:val="0"/>
        <w:keepLines w:val="0"/>
        <w:pageBreakBefore w:val="0"/>
        <w:widowControl w:val="0"/>
        <w:kinsoku/>
        <w:wordWrap/>
        <w:overflowPunct/>
        <w:topLinePunct w:val="0"/>
        <w:autoSpaceDE/>
        <w:autoSpaceDN/>
        <w:bidi w:val="0"/>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运输垃圾造成道路及环境污染的，责任人应当立即清除污染。未及时清除的，由所在</w:t>
      </w:r>
      <w:r>
        <w:rPr>
          <w:rFonts w:hint="eastAsia" w:ascii="仿宋" w:hAnsi="仿宋" w:eastAsia="仿宋" w:cs="仿宋"/>
          <w:sz w:val="30"/>
          <w:szCs w:val="30"/>
          <w:highlight w:val="none"/>
          <w:lang w:val="en-US" w:eastAsia="zh-CN"/>
        </w:rPr>
        <w:t>地城管执法、</w:t>
      </w:r>
      <w:r>
        <w:rPr>
          <w:rFonts w:hint="eastAsia" w:ascii="仿宋" w:hAnsi="仿宋" w:eastAsia="仿宋" w:cs="仿宋"/>
          <w:sz w:val="30"/>
          <w:szCs w:val="30"/>
          <w:highlight w:val="none"/>
        </w:rPr>
        <w:t>环境卫生</w:t>
      </w:r>
      <w:r>
        <w:rPr>
          <w:rFonts w:hint="eastAsia" w:ascii="仿宋" w:hAnsi="仿宋" w:eastAsia="仿宋" w:cs="仿宋"/>
          <w:sz w:val="30"/>
          <w:szCs w:val="30"/>
          <w:highlight w:val="none"/>
          <w:lang w:val="en-US" w:eastAsia="zh-CN"/>
        </w:rPr>
        <w:t>等</w:t>
      </w:r>
      <w:r>
        <w:rPr>
          <w:rFonts w:hint="eastAsia" w:ascii="仿宋" w:hAnsi="仿宋" w:eastAsia="仿宋" w:cs="仿宋"/>
          <w:sz w:val="30"/>
          <w:szCs w:val="30"/>
          <w:highlight w:val="none"/>
        </w:rPr>
        <w:t>行政管理部门组织清除，清除费用由责任人承担。</w:t>
      </w:r>
    </w:p>
    <w:p w14:paraId="5DF76237">
      <w:pPr>
        <w:keepNext w:val="0"/>
        <w:keepLines w:val="0"/>
        <w:pageBreakBefore w:val="0"/>
        <w:widowControl w:val="0"/>
        <w:kinsoku/>
        <w:wordWrap/>
        <w:overflowPunct/>
        <w:topLinePunct w:val="0"/>
        <w:autoSpaceDE/>
        <w:autoSpaceDN/>
        <w:bidi w:val="0"/>
        <w:snapToGrid/>
        <w:spacing w:line="360" w:lineRule="auto"/>
        <w:outlineLvl w:val="1"/>
        <w:rPr>
          <w:rFonts w:hint="default" w:ascii="仿宋" w:hAnsi="仿宋" w:eastAsia="仿宋" w:cs="仿宋"/>
          <w:b/>
          <w:bCs/>
          <w:sz w:val="30"/>
          <w:szCs w:val="30"/>
          <w:highlight w:val="none"/>
          <w:lang w:val="en-US" w:eastAsia="zh-CN"/>
        </w:rPr>
      </w:pPr>
      <w:bookmarkStart w:id="10" w:name="_Toc27175"/>
      <w:r>
        <w:rPr>
          <w:rFonts w:hint="eastAsia" w:ascii="仿宋" w:hAnsi="仿宋" w:eastAsia="仿宋" w:cs="仿宋"/>
          <w:b/>
          <w:bCs/>
          <w:sz w:val="30"/>
          <w:szCs w:val="30"/>
          <w:highlight w:val="none"/>
          <w:lang w:val="en-US" w:eastAsia="zh-CN"/>
        </w:rPr>
        <w:t>二、商务要求</w:t>
      </w:r>
      <w:bookmarkEnd w:id="10"/>
    </w:p>
    <w:p w14:paraId="7702D55C">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val="0"/>
          <w:bCs w:val="0"/>
          <w:sz w:val="30"/>
          <w:szCs w:val="30"/>
          <w:highlight w:val="none"/>
          <w:lang w:val="en-US" w:eastAsia="zh-CN"/>
        </w:rPr>
      </w:pPr>
      <w:r>
        <w:rPr>
          <w:rFonts w:hint="eastAsia" w:ascii="仿宋" w:hAnsi="仿宋" w:eastAsia="仿宋" w:cs="仿宋"/>
          <w:b/>
          <w:bCs/>
          <w:sz w:val="30"/>
          <w:szCs w:val="30"/>
          <w:highlight w:val="none"/>
          <w:lang w:val="en-US" w:eastAsia="zh-CN"/>
        </w:rPr>
        <w:t>（一）</w:t>
      </w:r>
      <w:r>
        <w:rPr>
          <w:rFonts w:hint="eastAsia" w:ascii="仿宋" w:hAnsi="仿宋" w:cs="仿宋"/>
          <w:b/>
          <w:bCs/>
          <w:sz w:val="30"/>
          <w:szCs w:val="30"/>
          <w:highlight w:val="none"/>
          <w:lang w:val="en-US" w:eastAsia="zh-CN"/>
        </w:rPr>
        <w:t>完工</w:t>
      </w:r>
      <w:r>
        <w:rPr>
          <w:rFonts w:hint="eastAsia" w:ascii="仿宋" w:hAnsi="仿宋" w:eastAsia="仿宋" w:cs="仿宋"/>
          <w:b/>
          <w:bCs/>
          <w:sz w:val="30"/>
          <w:szCs w:val="30"/>
          <w:highlight w:val="none"/>
          <w:lang w:val="en-US" w:eastAsia="zh-CN"/>
        </w:rPr>
        <w:t>期：</w:t>
      </w:r>
      <w:r>
        <w:rPr>
          <w:rFonts w:hint="eastAsia" w:ascii="仿宋" w:hAnsi="仿宋" w:eastAsia="仿宋" w:cs="仿宋"/>
          <w:b w:val="0"/>
          <w:bCs w:val="0"/>
          <w:sz w:val="30"/>
          <w:szCs w:val="30"/>
          <w:highlight w:val="none"/>
          <w:lang w:val="en-US" w:eastAsia="zh-CN"/>
        </w:rPr>
        <w:t>自合同</w:t>
      </w:r>
      <w:r>
        <w:rPr>
          <w:rFonts w:hint="eastAsia" w:ascii="仿宋" w:hAnsi="仿宋" w:cs="仿宋"/>
          <w:b w:val="0"/>
          <w:bCs w:val="0"/>
          <w:sz w:val="30"/>
          <w:szCs w:val="30"/>
          <w:highlight w:val="none"/>
          <w:lang w:val="en-US" w:eastAsia="zh-CN"/>
        </w:rPr>
        <w:t>生效</w:t>
      </w:r>
      <w:r>
        <w:rPr>
          <w:rFonts w:hint="eastAsia" w:ascii="仿宋" w:hAnsi="仿宋" w:eastAsia="仿宋" w:cs="仿宋"/>
          <w:b w:val="0"/>
          <w:bCs w:val="0"/>
          <w:sz w:val="30"/>
          <w:szCs w:val="30"/>
          <w:highlight w:val="none"/>
          <w:lang w:val="en-US" w:eastAsia="zh-CN"/>
        </w:rPr>
        <w:t>之日起</w:t>
      </w:r>
      <w:r>
        <w:rPr>
          <w:rFonts w:hint="eastAsia" w:ascii="仿宋" w:hAnsi="仿宋" w:cs="仿宋"/>
          <w:b w:val="0"/>
          <w:bCs w:val="0"/>
          <w:sz w:val="30"/>
          <w:szCs w:val="30"/>
          <w:highlight w:val="none"/>
          <w:lang w:val="en-US" w:eastAsia="zh-CN"/>
        </w:rPr>
        <w:t>20日历日内</w:t>
      </w:r>
      <w:r>
        <w:rPr>
          <w:rFonts w:hint="eastAsia" w:ascii="仿宋" w:hAnsi="仿宋" w:eastAsia="仿宋" w:cs="仿宋"/>
          <w:b w:val="0"/>
          <w:bCs w:val="0"/>
          <w:sz w:val="30"/>
          <w:szCs w:val="30"/>
          <w:highlight w:val="none"/>
          <w:lang w:val="en-US" w:eastAsia="zh-CN"/>
        </w:rPr>
        <w:t>。</w:t>
      </w:r>
    </w:p>
    <w:p w14:paraId="1A1AB3B8">
      <w:pPr>
        <w:keepNext w:val="0"/>
        <w:keepLines w:val="0"/>
        <w:pageBreakBefore w:val="0"/>
        <w:widowControl w:val="0"/>
        <w:kinsoku/>
        <w:wordWrap/>
        <w:overflowPunct/>
        <w:topLinePunct w:val="0"/>
        <w:autoSpaceDE/>
        <w:autoSpaceDN/>
        <w:bidi w:val="0"/>
        <w:snapToGrid/>
        <w:spacing w:line="360" w:lineRule="auto"/>
        <w:ind w:firstLine="301" w:firstLineChars="100"/>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lang w:eastAsia="zh-CN"/>
        </w:rPr>
        <w:t>）</w:t>
      </w:r>
      <w:r>
        <w:rPr>
          <w:rFonts w:hint="eastAsia" w:ascii="仿宋" w:hAnsi="仿宋" w:cs="仿宋"/>
          <w:b/>
          <w:bCs/>
          <w:sz w:val="30"/>
          <w:szCs w:val="30"/>
          <w:highlight w:val="none"/>
          <w:lang w:val="en-US" w:eastAsia="zh-CN"/>
        </w:rPr>
        <w:t>实施</w:t>
      </w:r>
      <w:r>
        <w:rPr>
          <w:rFonts w:hint="eastAsia" w:ascii="仿宋" w:hAnsi="仿宋" w:eastAsia="仿宋" w:cs="仿宋"/>
          <w:b/>
          <w:bCs/>
          <w:sz w:val="30"/>
          <w:szCs w:val="30"/>
          <w:highlight w:val="none"/>
          <w:lang w:val="en-US" w:eastAsia="zh-CN"/>
        </w:rPr>
        <w:t>地点：</w:t>
      </w:r>
      <w:r>
        <w:rPr>
          <w:rFonts w:hint="eastAsia" w:ascii="仿宋" w:hAnsi="仿宋" w:cs="仿宋"/>
          <w:b w:val="0"/>
          <w:bCs w:val="0"/>
          <w:sz w:val="30"/>
          <w:szCs w:val="30"/>
          <w:highlight w:val="none"/>
          <w:lang w:val="en-US" w:eastAsia="zh-CN"/>
        </w:rPr>
        <w:t>沣西</w:t>
      </w:r>
      <w:r>
        <w:rPr>
          <w:rFonts w:hint="eastAsia" w:ascii="仿宋" w:hAnsi="仿宋" w:eastAsia="仿宋" w:cs="仿宋"/>
          <w:b w:val="0"/>
          <w:bCs w:val="0"/>
          <w:sz w:val="30"/>
          <w:szCs w:val="30"/>
          <w:highlight w:val="none"/>
          <w:lang w:val="en-US" w:eastAsia="zh-CN"/>
        </w:rPr>
        <w:t>新城，采购人指定地点。</w:t>
      </w:r>
    </w:p>
    <w:p w14:paraId="3A340683">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装运单价</w:t>
      </w:r>
      <w:r>
        <w:rPr>
          <w:rFonts w:hint="eastAsia" w:ascii="仿宋" w:hAnsi="仿宋" w:eastAsia="仿宋" w:cs="仿宋"/>
          <w:b/>
          <w:bCs/>
          <w:sz w:val="30"/>
          <w:szCs w:val="30"/>
          <w:highlight w:val="none"/>
          <w:lang w:eastAsia="zh-CN"/>
        </w:rPr>
        <w:t>最高限价：</w:t>
      </w:r>
    </w:p>
    <w:tbl>
      <w:tblPr>
        <w:tblStyle w:val="3"/>
        <w:tblW w:w="90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2"/>
        <w:gridCol w:w="1537"/>
        <w:gridCol w:w="1838"/>
        <w:gridCol w:w="1837"/>
        <w:gridCol w:w="2925"/>
      </w:tblGrid>
      <w:tr w14:paraId="0D76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DCE99D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040AE1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所属镇街</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FF90D9A">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测算方量</w:t>
            </w:r>
          </w:p>
          <w:p w14:paraId="111D8D23">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（立方米）</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FEFA3AE">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运输距离（公里）</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5865D30">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cs="仿宋"/>
                <w:i w:val="0"/>
                <w:iCs w:val="0"/>
                <w:color w:val="000000"/>
                <w:kern w:val="0"/>
                <w:sz w:val="30"/>
                <w:szCs w:val="30"/>
                <w:u w:val="none"/>
                <w:lang w:val="en-US" w:eastAsia="zh-CN" w:bidi="ar"/>
              </w:rPr>
              <w:t>装运</w:t>
            </w:r>
            <w:r>
              <w:rPr>
                <w:rFonts w:hint="eastAsia" w:ascii="仿宋" w:hAnsi="仿宋" w:eastAsia="仿宋" w:cs="仿宋"/>
                <w:i w:val="0"/>
                <w:iCs w:val="0"/>
                <w:color w:val="000000"/>
                <w:kern w:val="0"/>
                <w:sz w:val="30"/>
                <w:szCs w:val="30"/>
                <w:u w:val="none"/>
                <w:lang w:val="en-US" w:eastAsia="zh-CN" w:bidi="ar"/>
              </w:rPr>
              <w:t>单价最高限价</w:t>
            </w:r>
          </w:p>
          <w:p w14:paraId="4017205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w:t>
            </w:r>
            <w:r>
              <w:rPr>
                <w:rFonts w:hint="eastAsia" w:ascii="仿宋" w:hAnsi="仿宋" w:cs="仿宋"/>
                <w:i w:val="0"/>
                <w:iCs w:val="0"/>
                <w:color w:val="000000"/>
                <w:kern w:val="0"/>
                <w:sz w:val="30"/>
                <w:szCs w:val="30"/>
                <w:u w:val="none"/>
                <w:lang w:val="en-US" w:eastAsia="zh-CN" w:bidi="ar"/>
              </w:rPr>
              <w:t>元/</w:t>
            </w:r>
            <w:r>
              <w:rPr>
                <w:rFonts w:hint="eastAsia" w:ascii="仿宋" w:hAnsi="仿宋" w:eastAsia="仿宋" w:cs="仿宋"/>
                <w:i w:val="0"/>
                <w:iCs w:val="0"/>
                <w:color w:val="000000"/>
                <w:kern w:val="0"/>
                <w:sz w:val="30"/>
                <w:szCs w:val="30"/>
                <w:u w:val="none"/>
                <w:lang w:val="en-US" w:eastAsia="zh-CN" w:bidi="ar"/>
              </w:rPr>
              <w:t>立方</w:t>
            </w:r>
            <w:r>
              <w:rPr>
                <w:rFonts w:hint="eastAsia" w:ascii="仿宋" w:hAnsi="仿宋" w:cs="仿宋"/>
                <w:i w:val="0"/>
                <w:iCs w:val="0"/>
                <w:color w:val="000000"/>
                <w:kern w:val="0"/>
                <w:sz w:val="30"/>
                <w:szCs w:val="30"/>
                <w:u w:val="none"/>
                <w:lang w:val="en-US" w:eastAsia="zh-CN" w:bidi="ar"/>
              </w:rPr>
              <w:t>米</w:t>
            </w:r>
            <w:r>
              <w:rPr>
                <w:rFonts w:hint="eastAsia" w:ascii="仿宋" w:hAnsi="仿宋" w:eastAsia="仿宋" w:cs="仿宋"/>
                <w:i w:val="0"/>
                <w:iCs w:val="0"/>
                <w:color w:val="000000"/>
                <w:kern w:val="0"/>
                <w:sz w:val="30"/>
                <w:szCs w:val="30"/>
                <w:u w:val="none"/>
                <w:lang w:val="en-US" w:eastAsia="zh-CN" w:bidi="ar"/>
              </w:rPr>
              <w:t>）</w:t>
            </w:r>
          </w:p>
        </w:tc>
      </w:tr>
      <w:tr w14:paraId="5898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7D615FC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7B5111C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694282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3369.00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0CE5D0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17.00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20246D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40.00 </w:t>
            </w:r>
          </w:p>
        </w:tc>
      </w:tr>
      <w:tr w14:paraId="53CE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5A2D41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4AAEB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0B870A4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99.50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2364FC6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18.10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620AA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41.57 </w:t>
            </w:r>
          </w:p>
        </w:tc>
      </w:tr>
      <w:tr w14:paraId="6975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1C8C345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ECCFE4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15EA70C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2449.00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E13BE5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14.10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EEA7A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35.86 </w:t>
            </w:r>
          </w:p>
        </w:tc>
      </w:tr>
      <w:tr w14:paraId="5E0E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0D5046A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F787DA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57E75EA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18991.00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718626D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9.90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D6747B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29.81 </w:t>
            </w:r>
          </w:p>
        </w:tc>
      </w:tr>
      <w:tr w14:paraId="2281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F3078E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B3D6C2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747740A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395.00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3BDBD2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19.00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81DD74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42.86 </w:t>
            </w:r>
          </w:p>
        </w:tc>
      </w:tr>
      <w:tr w14:paraId="623D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20ACE1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606ED0D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EF2883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677.00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581B08B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17.00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570B73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40.00 </w:t>
            </w:r>
          </w:p>
        </w:tc>
      </w:tr>
      <w:tr w14:paraId="2FE3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7A6B8F6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6D49C7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高桥街道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25C2EF0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7609.00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0F9721C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10.50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87A54C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30.71 </w:t>
            </w:r>
          </w:p>
        </w:tc>
      </w:tr>
      <w:tr w14:paraId="3B37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4184DF3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2DB5A3D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高桥街道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66534BC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7950.00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6D97E29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18.10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6018B7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41.57 </w:t>
            </w:r>
          </w:p>
        </w:tc>
      </w:tr>
      <w:tr w14:paraId="69E7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3268CCE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54A3958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3A680B0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47.00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F4626B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11.60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65BE811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32.29 </w:t>
            </w:r>
          </w:p>
        </w:tc>
      </w:tr>
      <w:tr w14:paraId="4C35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B86C25B">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177C5D7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4FD1EB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8172.80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401C9B3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9.60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927CDA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29.24 </w:t>
            </w:r>
          </w:p>
        </w:tc>
      </w:tr>
      <w:tr w14:paraId="3C63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62" w:type="dxa"/>
            <w:tcBorders>
              <w:top w:val="single" w:color="000000" w:sz="4" w:space="0"/>
              <w:left w:val="single" w:color="000000" w:sz="4" w:space="0"/>
              <w:bottom w:val="single" w:color="000000" w:sz="4" w:space="0"/>
              <w:right w:val="single" w:color="000000" w:sz="4" w:space="0"/>
            </w:tcBorders>
            <w:noWrap w:val="0"/>
            <w:vAlign w:val="center"/>
          </w:tcPr>
          <w:p w14:paraId="6EB230E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noWrap w:val="0"/>
            <w:vAlign w:val="center"/>
          </w:tcPr>
          <w:p w14:paraId="358410B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钓台街道</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14:paraId="4C99BB3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1440.00 </w:t>
            </w:r>
          </w:p>
        </w:tc>
        <w:tc>
          <w:tcPr>
            <w:tcW w:w="1837" w:type="dxa"/>
            <w:tcBorders>
              <w:top w:val="single" w:color="000000" w:sz="4" w:space="0"/>
              <w:left w:val="single" w:color="000000" w:sz="4" w:space="0"/>
              <w:bottom w:val="single" w:color="000000" w:sz="4" w:space="0"/>
              <w:right w:val="single" w:color="000000" w:sz="4" w:space="0"/>
            </w:tcBorders>
            <w:noWrap w:val="0"/>
            <w:vAlign w:val="center"/>
          </w:tcPr>
          <w:p w14:paraId="3C672D3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20.30 </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DC38E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44.71 </w:t>
            </w:r>
          </w:p>
        </w:tc>
      </w:tr>
    </w:tbl>
    <w:p w14:paraId="315AC057">
      <w:pPr>
        <w:keepNext w:val="0"/>
        <w:keepLines w:val="0"/>
        <w:pageBreakBefore w:val="0"/>
        <w:widowControl w:val="0"/>
        <w:kinsoku/>
        <w:wordWrap/>
        <w:overflowPunct/>
        <w:topLinePunct w:val="0"/>
        <w:autoSpaceDE/>
        <w:autoSpaceDN/>
        <w:bidi w:val="0"/>
        <w:snapToGrid/>
        <w:spacing w:line="360" w:lineRule="auto"/>
        <w:ind w:firstLine="602" w:firstLineChars="200"/>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val="en-US" w:eastAsia="zh-CN"/>
        </w:rPr>
        <w:t>（四）工程数量：</w:t>
      </w:r>
      <w:r>
        <w:rPr>
          <w:rFonts w:hint="eastAsia" w:ascii="仿宋" w:hAnsi="仿宋" w:eastAsia="仿宋" w:cs="仿宋"/>
          <w:sz w:val="30"/>
          <w:szCs w:val="30"/>
          <w:highlight w:val="none"/>
          <w:lang w:val="en-US" w:eastAsia="zh-CN"/>
        </w:rPr>
        <w:t>建筑垃圾数量以具有合法资质的第三方测量机构出具的测量报告并经采购人确认为准。</w:t>
      </w:r>
    </w:p>
    <w:p w14:paraId="33E791C5">
      <w:pPr>
        <w:keepNext w:val="0"/>
        <w:keepLines w:val="0"/>
        <w:pageBreakBefore w:val="0"/>
        <w:widowControl w:val="0"/>
        <w:kinsoku/>
        <w:wordWrap/>
        <w:overflowPunct/>
        <w:topLinePunct w:val="0"/>
        <w:autoSpaceDE/>
        <w:autoSpaceDN/>
        <w:bidi w:val="0"/>
        <w:snapToGrid/>
        <w:spacing w:line="360" w:lineRule="auto"/>
        <w:ind w:firstLine="301" w:firstLineChars="100"/>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（五）付款条件：</w:t>
      </w:r>
    </w:p>
    <w:p w14:paraId="3C3B0A95">
      <w:pPr>
        <w:keepNext w:val="0"/>
        <w:keepLines w:val="0"/>
        <w:pageBreakBefore w:val="0"/>
        <w:widowControl w:val="0"/>
        <w:kinsoku/>
        <w:wordWrap/>
        <w:overflowPunct/>
        <w:topLinePunct w:val="0"/>
        <w:autoSpaceDE/>
        <w:autoSpaceDN/>
        <w:bidi w:val="0"/>
        <w:snapToGrid/>
        <w:spacing w:line="360" w:lineRule="auto"/>
        <w:ind w:firstLine="900" w:firstLineChars="300"/>
        <w:rPr>
          <w:rFonts w:hint="default" w:ascii="仿宋" w:hAnsi="仿宋" w:eastAsia="仿宋" w:cs="仿宋"/>
          <w:sz w:val="30"/>
          <w:szCs w:val="30"/>
          <w:highlight w:val="none"/>
          <w:lang w:val="en-US"/>
        </w:rPr>
      </w:pPr>
      <w:r>
        <w:rPr>
          <w:rFonts w:hint="eastAsia" w:ascii="仿宋" w:hAnsi="仿宋" w:eastAsia="仿宋" w:cs="仿宋"/>
          <w:b w:val="0"/>
          <w:bCs w:val="0"/>
          <w:sz w:val="30"/>
          <w:szCs w:val="30"/>
          <w:highlight w:val="none"/>
          <w:lang w:val="en-US" w:eastAsia="zh-CN"/>
        </w:rPr>
        <w:t>1.付款方式：本项目据实结算</w:t>
      </w: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结算价=最终的</w:t>
      </w:r>
      <w:r>
        <w:rPr>
          <w:rFonts w:hint="eastAsia" w:ascii="仿宋" w:hAnsi="仿宋" w:cs="仿宋"/>
          <w:i w:val="0"/>
          <w:iCs w:val="0"/>
          <w:color w:val="000000"/>
          <w:kern w:val="0"/>
          <w:sz w:val="30"/>
          <w:szCs w:val="30"/>
          <w:u w:val="none"/>
          <w:lang w:val="en-US" w:eastAsia="zh-CN" w:bidi="ar"/>
        </w:rPr>
        <w:t>装运</w:t>
      </w:r>
      <w:r>
        <w:rPr>
          <w:rFonts w:hint="eastAsia" w:ascii="仿宋" w:hAnsi="仿宋" w:eastAsia="仿宋" w:cs="仿宋"/>
          <w:i w:val="0"/>
          <w:iCs w:val="0"/>
          <w:color w:val="000000"/>
          <w:kern w:val="0"/>
          <w:sz w:val="30"/>
          <w:szCs w:val="30"/>
          <w:u w:val="none"/>
          <w:lang w:val="en-US" w:eastAsia="zh-CN" w:bidi="ar"/>
        </w:rPr>
        <w:t>单价</w:t>
      </w:r>
      <w:r>
        <w:rPr>
          <w:rFonts w:hint="eastAsia" w:ascii="仿宋" w:hAnsi="仿宋" w:cs="仿宋"/>
          <w:i w:val="0"/>
          <w:iCs w:val="0"/>
          <w:color w:val="000000"/>
          <w:kern w:val="0"/>
          <w:sz w:val="30"/>
          <w:szCs w:val="30"/>
          <w:u w:val="none"/>
          <w:lang w:val="en-US" w:eastAsia="zh-CN" w:bidi="ar"/>
        </w:rPr>
        <w:t>*装运方量</w:t>
      </w:r>
    </w:p>
    <w:p w14:paraId="4781CB97">
      <w:r>
        <w:rPr>
          <w:rFonts w:hint="eastAsia" w:ascii="仿宋" w:hAnsi="仿宋" w:eastAsia="仿宋" w:cs="仿宋"/>
          <w:sz w:val="30"/>
          <w:szCs w:val="30"/>
          <w:highlight w:val="none"/>
          <w:lang w:val="en-US" w:eastAsia="zh-CN"/>
        </w:rPr>
        <w:t>2.付款进度：</w:t>
      </w:r>
      <w:r>
        <w:rPr>
          <w:rFonts w:hint="eastAsia" w:ascii="仿宋" w:hAnsi="仿宋" w:cs="仿宋"/>
          <w:sz w:val="30"/>
          <w:szCs w:val="30"/>
          <w:highlight w:val="none"/>
          <w:lang w:val="en-US" w:eastAsia="zh-CN"/>
        </w:rPr>
        <w:t>成交供应商</w:t>
      </w:r>
      <w:r>
        <w:rPr>
          <w:rFonts w:hint="eastAsia" w:ascii="仿宋" w:hAnsi="仿宋" w:eastAsia="仿宋" w:cs="仿宋"/>
          <w:sz w:val="30"/>
          <w:szCs w:val="30"/>
          <w:highlight w:val="none"/>
        </w:rPr>
        <w:t>完成</w:t>
      </w:r>
      <w:r>
        <w:rPr>
          <w:rFonts w:hint="eastAsia" w:ascii="仿宋" w:hAnsi="仿宋" w:cs="仿宋"/>
          <w:sz w:val="30"/>
          <w:szCs w:val="30"/>
          <w:highlight w:val="none"/>
          <w:lang w:val="en-US" w:eastAsia="zh-CN"/>
        </w:rPr>
        <w:t>建筑</w:t>
      </w:r>
      <w:r>
        <w:rPr>
          <w:rFonts w:hint="eastAsia" w:ascii="仿宋" w:hAnsi="仿宋" w:eastAsia="仿宋" w:cs="仿宋"/>
          <w:sz w:val="30"/>
          <w:szCs w:val="30"/>
          <w:highlight w:val="none"/>
        </w:rPr>
        <w:t>垃圾清运的</w:t>
      </w:r>
      <w:r>
        <w:rPr>
          <w:rFonts w:hint="eastAsia" w:ascii="仿宋" w:hAnsi="仿宋" w:eastAsia="仿宋" w:cs="仿宋"/>
          <w:sz w:val="30"/>
          <w:szCs w:val="30"/>
          <w:highlight w:val="none"/>
          <w:lang w:eastAsia="zh-CN"/>
        </w:rPr>
        <w:t>全部工作，</w:t>
      </w:r>
      <w:r>
        <w:rPr>
          <w:rFonts w:hint="eastAsia" w:ascii="仿宋" w:hAnsi="仿宋" w:eastAsia="仿宋" w:cs="仿宋"/>
          <w:sz w:val="30"/>
          <w:szCs w:val="30"/>
          <w:highlight w:val="none"/>
        </w:rPr>
        <w:t>且经</w:t>
      </w:r>
      <w:r>
        <w:rPr>
          <w:rFonts w:hint="eastAsia" w:ascii="仿宋" w:hAnsi="仿宋" w:eastAsia="仿宋" w:cs="仿宋"/>
          <w:sz w:val="30"/>
          <w:szCs w:val="30"/>
          <w:highlight w:val="none"/>
          <w:lang w:val="en-US" w:eastAsia="zh-CN"/>
        </w:rPr>
        <w:t>采购人</w:t>
      </w:r>
      <w:r>
        <w:rPr>
          <w:rFonts w:hint="eastAsia" w:ascii="仿宋" w:hAnsi="仿宋" w:eastAsia="仿宋" w:cs="仿宋"/>
          <w:sz w:val="30"/>
          <w:szCs w:val="30"/>
          <w:highlight w:val="none"/>
        </w:rPr>
        <w:t>验收合格后，</w:t>
      </w:r>
      <w:r>
        <w:rPr>
          <w:rFonts w:hint="eastAsia" w:ascii="仿宋" w:hAnsi="仿宋" w:cs="仿宋"/>
          <w:sz w:val="30"/>
          <w:szCs w:val="30"/>
          <w:highlight w:val="none"/>
          <w:lang w:val="en-US" w:eastAsia="zh-CN"/>
        </w:rPr>
        <w:t>一次性</w:t>
      </w:r>
      <w:r>
        <w:rPr>
          <w:rFonts w:hint="eastAsia" w:ascii="仿宋" w:hAnsi="仿宋" w:eastAsia="仿宋" w:cs="仿宋"/>
          <w:sz w:val="30"/>
          <w:szCs w:val="30"/>
          <w:highlight w:val="none"/>
          <w:lang w:eastAsia="zh-CN"/>
        </w:rPr>
        <w:t>结算</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最终的结算金额不得超过采购预算</w:t>
      </w:r>
      <w:r>
        <w:rPr>
          <w:rFonts w:hint="eastAsia" w:ascii="仿宋" w:hAnsi="仿宋" w:eastAsia="仿宋" w:cs="仿宋"/>
          <w:sz w:val="30"/>
          <w:szCs w:val="30"/>
          <w:highlight w:val="none"/>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74BF2"/>
    <w:rsid w:val="6E974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0" w:firstLineChars="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keepNext/>
      <w:keepLines/>
      <w:spacing w:before="20" w:beforeLines="0" w:after="20" w:afterLines="0" w:line="360" w:lineRule="auto"/>
      <w:jc w:val="center"/>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2025-11-04T08:44:00Z</dcterms:created>
  <dc:creator>琴洲</dc:creator>
  <cp:lastModifiedBy>琴洲</cp:lastModifiedBy>
  <dcterms:modified xsi:type="dcterms:W3CDTF">2025-11-04T08:45:12Z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A0688B6F4B4C434A8DBD16A5175CEC39_11</vt:lpwstr>
  </property>
</Properties>
</file>