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hAnsi="宋体" w:cs="宋体"/>
        </w:rPr>
      </w:pPr>
      <w:bookmarkStart w:id="0" w:name="_Toc26575"/>
      <w:bookmarkStart w:id="1" w:name="_Toc1032"/>
      <w:r>
        <w:rPr>
          <w:rFonts w:hint="eastAsia" w:ascii="宋体" w:hAnsi="宋体" w:cs="宋体"/>
        </w:rPr>
        <w:t>第一部分 竞争性谈判公告</w:t>
      </w:r>
      <w:bookmarkEnd w:id="0"/>
      <w:bookmarkEnd w:id="1"/>
    </w:p>
    <w:p>
      <w:pPr>
        <w:widowControl/>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陕西万泽招标有限公司受</w:t>
      </w:r>
      <w:r>
        <w:rPr>
          <w:rFonts w:hint="eastAsia" w:ascii="宋体" w:hAnsi="宋体" w:eastAsia="宋体" w:cs="宋体"/>
          <w:kern w:val="0"/>
          <w:sz w:val="24"/>
          <w:szCs w:val="24"/>
          <w:lang w:eastAsia="zh-CN"/>
        </w:rPr>
        <w:t>西安医学院</w:t>
      </w:r>
      <w:r>
        <w:rPr>
          <w:rFonts w:hint="eastAsia" w:ascii="宋体" w:hAnsi="宋体" w:eastAsia="宋体" w:cs="宋体"/>
          <w:kern w:val="0"/>
          <w:sz w:val="24"/>
          <w:szCs w:val="24"/>
        </w:rPr>
        <w:t>的委托，根据政府采购流程，按照政府采购程序，就</w:t>
      </w:r>
      <w:r>
        <w:rPr>
          <w:rFonts w:hint="eastAsia" w:ascii="宋体" w:hAnsi="宋体" w:eastAsia="宋体" w:cs="宋体"/>
          <w:kern w:val="0"/>
          <w:sz w:val="24"/>
          <w:szCs w:val="24"/>
          <w:lang w:eastAsia="zh-CN"/>
        </w:rPr>
        <w:t>西安医学院动力维修材料采购项目（</w:t>
      </w:r>
      <w:r>
        <w:rPr>
          <w:rFonts w:hint="eastAsia" w:ascii="宋体" w:hAnsi="宋体" w:eastAsia="宋体" w:cs="宋体"/>
          <w:kern w:val="0"/>
          <w:sz w:val="24"/>
          <w:szCs w:val="24"/>
          <w:lang w:val="en-US" w:eastAsia="zh-CN"/>
        </w:rPr>
        <w:t>二次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进行竞争性谈判，欢迎符合资格条件的、有能力提供本项目所需货物、服务的供应商参加谈判。</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西安医学院动力维修材料采购项目（</w:t>
      </w:r>
      <w:r>
        <w:rPr>
          <w:rFonts w:hint="eastAsia" w:ascii="宋体" w:hAnsi="宋体" w:eastAsia="宋体" w:cs="宋体"/>
          <w:kern w:val="0"/>
          <w:sz w:val="24"/>
          <w:szCs w:val="24"/>
          <w:lang w:val="en-US" w:eastAsia="zh-CN"/>
        </w:rPr>
        <w:t>二次</w:t>
      </w:r>
      <w:r>
        <w:rPr>
          <w:rFonts w:hint="eastAsia" w:ascii="宋体" w:hAnsi="宋体" w:eastAsia="宋体" w:cs="宋体"/>
          <w:kern w:val="0"/>
          <w:sz w:val="24"/>
          <w:szCs w:val="24"/>
          <w:lang w:eastAsia="zh-CN"/>
        </w:rPr>
        <w:t>）</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bookmarkStart w:id="2" w:name="OLE_LINK2"/>
      <w:r>
        <w:rPr>
          <w:rFonts w:hint="eastAsia" w:ascii="宋体" w:hAnsi="宋体" w:eastAsia="宋体" w:cs="宋体"/>
          <w:kern w:val="0"/>
          <w:sz w:val="24"/>
          <w:szCs w:val="24"/>
          <w:lang w:eastAsia="zh-CN"/>
        </w:rPr>
        <w:t>SXWZ2023ZB-YXY-317A</w:t>
      </w:r>
    </w:p>
    <w:p>
      <w:pPr>
        <w:widowControl/>
        <w:numPr>
          <w:ilvl w:val="0"/>
          <w:numId w:val="1"/>
        </w:numPr>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采购人名称：</w:t>
      </w:r>
      <w:r>
        <w:rPr>
          <w:rFonts w:hint="eastAsia" w:ascii="宋体" w:hAnsi="宋体" w:eastAsia="宋体" w:cs="宋体"/>
          <w:kern w:val="0"/>
          <w:sz w:val="24"/>
          <w:szCs w:val="24"/>
          <w:lang w:eastAsia="zh-CN"/>
        </w:rPr>
        <w:t>西安医学院</w:t>
      </w:r>
    </w:p>
    <w:p>
      <w:pPr>
        <w:widowControl/>
        <w:tabs>
          <w:tab w:val="left" w:pos="0"/>
        </w:tabs>
        <w:wordWrap w:val="0"/>
        <w:spacing w:line="360"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联系地址：</w:t>
      </w:r>
      <w:r>
        <w:rPr>
          <w:rFonts w:hint="eastAsia" w:ascii="宋体" w:hAnsi="宋体" w:cs="宋体"/>
          <w:kern w:val="0"/>
          <w:sz w:val="24"/>
          <w:szCs w:val="24"/>
          <w:lang w:eastAsia="zh-CN"/>
        </w:rPr>
        <w:t xml:space="preserve"> 西安市未央区辛王路1号</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cs="宋体"/>
          <w:kern w:val="0"/>
          <w:sz w:val="24"/>
          <w:szCs w:val="24"/>
          <w:highlight w:val="none"/>
          <w:lang w:val="en-US" w:eastAsia="zh-CN"/>
        </w:rPr>
        <w:t>029-86177468</w:t>
      </w:r>
    </w:p>
    <w:bookmarkEnd w:id="2"/>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采购代理机构名称：陕西万泽招标有限公司</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地址：西安市莲湖区西关正街英达大厦1507室</w:t>
      </w:r>
    </w:p>
    <w:p>
      <w:pPr>
        <w:widowControl/>
        <w:wordWrap w:val="0"/>
        <w:snapToGrid w:val="0"/>
        <w:spacing w:line="312" w:lineRule="auto"/>
        <w:ind w:firstLine="960" w:firstLineChars="400"/>
        <w:jc w:val="left"/>
        <w:rPr>
          <w:rFonts w:hint="eastAsia" w:ascii="宋体" w:hAnsi="宋体" w:eastAsia="宋体" w:cs="宋体"/>
          <w:kern w:val="0"/>
          <w:sz w:val="24"/>
          <w:szCs w:val="24"/>
        </w:rPr>
      </w:pPr>
      <w:r>
        <w:rPr>
          <w:rFonts w:hint="eastAsia" w:ascii="宋体" w:hAnsi="宋体" w:eastAsia="宋体" w:cs="宋体"/>
          <w:kern w:val="0"/>
          <w:sz w:val="24"/>
          <w:szCs w:val="24"/>
        </w:rPr>
        <w:t>联系方式：029-88319689</w:t>
      </w:r>
    </w:p>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采购内容和要求：</w:t>
      </w:r>
    </w:p>
    <w:tbl>
      <w:tblPr>
        <w:tblStyle w:val="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22"/>
        <w:gridCol w:w="1055"/>
        <w:gridCol w:w="1623"/>
        <w:gridCol w:w="1105"/>
        <w:gridCol w:w="141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4"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序号</w:t>
            </w:r>
          </w:p>
        </w:tc>
        <w:tc>
          <w:tcPr>
            <w:tcW w:w="1622" w:type="dxa"/>
            <w:vAlign w:val="center"/>
          </w:tcPr>
          <w:p>
            <w:pPr>
              <w:widowControl/>
              <w:tabs>
                <w:tab w:val="left" w:pos="1620"/>
              </w:tabs>
              <w:wordWrap w:val="0"/>
              <w:snapToGrid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采购内容</w:t>
            </w:r>
          </w:p>
        </w:tc>
        <w:tc>
          <w:tcPr>
            <w:tcW w:w="1055" w:type="dxa"/>
            <w:vAlign w:val="center"/>
          </w:tcPr>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val="en-US" w:eastAsia="zh-CN"/>
              </w:rPr>
              <w:t>数量</w:t>
            </w:r>
          </w:p>
        </w:tc>
        <w:tc>
          <w:tcPr>
            <w:tcW w:w="1623"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采购预金额</w:t>
            </w:r>
          </w:p>
          <w:p>
            <w:pPr>
              <w:widowControl/>
              <w:tabs>
                <w:tab w:val="left" w:pos="1620"/>
              </w:tabs>
              <w:wordWrap w:val="0"/>
              <w:snapToGrid w:val="0"/>
              <w:spacing w:line="360" w:lineRule="auto"/>
              <w:jc w:val="center"/>
              <w:rPr>
                <w:rFonts w:hint="default" w:ascii="宋体" w:hAnsi="宋体" w:cs="宋体" w:eastAsiaTheme="minorEastAsia"/>
                <w:kern w:val="0"/>
                <w:sz w:val="21"/>
                <w:szCs w:val="21"/>
                <w:highlight w:val="none"/>
                <w:lang w:val="en-US" w:eastAsia="zh-CN"/>
              </w:rPr>
            </w:pPr>
            <w:r>
              <w:rPr>
                <w:rFonts w:hint="eastAsia" w:ascii="宋体" w:hAnsi="宋体" w:cs="宋体"/>
                <w:kern w:val="0"/>
                <w:sz w:val="21"/>
                <w:szCs w:val="21"/>
                <w:highlight w:val="none"/>
                <w:lang w:eastAsia="zh-CN"/>
              </w:rPr>
              <w:t>（元）</w:t>
            </w:r>
          </w:p>
        </w:tc>
        <w:tc>
          <w:tcPr>
            <w:tcW w:w="1105"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项目用途</w:t>
            </w:r>
          </w:p>
        </w:tc>
        <w:tc>
          <w:tcPr>
            <w:tcW w:w="1417" w:type="dxa"/>
            <w:vAlign w:val="center"/>
          </w:tcPr>
          <w:p>
            <w:pPr>
              <w:widowControl/>
              <w:tabs>
                <w:tab w:val="left" w:pos="1620"/>
              </w:tabs>
              <w:wordWrap w:val="0"/>
              <w:snapToGrid w:val="0"/>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项目性质</w:t>
            </w:r>
          </w:p>
        </w:tc>
        <w:tc>
          <w:tcPr>
            <w:tcW w:w="161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eastAsia="zh-CN"/>
              </w:rPr>
            </w:pPr>
            <w:r>
              <w:rPr>
                <w:rFonts w:hint="eastAsia" w:ascii="宋体" w:hAnsi="宋体" w:cs="宋体"/>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44"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622" w:type="dxa"/>
            <w:vAlign w:val="center"/>
          </w:tcPr>
          <w:p>
            <w:pPr>
              <w:widowControl/>
              <w:tabs>
                <w:tab w:val="left" w:pos="1620"/>
              </w:tabs>
              <w:wordWrap w:val="0"/>
              <w:snapToGrid w:val="0"/>
              <w:spacing w:line="360" w:lineRule="auto"/>
              <w:jc w:val="center"/>
              <w:rPr>
                <w:rFonts w:hint="eastAsia" w:ascii="宋体" w:hAnsi="宋体" w:cs="宋体" w:eastAsiaTheme="minorEastAsia"/>
                <w:kern w:val="0"/>
                <w:sz w:val="21"/>
                <w:szCs w:val="21"/>
                <w:highlight w:val="none"/>
                <w:lang w:val="en-US" w:eastAsia="zh-CN"/>
              </w:rPr>
            </w:pPr>
            <w:r>
              <w:rPr>
                <w:rFonts w:hint="eastAsia" w:ascii="宋体" w:hAnsi="宋体" w:cs="宋体" w:eastAsiaTheme="minorEastAsia"/>
                <w:kern w:val="0"/>
                <w:sz w:val="21"/>
                <w:szCs w:val="21"/>
                <w:highlight w:val="none"/>
                <w:lang w:val="en-US" w:eastAsia="zh-CN"/>
              </w:rPr>
              <w:t>动力维修材料</w:t>
            </w:r>
          </w:p>
        </w:tc>
        <w:tc>
          <w:tcPr>
            <w:tcW w:w="1055"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1批</w:t>
            </w:r>
          </w:p>
        </w:tc>
        <w:tc>
          <w:tcPr>
            <w:tcW w:w="1623" w:type="dxa"/>
            <w:vAlign w:val="center"/>
          </w:tcPr>
          <w:p>
            <w:pPr>
              <w:widowControl/>
              <w:tabs>
                <w:tab w:val="left" w:pos="1620"/>
              </w:tabs>
              <w:wordWrap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1000000.00</w:t>
            </w:r>
          </w:p>
        </w:tc>
        <w:tc>
          <w:tcPr>
            <w:tcW w:w="1105" w:type="dxa"/>
            <w:vAlign w:val="center"/>
          </w:tcPr>
          <w:p>
            <w:pPr>
              <w:widowControl/>
              <w:tabs>
                <w:tab w:val="left" w:pos="1620"/>
              </w:tabs>
              <w:wordWrap w:val="0"/>
              <w:snapToGrid w:val="0"/>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自用</w:t>
            </w:r>
          </w:p>
        </w:tc>
        <w:tc>
          <w:tcPr>
            <w:tcW w:w="1417" w:type="dxa"/>
            <w:shd w:val="clear" w:color="auto" w:fill="FFFFFF" w:themeFill="background1"/>
            <w:vAlign w:val="center"/>
          </w:tcPr>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p>
          <w:p>
            <w:pPr>
              <w:widowControl/>
              <w:wordWrap w:val="0"/>
              <w:snapToGrid w:val="0"/>
              <w:spacing w:line="360" w:lineRule="auto"/>
              <w:jc w:val="center"/>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财政资金</w:t>
            </w:r>
          </w:p>
          <w:p>
            <w:pPr>
              <w:widowControl/>
              <w:wordWrap w:val="0"/>
              <w:snapToGrid w:val="0"/>
              <w:spacing w:line="360" w:lineRule="auto"/>
              <w:jc w:val="center"/>
              <w:rPr>
                <w:rFonts w:hint="eastAsia" w:ascii="宋体" w:hAnsi="宋体" w:cs="宋体"/>
                <w:kern w:val="0"/>
                <w:sz w:val="21"/>
                <w:szCs w:val="21"/>
                <w:highlight w:val="yellow"/>
                <w:shd w:val="clear" w:color="auto" w:fill="auto"/>
                <w:lang w:val="en-US" w:eastAsia="zh-CN"/>
              </w:rPr>
            </w:pPr>
          </w:p>
        </w:tc>
        <w:tc>
          <w:tcPr>
            <w:tcW w:w="1612" w:type="dxa"/>
            <w:vAlign w:val="center"/>
          </w:tcPr>
          <w:p>
            <w:pPr>
              <w:widowControl/>
              <w:wordWrap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具体要求详见第五部分采购要求</w:t>
            </w:r>
          </w:p>
        </w:tc>
      </w:tr>
    </w:tbl>
    <w:p>
      <w:pPr>
        <w:widowControl/>
        <w:numPr>
          <w:ilvl w:val="0"/>
          <w:numId w:val="1"/>
        </w:numPr>
        <w:tabs>
          <w:tab w:val="left" w:pos="1620"/>
        </w:tabs>
        <w:wordWrap w:val="0"/>
        <w:snapToGrid w:val="0"/>
        <w:spacing w:line="31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供应商资质要求：</w:t>
      </w:r>
    </w:p>
    <w:p>
      <w:pPr>
        <w:snapToGrid w:val="0"/>
        <w:spacing w:line="300" w:lineRule="auto"/>
        <w:ind w:left="567"/>
        <w:jc w:val="left"/>
        <w:rPr>
          <w:rFonts w:hint="eastAsia" w:ascii="宋体" w:hAnsi="宋体" w:eastAsia="宋体" w:cs="宋体"/>
          <w:sz w:val="24"/>
          <w:szCs w:val="24"/>
        </w:rPr>
      </w:pPr>
      <w:r>
        <w:rPr>
          <w:rFonts w:hint="eastAsia" w:ascii="宋体" w:hAnsi="宋体" w:eastAsia="宋体" w:cs="宋体"/>
          <w:bCs/>
          <w:kern w:val="0"/>
          <w:sz w:val="24"/>
          <w:szCs w:val="24"/>
        </w:rPr>
        <w:t>符合《中华人民共和国政府采购法》第二十二条规定，并提供以下材料：</w:t>
      </w:r>
    </w:p>
    <w:p>
      <w:pPr>
        <w:numPr>
          <w:ilvl w:val="0"/>
          <w:numId w:val="2"/>
        </w:numPr>
        <w:snapToGrid w:val="0"/>
        <w:spacing w:line="360" w:lineRule="auto"/>
        <w:ind w:left="-147"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1</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w:t>
      </w:r>
      <w:r>
        <w:rPr>
          <w:rFonts w:hint="eastAsia" w:ascii="宋体" w:hAnsi="宋体" w:cs="宋体"/>
          <w:bCs/>
          <w:kern w:val="0"/>
          <w:sz w:val="24"/>
          <w:szCs w:val="24"/>
          <w:lang w:eastAsia="zh-CN"/>
        </w:rPr>
        <w:t>投标人</w:t>
      </w:r>
      <w:r>
        <w:rPr>
          <w:rFonts w:hint="eastAsia" w:ascii="宋体" w:hAnsi="宋体" w:cs="宋体"/>
          <w:bCs/>
          <w:kern w:val="0"/>
          <w:sz w:val="24"/>
          <w:szCs w:val="24"/>
        </w:rPr>
        <w:t>应提供相关文件证明；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年1月至今已缴纳的至少一个月的纳税证明或完税证明；依法免税的单位应提供相关证明材料；</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w:t>
      </w:r>
      <w:r>
        <w:rPr>
          <w:rFonts w:hint="eastAsia" w:ascii="宋体" w:hAnsi="宋体" w:cs="宋体"/>
          <w:bCs/>
          <w:kern w:val="0"/>
          <w:sz w:val="24"/>
          <w:szCs w:val="24"/>
          <w:lang w:val="en-US" w:eastAsia="zh-CN"/>
        </w:rPr>
        <w:t>22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lang w:val="en-US" w:eastAsia="zh-CN"/>
        </w:rPr>
        <w:t>供应商</w:t>
      </w:r>
      <w:r>
        <w:rPr>
          <w:rFonts w:hint="eastAsia" w:ascii="宋体" w:hAnsi="宋体" w:cs="宋体"/>
          <w:bCs/>
          <w:kern w:val="0"/>
          <w:sz w:val="24"/>
          <w:szCs w:val="24"/>
        </w:rPr>
        <w:t>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非法定代表人参加</w:t>
      </w:r>
      <w:r>
        <w:rPr>
          <w:rFonts w:hint="eastAsia" w:ascii="宋体" w:hAnsi="宋体" w:cs="宋体"/>
          <w:bCs/>
          <w:kern w:val="0"/>
          <w:sz w:val="24"/>
          <w:szCs w:val="24"/>
          <w:lang w:val="en-US" w:eastAsia="zh-CN"/>
        </w:rPr>
        <w:t>谈判</w:t>
      </w:r>
      <w:r>
        <w:rPr>
          <w:rFonts w:hint="eastAsia" w:ascii="宋体" w:hAnsi="宋体" w:cs="宋体"/>
          <w:bCs/>
          <w:kern w:val="0"/>
          <w:sz w:val="24"/>
          <w:szCs w:val="24"/>
        </w:rPr>
        <w:t>的，须提供法定代表人授权委托书及被授权人身份证原件；法定代表人参加</w:t>
      </w:r>
      <w:r>
        <w:rPr>
          <w:rFonts w:hint="eastAsia" w:ascii="宋体" w:hAnsi="宋体" w:cs="宋体"/>
          <w:bCs/>
          <w:kern w:val="0"/>
          <w:sz w:val="24"/>
          <w:szCs w:val="24"/>
          <w:lang w:val="en-US" w:eastAsia="zh-CN"/>
        </w:rPr>
        <w:t>谈判</w:t>
      </w:r>
      <w:r>
        <w:rPr>
          <w:rFonts w:hint="eastAsia" w:ascii="宋体" w:hAnsi="宋体" w:cs="宋体"/>
          <w:bCs/>
          <w:kern w:val="0"/>
          <w:sz w:val="24"/>
          <w:szCs w:val="24"/>
        </w:rPr>
        <w:t>时,只须提供法定代表人身份证原件；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Cs/>
          <w:kern w:val="0"/>
          <w:sz w:val="24"/>
          <w:szCs w:val="24"/>
          <w:lang w:val="en-US" w:eastAsia="zh-CN"/>
        </w:rPr>
      </w:pPr>
      <w:r>
        <w:rPr>
          <w:rFonts w:hint="eastAsia" w:ascii="宋体" w:hAnsi="宋体" w:eastAsia="宋体" w:cs="宋体"/>
          <w:sz w:val="24"/>
          <w:szCs w:val="24"/>
          <w:highlight w:val="none"/>
          <w:lang w:val="en-US" w:eastAsia="zh-CN" w:bidi="ar-SA"/>
        </w:rPr>
        <w:t>7、</w:t>
      </w:r>
      <w:r>
        <w:rPr>
          <w:rFonts w:hint="eastAsia" w:ascii="宋体" w:hAnsi="宋体" w:eastAsia="宋体" w:cs="宋体"/>
          <w:bCs/>
          <w:kern w:val="0"/>
          <w:sz w:val="24"/>
          <w:szCs w:val="24"/>
        </w:rPr>
        <w:t>本项目不接受联合体</w:t>
      </w:r>
      <w:r>
        <w:rPr>
          <w:rFonts w:hint="eastAsia" w:ascii="宋体" w:hAnsi="宋体" w:eastAsia="宋体" w:cs="宋体"/>
          <w:bCs/>
          <w:kern w:val="0"/>
          <w:sz w:val="24"/>
          <w:szCs w:val="24"/>
          <w:lang w:val="en-US" w:eastAsia="zh-CN"/>
        </w:rPr>
        <w:t>谈判</w:t>
      </w:r>
      <w:r>
        <w:rPr>
          <w:rFonts w:hint="eastAsia" w:ascii="宋体" w:hAnsi="宋体" w:eastAsia="宋体" w:cs="宋体"/>
          <w:bCs/>
          <w:kern w:val="0"/>
          <w:sz w:val="24"/>
          <w:szCs w:val="24"/>
        </w:rPr>
        <w:t>。</w:t>
      </w:r>
    </w:p>
    <w:p>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采购项目需要落实的政府采购政策：</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采购节能产品、鼓励环保产品、促进残疾人就业、扶持福利企业、支持中小微企业、支持监狱和戒毒企业、限制采购进口产品等政策，将落实相关政策，具体详见招标文</w:t>
      </w:r>
      <w:r>
        <w:rPr>
          <w:rFonts w:hint="eastAsia" w:ascii="宋体" w:hAnsi="宋体" w:cs="宋体"/>
          <w:bCs/>
          <w:kern w:val="0"/>
          <w:sz w:val="24"/>
          <w:szCs w:val="24"/>
        </w:rPr>
        <w:t>件。</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（2）《关于进一步加大政府采购支持中小企业力度的通知》（财库〔2022〕19号）；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（3）《财政部司法部关于政府采购支持监狱企业发展有关问题的通知》财库[2014]68号；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（4）《三部门联合发布关于促进残疾人就业政府采购政策的通知》（财库[2017]141号）；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（5）《财政部发展改革委生态环境部市场监管总局关于调整优化节能产品、环境标志产品政府采购执行机制的通知》（财库〔2019〕9号）；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（6）《财政部国家发展改革委关于印发〈节能产品政府采购实施意见〉的通知》（财库[2004]185号）；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（7）《财政部环保总局关于环境标志产品政府采购实施的意见》财库[2006]90号；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（8）《陕西省中小企业政府采购信用融资办法》（陕财办采〔2018〕23号）；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（9）《国务院办公厅关于建立政府强制采购节能产品制度的通知》（国办发〔2007〕51号）；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（10）《财政部农业农村部国家乡村振兴局关于运用政府采购政策支持乡村产业振兴的通知》（财库〔2021〕19 号）；</w:t>
      </w:r>
    </w:p>
    <w:p>
      <w:pPr>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（11）《财政部住房城乡建设部工业和信息化部关于扩大政府采购绿色建材促进建筑品质提升政策实施范围的通知》（财库〔2022〕35号）；</w:t>
      </w:r>
    </w:p>
    <w:p>
      <w:pPr>
        <w:snapToGrid w:val="0"/>
        <w:spacing w:line="360" w:lineRule="auto"/>
        <w:ind w:firstLine="480" w:firstLineChars="200"/>
        <w:jc w:val="left"/>
        <w:rPr>
          <w:rFonts w:ascii="宋体" w:hAnsi="宋体" w:eastAsia="宋体" w:cs="宋体"/>
          <w:bCs/>
          <w:kern w:val="0"/>
          <w:sz w:val="24"/>
          <w:szCs w:val="24"/>
        </w:rPr>
      </w:pPr>
      <w:r>
        <w:rPr>
          <w:rFonts w:hint="eastAsia" w:ascii="宋体" w:hAnsi="宋体" w:cs="宋体"/>
          <w:bCs/>
          <w:kern w:val="0"/>
          <w:sz w:val="24"/>
          <w:szCs w:val="24"/>
        </w:rPr>
        <w:t>（12）其他需要落实的政府采购政策；</w:t>
      </w:r>
    </w:p>
    <w:p>
      <w:pPr>
        <w:widowControl/>
        <w:numPr>
          <w:ilvl w:val="0"/>
          <w:numId w:val="1"/>
        </w:numPr>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竞争性谈判文件</w:t>
      </w:r>
      <w:r>
        <w:rPr>
          <w:rFonts w:hint="eastAsia" w:ascii="宋体" w:hAnsi="宋体" w:eastAsia="宋体" w:cs="宋体"/>
          <w:color w:val="auto"/>
          <w:kern w:val="0"/>
          <w:sz w:val="24"/>
          <w:szCs w:val="24"/>
          <w:highlight w:val="none"/>
          <w:lang w:val="en-US" w:eastAsia="zh-CN"/>
        </w:rPr>
        <w:t>售卖</w:t>
      </w:r>
      <w:r>
        <w:rPr>
          <w:rFonts w:hint="eastAsia" w:ascii="宋体" w:hAnsi="宋体" w:eastAsia="宋体" w:cs="宋体"/>
          <w:color w:val="auto"/>
          <w:kern w:val="0"/>
          <w:sz w:val="24"/>
          <w:szCs w:val="24"/>
          <w:highlight w:val="none"/>
        </w:rPr>
        <w:t>：</w:t>
      </w:r>
    </w:p>
    <w:p>
      <w:pPr>
        <w:widowControl/>
        <w:shd w:val="clear"/>
        <w:wordWrap w:val="0"/>
        <w:snapToGrid w:val="0"/>
        <w:spacing w:line="30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售卖</w:t>
      </w: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18日</w:t>
      </w:r>
      <w:r>
        <w:rPr>
          <w:rFonts w:hint="eastAsia" w:ascii="宋体" w:hAnsi="宋体" w:eastAsia="宋体" w:cs="宋体"/>
          <w:b/>
          <w:bCs/>
          <w:color w:val="auto"/>
          <w:sz w:val="24"/>
          <w:szCs w:val="24"/>
          <w:highlight w:val="none"/>
        </w:rPr>
        <w:t>至20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止。</w:t>
      </w:r>
    </w:p>
    <w:p>
      <w:pPr>
        <w:widowControl/>
        <w:shd w:val="clear"/>
        <w:wordWrap w:val="0"/>
        <w:snapToGrid w:val="0"/>
        <w:spacing w:line="300" w:lineRule="auto"/>
        <w:ind w:firstLine="480" w:firstLineChars="200"/>
        <w:jc w:val="left"/>
        <w:rPr>
          <w:rFonts w:asciiTheme="minorEastAsia" w:hAnsiTheme="minorEastAsia" w:cstheme="minorEastAsia"/>
          <w:color w:val="auto"/>
          <w:sz w:val="24"/>
          <w:szCs w:val="24"/>
          <w:highlight w:val="none"/>
        </w:rPr>
      </w:pPr>
      <w:r>
        <w:rPr>
          <w:rFonts w:hint="eastAsia" w:ascii="宋体" w:hAnsi="宋体" w:eastAsia="宋体" w:cs="宋体"/>
          <w:color w:val="auto"/>
          <w:kern w:val="0"/>
          <w:sz w:val="24"/>
          <w:szCs w:val="24"/>
          <w:highlight w:val="none"/>
        </w:rPr>
        <w:t>（上午09:00～12:00，下午14:00～17:00发售,法定节假日除外）。</w:t>
      </w:r>
    </w:p>
    <w:p>
      <w:pPr>
        <w:widowControl/>
        <w:shd w:val="clear"/>
        <w:wordWrap w:val="0"/>
        <w:snapToGrid w:val="0"/>
        <w:spacing w:line="360" w:lineRule="auto"/>
        <w:ind w:firstLine="720" w:firstLineChars="3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w:t>
      </w:r>
      <w:r>
        <w:rPr>
          <w:rFonts w:hint="eastAsia" w:asciiTheme="minorEastAsia" w:hAnsiTheme="minorEastAsia" w:cstheme="minorEastAsia"/>
          <w:color w:val="auto"/>
          <w:kern w:val="0"/>
          <w:sz w:val="24"/>
          <w:szCs w:val="24"/>
          <w:highlight w:val="none"/>
          <w:lang w:eastAsia="zh-CN"/>
        </w:rPr>
        <w:t>领取</w:t>
      </w:r>
      <w:r>
        <w:rPr>
          <w:rFonts w:hint="eastAsia" w:asciiTheme="minorEastAsia" w:hAnsiTheme="minorEastAsia" w:cstheme="minorEastAsia"/>
          <w:color w:val="auto"/>
          <w:kern w:val="0"/>
          <w:sz w:val="24"/>
          <w:szCs w:val="24"/>
          <w:highlight w:val="none"/>
        </w:rPr>
        <w:t>地点：西安市莲湖区西关正街英达大厦1507室</w:t>
      </w:r>
    </w:p>
    <w:p>
      <w:pPr>
        <w:widowControl/>
        <w:shd w:val="clear"/>
        <w:wordWrap w:val="0"/>
        <w:snapToGrid w:val="0"/>
        <w:spacing w:line="360" w:lineRule="auto"/>
        <w:ind w:firstLine="720" w:firstLineChars="3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3、文件售价：¥</w:t>
      </w:r>
      <w:r>
        <w:rPr>
          <w:rFonts w:hint="eastAsia" w:asciiTheme="minorEastAsia" w:hAnsiTheme="minorEastAsia" w:cstheme="minorEastAsia"/>
          <w:color w:val="auto"/>
          <w:kern w:val="0"/>
          <w:sz w:val="24"/>
          <w:szCs w:val="24"/>
          <w:highlight w:val="none"/>
          <w:lang w:val="en-US" w:eastAsia="zh-CN"/>
        </w:rPr>
        <w:t>50</w:t>
      </w:r>
      <w:r>
        <w:rPr>
          <w:rFonts w:hint="eastAsia" w:asciiTheme="minorEastAsia" w:hAnsiTheme="minorEastAsia" w:cstheme="minorEastAsia"/>
          <w:color w:val="auto"/>
          <w:kern w:val="0"/>
          <w:sz w:val="24"/>
          <w:szCs w:val="24"/>
          <w:highlight w:val="none"/>
        </w:rPr>
        <w:t>0元/套。谢绝邮寄。</w:t>
      </w:r>
    </w:p>
    <w:p>
      <w:pPr>
        <w:widowControl/>
        <w:shd w:val="clear"/>
        <w:tabs>
          <w:tab w:val="left" w:pos="1620"/>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highlight w:val="none"/>
        </w:rPr>
        <w:t>注：（1）</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领取标书时，请携带单位介绍信及经办人身份证原件及复印件加盖公章；（2）请</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按照《陕西省财政厅关于政府采购供应商注册登记有关事项的通知》中的要求，通过陕西省政府采购网（http://www.ccgp-shaanxi.gov.cn/）注册登记加入陕西省政府采购供应商库。</w:t>
      </w:r>
    </w:p>
    <w:p>
      <w:pPr>
        <w:widowControl/>
        <w:numPr>
          <w:ilvl w:val="0"/>
          <w:numId w:val="1"/>
        </w:numPr>
        <w:shd w:val="clear"/>
        <w:tabs>
          <w:tab w:val="left" w:pos="1620"/>
        </w:tabs>
        <w:wordWrap w:val="0"/>
        <w:snapToGrid w:val="0"/>
        <w:spacing w:line="360" w:lineRule="auto"/>
        <w:ind w:firstLine="480" w:firstLineChars="2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投标文件递交截止时间及开标时间和地点：</w:t>
      </w:r>
    </w:p>
    <w:p>
      <w:pPr>
        <w:widowControl/>
        <w:shd w:val="clear"/>
        <w:tabs>
          <w:tab w:val="left" w:pos="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1、谈判响应文件递交截止时间：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01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26</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shd w:val="clear"/>
        <w:tabs>
          <w:tab w:val="left" w:pos="1620"/>
        </w:tabs>
        <w:wordWrap w:val="0"/>
        <w:snapToGrid w:val="0"/>
        <w:spacing w:line="312"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2、谈判时间：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kern w:val="0"/>
          <w:sz w:val="24"/>
          <w:szCs w:val="24"/>
          <w:highlight w:val="none"/>
          <w:lang w:val="en-US" w:eastAsia="zh-CN"/>
        </w:rPr>
        <w:t>01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26</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pPr>
        <w:widowControl/>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3、谈判地点：西安市莲湖区西关正街英达大厦1503会议室。</w:t>
      </w:r>
    </w:p>
    <w:p>
      <w:pPr>
        <w:widowControl/>
        <w:numPr>
          <w:ilvl w:val="0"/>
          <w:numId w:val="1"/>
        </w:numPr>
        <w:shd w:val="clear"/>
        <w:tabs>
          <w:tab w:val="left" w:pos="1620"/>
        </w:tabs>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其它应说明的事项：</w:t>
      </w:r>
    </w:p>
    <w:p>
      <w:pPr>
        <w:widowControl/>
        <w:shd w:val="clear"/>
        <w:wordWrap w:val="0"/>
        <w:snapToGrid w:val="0"/>
        <w:spacing w:line="312"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1、采购项目联系人：</w:t>
      </w:r>
      <w:r>
        <w:rPr>
          <w:rFonts w:hint="eastAsia" w:ascii="宋体" w:hAnsi="宋体" w:eastAsia="宋体" w:cs="宋体"/>
          <w:color w:val="auto"/>
          <w:kern w:val="0"/>
          <w:sz w:val="24"/>
          <w:szCs w:val="24"/>
          <w:highlight w:val="none"/>
          <w:lang w:val="en-US" w:eastAsia="zh-CN"/>
        </w:rPr>
        <w:t>崔方明</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许芳芳 陈晓航</w:t>
      </w:r>
      <w:bookmarkStart w:id="3" w:name="_GoBack"/>
      <w:bookmarkEnd w:id="3"/>
    </w:p>
    <w:p>
      <w:pPr>
        <w:widowControl/>
        <w:shd w:val="clear"/>
        <w:wordWrap w:val="0"/>
        <w:snapToGrid w:val="0"/>
        <w:spacing w:line="312"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联系方式（电话/传真）：029-88319689-804/811</w:t>
      </w:r>
    </w:p>
    <w:p>
      <w:pPr>
        <w:widowControl/>
        <w:shd w:val="clear"/>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2、采购代理机构开户名称：陕西万泽招标有限公司</w:t>
      </w:r>
    </w:p>
    <w:p>
      <w:pPr>
        <w:widowControl/>
        <w:shd w:val="clear"/>
        <w:wordWrap w:val="0"/>
        <w:snapToGrid w:val="0"/>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3、开户行名称：西安银行朝阳门支行</w:t>
      </w:r>
    </w:p>
    <w:p>
      <w:pPr>
        <w:widowControl/>
        <w:shd w:val="clear"/>
        <w:tabs>
          <w:tab w:val="left" w:pos="0"/>
        </w:tabs>
        <w:wordWrap w:val="0"/>
        <w:snapToGrid w:val="0"/>
        <w:spacing w:line="312"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      号：211011580000015489</w:t>
      </w:r>
    </w:p>
    <w:p>
      <w:pPr>
        <w:widowControl/>
        <w:shd w:val="clear"/>
        <w:tabs>
          <w:tab w:val="left" w:pos="1620"/>
        </w:tabs>
        <w:snapToGrid w:val="0"/>
        <w:spacing w:line="312" w:lineRule="auto"/>
        <w:ind w:firstLine="420" w:firstLineChars="175"/>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陕西万泽招标有限公司</w:t>
      </w:r>
    </w:p>
    <w:p>
      <w:pPr>
        <w:widowControl/>
        <w:shd w:val="clear"/>
        <w:tabs>
          <w:tab w:val="left" w:pos="1620"/>
        </w:tabs>
        <w:snapToGrid w:val="0"/>
        <w:spacing w:line="312" w:lineRule="auto"/>
        <w:ind w:firstLine="420" w:firstLineChars="175"/>
        <w:jc w:val="righ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20</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18日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mVlZDIzN2FmMzY0MDhmNGVhMzcyMTk3YzIyMzAifQ=="/>
  </w:docVars>
  <w:rsids>
    <w:rsidRoot w:val="7CCE2ACD"/>
    <w:rsid w:val="7CCE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rFonts w:ascii="Times New Roman" w:hAnsi="Times New Roman"/>
      <w:sz w:val="18"/>
      <w:szCs w:val="18"/>
    </w:rPr>
  </w:style>
  <w:style w:type="paragraph" w:styleId="3">
    <w:name w:val="Body Text"/>
    <w:basedOn w:val="1"/>
    <w:next w:val="4"/>
    <w:qFormat/>
    <w:uiPriority w:val="99"/>
  </w:style>
  <w:style w:type="paragraph" w:customStyle="1" w:styleId="4">
    <w:name w:val="标题 2 Char1"/>
    <w:basedOn w:val="1"/>
    <w:autoRedefine/>
    <w:qFormat/>
    <w:uiPriority w:val="99"/>
    <w:rPr>
      <w:rFonts w:cs="Calibri"/>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2024-01-18T05:16:00Z</dcterms:created>
  <dc:creator>pc</dc:creator>
  <cp:lastModifiedBy>pc</cp:lastModifiedBy>
  <dcterms:modified xsi:type="dcterms:W3CDTF">2024-01-18T05:17:33Z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B4CCF0F718764A4E9461E4163D5C52AA_11</vt:lpwstr>
  </property>
</Properties>
</file>