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br/>
      </w:r>
      <w:r>
        <w:br/>
      </w:r>
      <w:r>
        <w:br/>
      </w:r>
      <w:r>
        <w:br/>
      </w:r>
      <w:r>
        <w:br/>
      </w:r>
    </w:p>
    <w:p>
      <w:pPr>
        <w:pStyle w:val="null3"/>
        <w:jc w:val="center"/>
        <w:outlineLvl w:val="0"/>
      </w:pPr>
      <w:r>
        <w:rPr>
          <w:b/>
          <w:sz w:val="48"/>
        </w:rPr>
        <w:t>磋 商 文 件</w:t>
      </w:r>
      <w:r>
        <w:br/>
      </w:r>
      <w:r>
        <w:br/>
      </w:r>
      <w:r>
        <w:br/>
      </w:r>
    </w:p>
    <w:p>
      <w:pPr>
        <w:pStyle w:val="null3"/>
        <w:jc w:val="center"/>
        <w:outlineLvl w:val="1"/>
      </w:pPr>
      <w:r>
        <w:rPr>
          <w:b/>
          <w:sz w:val="36"/>
        </w:rPr>
        <w:t>（工程类）</w:t>
      </w:r>
      <w:r>
        <w:br/>
      </w:r>
      <w:r>
        <w:br/>
      </w:r>
      <w:r>
        <w:br/>
      </w:r>
      <w:r>
        <w:br/>
      </w:r>
      <w:r>
        <w:br/>
      </w:r>
      <w:r>
        <w:br/>
      </w:r>
      <w:r>
        <w:br/>
      </w:r>
      <w:r>
        <w:br/>
      </w:r>
      <w:r>
        <w:br/>
      </w:r>
      <w:r>
        <w:br/>
      </w:r>
      <w:r>
        <w:br/>
      </w:r>
    </w:p>
    <w:p>
      <w:pPr>
        <w:pStyle w:val="null3"/>
        <w:jc w:val="center"/>
        <w:outlineLvl w:val="2"/>
      </w:pPr>
      <w:r>
        <w:rPr>
          <w:b/>
          <w:sz w:val="28"/>
        </w:rPr>
        <w:t>采购项目名称：</w:t>
      </w:r>
      <w:r>
        <w:rPr>
          <w:b/>
          <w:sz w:val="28"/>
        </w:rPr>
        <w:t>丝绸之路考古展建设工程项目(二次)</w:t>
      </w:r>
    </w:p>
    <w:p>
      <w:pPr>
        <w:pStyle w:val="null3"/>
        <w:jc w:val="center"/>
        <w:outlineLvl w:val="2"/>
      </w:pPr>
      <w:r>
        <w:rPr>
          <w:b/>
          <w:sz w:val="28"/>
        </w:rPr>
        <w:t>采购项目编号：</w:t>
      </w:r>
      <w:r>
        <w:rPr>
          <w:b/>
          <w:sz w:val="28"/>
        </w:rPr>
        <w:t>RTZB-2024-2002(R)</w:t>
      </w:r>
      <w:r>
        <w:br/>
      </w:r>
      <w:r>
        <w:br/>
      </w:r>
      <w:r>
        <w:br/>
      </w:r>
    </w:p>
    <w:p>
      <w:pPr>
        <w:pStyle w:val="null3"/>
        <w:jc w:val="center"/>
        <w:outlineLvl w:val="2"/>
      </w:pPr>
      <w:r>
        <w:rPr>
          <w:b/>
          <w:sz w:val="28"/>
        </w:rPr>
        <w:t>西北大学</w:t>
      </w:r>
    </w:p>
    <w:p>
      <w:pPr>
        <w:pStyle w:val="null3"/>
        <w:jc w:val="center"/>
        <w:outlineLvl w:val="2"/>
      </w:pPr>
      <w:r>
        <w:rPr>
          <w:b/>
          <w:sz w:val="28"/>
        </w:rPr>
        <w:t>陕西瑞通工程造价咨询有限公司</w:t>
      </w:r>
      <w:r>
        <w:rPr>
          <w:b/>
          <w:sz w:val="28"/>
        </w:rPr>
        <w:t>共同编制</w:t>
      </w:r>
    </w:p>
    <w:p>
      <w:pPr>
        <w:pStyle w:val="null3"/>
        <w:jc w:val="center"/>
        <w:outlineLvl w:val="2"/>
      </w:pPr>
      <w:r>
        <w:rPr>
          <w:b/>
          <w:sz w:val="28"/>
        </w:rPr>
        <w:t>2024年03月10日</w:t>
      </w:r>
    </w:p>
    <w:p>
      <w:pPr>
        <w:pStyle w:val="null3"/>
      </w:pPr>
      <w:r>
        <w:rPr/>
        <w:t xml:space="preserve"> </w:t>
      </w:r>
    </w:p>
    <w:p>
      <w:pPr>
        <w:pStyle w:val="null3"/>
        <w:jc w:val="center"/>
        <w:outlineLvl w:val="1"/>
      </w:pPr>
      <w:r>
        <w:rPr>
          <w:b/>
          <w:sz w:val="36"/>
        </w:rPr>
        <w:t>第一章 竞争性磋商邀请</w:t>
      </w:r>
    </w:p>
    <w:p>
      <w:pPr>
        <w:pStyle w:val="null3"/>
        <w:ind w:firstLine="480"/>
      </w:pPr>
      <w:r>
        <w:rPr/>
        <w:t>陕西瑞通工程造价咨询有限公司</w:t>
      </w:r>
      <w:r>
        <w:rPr/>
        <w:t>（以下简称“代理机构”）受</w:t>
      </w:r>
      <w:r>
        <w:rPr/>
        <w:t>西北大学</w:t>
      </w:r>
      <w:r>
        <w:rPr/>
        <w:t>委托，拟对</w:t>
      </w:r>
      <w:r>
        <w:rPr/>
        <w:t>丝绸之路考古展建设工程项目(二次)</w:t>
      </w:r>
      <w:r>
        <w:rPr/>
        <w:t>采用竞争性磋商采购方式进行采购，兹邀请供应商参加本项目的竞争性磋商。</w:t>
      </w:r>
    </w:p>
    <w:p>
      <w:pPr>
        <w:pStyle w:val="null3"/>
        <w:outlineLvl w:val="2"/>
      </w:pPr>
      <w:r>
        <w:rPr>
          <w:b/>
          <w:sz w:val="28"/>
        </w:rPr>
        <w:t>一、采购项目编号：</w:t>
      </w:r>
      <w:r>
        <w:rPr>
          <w:b/>
          <w:sz w:val="28"/>
        </w:rPr>
        <w:t>RTZB-2024-2002(R)</w:t>
      </w:r>
    </w:p>
    <w:p>
      <w:pPr>
        <w:pStyle w:val="null3"/>
        <w:outlineLvl w:val="2"/>
      </w:pPr>
      <w:r>
        <w:rPr>
          <w:b/>
          <w:sz w:val="28"/>
        </w:rPr>
        <w:t>二、采购项目名称：</w:t>
      </w:r>
      <w:r>
        <w:rPr>
          <w:b/>
          <w:sz w:val="28"/>
        </w:rPr>
        <w:t>丝绸之路考古展建设工程项目(二次)</w:t>
      </w:r>
    </w:p>
    <w:p>
      <w:pPr>
        <w:pStyle w:val="null3"/>
        <w:outlineLvl w:val="2"/>
      </w:pPr>
      <w:r>
        <w:rPr>
          <w:b/>
          <w:sz w:val="28"/>
        </w:rPr>
        <w:t>三、磋商项目简介</w:t>
      </w:r>
    </w:p>
    <w:p>
      <w:pPr>
        <w:pStyle w:val="null3"/>
        <w:ind w:firstLine="480"/>
      </w:pPr>
      <w:r>
        <w:rPr/>
        <w:t>为满足西北大学丝绸之路考古展需求需对博物馆二层临展厅进行装修改造，改造建筑面积余约600m2。本项目为设计施工总承包，内容包括：设计、施工（含拆除清运），展柜购买、展陈布置、设备器材采购等，具体详见采购需求。</w:t>
      </w:r>
    </w:p>
    <w:p>
      <w:pPr>
        <w:pStyle w:val="null3"/>
        <w:outlineLvl w:val="2"/>
      </w:pPr>
      <w:r>
        <w:rPr>
          <w:b/>
          <w:sz w:val="28"/>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b/>
          <w:sz w:val="28"/>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执行政府采购促进中小企业发展的相关政策：</w:t>
      </w:r>
    </w:p>
    <w:p>
      <w:pPr>
        <w:pStyle w:val="null3"/>
      </w:pPr>
      <w:r>
        <w:rPr/>
        <w:t>采购包1（丝绸之路考古展建设工程）：属于专门面向中小企业采购。</w:t>
      </w:r>
    </w:p>
    <w:p>
      <w:pPr>
        <w:pStyle w:val="null3"/>
      </w:pPr>
      <w:r>
        <w:rPr/>
        <w:t>供应商以联合体形式参加本采购包的，联合体各方应当为中小企业。</w:t>
      </w:r>
    </w:p>
    <w:p>
      <w:pPr>
        <w:pStyle w:val="null3"/>
        <w:ind w:firstLine="480"/>
      </w:pPr>
      <w:r>
        <w:rPr/>
        <w:t>（三）本项目的特定资格要求：</w:t>
      </w:r>
    </w:p>
    <w:p>
      <w:pPr>
        <w:pStyle w:val="null3"/>
      </w:pPr>
      <w:r>
        <w:rPr/>
        <w:t>采购包1：</w:t>
      </w:r>
    </w:p>
    <w:p>
      <w:pPr>
        <w:pStyle w:val="null3"/>
      </w:pPr>
      <w:r>
        <w:rPr/>
        <w:t>1、联合体声明：接受联合体，属于联合体的提供联合体书面协议。</w:t>
      </w:r>
    </w:p>
    <w:p>
      <w:pPr>
        <w:pStyle w:val="null3"/>
      </w:pPr>
      <w:r>
        <w:rPr/>
        <w:t>2、信用证明：供应商（联合体投标的，包含联合体每个成员）提供参加本次政府采购活动前3年内在经营活动中没有重大违法记录（处罚期满除外）、未在各级建设诚信信息平台被列为投标受限制的行为人或被列为严重违法失信企业名单的声明。</w:t>
      </w:r>
    </w:p>
    <w:p>
      <w:pPr>
        <w:pStyle w:val="null3"/>
      </w:pPr>
      <w:r>
        <w:rPr/>
        <w:t>3、供应商注册证照：供应商（联合体投标的，包含联合体每个成员）提供法人企业提供带有统一社会信用代码营业执照，未提供的接受采购人通过国家企业信用信息公示系统（http://www.gsxt.gov.cn/index.html）进行相关信息的核实，并承担核实不到的后果；事业单位提供事业单位法人登记证；其他组织提供民办非企业单位登记证；专业服务机构提供执业许可证等；自然人提供身份证。</w:t>
      </w:r>
    </w:p>
    <w:p>
      <w:pPr>
        <w:pStyle w:val="null3"/>
      </w:pPr>
      <w:r>
        <w:rPr/>
        <w:t>4、财务状况证明：供应商（联合体投标的，包含联合体每个成员）提供2022年度经第三方会计事务所审计过的财务报告，或磋商截止时间前90天内基本账户银行出具的资信证明。注：①提供财务报告的，内容至少包括：审计报告、附注。②提供资信证明的，必须提供资信证明全部页以及基本户信息（提供开户许可证复印件或提供基本银行账户信息复印件加盖公章）。银行出具的存款证明不能代替资信证明，存款证明无效。</w:t>
      </w:r>
    </w:p>
    <w:p>
      <w:pPr>
        <w:pStyle w:val="null3"/>
      </w:pPr>
      <w:r>
        <w:rPr/>
        <w:t>5、纳税状况：供应商（联合体投标的，包含联合体每个成员）提供2023年至今至少一次依法纳税的证明（任意税种），依法免税的应提供相关证明；成立不足一个月的提供将依法纳税的承诺书。注：①零报税的提供申报成功的凭证。②时间以税款所属时段为准。</w:t>
      </w:r>
    </w:p>
    <w:p>
      <w:pPr>
        <w:pStyle w:val="null3"/>
      </w:pPr>
      <w:r>
        <w:rPr/>
        <w:t>6、社保缴纳状况：供应商（联合体投标的，包含联合体每个成员）提供2023年至今至少一个月的社会保障资金缴存凭证或社保机构开具的社会保险参保缴费情况证明；依法不需要缴纳社会保障资金的应提供链条完整的证明；成立不足一个月的提供将依法交纳社会保障资金的承诺书（格式自拟）。注：①供应商可自行打印带有社保机构公章的缴存凭证；或提供银行交纳单据，单据应显示社保缴存项（任一项）。②通过代缴方式缴存的，需提供链条完整的证明材料，证明材料至少包括代缴方的缴存凭证、供应商向代缴方用于缴存社保的银行转账单据。</w:t>
      </w:r>
    </w:p>
    <w:p>
      <w:pPr>
        <w:pStyle w:val="null3"/>
      </w:pPr>
      <w:r>
        <w:rPr/>
        <w:t>7、履约能力证明：供应商（联合体投标的，包含联合体每个成员）提供具有履行本合同所必需的专业技术能力的声明。</w:t>
      </w:r>
    </w:p>
    <w:p>
      <w:pPr>
        <w:pStyle w:val="null3"/>
      </w:pPr>
      <w:r>
        <w:rPr/>
        <w:t>8、代表人授权：联合体投标的：联合体牵头人法定代表人直接参加磋商的须提供法定代表人证明书；联合体牵头人法定代表人授权代表参加磋商的，须提供法定代表人证明书和法定代表人授权书。 非联合体投标的：法定代表人直接参加磋商的须提供法定代表人证明书；法定代表人授权代表参加磋商的，须提供法定代表人证明书和法定代表人授权书。</w:t>
      </w:r>
    </w:p>
    <w:p>
      <w:pPr>
        <w:pStyle w:val="null3"/>
      </w:pPr>
      <w:r>
        <w:rPr/>
        <w:t>9、企业资质：提供供应商或联合体任一成员的建筑装饰装修工程专业承包二级及以上资质证书，对应的有效的安全生产许可证。 提供供应商或联合体任一成员的建筑装饰工程设计专项（建筑装饰工程设计）乙级及以上资质证书。</w:t>
      </w:r>
    </w:p>
    <w:p>
      <w:pPr>
        <w:pStyle w:val="null3"/>
      </w:pPr>
      <w:r>
        <w:rPr/>
        <w:t>10、项目经理：联合体投标的： 拟派项目经理须为联合体任一成员单位注册的建筑工程专业贰级（含贰级）以上注册建造师，提供证书及安全生产考核合格证（B证）且无在建工程的书面声明。 非联合体投标的： 拟派项目经理须为本单位注册的建筑工程专业贰级（含贰级）以上注册建造师，提供证书及安全生产考核合格证（B证）且无在建工程的书面声明。</w:t>
      </w:r>
    </w:p>
    <w:p>
      <w:pPr>
        <w:pStyle w:val="null3"/>
        <w:outlineLvl w:val="2"/>
      </w:pPr>
      <w:r>
        <w:rPr>
          <w:b/>
          <w:sz w:val="28"/>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服务专区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服务专区-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CA及签章服务：通过陕西省政府采购网-服务专区-CA及签章服务进行查询</w:t>
      </w:r>
    </w:p>
    <w:p>
      <w:pPr>
        <w:pStyle w:val="null3"/>
        <w:outlineLvl w:val="2"/>
      </w:pPr>
      <w:r>
        <w:rPr>
          <w:b/>
          <w:sz w:val="28"/>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t>注：获取的磋商文件主体格式包括pdf、word两种格式版本，其中以pdf格式为准。</w:t>
      </w:r>
    </w:p>
    <w:p>
      <w:pPr>
        <w:pStyle w:val="null3"/>
        <w:outlineLvl w:val="2"/>
      </w:pPr>
      <w:r>
        <w:rPr>
          <w:b/>
          <w:sz w:val="28"/>
        </w:rPr>
        <w:t>八、提交首次响应文件截止时间及开启时间、地点、方式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b/>
          <w:sz w:val="28"/>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b/>
          <w:sz w:val="28"/>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信用融资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b/>
          <w:sz w:val="28"/>
        </w:rPr>
        <w:t>十一、联系方式</w:t>
      </w:r>
    </w:p>
    <w:p>
      <w:pPr>
        <w:pStyle w:val="null3"/>
        <w:outlineLvl w:val="3"/>
      </w:pPr>
      <w:r>
        <w:rPr>
          <w:b/>
          <w:sz w:val="24"/>
        </w:rPr>
        <w:t xml:space="preserve">采购人： </w:t>
      </w:r>
      <w:r>
        <w:rPr>
          <w:b/>
          <w:sz w:val="24"/>
        </w:rPr>
        <w:t>西北大学</w:t>
      </w:r>
    </w:p>
    <w:p>
      <w:pPr>
        <w:pStyle w:val="null3"/>
      </w:pPr>
      <w:r>
        <w:rPr/>
        <w:t xml:space="preserve"> 地址： </w:t>
      </w:r>
      <w:r>
        <w:rPr/>
        <w:t>西安市长安区郭杜教育科技产业区学府大街1号</w:t>
      </w:r>
    </w:p>
    <w:p>
      <w:pPr>
        <w:pStyle w:val="null3"/>
      </w:pPr>
      <w:r>
        <w:rPr/>
        <w:t xml:space="preserve"> 邮编： </w:t>
      </w:r>
      <w:r>
        <w:rPr/>
        <w:t>710127</w:t>
      </w:r>
    </w:p>
    <w:p>
      <w:pPr>
        <w:pStyle w:val="null3"/>
      </w:pPr>
      <w:r>
        <w:rPr/>
        <w:t xml:space="preserve"> 联系人： </w:t>
      </w:r>
      <w:r>
        <w:rPr/>
        <w:t>赵老师</w:t>
      </w:r>
    </w:p>
    <w:p>
      <w:pPr>
        <w:pStyle w:val="null3"/>
      </w:pPr>
      <w:r>
        <w:rPr/>
        <w:t xml:space="preserve"> 联系电话： </w:t>
      </w:r>
      <w:r>
        <w:rPr/>
        <w:t>029-88302595</w:t>
      </w:r>
    </w:p>
    <w:p>
      <w:pPr>
        <w:pStyle w:val="null3"/>
        <w:outlineLvl w:val="3"/>
      </w:pPr>
      <w:r>
        <w:rPr>
          <w:b/>
          <w:sz w:val="24"/>
        </w:rPr>
        <w:t>代理机构：</w:t>
      </w:r>
      <w:r>
        <w:rPr>
          <w:b/>
          <w:sz w:val="24"/>
        </w:rPr>
        <w:t>陕西瑞通工程造价咨询有限公司</w:t>
      </w:r>
    </w:p>
    <w:p>
      <w:pPr>
        <w:pStyle w:val="null3"/>
      </w:pPr>
      <w:r>
        <w:rPr/>
        <w:t xml:space="preserve"> 地址： </w:t>
      </w:r>
      <w:r>
        <w:rPr/>
        <w:t>陕西省西安市高新区科技路30号合力紫郡A座2204室</w:t>
      </w:r>
    </w:p>
    <w:p>
      <w:pPr>
        <w:pStyle w:val="null3"/>
      </w:pPr>
      <w:r>
        <w:rPr/>
        <w:t xml:space="preserve"> 邮编： </w:t>
      </w:r>
      <w:r>
        <w:rPr/>
        <w:t>710075</w:t>
      </w:r>
    </w:p>
    <w:p>
      <w:pPr>
        <w:pStyle w:val="null3"/>
      </w:pPr>
      <w:r>
        <w:rPr/>
        <w:t xml:space="preserve"> 联系人： </w:t>
      </w:r>
      <w:r>
        <w:rPr/>
        <w:t>贾堃 席敏 张晨 张岩</w:t>
      </w:r>
    </w:p>
    <w:p>
      <w:pPr>
        <w:pStyle w:val="null3"/>
      </w:pPr>
      <w:r>
        <w:rPr/>
        <w:t xml:space="preserve"> 联系电话： </w:t>
      </w:r>
      <w:r>
        <w:rPr/>
        <w:t>029-88224132-8007</w:t>
      </w:r>
    </w:p>
    <w:p>
      <w:pPr>
        <w:pStyle w:val="null3"/>
        <w:outlineLvl w:val="3"/>
      </w:pPr>
      <w:r>
        <w:rPr>
          <w:b/>
          <w:sz w:val="24"/>
        </w:rPr>
        <w:t>采购监督机构：</w:t>
      </w:r>
      <w:r>
        <w:rPr>
          <w:b/>
          <w:sz w:val="24"/>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r>
    </w:p>
    <w:p>
      <w:pPr>
        <w:pStyle w:val="null3"/>
        <w:jc w:val="center"/>
        <w:outlineLvl w:val="1"/>
      </w:pPr>
      <w:r>
        <w:rPr>
          <w:b/>
          <w:sz w:val="36"/>
        </w:rPr>
        <w:t>第二章 供应商须知</w:t>
      </w:r>
    </w:p>
    <w:p>
      <w:pPr>
        <w:pStyle w:val="null3"/>
        <w:outlineLvl w:val="2"/>
      </w:pPr>
      <w:r>
        <w:rPr>
          <w:b/>
          <w:sz w:val="28"/>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采购包1：1,650,000.00元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 xml:space="preserve"> 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t>5</w:t>
            </w:r>
          </w:p>
        </w:tc>
        <w:tc>
          <w:tcPr>
            <w:tcW w:type="dxa" w:w="2252"/>
          </w:tcPr>
          <w:p>
            <w:pPr>
              <w:pStyle w:val="null3"/>
            </w:pPr>
            <w:r>
              <w:rPr/>
              <w:t>落实节能、环保、无线局域网认证产品政策</w:t>
            </w:r>
          </w:p>
        </w:tc>
        <w:tc>
          <w:tcPr>
            <w:tcW w:type="dxa" w:w="5004"/>
          </w:tcPr>
          <w:p>
            <w:pPr>
              <w:pStyle w:val="null3"/>
            </w:pPr>
            <w:r>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2.本项目采购</w:t>
            </w:r>
            <w:r>
              <w:rPr/>
              <w:t>无</w:t>
            </w:r>
            <w:r>
              <w:rPr/>
              <w:t>产品属于节能产品政府采购品目清单中应强制采购的产品范围，供应商应当按照第六章强制、优先采购产品承诺函格式进行承诺，否则作无效响应处理。</w:t>
            </w:r>
          </w:p>
          <w:p>
            <w:pPr>
              <w:pStyle w:val="null3"/>
            </w:pPr>
            <w:r>
              <w:rPr/>
              <w:t>3.本项目采购</w:t>
            </w:r>
            <w:r>
              <w:rPr/>
              <w:t>无</w:t>
            </w:r>
            <w:r>
              <w:rPr/>
              <w:t>产品属于节能产品政府采购品目清单中应优先采购的产品范围，本项目采购</w:t>
            </w:r>
            <w:r>
              <w:rPr/>
              <w:t>无</w:t>
            </w:r>
            <w:r>
              <w:rPr/>
              <w:t>产品属于环境标志产品政府采购品目清单中应优先采购的产品范围，供应商可根据第六章强制、优先采购产品承诺函格式要求承诺提供经认证的节能、环境标志产品。</w:t>
            </w:r>
          </w:p>
          <w:p>
            <w:pPr>
              <w:pStyle w:val="null3"/>
            </w:pPr>
            <w:r>
              <w:rPr/>
              <w:t>4.响应产品属于中国政府采购网公布的《无线局域网认证产品政府采购清单》且在有效期内的，按《财政部 国家发展改革委 信息产业部关于印发无线局域网产品政府采购实施意见的通知》（财库〔2005〕366号）要求优先采购。</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 （实质性要求）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采购包1保证金金额：30,000.00元</w:t>
            </w:r>
          </w:p>
          <w:p>
            <w:pPr>
              <w:pStyle w:val="null3"/>
            </w:pPr>
            <w:r>
              <w:rPr/>
              <w:t>缴交渠道：转账、支票、汇票等（需通过实体账户、户名及开户行信息）</w:t>
            </w:r>
          </w:p>
          <w:p>
            <w:pPr>
              <w:pStyle w:val="null3"/>
            </w:pPr>
            <w:r>
              <w:rPr/>
              <w:t>开户名称：陕西瑞通工程造价咨询有限公司</w:t>
            </w:r>
          </w:p>
          <w:p>
            <w:pPr>
              <w:pStyle w:val="null3"/>
            </w:pPr>
            <w:r>
              <w:rPr/>
              <w:t>开户银行：中国民生银行西安分行营业部</w:t>
            </w:r>
          </w:p>
          <w:p>
            <w:pPr>
              <w:pStyle w:val="null3"/>
            </w:pPr>
            <w:r>
              <w:rPr/>
              <w:t>银行账号：698207824</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采购包1：缴纳</w:t>
            </w:r>
          </w:p>
          <w:p>
            <w:pPr>
              <w:pStyle w:val="null3"/>
            </w:pPr>
            <w:r>
              <w:rPr/>
              <w:t>本采购包履约保证金为合同金额的5.0%</w:t>
            </w:r>
          </w:p>
          <w:p>
            <w:pPr>
              <w:pStyle w:val="null3"/>
            </w:pPr>
            <w:r>
              <w:rPr/>
              <w:t>说明：1.本采购包履约保证金为合同金额的5.0% 说明：供应商凭成交通知书向采购人缴纳成交金额的5%作为履约保证金。 2.缴纳信息： 户名：西北大学 开户银行：交通银行太白路支行 账号： 611301015018001145006 3.履约保证金汇款后，可持银行回执到西北大学采购与招标办公室换取收据。待合同执行完毕、项目验收合格后凭验收单和缴款收据，履约保证金予以无息退还。如遇下列情况之一者，履约保证金不予退还，作为对采购人的赔偿： (1) 合同签订后不能按合同时限要求完工的； (2) 项目与合同不符或验收不合格的； (3)不能按合同履约的。</w:t>
            </w:r>
          </w:p>
        </w:tc>
      </w:tr>
      <w:tr>
        <w:tc>
          <w:tcPr>
            <w:tcW w:type="dxa" w:w="1051"/>
          </w:tcPr>
          <w:p>
            <w:pPr>
              <w:pStyle w:val="null3"/>
            </w:pPr>
            <w:r>
              <w:rPr/>
              <w:t>12</w:t>
            </w:r>
          </w:p>
        </w:tc>
        <w:tc>
          <w:tcPr>
            <w:tcW w:type="dxa" w:w="2252"/>
          </w:tcPr>
          <w:p>
            <w:pPr>
              <w:pStyle w:val="null3"/>
            </w:pPr>
            <w:r>
              <w:rPr/>
              <w:t>质量保证金</w:t>
            </w:r>
          </w:p>
        </w:tc>
        <w:tc>
          <w:tcPr>
            <w:tcW w:type="dxa" w:w="5004"/>
          </w:tcPr>
          <w:p>
            <w:pPr>
              <w:pStyle w:val="null3"/>
            </w:pPr>
            <w:r>
              <w:rPr/>
              <w:t>采购包1：不缴纳</w:t>
            </w:r>
          </w:p>
        </w:tc>
      </w:tr>
      <w:tr>
        <w:tc>
          <w:tcPr>
            <w:tcW w:type="dxa" w:w="1051"/>
          </w:tcPr>
          <w:p>
            <w:pPr>
              <w:pStyle w:val="null3"/>
            </w:pPr>
            <w:r>
              <w:rPr/>
              <w:t>13</w:t>
            </w:r>
          </w:p>
        </w:tc>
        <w:tc>
          <w:tcPr>
            <w:tcW w:type="dxa" w:w="2252"/>
          </w:tcPr>
          <w:p>
            <w:pPr>
              <w:pStyle w:val="null3"/>
            </w:pPr>
            <w:r>
              <w:rPr/>
              <w:t>响应有效期（实质性要求）</w:t>
            </w:r>
          </w:p>
        </w:tc>
        <w:tc>
          <w:tcPr>
            <w:tcW w:type="dxa" w:w="5004"/>
          </w:tcPr>
          <w:p>
            <w:pPr>
              <w:pStyle w:val="null3"/>
            </w:pPr>
            <w:r>
              <w:rPr/>
              <w:t>从提交首次响应文件截止之日起，不少于</w:t>
            </w:r>
            <w:r>
              <w:rPr/>
              <w:t>90</w:t>
            </w:r>
            <w:r>
              <w:rPr/>
              <w:t>天。</w:t>
            </w:r>
          </w:p>
        </w:tc>
      </w:tr>
      <w:tr>
        <w:tc>
          <w:tcPr>
            <w:tcW w:type="dxa" w:w="1051"/>
          </w:tcPr>
          <w:p>
            <w:pPr>
              <w:pStyle w:val="null3"/>
            </w:pPr>
            <w:r>
              <w:rPr/>
              <w:t>14</w:t>
            </w:r>
          </w:p>
        </w:tc>
        <w:tc>
          <w:tcPr>
            <w:tcW w:type="dxa" w:w="2252"/>
          </w:tcPr>
          <w:p>
            <w:pPr>
              <w:pStyle w:val="null3"/>
            </w:pPr>
            <w:r>
              <w:rPr/>
              <w:t>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代理服务费收费标准：参照国家计委颁发的《招标代理服务收费管理暂行办法》（计价格[2002]1980号）和国家发展改革委员会办公厅颁发的《关于招标代理服务收费有关问题的通知》（发改办价格[2003]857号）的有关规定，以成交价为基础计算下浮20%计取，供应商在下载成交通知书时一次性缴清。</w:t>
            </w:r>
          </w:p>
        </w:tc>
      </w:tr>
      <w:tr>
        <w:tc>
          <w:tcPr>
            <w:tcW w:type="dxa" w:w="1051"/>
          </w:tcPr>
          <w:p>
            <w:pPr>
              <w:pStyle w:val="null3"/>
            </w:pPr>
            <w:r>
              <w:rPr/>
              <w:t>15</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16</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17</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18</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19</w:t>
            </w:r>
          </w:p>
        </w:tc>
        <w:tc>
          <w:tcPr>
            <w:tcW w:type="dxa" w:w="2252"/>
          </w:tcPr>
          <w:p>
            <w:pPr>
              <w:pStyle w:val="null3"/>
            </w:pPr>
            <w:r>
              <w:rPr/>
              <w:t>是否组织潜在供应商现场考察</w:t>
            </w:r>
          </w:p>
        </w:tc>
        <w:tc>
          <w:tcPr>
            <w:tcW w:type="dxa" w:w="5004"/>
          </w:tcPr>
          <w:p>
            <w:pPr>
              <w:pStyle w:val="null3"/>
            </w:pPr>
            <w:r>
              <w:rPr/>
              <w:t>采购包1：组织现场踏勘：是</w:t>
            </w:r>
          </w:p>
          <w:p>
            <w:pPr>
              <w:pStyle w:val="null3"/>
              <w:ind w:firstLine="975"/>
            </w:pPr>
            <w:r>
              <w:rPr/>
              <w:t>踏勘时间：2024-03-18 09:30:00</w:t>
            </w:r>
          </w:p>
          <w:p>
            <w:pPr>
              <w:pStyle w:val="null3"/>
              <w:ind w:firstLine="975"/>
            </w:pPr>
            <w:r>
              <w:rPr/>
              <w:t>踏勘地点：西北大学太白校区西北大学博物馆</w:t>
            </w:r>
          </w:p>
          <w:p>
            <w:pPr>
              <w:pStyle w:val="null3"/>
              <w:ind w:firstLine="975"/>
            </w:pPr>
            <w:r>
              <w:rPr/>
              <w:t>联系人：贾工</w:t>
            </w:r>
          </w:p>
          <w:p>
            <w:pPr>
              <w:pStyle w:val="null3"/>
              <w:ind w:firstLine="975"/>
            </w:pPr>
            <w:r>
              <w:rPr/>
              <w:t>联系电话号码：13572421621</w:t>
            </w:r>
          </w:p>
        </w:tc>
      </w:tr>
      <w:tr>
        <w:tc>
          <w:tcPr>
            <w:tcW w:type="dxa" w:w="1051"/>
          </w:tcPr>
          <w:p>
            <w:pPr>
              <w:pStyle w:val="null3"/>
            </w:pPr>
            <w:r>
              <w:rPr/>
              <w:t>20</w:t>
            </w:r>
          </w:p>
        </w:tc>
        <w:tc>
          <w:tcPr>
            <w:tcW w:type="dxa" w:w="2252"/>
          </w:tcPr>
          <w:p>
            <w:pPr>
              <w:pStyle w:val="null3"/>
            </w:pPr>
            <w:r>
              <w:rPr/>
              <w:t>特殊情况</w:t>
            </w:r>
          </w:p>
        </w:tc>
        <w:tc>
          <w:tcPr>
            <w:tcW w:type="dxa" w:w="5004"/>
          </w:tcPr>
          <w:p>
            <w:pPr>
              <w:pStyle w:val="null3"/>
            </w:pPr>
            <w:r>
              <w:rPr/>
              <w:t xml:space="preserve"> 出现下列情形之一的，采购人或者代理机构应当中止电子化采购活动，并保留相关证明材料备查：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b/>
          <w:sz w:val="28"/>
        </w:rPr>
        <w:t>2.2总则</w:t>
      </w:r>
    </w:p>
    <w:p>
      <w:pPr>
        <w:pStyle w:val="null3"/>
        <w:outlineLvl w:val="3"/>
      </w:pPr>
      <w:r>
        <w:rPr>
          <w:b/>
          <w:sz w:val="24"/>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西北大学</w:t>
      </w:r>
      <w:r>
        <w:rPr/>
        <w:t>和</w:t>
      </w:r>
      <w:r>
        <w:rPr/>
        <w:t>陕西瑞通工程造价咨询有限公司</w:t>
      </w:r>
      <w:r>
        <w:rPr/>
        <w:t>享有。对磋商文件中供应商参加本次政府采购活动应当具备的条件，磋商项目技术、服务、商务及其他要求，评审细则及标准由</w:t>
      </w:r>
      <w:r>
        <w:rPr/>
        <w:t>西北大学</w:t>
      </w:r>
      <w:r>
        <w:rPr/>
        <w:t>负责解释。除上述磋商文件内容，其他内容由</w:t>
      </w:r>
      <w:r>
        <w:rPr/>
        <w:t>陕西瑞通工程造价咨询有限公司</w:t>
      </w:r>
      <w:r>
        <w:rPr/>
        <w:t>负责解释。</w:t>
      </w:r>
    </w:p>
    <w:p>
      <w:pPr>
        <w:pStyle w:val="null3"/>
        <w:outlineLvl w:val="3"/>
      </w:pPr>
      <w:r>
        <w:rPr>
          <w:b/>
          <w:sz w:val="24"/>
        </w:rPr>
        <w:t>2.2.2有关定义</w:t>
      </w:r>
    </w:p>
    <w:p>
      <w:pPr>
        <w:pStyle w:val="null3"/>
        <w:ind w:firstLine="480"/>
      </w:pPr>
      <w:r>
        <w:rPr/>
        <w:t xml:space="preserve"> 一、“采购人”是指依法进行政府采购的各级国家机关、事业单位、团体组织。本次磋商的采购人是</w:t>
      </w:r>
      <w:r>
        <w:rPr/>
        <w:t>西北大学</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陕西瑞通工程造价咨询有限公司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b/>
          <w:sz w:val="28"/>
        </w:rPr>
        <w:t>2.3磋商文件</w:t>
      </w:r>
    </w:p>
    <w:p>
      <w:pPr>
        <w:pStyle w:val="null3"/>
        <w:outlineLvl w:val="3"/>
      </w:pPr>
      <w:r>
        <w:rPr>
          <w:b/>
          <w:sz w:val="24"/>
        </w:rPr>
        <w:t xml:space="preserve"> 2.3.1磋商文件的构成</w:t>
      </w:r>
    </w:p>
    <w:p>
      <w:pPr>
        <w:pStyle w:val="null3"/>
        <w:ind w:firstLine="480"/>
      </w:pPr>
      <w:r>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b/>
          <w:sz w:val="24"/>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pPr>
      <w:r>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b/>
          <w:sz w:val="28"/>
        </w:rPr>
        <w:t>2.4响应文件</w:t>
      </w:r>
    </w:p>
    <w:p>
      <w:pPr>
        <w:pStyle w:val="null3"/>
        <w:outlineLvl w:val="3"/>
      </w:pPr>
      <w:r>
        <w:rPr>
          <w:b/>
          <w:sz w:val="24"/>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b/>
          <w:sz w:val="24"/>
        </w:rPr>
        <w:t>2.4.2计量单位</w:t>
      </w:r>
    </w:p>
    <w:p>
      <w:pPr>
        <w:pStyle w:val="null3"/>
        <w:ind w:firstLine="480"/>
      </w:pPr>
      <w:r>
        <w:rPr/>
        <w:t>除磋商文件中另有规定外，本项目均采用国家法定的计量单位。</w:t>
      </w:r>
    </w:p>
    <w:p>
      <w:pPr>
        <w:pStyle w:val="null3"/>
        <w:outlineLvl w:val="3"/>
      </w:pPr>
      <w:r>
        <w:rPr>
          <w:b/>
          <w:sz w:val="24"/>
        </w:rPr>
        <w:t>2.4.3响应货币</w:t>
      </w:r>
    </w:p>
    <w:p>
      <w:pPr>
        <w:pStyle w:val="null3"/>
        <w:ind w:firstLine="480"/>
      </w:pPr>
      <w:r>
        <w:rPr/>
        <w:t>本项目均以人民币报价。</w:t>
      </w:r>
    </w:p>
    <w:p>
      <w:pPr>
        <w:pStyle w:val="null3"/>
        <w:outlineLvl w:val="3"/>
      </w:pPr>
      <w:r>
        <w:rPr>
          <w:b/>
          <w:sz w:val="24"/>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b/>
          <w:sz w:val="24"/>
        </w:rPr>
        <w:t xml:space="preserve"> 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b/>
          <w:sz w:val="24"/>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b/>
          <w:sz w:val="24"/>
        </w:rPr>
        <w:t>2.4.7响应报价（实质性要求）</w:t>
      </w:r>
    </w:p>
    <w:p>
      <w:pPr>
        <w:pStyle w:val="null3"/>
        <w:ind w:firstLine="480"/>
      </w:pPr>
      <w:r>
        <w:rPr/>
        <w:t>一、供应商应认真核实本项目的工程量清单。</w:t>
      </w:r>
    </w:p>
    <w:p>
      <w:pPr>
        <w:pStyle w:val="null3"/>
        <w:ind w:firstLine="480"/>
      </w:pPr>
      <w:r>
        <w:rPr/>
        <w:t>二、供应商的报价是其响应本项目要求的全部工作内容的价格体现，包括供应商完成本项目所需的一切费用。</w:t>
      </w:r>
    </w:p>
    <w:p>
      <w:pPr>
        <w:pStyle w:val="null3"/>
        <w:ind w:firstLine="480"/>
      </w:pPr>
      <w:r>
        <w:rPr/>
        <w:t>三、本项目合同价格形式为如下：</w:t>
      </w:r>
    </w:p>
    <w:p>
      <w:pPr>
        <w:pStyle w:val="null3"/>
      </w:pPr>
      <w:r>
        <w:rPr/>
        <w:t>采购包1：项目包干价</w:t>
      </w:r>
    </w:p>
    <w:p>
      <w:pPr>
        <w:pStyle w:val="null3"/>
      </w:pPr>
      <w:r>
        <w:rPr/>
        <w:t>项目包干价。适用于设计施工图纸详尽完善（即工程量固定），投资规模较小、施工工期较短且施工内容相对简单的工程项目。</w:t>
      </w:r>
    </w:p>
    <w:p>
      <w:pPr>
        <w:pStyle w:val="null3"/>
      </w:pPr>
      <w:r>
        <w:rPr/>
        <w:t>参加采购活动的供应商应当全部响应采购人提供的工程量清单，供应商直接给出其完成本项目全部工作内容所需的总价，不再提供已标价工程量清单。</w:t>
      </w:r>
    </w:p>
    <w:p>
      <w:pPr>
        <w:pStyle w:val="null3"/>
      </w:pPr>
      <w:r>
        <w:rPr/>
        <w:t>说明：采购人选择采用此种报价方式的，应当科学测算项目工程量，避免工程量调整造成履约纠纷。</w:t>
      </w:r>
    </w:p>
    <w:p>
      <w:pPr>
        <w:pStyle w:val="null3"/>
        <w:outlineLvl w:val="3"/>
      </w:pPr>
      <w:r>
        <w:rPr>
          <w:b/>
          <w:sz w:val="24"/>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b/>
          <w:sz w:val="24"/>
        </w:rPr>
        <w:t xml:space="preserve"> 2.4.9响应文件的制作、签章和加密（实质性要求）</w:t>
      </w:r>
    </w:p>
    <w:p>
      <w:pPr>
        <w:pStyle w:val="null3"/>
        <w:ind w:firstLine="480"/>
      </w:pPr>
      <w:r>
        <w:rPr/>
        <w:t xml:space="preserve"> 一、投标文件应当根据招标文件进行编制，投标人应通过陕西省政府采购网-服务专区-CA及签章服务下载投标（响应）客户端，使用客户端编制投标文件。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三、供应商完成响应文件编制后，应按照磋商文件第1章明确的签章要求，使用互认的证书及签章对响应文件进行电子签章和加密。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b/>
          <w:sz w:val="24"/>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b/>
          <w:sz w:val="24"/>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b/>
          <w:sz w:val="28"/>
        </w:rPr>
        <w:t>2.5开启、资格审查、磋商和确定成交供应商</w:t>
      </w:r>
    </w:p>
    <w:p>
      <w:pPr>
        <w:pStyle w:val="null3"/>
        <w:outlineLvl w:val="3"/>
      </w:pPr>
      <w:r>
        <w:rPr>
          <w:b/>
          <w:sz w:val="24"/>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pPr>
      <w:r>
        <w:rPr/>
        <w:t>响应文件开启时间前，供应商登录项目电子化交易系统-“开标/开启大厅”，等待代理机构开启磋商。</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b/>
          <w:sz w:val="24"/>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b/>
          <w:sz w:val="24"/>
        </w:rPr>
        <w:t>2.5.3资格审查</w:t>
      </w:r>
    </w:p>
    <w:p>
      <w:pPr>
        <w:pStyle w:val="null3"/>
        <w:ind w:firstLine="480"/>
      </w:pPr>
      <w:r>
        <w:rPr/>
        <w:t>详见磋商文件第四章。</w:t>
      </w:r>
    </w:p>
    <w:p>
      <w:pPr>
        <w:pStyle w:val="null3"/>
        <w:outlineLvl w:val="3"/>
      </w:pPr>
      <w:r>
        <w:rPr>
          <w:b/>
          <w:sz w:val="24"/>
        </w:rPr>
        <w:t>2.5.4磋商</w:t>
      </w:r>
    </w:p>
    <w:p>
      <w:pPr>
        <w:pStyle w:val="null3"/>
        <w:ind w:firstLine="480"/>
      </w:pPr>
      <w:r>
        <w:rPr/>
        <w:t>详见磋商文件第六章</w:t>
      </w:r>
    </w:p>
    <w:p>
      <w:pPr>
        <w:pStyle w:val="null3"/>
        <w:outlineLvl w:val="3"/>
      </w:pPr>
      <w:r>
        <w:rPr>
          <w:b/>
          <w:sz w:val="24"/>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b/>
          <w:sz w:val="28"/>
        </w:rPr>
        <w:t>2.6签订及履行合同和验收</w:t>
      </w:r>
    </w:p>
    <w:p>
      <w:pPr>
        <w:pStyle w:val="null3"/>
        <w:outlineLvl w:val="3"/>
      </w:pPr>
      <w:r>
        <w:rPr>
          <w:b/>
          <w:sz w:val="24"/>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b/>
          <w:sz w:val="24"/>
        </w:rPr>
        <w:t>2.6.2合同分包和转包（实质性要求）</w:t>
      </w:r>
    </w:p>
    <w:p>
      <w:pPr>
        <w:pStyle w:val="null3"/>
        <w:outlineLvl w:val="3"/>
      </w:pPr>
      <w:r>
        <w:rPr>
          <w:b/>
          <w:sz w:val="24"/>
        </w:rPr>
        <w:t>2.6.2.1合同分包</w:t>
      </w:r>
    </w:p>
    <w:p>
      <w:pPr>
        <w:pStyle w:val="null3"/>
        <w:ind w:firstLine="480"/>
      </w:pPr>
      <w:r>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b/>
          <w:sz w:val="24"/>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b/>
          <w:sz w:val="24"/>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b/>
          <w:sz w:val="24"/>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b/>
          <w:sz w:val="24"/>
        </w:rPr>
        <w:t xml:space="preserve"> 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b/>
          <w:sz w:val="24"/>
        </w:rPr>
        <w:t>2.6.6履行合同</w:t>
      </w:r>
    </w:p>
    <w:p>
      <w:pPr>
        <w:pStyle w:val="null3"/>
        <w:ind w:firstLine="480"/>
      </w:pPr>
      <w:r>
        <w:rPr/>
        <w:t xml:space="preserve"> 一、成交供应商与采购人签订合同后，合同双方应严格执行合同条款，履行合同规定的义务，保证合同的顺利完成。</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b/>
          <w:sz w:val="24"/>
        </w:rPr>
        <w:t xml:space="preserve"> 2.6.7履约验收方案</w:t>
      </w:r>
    </w:p>
    <w:p>
      <w:pPr>
        <w:pStyle w:val="null3"/>
      </w:pPr>
      <w:r>
        <w:rPr/>
        <w:t>采购包1：</w:t>
      </w:r>
    </w:p>
    <w:p>
      <w:pPr>
        <w:pStyle w:val="null3"/>
      </w:pPr>
      <w:r>
        <w:rPr/>
        <w:t>一、验收由采购人组织。工程验收的主要依据、标准及要求：依据采购人审核后的施工图纸、工程量清单以及采购文件、响应文件以及国家、陕西省、西安市现行工程质量验评标准进行工程验收，工程质量达到合格标准。具体详见合同内容。</w:t>
      </w:r>
    </w:p>
    <w:p>
      <w:pPr>
        <w:pStyle w:val="null3"/>
        <w:ind w:firstLine="480"/>
      </w:pPr>
      <w:r>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t>三、验收结果合格的，采购人应向成交供应商出具履约验收报告，成交供应商凭验收报告办理相关手续。</w:t>
      </w:r>
    </w:p>
    <w:p>
      <w:pPr>
        <w:pStyle w:val="null3"/>
        <w:ind w:firstLine="480"/>
      </w:pPr>
      <w:r>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b/>
          <w:sz w:val="24"/>
        </w:rPr>
        <w:t>2.6.8资金支付</w:t>
      </w:r>
    </w:p>
    <w:p>
      <w:pPr>
        <w:pStyle w:val="null3"/>
        <w:ind w:firstLine="480"/>
      </w:pPr>
      <w:r>
        <w:rPr/>
        <w:t>采购人将按照政府采购合同规定，及时向成交供应商支付采购资金。</w:t>
      </w:r>
    </w:p>
    <w:p>
      <w:pPr>
        <w:pStyle w:val="null3"/>
        <w:outlineLvl w:val="2"/>
      </w:pPr>
      <w:r>
        <w:rPr>
          <w:b/>
          <w:sz w:val="28"/>
        </w:rPr>
        <w:t>2.7纪律要求</w:t>
      </w:r>
    </w:p>
    <w:p>
      <w:pPr>
        <w:pStyle w:val="null3"/>
        <w:outlineLvl w:val="3"/>
      </w:pPr>
      <w:r>
        <w:rPr>
          <w:b/>
          <w:sz w:val="24"/>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b/>
          <w:sz w:val="24"/>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八、未按照采购文件确定的事项签订政府采购合同；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供应商有上述情形的，按照规定追究法律责任，具有前述一至十三条情形之一的，其响应文件无效，或取消被确认为成交供应商的资格或认定成交无效。</w:t>
      </w:r>
    </w:p>
    <w:p>
      <w:pPr>
        <w:pStyle w:val="null3"/>
        <w:outlineLvl w:val="3"/>
      </w:pPr>
      <w:r>
        <w:rPr>
          <w:b/>
          <w:sz w:val="24"/>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b/>
          <w:sz w:val="28"/>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根据委托代理协议约定，供应商对采购文件的询问、质疑由 </w:t>
      </w:r>
      <w:r>
        <w:rPr/>
        <w:t>陕西瑞通工程造价咨询有限公司</w:t>
      </w:r>
      <w:r>
        <w:rPr/>
        <w:t xml:space="preserve"> 负责答复；供应商对采购过程的询问、质疑由</w:t>
      </w:r>
      <w:r>
        <w:rPr/>
        <w:t>陕西瑞通工程造价咨询有限公司</w:t>
      </w:r>
      <w:r>
        <w:rPr/>
        <w:t xml:space="preserve"> 负责答复；供应商对采购结果的询问、质疑由 </w:t>
      </w:r>
      <w:r>
        <w:rPr/>
        <w:t>陕西瑞通工程造价咨询有限公司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t>（一）对可以质疑的采购文件提出质疑的，为收到采购文件之日或者采购文件公告期限届满之日；</w:t>
      </w:r>
    </w:p>
    <w:p>
      <w:pPr>
        <w:pStyle w:val="null3"/>
        <w:ind w:firstLine="480"/>
      </w:pPr>
      <w:r>
        <w:rPr/>
        <w:t>（二）对采购过程提出质疑的，为各采购程序环节结束之日；</w:t>
      </w:r>
    </w:p>
    <w:p>
      <w:pPr>
        <w:pStyle w:val="null3"/>
        <w:ind w:firstLine="480"/>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pPr>
      <w:r>
        <w:rPr/>
        <w:t>答复主体：代理机构</w:t>
      </w:r>
    </w:p>
    <w:p>
      <w:pPr>
        <w:pStyle w:val="null3"/>
      </w:pPr>
      <w:r>
        <w:rPr/>
        <w:t>联系人：贾工 喻工</w:t>
      </w:r>
    </w:p>
    <w:p>
      <w:pPr>
        <w:pStyle w:val="null3"/>
      </w:pPr>
      <w:r>
        <w:rPr/>
        <w:t>联系电话：029-88224132-8007</w:t>
      </w:r>
    </w:p>
    <w:p>
      <w:pPr>
        <w:pStyle w:val="null3"/>
      </w:pPr>
      <w:r>
        <w:rPr/>
        <w:t>地址：西安市高新区科技路30号合力紫郡A座2204室</w:t>
      </w:r>
    </w:p>
    <w:p>
      <w:pPr>
        <w:pStyle w:val="null3"/>
      </w:pPr>
      <w:r>
        <w:rPr/>
        <w:t>邮编：710075</w:t>
      </w:r>
    </w:p>
    <w:p>
      <w:pPr>
        <w:pStyle w:val="null3"/>
        <w:ind w:firstLine="480"/>
      </w:pPr>
      <w:r>
        <w:rPr/>
        <w:t>注：根据《中华人民共和国政府采购法》的规定，供应商质疑不得超出采购文件、采购过程、采购结果的范围。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r>
    </w:p>
    <w:p>
      <w:pPr>
        <w:pStyle w:val="null3"/>
        <w:jc w:val="center"/>
        <w:outlineLvl w:val="1"/>
      </w:pPr>
      <w:r>
        <w:rPr>
          <w:b/>
          <w:sz w:val="36"/>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b/>
          <w:sz w:val="28"/>
        </w:rPr>
        <w:t>3.1技术、服务标准和要求</w:t>
      </w:r>
    </w:p>
    <w:p>
      <w:pPr>
        <w:pStyle w:val="null3"/>
      </w:pPr>
      <w:r>
        <w:rPr/>
        <w:t>采购包1：</w:t>
      </w:r>
    </w:p>
    <w:p>
      <w:pPr>
        <w:pStyle w:val="null3"/>
      </w:pPr>
      <w:r>
        <w:rPr/>
        <w:t>采购包预算金额（元）: 1,650,000.00</w:t>
      </w:r>
    </w:p>
    <w:p>
      <w:pPr>
        <w:pStyle w:val="null3"/>
      </w:pPr>
      <w:r>
        <w:rPr/>
        <w:t>采购包最高限价（元）: 1,650,000.00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标的名称</w:t>
            </w:r>
          </w:p>
        </w:tc>
        <w:tc>
          <w:tcPr>
            <w:tcW w:type="dxa" w:w="1384"/>
          </w:tcPr>
          <w:p>
            <w:pPr>
              <w:pStyle w:val="null3"/>
            </w:pPr>
            <w:r>
              <w:rPr/>
              <w:t>数量</w:t>
            </w:r>
          </w:p>
        </w:tc>
        <w:tc>
          <w:tcPr>
            <w:tcW w:type="dxa" w:w="1384"/>
          </w:tcPr>
          <w:p>
            <w:pPr>
              <w:pStyle w:val="null3"/>
            </w:pPr>
            <w:r>
              <w:rPr/>
              <w:t>标的金额 （元）</w:t>
            </w:r>
          </w:p>
        </w:tc>
        <w:tc>
          <w:tcPr>
            <w:tcW w:type="dxa" w:w="1384"/>
          </w:tcPr>
          <w:p>
            <w:pPr>
              <w:pStyle w:val="null3"/>
            </w:pPr>
            <w:r>
              <w:rPr/>
              <w:t>计量单位</w:t>
            </w:r>
          </w:p>
        </w:tc>
        <w:tc>
          <w:tcPr>
            <w:tcW w:type="dxa" w:w="1384"/>
          </w:tcPr>
          <w:p>
            <w:pPr>
              <w:pStyle w:val="null3"/>
            </w:pPr>
            <w:r>
              <w:rPr/>
              <w:t>所属行业</w:t>
            </w:r>
          </w:p>
        </w:tc>
      </w:tr>
      <w:tr>
        <w:tc>
          <w:tcPr>
            <w:tcW w:type="dxa" w:w="1384"/>
          </w:tcPr>
          <w:p>
            <w:pPr>
              <w:pStyle w:val="null3"/>
            </w:pPr>
            <w:r>
              <w:rPr/>
              <w:t>1</w:t>
            </w:r>
          </w:p>
        </w:tc>
        <w:tc>
          <w:tcPr>
            <w:tcW w:type="dxa" w:w="1384"/>
          </w:tcPr>
          <w:p>
            <w:pPr>
              <w:pStyle w:val="null3"/>
            </w:pPr>
            <w:r>
              <w:rPr/>
              <w:t>丝绸之路考古展建设工程项目</w:t>
            </w:r>
          </w:p>
        </w:tc>
        <w:tc>
          <w:tcPr>
            <w:tcW w:type="dxa" w:w="1384"/>
          </w:tcPr>
          <w:p>
            <w:pPr>
              <w:pStyle w:val="null3"/>
              <w:jc w:val="right"/>
            </w:pPr>
            <w:r>
              <w:rPr/>
              <w:t>1.00</w:t>
            </w:r>
          </w:p>
        </w:tc>
        <w:tc>
          <w:tcPr>
            <w:tcW w:type="dxa" w:w="1384"/>
          </w:tcPr>
          <w:p>
            <w:pPr>
              <w:pStyle w:val="null3"/>
              <w:jc w:val="right"/>
            </w:pPr>
            <w:r>
              <w:rPr/>
              <w:t>1,650,000.00</w:t>
            </w:r>
          </w:p>
        </w:tc>
        <w:tc>
          <w:tcPr>
            <w:tcW w:type="dxa" w:w="1384"/>
          </w:tcPr>
          <w:p>
            <w:pPr>
              <w:pStyle w:val="null3"/>
            </w:pPr>
            <w:r>
              <w:rPr/>
              <w:t>项</w:t>
            </w:r>
          </w:p>
        </w:tc>
        <w:tc>
          <w:tcPr>
            <w:tcW w:type="dxa" w:w="1384"/>
          </w:tcPr>
          <w:p>
            <w:pPr>
              <w:pStyle w:val="null3"/>
            </w:pPr>
            <w:r>
              <w:rPr/>
              <w:t>建筑业</w:t>
            </w:r>
          </w:p>
        </w:tc>
      </w:tr>
    </w:tbl>
    <w:p>
      <w:pPr>
        <w:pStyle w:val="null3"/>
        <w:ind w:firstLine="480"/>
      </w:pPr>
      <w:r>
        <w:rPr/>
        <w:t>一、技术、服务标准和要求：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标的名称：丝绸之路考古展建设工程项目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rFonts w:ascii="宋体" w:hAnsi="宋体" w:cs="宋体" w:eastAsia="宋体"/>
                <w:color w:val="0070C0"/>
                <w:sz w:val="24"/>
              </w:rPr>
              <w:t>需实现的功能或者目标：</w:t>
            </w:r>
          </w:p>
          <w:p>
            <w:pPr>
              <w:pStyle w:val="null3"/>
              <w:jc w:val="both"/>
            </w:pPr>
            <w:r>
              <w:rPr>
                <w:rFonts w:ascii="宋体" w:hAnsi="宋体" w:cs="宋体" w:eastAsia="宋体"/>
                <w:color w:val="0070C0"/>
                <w:sz w:val="24"/>
              </w:rPr>
              <w:t>拟通过图文、实物和视频展示相结合等方式，以固定展馆展陈的方式展示教育系统、陕西省和西北大学贯彻落实总书记鼓励问候的成果，展现西北大学数代师生丝绸之路考古和在中亚国家的其他考古成果，以及在遗产保护、人才培养等方面的工作成果。展厅设计、施工方案要求整体布局合理，风格简洁、美观、大方。</w:t>
            </w:r>
          </w:p>
        </w:tc>
      </w:tr>
      <w:tr>
        <w:tc>
          <w:tcPr>
            <w:tcW w:type="dxa" w:w="2769"/>
          </w:tcPr>
          <w:p/>
        </w:tc>
        <w:tc>
          <w:tcPr>
            <w:tcW w:type="dxa" w:w="2769"/>
          </w:tcPr>
          <w:p>
            <w:pPr>
              <w:pStyle w:val="null3"/>
            </w:pPr>
            <w:r>
              <w:rPr/>
              <w:t>2</w:t>
            </w:r>
          </w:p>
        </w:tc>
        <w:tc>
          <w:tcPr>
            <w:tcW w:type="dxa" w:w="2769"/>
          </w:tcPr>
          <w:p>
            <w:pPr>
              <w:pStyle w:val="null3"/>
              <w:jc w:val="both"/>
            </w:pPr>
            <w:r>
              <w:rPr>
                <w:rFonts w:ascii="宋体" w:hAnsi="宋体" w:cs="宋体" w:eastAsia="宋体"/>
                <w:color w:val="0070C0"/>
                <w:sz w:val="24"/>
              </w:rPr>
              <w:t>设计部分：</w:t>
            </w:r>
          </w:p>
          <w:p>
            <w:pPr>
              <w:pStyle w:val="null3"/>
              <w:jc w:val="both"/>
            </w:pPr>
            <w:r>
              <w:rPr>
                <w:rFonts w:ascii="宋体" w:hAnsi="宋体" w:cs="宋体" w:eastAsia="宋体"/>
                <w:color w:val="0070C0"/>
                <w:sz w:val="24"/>
              </w:rPr>
              <w:t>设计费最高限价：</w:t>
            </w:r>
            <w:r>
              <w:rPr>
                <w:rFonts w:ascii="calibri" w:hAnsi="calibri" w:cs="calibri" w:eastAsia="calibri"/>
                <w:color w:val="0070C0"/>
                <w:sz w:val="24"/>
              </w:rPr>
              <w:t>10</w:t>
            </w:r>
            <w:r>
              <w:rPr>
                <w:rFonts w:ascii="宋体" w:hAnsi="宋体" w:cs="宋体" w:eastAsia="宋体"/>
                <w:color w:val="0070C0"/>
                <w:sz w:val="24"/>
              </w:rPr>
              <w:t>万元。</w:t>
            </w:r>
          </w:p>
          <w:p>
            <w:pPr>
              <w:pStyle w:val="null3"/>
              <w:jc w:val="both"/>
            </w:pPr>
            <w:r>
              <w:rPr>
                <w:rFonts w:ascii="宋体" w:hAnsi="宋体" w:cs="宋体" w:eastAsia="宋体"/>
                <w:color w:val="0070C0"/>
                <w:sz w:val="24"/>
              </w:rPr>
              <w:t>设计内容及成果：在现博物馆二楼临展厅基础上进行改造设计丝绸之路考古成果展，展厅面积约</w:t>
            </w:r>
            <w:r>
              <w:rPr>
                <w:rFonts w:ascii="calibri" w:hAnsi="calibri" w:cs="calibri" w:eastAsia="calibri"/>
                <w:color w:val="0070C0"/>
                <w:sz w:val="24"/>
              </w:rPr>
              <w:t>600m</w:t>
            </w:r>
            <w:r>
              <w:rPr>
                <w:rFonts w:ascii="宋体" w:hAnsi="宋体" w:cs="宋体" w:eastAsia="宋体"/>
                <w:color w:val="0070C0"/>
                <w:sz w:val="24"/>
              </w:rPr>
              <w:t>²。设计环节须包含：布展设计、展陈重点及亮点内容包括：方案创意、平面图、流线图、效果图、多媒体及声光电呈现形式；设计图纸、设计说明、使用材质、施工图、施工图预算后续修改更新服务等内容，体现墙体立面、地面、展柜、多媒体等造型设计。</w:t>
            </w:r>
          </w:p>
          <w:p>
            <w:pPr>
              <w:pStyle w:val="null3"/>
              <w:jc w:val="both"/>
            </w:pPr>
            <w:r>
              <w:rPr>
                <w:rFonts w:ascii="宋体" w:hAnsi="宋体" w:cs="宋体" w:eastAsia="宋体"/>
                <w:color w:val="0070C0"/>
                <w:sz w:val="24"/>
              </w:rPr>
              <w:t>设计方案须根据设计大纲和设计任务书为依据进行设计，设计大纲及设计任务书见附件（设计任务书、西北大学丝绸之路考古成果（陈列大纲图文稿））。</w:t>
            </w:r>
          </w:p>
        </w:tc>
      </w:tr>
      <w:tr>
        <w:tc>
          <w:tcPr>
            <w:tcW w:type="dxa" w:w="2769"/>
          </w:tcPr>
          <w:p/>
        </w:tc>
        <w:tc>
          <w:tcPr>
            <w:tcW w:type="dxa" w:w="2769"/>
          </w:tcPr>
          <w:p>
            <w:pPr>
              <w:pStyle w:val="null3"/>
            </w:pPr>
            <w:r>
              <w:rPr/>
              <w:t>3</w:t>
            </w:r>
          </w:p>
        </w:tc>
        <w:tc>
          <w:tcPr>
            <w:tcW w:type="dxa" w:w="2769"/>
          </w:tcPr>
          <w:p>
            <w:pPr>
              <w:pStyle w:val="null3"/>
              <w:jc w:val="both"/>
            </w:pPr>
            <w:r>
              <w:rPr>
                <w:rFonts w:ascii="宋体" w:hAnsi="宋体" w:cs="宋体" w:eastAsia="宋体"/>
                <w:color w:val="0070C0"/>
                <w:sz w:val="24"/>
              </w:rPr>
              <w:t>装修部分</w:t>
            </w:r>
            <w:r>
              <w:rPr>
                <w:rFonts w:ascii="calibri" w:hAnsi="calibri" w:cs="calibri" w:eastAsia="calibri"/>
                <w:color w:val="0070C0"/>
                <w:sz w:val="24"/>
              </w:rPr>
              <w:t>:</w:t>
            </w:r>
          </w:p>
          <w:p>
            <w:pPr>
              <w:pStyle w:val="null3"/>
              <w:jc w:val="both"/>
            </w:pPr>
            <w:r>
              <w:rPr>
                <w:rFonts w:ascii="宋体" w:hAnsi="宋体" w:cs="宋体" w:eastAsia="宋体"/>
                <w:color w:val="0070C0"/>
                <w:sz w:val="24"/>
              </w:rPr>
              <w:t>建筑安装工程费</w:t>
            </w:r>
            <w:r>
              <w:rPr>
                <w:rFonts w:ascii="宋体" w:hAnsi="宋体" w:cs="宋体" w:eastAsia="宋体"/>
                <w:color w:val="0070C0"/>
                <w:sz w:val="24"/>
              </w:rPr>
              <w:t>最高限价：</w:t>
            </w:r>
            <w:r>
              <w:rPr>
                <w:rFonts w:ascii="calibri" w:hAnsi="calibri" w:cs="calibri" w:eastAsia="calibri"/>
                <w:color w:val="0070C0"/>
                <w:sz w:val="24"/>
              </w:rPr>
              <w:t>155</w:t>
            </w:r>
            <w:r>
              <w:rPr>
                <w:rFonts w:ascii="宋体" w:hAnsi="宋体" w:cs="宋体" w:eastAsia="宋体"/>
                <w:color w:val="0070C0"/>
                <w:sz w:val="24"/>
              </w:rPr>
              <w:t>万元。</w:t>
            </w:r>
          </w:p>
          <w:p>
            <w:pPr>
              <w:pStyle w:val="null3"/>
              <w:jc w:val="both"/>
            </w:pPr>
            <w:r>
              <w:rPr>
                <w:rFonts w:ascii="宋体" w:hAnsi="宋体" w:cs="宋体" w:eastAsia="宋体"/>
                <w:color w:val="0070C0"/>
                <w:sz w:val="24"/>
              </w:rPr>
              <w:t>施工</w:t>
            </w:r>
            <w:r>
              <w:rPr>
                <w:rFonts w:ascii="宋体" w:hAnsi="宋体" w:cs="宋体" w:eastAsia="宋体"/>
                <w:color w:val="0070C0"/>
                <w:sz w:val="24"/>
              </w:rPr>
              <w:t>内容</w:t>
            </w:r>
            <w:r>
              <w:rPr>
                <w:rFonts w:ascii="宋体" w:hAnsi="宋体" w:cs="宋体" w:eastAsia="宋体"/>
                <w:color w:val="0070C0"/>
                <w:sz w:val="24"/>
              </w:rPr>
              <w:t>：</w:t>
            </w:r>
            <w:r>
              <w:rPr>
                <w:rFonts w:ascii="宋体" w:hAnsi="宋体" w:cs="宋体" w:eastAsia="宋体"/>
                <w:color w:val="0070C0"/>
                <w:sz w:val="24"/>
              </w:rPr>
              <w:t>根据施工方案完成</w:t>
            </w:r>
            <w:r>
              <w:rPr>
                <w:rFonts w:ascii="宋体" w:hAnsi="宋体" w:cs="宋体" w:eastAsia="宋体"/>
                <w:color w:val="0070C0"/>
                <w:sz w:val="24"/>
              </w:rPr>
              <w:t>室内精装修，</w:t>
            </w:r>
            <w:r>
              <w:rPr>
                <w:rFonts w:ascii="宋体" w:hAnsi="宋体" w:cs="宋体" w:eastAsia="宋体"/>
                <w:color w:val="0070C0"/>
                <w:sz w:val="24"/>
              </w:rPr>
              <w:t>不限于</w:t>
            </w:r>
            <w:r>
              <w:rPr>
                <w:rFonts w:ascii="宋体" w:hAnsi="宋体" w:cs="宋体" w:eastAsia="宋体"/>
                <w:color w:val="0070C0"/>
                <w:sz w:val="24"/>
              </w:rPr>
              <w:t>墙面装饰装修、墙面造型、吊顶建设、电工电料、墙面拆除、地面拆除及垃圾清运、展柜购买</w:t>
            </w:r>
            <w:r>
              <w:rPr>
                <w:rFonts w:ascii="宋体" w:hAnsi="宋体" w:cs="宋体" w:eastAsia="宋体"/>
                <w:color w:val="0070C0"/>
                <w:sz w:val="24"/>
              </w:rPr>
              <w:t>、</w:t>
            </w:r>
            <w:r>
              <w:rPr>
                <w:rFonts w:ascii="宋体" w:hAnsi="宋体" w:cs="宋体" w:eastAsia="宋体"/>
                <w:color w:val="0070C0"/>
                <w:sz w:val="24"/>
              </w:rPr>
              <w:t>展陈布置、设备器材采购</w:t>
            </w:r>
            <w:r>
              <w:rPr>
                <w:rFonts w:ascii="宋体" w:hAnsi="宋体" w:cs="宋体" w:eastAsia="宋体"/>
                <w:color w:val="0070C0"/>
                <w:sz w:val="24"/>
              </w:rPr>
              <w:t>等。展厅设计方案中的声光电系统所需的软件及开发费包含在建筑安装工程费中。</w:t>
            </w:r>
          </w:p>
        </w:tc>
      </w:tr>
      <w:tr>
        <w:tc>
          <w:tcPr>
            <w:tcW w:type="dxa" w:w="2769"/>
          </w:tcPr>
          <w:p/>
        </w:tc>
        <w:tc>
          <w:tcPr>
            <w:tcW w:type="dxa" w:w="2769"/>
          </w:tcPr>
          <w:p>
            <w:pPr>
              <w:pStyle w:val="null3"/>
            </w:pPr>
            <w:r>
              <w:rPr/>
              <w:t>4</w:t>
            </w:r>
          </w:p>
        </w:tc>
        <w:tc>
          <w:tcPr>
            <w:tcW w:type="dxa" w:w="2769"/>
          </w:tcPr>
          <w:p>
            <w:pPr>
              <w:pStyle w:val="null3"/>
              <w:jc w:val="both"/>
            </w:pPr>
            <w:r>
              <w:rPr>
                <w:rFonts w:ascii="宋体" w:hAnsi="宋体" w:cs="宋体" w:eastAsia="宋体"/>
                <w:color w:val="0070C0"/>
                <w:sz w:val="24"/>
              </w:rPr>
              <w:t>实施要求：</w:t>
            </w:r>
          </w:p>
          <w:p>
            <w:pPr>
              <w:pStyle w:val="null3"/>
              <w:jc w:val="both"/>
            </w:pPr>
            <w:r>
              <w:rPr>
                <w:rFonts w:ascii="calibri" w:hAnsi="calibri" w:cs="calibri" w:eastAsia="calibri"/>
                <w:color w:val="0070C0"/>
                <w:sz w:val="24"/>
              </w:rPr>
              <w:t>1.</w:t>
            </w:r>
            <w:r>
              <w:rPr>
                <w:rFonts w:ascii="宋体" w:hAnsi="宋体" w:cs="宋体" w:eastAsia="宋体"/>
                <w:color w:val="0070C0"/>
                <w:sz w:val="24"/>
              </w:rPr>
              <w:t>根据西北大学丝绸之路考古成果展展陈大纲进行展厅设计方案制定；</w:t>
            </w:r>
            <w:r>
              <w:rPr>
                <w:rFonts w:ascii="calibri" w:hAnsi="calibri" w:cs="calibri" w:eastAsia="calibri"/>
                <w:color w:val="0070C0"/>
                <w:sz w:val="24"/>
              </w:rPr>
              <w:t>2.</w:t>
            </w:r>
            <w:r>
              <w:rPr>
                <w:rFonts w:ascii="宋体" w:hAnsi="宋体" w:cs="宋体" w:eastAsia="宋体"/>
                <w:color w:val="0070C0"/>
                <w:sz w:val="24"/>
              </w:rPr>
              <w:t>根据设计方案确定施工工程量清单；</w:t>
            </w:r>
            <w:r>
              <w:rPr>
                <w:rFonts w:ascii="calibri" w:hAnsi="calibri" w:cs="calibri" w:eastAsia="calibri"/>
                <w:color w:val="0070C0"/>
                <w:sz w:val="24"/>
              </w:rPr>
              <w:t>3.</w:t>
            </w:r>
            <w:r>
              <w:rPr>
                <w:rFonts w:ascii="宋体" w:hAnsi="宋体" w:cs="宋体" w:eastAsia="宋体"/>
                <w:color w:val="0070C0"/>
                <w:sz w:val="24"/>
              </w:rPr>
              <w:t>根据工程量清单制定施工方案，具体实施。</w:t>
            </w:r>
            <w:r>
              <w:rPr>
                <w:rFonts w:ascii="calibri" w:hAnsi="calibri" w:cs="calibri" w:eastAsia="calibri"/>
                <w:color w:val="0070C0"/>
                <w:sz w:val="24"/>
              </w:rPr>
              <w:t>4.</w:t>
            </w:r>
            <w:r>
              <w:rPr>
                <w:rFonts w:ascii="宋体" w:hAnsi="宋体" w:cs="宋体" w:eastAsia="宋体"/>
                <w:color w:val="0070C0"/>
                <w:sz w:val="24"/>
              </w:rPr>
              <w:t>本工程的施工过程和成果必须符合国家有关工程建设标准强制性条文和国家或有关部门关于工程施工方面现行的标准、规范、规程、定额、办法、示例，以及陕西省关于工程施工方面的文件、规定。</w:t>
            </w:r>
            <w:r>
              <w:rPr>
                <w:rFonts w:ascii="calibri" w:hAnsi="calibri" w:cs="calibri" w:eastAsia="calibri"/>
                <w:color w:val="0070C0"/>
                <w:sz w:val="24"/>
              </w:rPr>
              <w:t>5.</w:t>
            </w:r>
            <w:r>
              <w:rPr>
                <w:rFonts w:ascii="宋体" w:hAnsi="宋体" w:cs="宋体" w:eastAsia="宋体"/>
                <w:color w:val="0070C0"/>
                <w:sz w:val="24"/>
              </w:rPr>
              <w:t>在施工过程中，如果国家或有关部门颁布了新的技术标准或规范，则承包人应采用新的标准或规范进行施工。</w:t>
            </w:r>
            <w:r>
              <w:rPr>
                <w:rFonts w:ascii="calibri" w:hAnsi="calibri" w:cs="calibri" w:eastAsia="calibri"/>
                <w:color w:val="0070C0"/>
                <w:sz w:val="24"/>
              </w:rPr>
              <w:t>6.</w:t>
            </w:r>
            <w:r>
              <w:rPr>
                <w:rFonts w:ascii="宋体" w:hAnsi="宋体" w:cs="宋体" w:eastAsia="宋体"/>
                <w:color w:val="0070C0"/>
                <w:sz w:val="24"/>
              </w:rPr>
              <w:t>所选用装修材料必须确保质量合格，采用不燃材料，符合环保要求，材料品牌为市场主流中档及以上品牌，禁止使用劣质或知名度较差的品牌，否则采购人有权要求进行更换，同时供应商不得拒绝；所有过墙孔洞必须用防火泥封堵；手动报警按钮、声光报警、防火栓、自动报警系统，自动喷水系统等消防设施须醒目、施工改造不得遮挡；消防设施、设备不得擅自改动。</w:t>
            </w:r>
            <w:r>
              <w:rPr>
                <w:rFonts w:ascii="calibri" w:hAnsi="calibri" w:cs="calibri" w:eastAsia="calibri"/>
                <w:color w:val="0070C0"/>
                <w:sz w:val="24"/>
              </w:rPr>
              <w:t>7.</w:t>
            </w:r>
            <w:r>
              <w:rPr>
                <w:rFonts w:ascii="宋体" w:hAnsi="宋体" w:cs="宋体" w:eastAsia="宋体"/>
                <w:color w:val="0070C0"/>
                <w:sz w:val="24"/>
              </w:rPr>
              <w:t>不得改变场馆原有主体结构，施工过程中的边角料、建筑垃圾每日清理，安全标识、标牌必须清楚、明示，施工结束后对电路、管道等进行整理、标识、恢复。</w:t>
            </w:r>
            <w:r>
              <w:rPr>
                <w:rFonts w:ascii="calibri" w:hAnsi="calibri" w:cs="calibri" w:eastAsia="calibri"/>
                <w:color w:val="0070C0"/>
                <w:sz w:val="24"/>
              </w:rPr>
              <w:t>8.</w:t>
            </w:r>
            <w:r>
              <w:rPr>
                <w:rFonts w:ascii="宋体" w:hAnsi="宋体" w:cs="宋体" w:eastAsia="宋体"/>
                <w:color w:val="0070C0"/>
                <w:sz w:val="24"/>
              </w:rPr>
              <w:t>应考虑原有电路线经、负荷、回路等问题，满足基础供电需求；施工方须根据展馆现有情况排查强电、弱电等用电安全隐患（进行线管保护），配电箱须安置合理、定期维护、检查。</w:t>
            </w:r>
          </w:p>
        </w:tc>
      </w:tr>
      <w:tr>
        <w:tc>
          <w:tcPr>
            <w:tcW w:type="dxa" w:w="2769"/>
          </w:tcPr>
          <w:p/>
        </w:tc>
        <w:tc>
          <w:tcPr>
            <w:tcW w:type="dxa" w:w="2769"/>
          </w:tcPr>
          <w:p>
            <w:pPr>
              <w:pStyle w:val="null3"/>
            </w:pPr>
            <w:r>
              <w:rPr/>
              <w:t>5</w:t>
            </w:r>
          </w:p>
        </w:tc>
        <w:tc>
          <w:tcPr>
            <w:tcW w:type="dxa" w:w="2769"/>
          </w:tcPr>
          <w:p>
            <w:pPr>
              <w:pStyle w:val="null3"/>
              <w:jc w:val="both"/>
            </w:pPr>
            <w:r>
              <w:rPr>
                <w:rFonts w:ascii="宋体" w:hAnsi="宋体" w:cs="宋体" w:eastAsia="宋体"/>
                <w:color w:val="0070C0"/>
                <w:sz w:val="24"/>
              </w:rPr>
              <w:t>设计要求的质量标准：满足发包人设计方面的需求</w:t>
            </w:r>
            <w:r>
              <w:rPr>
                <w:rFonts w:ascii="calibri" w:hAnsi="calibri" w:cs="calibri" w:eastAsia="calibri"/>
                <w:color w:val="0070C0"/>
                <w:sz w:val="24"/>
              </w:rPr>
              <w:t>,</w:t>
            </w:r>
            <w:r>
              <w:rPr>
                <w:rFonts w:ascii="宋体" w:hAnsi="宋体" w:cs="宋体" w:eastAsia="宋体"/>
                <w:color w:val="0070C0"/>
                <w:sz w:val="24"/>
              </w:rPr>
              <w:t>并达到国家现行设计规范要求；施工要求的质量标准：符合国家现行建筑工程施工质量验收“合格”标准。</w:t>
            </w:r>
          </w:p>
        </w:tc>
      </w:tr>
    </w:tbl>
    <w:p>
      <w:pPr>
        <w:pStyle w:val="null3"/>
        <w:ind w:firstLine="480"/>
      </w:pPr>
      <w:r>
        <w:rPr/>
        <w:t>二、供应商针对本项目的施工，必须达到国家及行业现行技术规范标准，符合国家及行业验收合格标准：</w:t>
      </w:r>
    </w:p>
    <w:p>
      <w:pPr>
        <w:pStyle w:val="null3"/>
      </w:pPr>
      <w:r>
        <w:rPr/>
        <w:t>采购包1：</w:t>
      </w:r>
    </w:p>
    <w:p>
      <w:pPr>
        <w:pStyle w:val="null3"/>
      </w:pPr>
      <w:r>
        <w:rPr/>
        <w:t>1.执行国家现行施工验收规范以及相关的标准和采购文件的要求。 2.供应商提供的货品、材料、服务满足校方要求，布展所需材料施工方须提供质检报告及样品并遵照招标文件、投标文件及国家有关标准执行。 3.工程竣工后由供应商委托第三方公司完成展厅空气检测并出具检测报告，检测费用由供应商承担。</w:t>
      </w:r>
    </w:p>
    <w:p>
      <w:pPr>
        <w:pStyle w:val="null3"/>
        <w:ind w:firstLine="480"/>
      </w:pPr>
      <w:r>
        <w:rPr/>
        <w:t>三、针对本项目的其他技术服务要求：</w:t>
      </w:r>
    </w:p>
    <w:p>
      <w:pPr>
        <w:pStyle w:val="null3"/>
      </w:pPr>
      <w:r>
        <w:rPr/>
        <w:t>1.合同签订后 40 日历日内。 2.质量标准：现行国家施工验收规范合格标准。 3.质保期及质保保修要求 （1）质保期：验收合格后贰年；（2）质保期保修要求： ①属于保修范围和内容的项目，承包人应在接到维修通知后立即响应，1天内派人维修。发生紧急抢修事故（如上水管跑水、爆裂，供电设施漏、断电等），承包人应在接到事故通知后 2 小时内到达事故现场并于 6 小时内完成应急维修。 具体见合同要求。 4.本工程为交钥匙工程。 5.主要材料需提供相关合格证书、要求环保材料 。 6.报价包含设计费（含施工图审查费）、材料费、人工费、运杂费、税费、水电费、安装及调试费等全部费用。</w:t>
      </w:r>
    </w:p>
    <w:p>
      <w:pPr>
        <w:pStyle w:val="null3"/>
        <w:ind w:firstLine="480"/>
      </w:pPr>
      <w:r>
        <w:rPr/>
        <w:t>四、工程量清单（详见附件）</w:t>
      </w:r>
    </w:p>
    <w:p>
      <w:pPr>
        <w:pStyle w:val="null3"/>
        <w:ind w:firstLine="480"/>
      </w:pPr>
      <w:r>
        <w:rPr/>
        <w:t xml:space="preserve"> （说明：工程量清单应当结合《政府采购需求管理办法》（财库〔2021〕22号）第六条第二款规定，明确相关性能、材料、结构、外观、安全、标准等。）</w:t>
      </w:r>
    </w:p>
    <w:p>
      <w:pPr>
        <w:pStyle w:val="null3"/>
        <w:outlineLvl w:val="2"/>
      </w:pPr>
      <w:r>
        <w:rPr>
          <w:b/>
          <w:sz w:val="28"/>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序号</w:t>
            </w:r>
          </w:p>
        </w:tc>
        <w:tc>
          <w:tcPr>
            <w:tcW w:type="dxa" w:w="2769"/>
          </w:tcPr>
          <w:p>
            <w:pPr>
              <w:pStyle w:val="null3"/>
            </w:pPr>
            <w:r>
              <w:rPr/>
              <w:t>项目</w:t>
            </w:r>
          </w:p>
        </w:tc>
        <w:tc>
          <w:tcPr>
            <w:tcW w:type="dxa" w:w="2769"/>
          </w:tcPr>
          <w:p>
            <w:pPr>
              <w:pStyle w:val="null3"/>
            </w:pPr>
            <w:r>
              <w:rPr/>
              <w:t>要求</w:t>
            </w:r>
          </w:p>
        </w:tc>
      </w:tr>
      <w:tr>
        <w:tc>
          <w:tcPr>
            <w:tcW w:type="dxa" w:w="2769"/>
          </w:tcPr>
          <w:p>
            <w:pPr>
              <w:pStyle w:val="null3"/>
            </w:pPr>
            <w:r>
              <w:rPr/>
              <w:t>1</w:t>
            </w:r>
          </w:p>
        </w:tc>
        <w:tc>
          <w:tcPr>
            <w:tcW w:type="dxa" w:w="2769"/>
          </w:tcPr>
          <w:p>
            <w:pPr>
              <w:pStyle w:val="null3"/>
            </w:pPr>
            <w:r>
              <w:rPr/>
              <w:t>项目负责人（项目经理）</w:t>
            </w:r>
          </w:p>
        </w:tc>
        <w:tc>
          <w:tcPr>
            <w:tcW w:type="dxa" w:w="2769"/>
          </w:tcPr>
          <w:p>
            <w:pPr>
              <w:pStyle w:val="null3"/>
            </w:pPr>
            <w:r>
              <w:rPr/>
              <w:t>具体要求详见资格审查条款</w:t>
            </w:r>
          </w:p>
        </w:tc>
      </w:tr>
    </w:tbl>
    <w:p>
      <w:pPr>
        <w:pStyle w:val="null3"/>
        <w:outlineLvl w:val="3"/>
      </w:pPr>
      <w:r>
        <w:rPr>
          <w:b/>
          <w:sz w:val="24"/>
        </w:rPr>
        <w:t>说明：</w:t>
      </w:r>
    </w:p>
    <w:p>
      <w:pPr>
        <w:pStyle w:val="null3"/>
        <w:ind w:firstLine="480"/>
      </w:pPr>
      <w:r>
        <w:rPr/>
        <w:t>1.对于不允许偏离的实质性要求和条件，采购人或者代理机构应当在磋商文件中规定，并以醒目的方式标明。</w:t>
      </w:r>
    </w:p>
    <w:p>
      <w:pPr>
        <w:pStyle w:val="null3"/>
        <w:ind w:firstLine="480"/>
      </w:pPr>
      <w:r>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b/>
          <w:sz w:val="28"/>
        </w:rPr>
        <w:t>3.3其他要求</w:t>
      </w:r>
    </w:p>
    <w:p>
      <w:pPr>
        <w:pStyle w:val="null3"/>
      </w:pPr>
      <w:r>
        <w:rPr/>
        <w:t>3.3.1供应商须通过电子化交易平台上传响应文件，另外还需在磋商截止时间前向代理机构递交密封完好的电子化交易系统生成的纸质版响应文件壹份（胶装，密封袋外层标注供应商名称和项目名称）。代理机构对递交的文件签收，由监标人查验密封情况并记录，开标后交磋商小组，作为评审的辅助资料。 递交方式：现场递交，或顺丰邮寄 3.3.2供应商请仔细阅读招标文件《第一章 投标邀请》第五条“电子化采购相关事项”，提前做好线上开标准备。 3.3.3联合体投标的，由联合体牵头人负责在电子交易系统上编制、上传文件，并按要求签字盖章。 3.3.4本项目磋商采用腾讯会议室方式，会议室在开标时通过电子化交易平台开标大厅通知，供应商需及时起进入会议室等待，直至完成磋商并在系统上提交最终响应函。未按时进入会议室或无法联系以及因供应商自身原因错过磋商的，视为主动放弃磋商，其投标无效。代理机构联系电话见公告。 3.3.5要求供应商对设计方案进行线上（通过腾讯会议）讲解（包括但不限于设计方案、工程建设方案亮点、展柜展板产品品牌、样式、材质、功能等介绍），时长8分钟。 3.3.6成交供应商在中标后规定时间内须提供施工图和预算，用时包含在总工期内，请供应商充分予以考虑。 3.3.7本项目采用两次报价，响应文件中的报价为首次报价，磋商后的报价为最终报价，评审按最终报价评审。 3.3.8供应商资格按5.3.2.3特殊资格审查标准评审，如与前附表内容不一致的，以5.3.2.3条为准。 3.3.9其他商务条款： 3.3.9.1合同价款： （1）本项目采用暂定总价合同。 （2）中标价为暂定合同价： 暂定合同价=磋商最终设计费报价+磋商最终建筑安装工程费报价。 （3）实际合同价： 实际合同价=磋商最终设计费报价+建筑安装工程费实际合同价。 ①磋商最终设计费报价固定不变。 ②建筑安装工程费实际合同价=发包人审核的中标供应商施工图预算价×建筑安装工程费投标报价浮动率，且确认的施工图预算必须小于磋商最终建筑安装工程费报价。 ③投标报价浮动率=磋商最终建筑安装工程费报价/建筑安装工程费最高上限价（155万元） （4）最终竣工建筑安装工程费结算价为经采购人审计的价格，且不得超过建筑安装工程费实际合同价的110%，超过部分由有承包人承担。 3.3.9.2变更、签证价款： （1）审核后的工程量清单报价中已有工程综合单价的，按已有综合单价结算； （2）审核后的工程量清单报价中只有类似工程项目的，双方可以参照同标准类似综合单价协商认可的综合单价结算； （3）审核后的工程量清单报价中没有的工程项目内容，经监理工程师、甲方代表确认后，乙方可重新组价并上报，组价依据施工图、设计变更、2009《陕建工程量清单计价规则》、2004《陕西省建筑、装饰工程消耗量定额》、2004《陕西省安装工程消耗量定额》、2001《全统修善定额土建工程、安装工程陕西价目表》、《陕西省建筑、装饰、安装工程价目表》（2009）及相应的费率，并考虑中标下浮比率【下浮比率=固定费率】，经甲方审核确认的价款为该变更签证价款。 （4）变更费用不得超过建筑安装工程实际合同价的10％。 3.3.9.3付款方式：待工程竣工验收合格后付至实际合同金额70% ；经学校审计后付至审定金额的100% 。 3.3.9.4其他：见合同内容。 注：此商务条款与磋商文件2.4.7内容不一致的，以此商务条款为准。</w:t>
      </w:r>
    </w:p>
    <w:p>
      <w:pPr>
        <w:pStyle w:val="null3"/>
      </w:pPr>
      <w:r>
        <w:rPr/>
        <w:t xml:space="preserve"> </w:t>
      </w:r>
    </w:p>
    <w:p>
      <w:pPr>
        <w:pStyle w:val="null3"/>
        <w:jc w:val="center"/>
        <w:outlineLvl w:val="1"/>
      </w:pPr>
      <w:r>
        <w:rPr>
          <w:b/>
          <w:sz w:val="36"/>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b/>
          <w:sz w:val="24"/>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供应商或联合体牵头人代表全体成员在项目电子化交易系统中按要求填写《响应函》完成承诺并进行电子签章。</w:t>
            </w:r>
          </w:p>
        </w:tc>
        <w:tc>
          <w:tcPr>
            <w:tcW w:type="dxa" w:w="1661"/>
          </w:tcPr>
          <w:p>
            <w:pPr>
              <w:pStyle w:val="null3"/>
            </w:pPr>
            <w:r>
              <w:rPr/>
              <w:t>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供应商或联合体牵头人代表全体成员在项目电子化交易系统中按要求填写《响应函》完成承诺并进行电子签章。</w:t>
            </w:r>
          </w:p>
        </w:tc>
        <w:tc>
          <w:tcPr>
            <w:tcW w:type="dxa" w:w="1661"/>
          </w:tcPr>
          <w:p>
            <w:pPr>
              <w:pStyle w:val="null3"/>
            </w:pPr>
            <w:r>
              <w:rPr/>
              <w:t>响应函</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t>供应商或联合体牵头人代表全体成员在项目电子化交易系统中按要求填写《响应函》完成承诺并进行电子签章。</w:t>
            </w:r>
          </w:p>
        </w:tc>
        <w:tc>
          <w:tcPr>
            <w:tcW w:type="dxa" w:w="1661"/>
          </w:tcPr>
          <w:p>
            <w:pPr>
              <w:pStyle w:val="null3"/>
            </w:pPr>
            <w:r>
              <w:rPr/>
              <w:t>响应函</w:t>
            </w:r>
          </w:p>
        </w:tc>
      </w:tr>
    </w:tbl>
    <w:p>
      <w:pPr>
        <w:pStyle w:val="null3"/>
        <w:outlineLvl w:val="3"/>
      </w:pPr>
      <w:r>
        <w:rPr>
          <w:b/>
          <w:sz w:val="24"/>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参与的供应商（如联合体投标，每个联合体成员）为符合政策要求的中小企业。注：联合体投标的，由联合体牵头人代表全体联合体成员提供书面声明。</w:t>
            </w:r>
          </w:p>
        </w:tc>
        <w:tc>
          <w:tcPr>
            <w:tcW w:type="dxa" w:w="1661"/>
          </w:tcPr>
          <w:p>
            <w:pPr>
              <w:pStyle w:val="null3"/>
            </w:pPr>
            <w:r>
              <w:rPr/>
              <w:t>中小企业声明函 残疾人福利性单位声明函 监狱企业的证明文件</w:t>
            </w:r>
          </w:p>
        </w:tc>
      </w:tr>
    </w:tbl>
    <w:p>
      <w:pPr>
        <w:pStyle w:val="null3"/>
        <w:outlineLvl w:val="3"/>
      </w:pPr>
      <w:r>
        <w:rPr>
          <w:b/>
          <w:sz w:val="24"/>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联合体声明</w:t>
            </w:r>
          </w:p>
        </w:tc>
        <w:tc>
          <w:tcPr>
            <w:tcW w:type="dxa" w:w="3322"/>
          </w:tcPr>
          <w:p>
            <w:pPr>
              <w:pStyle w:val="null3"/>
            </w:pPr>
            <w:r>
              <w:rPr/>
              <w:t>接受联合体，属于联合体的提供联合体书面协议。</w:t>
            </w:r>
          </w:p>
        </w:tc>
        <w:tc>
          <w:tcPr>
            <w:tcW w:type="dxa" w:w="1661"/>
          </w:tcPr>
          <w:p>
            <w:pPr>
              <w:pStyle w:val="null3"/>
            </w:pPr>
            <w:r>
              <w:rPr/>
              <w:t>联合体声明</w:t>
            </w:r>
          </w:p>
        </w:tc>
      </w:tr>
      <w:tr>
        <w:tc>
          <w:tcPr>
            <w:tcW w:type="dxa" w:w="831"/>
          </w:tcPr>
          <w:p>
            <w:pPr>
              <w:pStyle w:val="null3"/>
            </w:pPr>
            <w:r>
              <w:rPr/>
              <w:t>2</w:t>
            </w:r>
          </w:p>
        </w:tc>
        <w:tc>
          <w:tcPr>
            <w:tcW w:type="dxa" w:w="2492"/>
          </w:tcPr>
          <w:p>
            <w:pPr>
              <w:pStyle w:val="null3"/>
            </w:pPr>
            <w:r>
              <w:rPr/>
              <w:t>信用证明</w:t>
            </w:r>
          </w:p>
        </w:tc>
        <w:tc>
          <w:tcPr>
            <w:tcW w:type="dxa" w:w="3322"/>
          </w:tcPr>
          <w:p>
            <w:pPr>
              <w:pStyle w:val="null3"/>
            </w:pPr>
            <w:r>
              <w:rPr/>
              <w:t>供应商（联合体投标的，包含联合体每个成员）提供参加本次政府采购活动前3年内在经营活动中没有重大违法记录（处罚期满除外）、未在各级建设诚信信息平台被列为投标受限制的行为人或被列为严重违法失信企业名单的声明。</w:t>
            </w:r>
          </w:p>
        </w:tc>
        <w:tc>
          <w:tcPr>
            <w:tcW w:type="dxa" w:w="1661"/>
          </w:tcPr>
          <w:p>
            <w:pPr>
              <w:pStyle w:val="null3"/>
            </w:pPr>
            <w:r>
              <w:rPr/>
              <w:t>供应商信用书面声明函</w:t>
            </w:r>
          </w:p>
        </w:tc>
      </w:tr>
      <w:tr>
        <w:tc>
          <w:tcPr>
            <w:tcW w:type="dxa" w:w="831"/>
          </w:tcPr>
          <w:p>
            <w:pPr>
              <w:pStyle w:val="null3"/>
            </w:pPr>
            <w:r>
              <w:rPr/>
              <w:t>3</w:t>
            </w:r>
          </w:p>
        </w:tc>
        <w:tc>
          <w:tcPr>
            <w:tcW w:type="dxa" w:w="2492"/>
          </w:tcPr>
          <w:p>
            <w:pPr>
              <w:pStyle w:val="null3"/>
            </w:pPr>
            <w:r>
              <w:rPr/>
              <w:t>供应商注册证照</w:t>
            </w:r>
          </w:p>
        </w:tc>
        <w:tc>
          <w:tcPr>
            <w:tcW w:type="dxa" w:w="3322"/>
          </w:tcPr>
          <w:p>
            <w:pPr>
              <w:pStyle w:val="null3"/>
            </w:pPr>
            <w:r>
              <w:rPr/>
              <w:t>供应商（联合体投标的，包含联合体每个成员）提供法人企业提供带有统一社会信用代码营业执照，未提供的接受采购人通过国家企业信用信息公示系统（http://www.gsxt.gov.cn/index.html）进行相关信息的核实，并承担核实不到的后果；事业单位提供事业单位法人登记证；其他组织提供民办非企业单位登记证；专业服务机构提供执业许可证等；自然人提供身份证。</w:t>
            </w:r>
          </w:p>
        </w:tc>
        <w:tc>
          <w:tcPr>
            <w:tcW w:type="dxa" w:w="1661"/>
          </w:tcPr>
          <w:p>
            <w:pPr>
              <w:pStyle w:val="null3"/>
            </w:pPr>
            <w:r>
              <w:rPr/>
              <w:t>营业执照</w:t>
            </w:r>
          </w:p>
        </w:tc>
      </w:tr>
      <w:tr>
        <w:tc>
          <w:tcPr>
            <w:tcW w:type="dxa" w:w="831"/>
          </w:tcPr>
          <w:p>
            <w:pPr>
              <w:pStyle w:val="null3"/>
            </w:pPr>
            <w:r>
              <w:rPr/>
              <w:t>4</w:t>
            </w:r>
          </w:p>
        </w:tc>
        <w:tc>
          <w:tcPr>
            <w:tcW w:type="dxa" w:w="2492"/>
          </w:tcPr>
          <w:p>
            <w:pPr>
              <w:pStyle w:val="null3"/>
            </w:pPr>
            <w:r>
              <w:rPr/>
              <w:t>财务状况证明</w:t>
            </w:r>
          </w:p>
        </w:tc>
        <w:tc>
          <w:tcPr>
            <w:tcW w:type="dxa" w:w="3322"/>
          </w:tcPr>
          <w:p>
            <w:pPr>
              <w:pStyle w:val="null3"/>
            </w:pPr>
            <w:r>
              <w:rPr/>
              <w:t>供应商（联合体投标的，包含联合体每个成员）提供2022年度经第三方会计事务所审计过的财务报告，或磋商截止时间前90天内基本账户银行出具的资信证明。注：①提供财务报告的，内容至少包括：审计报告、附注。②提供资信证明的，必须提供资信证明全部页以及基本户信息（提供开户许可证复印件或提供基本银行账户信息复印件加盖公章）。银行出具的存款证明不能代替资信证明，存款证明无效。</w:t>
            </w:r>
          </w:p>
        </w:tc>
        <w:tc>
          <w:tcPr>
            <w:tcW w:type="dxa" w:w="1661"/>
          </w:tcPr>
          <w:p>
            <w:pPr>
              <w:pStyle w:val="null3"/>
            </w:pPr>
            <w:r>
              <w:rPr/>
              <w:t>财务状况证明</w:t>
            </w:r>
          </w:p>
        </w:tc>
      </w:tr>
      <w:tr>
        <w:tc>
          <w:tcPr>
            <w:tcW w:type="dxa" w:w="831"/>
          </w:tcPr>
          <w:p>
            <w:pPr>
              <w:pStyle w:val="null3"/>
            </w:pPr>
            <w:r>
              <w:rPr/>
              <w:t>5</w:t>
            </w:r>
          </w:p>
        </w:tc>
        <w:tc>
          <w:tcPr>
            <w:tcW w:type="dxa" w:w="2492"/>
          </w:tcPr>
          <w:p>
            <w:pPr>
              <w:pStyle w:val="null3"/>
            </w:pPr>
            <w:r>
              <w:rPr/>
              <w:t>纳税状况</w:t>
            </w:r>
          </w:p>
        </w:tc>
        <w:tc>
          <w:tcPr>
            <w:tcW w:type="dxa" w:w="3322"/>
          </w:tcPr>
          <w:p>
            <w:pPr>
              <w:pStyle w:val="null3"/>
            </w:pPr>
            <w:r>
              <w:rPr/>
              <w:t>供应商（联合体投标的，包含联合体每个成员）提供2023年至今至少一次依法纳税的证明（任意税种），依法免税的应提供相关证明；成立不足一个月的提供将依法纳税的承诺书。注：①零报税的提供申报成功的凭证。②时间以税款所属时段为准。</w:t>
            </w:r>
          </w:p>
        </w:tc>
        <w:tc>
          <w:tcPr>
            <w:tcW w:type="dxa" w:w="1661"/>
          </w:tcPr>
          <w:p>
            <w:pPr>
              <w:pStyle w:val="null3"/>
            </w:pPr>
            <w:r>
              <w:rPr/>
              <w:t>纳税证明</w:t>
            </w:r>
          </w:p>
        </w:tc>
      </w:tr>
      <w:tr>
        <w:tc>
          <w:tcPr>
            <w:tcW w:type="dxa" w:w="831"/>
          </w:tcPr>
          <w:p>
            <w:pPr>
              <w:pStyle w:val="null3"/>
            </w:pPr>
            <w:r>
              <w:rPr/>
              <w:t>6</w:t>
            </w:r>
          </w:p>
        </w:tc>
        <w:tc>
          <w:tcPr>
            <w:tcW w:type="dxa" w:w="2492"/>
          </w:tcPr>
          <w:p>
            <w:pPr>
              <w:pStyle w:val="null3"/>
            </w:pPr>
            <w:r>
              <w:rPr/>
              <w:t>社保缴纳状况</w:t>
            </w:r>
          </w:p>
        </w:tc>
        <w:tc>
          <w:tcPr>
            <w:tcW w:type="dxa" w:w="3322"/>
          </w:tcPr>
          <w:p>
            <w:pPr>
              <w:pStyle w:val="null3"/>
            </w:pPr>
            <w:r>
              <w:rPr/>
              <w:t>供应商（联合体投标的，包含联合体每个成员）提供2023年至今至少一个月的社会保障资金缴存凭证或社保机构开具的社会保险参保缴费情况证明；依法不需要缴纳社会保障资金的应提供链条完整的证明；成立不足一个月的提供将依法交纳社会保障资金的承诺书（格式自拟）。注：①供应商可自行打印带有社保机构公章的缴存凭证；或提供银行交纳单据，单据应显示社保缴存项（任一项）。②通过代缴方式缴存的，需提供链条完整的证明材料，证明材料至少包括代缴方的缴存凭证、供应商向代缴方用于缴存社保的银行转账单据。</w:t>
            </w:r>
          </w:p>
        </w:tc>
        <w:tc>
          <w:tcPr>
            <w:tcW w:type="dxa" w:w="1661"/>
          </w:tcPr>
          <w:p>
            <w:pPr>
              <w:pStyle w:val="null3"/>
            </w:pPr>
            <w:r>
              <w:rPr/>
              <w:t>社保缴纳证明</w:t>
            </w:r>
          </w:p>
        </w:tc>
      </w:tr>
      <w:tr>
        <w:tc>
          <w:tcPr>
            <w:tcW w:type="dxa" w:w="831"/>
          </w:tcPr>
          <w:p>
            <w:pPr>
              <w:pStyle w:val="null3"/>
            </w:pPr>
            <w:r>
              <w:rPr/>
              <w:t>7</w:t>
            </w:r>
          </w:p>
        </w:tc>
        <w:tc>
          <w:tcPr>
            <w:tcW w:type="dxa" w:w="2492"/>
          </w:tcPr>
          <w:p>
            <w:pPr>
              <w:pStyle w:val="null3"/>
            </w:pPr>
            <w:r>
              <w:rPr/>
              <w:t>履约能力证明</w:t>
            </w:r>
          </w:p>
        </w:tc>
        <w:tc>
          <w:tcPr>
            <w:tcW w:type="dxa" w:w="3322"/>
          </w:tcPr>
          <w:p>
            <w:pPr>
              <w:pStyle w:val="null3"/>
            </w:pPr>
            <w:r>
              <w:rPr/>
              <w:t>供应商（联合体投标的，包含联合体每个成员）提供具有履行本合同所必需的专业技术能力的声明。</w:t>
            </w:r>
          </w:p>
        </w:tc>
        <w:tc>
          <w:tcPr>
            <w:tcW w:type="dxa" w:w="1661"/>
          </w:tcPr>
          <w:p>
            <w:pPr>
              <w:pStyle w:val="null3"/>
            </w:pPr>
            <w:r>
              <w:rPr/>
              <w:t>履约能力声明</w:t>
            </w:r>
          </w:p>
        </w:tc>
      </w:tr>
      <w:tr>
        <w:tc>
          <w:tcPr>
            <w:tcW w:type="dxa" w:w="831"/>
          </w:tcPr>
          <w:p>
            <w:pPr>
              <w:pStyle w:val="null3"/>
            </w:pPr>
            <w:r>
              <w:rPr/>
              <w:t>8</w:t>
            </w:r>
          </w:p>
        </w:tc>
        <w:tc>
          <w:tcPr>
            <w:tcW w:type="dxa" w:w="2492"/>
          </w:tcPr>
          <w:p>
            <w:pPr>
              <w:pStyle w:val="null3"/>
            </w:pPr>
            <w:r>
              <w:rPr/>
              <w:t>代表人授权</w:t>
            </w:r>
          </w:p>
        </w:tc>
        <w:tc>
          <w:tcPr>
            <w:tcW w:type="dxa" w:w="3322"/>
          </w:tcPr>
          <w:p>
            <w:pPr>
              <w:pStyle w:val="null3"/>
            </w:pPr>
            <w:r>
              <w:rPr/>
              <w:t>联合体投标的：联合体牵头人法定代表人直接参加磋商的须提供法定代表人证明书；联合体牵头人法定代表人授权代表参加磋商的，须提供法定代表人证明书和法定代表人授权书。 非联合体投标的：法定代表人直接参加磋商的须提供法定代表人证明书；法定代表人授权代表参加磋商的，须提供法定代表人证明书和法定代表人授权书。</w:t>
            </w:r>
          </w:p>
        </w:tc>
        <w:tc>
          <w:tcPr>
            <w:tcW w:type="dxa" w:w="1661"/>
          </w:tcPr>
          <w:p>
            <w:pPr>
              <w:pStyle w:val="null3"/>
            </w:pPr>
            <w:r>
              <w:rPr/>
              <w:t>法定代表人证明书法定代表人授权委托书</w:t>
            </w:r>
          </w:p>
        </w:tc>
      </w:tr>
      <w:tr>
        <w:tc>
          <w:tcPr>
            <w:tcW w:type="dxa" w:w="831"/>
          </w:tcPr>
          <w:p>
            <w:pPr>
              <w:pStyle w:val="null3"/>
            </w:pPr>
            <w:r>
              <w:rPr/>
              <w:t>9</w:t>
            </w:r>
          </w:p>
        </w:tc>
        <w:tc>
          <w:tcPr>
            <w:tcW w:type="dxa" w:w="2492"/>
          </w:tcPr>
          <w:p>
            <w:pPr>
              <w:pStyle w:val="null3"/>
            </w:pPr>
            <w:r>
              <w:rPr/>
              <w:t>企业资质</w:t>
            </w:r>
          </w:p>
        </w:tc>
        <w:tc>
          <w:tcPr>
            <w:tcW w:type="dxa" w:w="3322"/>
          </w:tcPr>
          <w:p>
            <w:pPr>
              <w:pStyle w:val="null3"/>
            </w:pPr>
            <w:r>
              <w:rPr/>
              <w:t>提供供应商或联合体任一成员的建筑装饰装修工程专业承包二级及以上资质证书，对应的有效的安全生产许可证。 提供供应商或联合体任一成员的建筑装饰工程设计专项（建筑装饰工程设计）乙级及以上资质证书。</w:t>
            </w:r>
          </w:p>
        </w:tc>
        <w:tc>
          <w:tcPr>
            <w:tcW w:type="dxa" w:w="1661"/>
          </w:tcPr>
          <w:p>
            <w:pPr>
              <w:pStyle w:val="null3"/>
            </w:pPr>
            <w:r>
              <w:rPr/>
              <w:t>企业资质证书</w:t>
            </w:r>
          </w:p>
        </w:tc>
      </w:tr>
      <w:tr>
        <w:tc>
          <w:tcPr>
            <w:tcW w:type="dxa" w:w="831"/>
          </w:tcPr>
          <w:p>
            <w:pPr>
              <w:pStyle w:val="null3"/>
            </w:pPr>
            <w:r>
              <w:rPr/>
              <w:t>10</w:t>
            </w:r>
          </w:p>
        </w:tc>
        <w:tc>
          <w:tcPr>
            <w:tcW w:type="dxa" w:w="2492"/>
          </w:tcPr>
          <w:p>
            <w:pPr>
              <w:pStyle w:val="null3"/>
            </w:pPr>
            <w:r>
              <w:rPr/>
              <w:t>项目经理</w:t>
            </w:r>
          </w:p>
        </w:tc>
        <w:tc>
          <w:tcPr>
            <w:tcW w:type="dxa" w:w="3322"/>
          </w:tcPr>
          <w:p>
            <w:pPr>
              <w:pStyle w:val="null3"/>
            </w:pPr>
            <w:r>
              <w:rPr/>
              <w:t>联合体投标的： 拟派项目经理须为联合体任一成员单位注册的建筑工程专业贰级（含贰级）以上注册建造师，提供证书及安全生产考核合格证（B证）且无在建工程的书面声明。 非联合体投标的： 拟派项目经理须为本单位注册的建筑工程专业贰级（含贰级）以上注册建造师，提供证书及安全生产考核合格证（B证）且无在建工程的书面声明。</w:t>
            </w:r>
          </w:p>
        </w:tc>
        <w:tc>
          <w:tcPr>
            <w:tcW w:type="dxa" w:w="1661"/>
          </w:tcPr>
          <w:p>
            <w:pPr>
              <w:pStyle w:val="null3"/>
            </w:pPr>
            <w:r>
              <w:rPr/>
              <w:t>项目经理资料</w:t>
            </w:r>
          </w:p>
        </w:tc>
      </w:tr>
    </w:tbl>
    <w:p>
      <w:pPr>
        <w:pStyle w:val="null3"/>
      </w:pPr>
      <w:r>
        <w:rPr/>
        <w:t xml:space="preserve"> </w:t>
      </w:r>
    </w:p>
    <w:p>
      <w:pPr>
        <w:pStyle w:val="null3"/>
        <w:jc w:val="center"/>
        <w:outlineLvl w:val="1"/>
      </w:pPr>
      <w:r>
        <w:rPr>
          <w:b/>
          <w:sz w:val="36"/>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t>注：工程量清单不属于磋商过程中可以实质性变动的内容。</w:t>
      </w:r>
    </w:p>
    <w:p>
      <w:pPr>
        <w:pStyle w:val="null3"/>
        <w:jc w:val="center"/>
        <w:outlineLvl w:val="1"/>
      </w:pPr>
      <w:r>
        <w:rPr>
          <w:b/>
          <w:sz w:val="36"/>
        </w:rPr>
        <w:t>第六章 磋商办法</w:t>
      </w:r>
    </w:p>
    <w:p>
      <w:pPr>
        <w:pStyle w:val="null3"/>
        <w:outlineLvl w:val="2"/>
      </w:pPr>
      <w:r>
        <w:rPr>
          <w:b/>
          <w:sz w:val="28"/>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b/>
          <w:sz w:val="28"/>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三、磋商小组按照磋商文件规定的磋商程序、评审方法和标准进行评审，并独立履行下列职责：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b/>
          <w:sz w:val="28"/>
        </w:rPr>
        <w:t>6.3评审程序</w:t>
      </w:r>
    </w:p>
    <w:p>
      <w:pPr>
        <w:pStyle w:val="null3"/>
        <w:outlineLvl w:val="3"/>
      </w:pPr>
      <w:r>
        <w:rPr>
          <w:b/>
          <w:sz w:val="24"/>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（一）磋商文件的规定存在歧义、重大缺陷，导致评审无法进行的；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b/>
          <w:sz w:val="24"/>
        </w:rPr>
        <w:t>6.3.2符合性审查</w:t>
      </w:r>
    </w:p>
    <w:p>
      <w:pPr>
        <w:pStyle w:val="null3"/>
        <w:ind w:firstLine="480"/>
      </w:pPr>
      <w:r>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t>二、磋商小组对供应商已标价工程量清单进行算术性复核，如果出现下列不一致的，按以下原则进行修正：</w:t>
      </w:r>
    </w:p>
    <w:p>
      <w:pPr>
        <w:pStyle w:val="null3"/>
        <w:ind w:firstLine="480"/>
      </w:pPr>
      <w:r>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t xml:space="preserve"> 三、在符合性审查过程中，如果出现磋商小组成员意见不一致的情况，按照少数服从多数的原则确定，但不得违背政府采购基本原则和磋商文件规定。</w:t>
      </w:r>
    </w:p>
    <w:p>
      <w:pPr>
        <w:pStyle w:val="null3"/>
        <w:ind w:firstLine="480"/>
      </w:pPr>
      <w:r>
        <w:rPr/>
        <w:t>四、磋商小组对所有响应文件进行审查后，确定参加磋商的供应商名单。</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 3.投标文件的有效性：报价有效，方案唯一； 4.投标文件的完整性：工期、付款方式、质保期、质量标准满足招标文件要求；</w:t>
            </w:r>
          </w:p>
        </w:tc>
        <w:tc>
          <w:tcPr>
            <w:tcW w:type="dxa" w:w="1661"/>
          </w:tcPr>
          <w:p>
            <w:pPr>
              <w:pStyle w:val="null3"/>
            </w:pPr>
            <w:r>
              <w:rPr/>
              <w:t>建筑安装工程费分项报价表 分项报价表 报价函 标的清单 履约承诺书 主要商务条款响应偏离表</w:t>
            </w:r>
          </w:p>
        </w:tc>
      </w:tr>
      <w:tr>
        <w:tc>
          <w:tcPr>
            <w:tcW w:type="dxa" w:w="831"/>
          </w:tcPr>
          <w:p>
            <w:pPr>
              <w:pStyle w:val="null3"/>
            </w:pPr>
            <w:r>
              <w:rPr/>
              <w:t>2</w:t>
            </w:r>
          </w:p>
        </w:tc>
        <w:tc>
          <w:tcPr>
            <w:tcW w:type="dxa" w:w="2492"/>
          </w:tcPr>
          <w:p>
            <w:pPr>
              <w:pStyle w:val="null3"/>
            </w:pPr>
            <w:r>
              <w:rPr/>
              <w:t>盖章</w:t>
            </w:r>
          </w:p>
        </w:tc>
        <w:tc>
          <w:tcPr>
            <w:tcW w:type="dxa" w:w="3322"/>
          </w:tcPr>
          <w:p>
            <w:pPr>
              <w:pStyle w:val="null3"/>
            </w:pPr>
            <w:r>
              <w:rPr/>
              <w:t>联合体投标的： 除特殊要求外，按系统和格式的要求加盖联合体牵头人公章。 非联合体投标的，按系统和格式的要求加盖供应商公章。</w:t>
            </w:r>
          </w:p>
        </w:tc>
        <w:tc>
          <w:tcPr>
            <w:tcW w:type="dxa" w:w="1661"/>
          </w:tcPr>
          <w:p>
            <w:pPr>
              <w:pStyle w:val="null3"/>
            </w:pPr>
            <w:r>
              <w:rPr/>
              <w:t>法定代表人证明书法定代表人授权委托书 建筑安装工程费分项报价表 分项报价表 履约能力声明 中小企业声明函 报价函 标的清单 联合体声明 响应函 履约承诺书 供应商信用书面声明函 主要商务条款响应偏离表</w:t>
            </w:r>
          </w:p>
        </w:tc>
      </w:tr>
      <w:tr>
        <w:tc>
          <w:tcPr>
            <w:tcW w:type="dxa" w:w="831"/>
          </w:tcPr>
          <w:p>
            <w:pPr>
              <w:pStyle w:val="null3"/>
            </w:pPr>
            <w:r>
              <w:rPr/>
              <w:t>3</w:t>
            </w:r>
          </w:p>
        </w:tc>
        <w:tc>
          <w:tcPr>
            <w:tcW w:type="dxa" w:w="2492"/>
          </w:tcPr>
          <w:p>
            <w:pPr>
              <w:pStyle w:val="null3"/>
            </w:pPr>
            <w:r>
              <w:rPr/>
              <w:t>投标人名称</w:t>
            </w:r>
          </w:p>
        </w:tc>
        <w:tc>
          <w:tcPr>
            <w:tcW w:type="dxa" w:w="3322"/>
          </w:tcPr>
          <w:p>
            <w:pPr>
              <w:pStyle w:val="null3"/>
            </w:pPr>
            <w:r>
              <w:rPr/>
              <w:t>联合体投标的： 按格式填写联合体牵头人名称，至少以下文件中联合体牵头人名称应与营业执照、公章一致。1.响应文件封面。2.响应函。3.报价表。 非联合体投标的： 按格式填写供应商名称，至少以下文件中联合体牵头人名称应与营业执照、公章一致。1.响应文件封面。2.响应函。3.报价表。</w:t>
            </w:r>
          </w:p>
        </w:tc>
        <w:tc>
          <w:tcPr>
            <w:tcW w:type="dxa" w:w="1661"/>
          </w:tcPr>
          <w:p>
            <w:pPr>
              <w:pStyle w:val="null3"/>
            </w:pPr>
            <w:r>
              <w:rPr/>
              <w:t>响应文件封面 报价函 响应函</w:t>
            </w:r>
          </w:p>
        </w:tc>
      </w:tr>
      <w:tr>
        <w:tc>
          <w:tcPr>
            <w:tcW w:type="dxa" w:w="831"/>
          </w:tcPr>
          <w:p>
            <w:pPr>
              <w:pStyle w:val="null3"/>
            </w:pPr>
            <w:r>
              <w:rPr/>
              <w:t>4</w:t>
            </w:r>
          </w:p>
        </w:tc>
        <w:tc>
          <w:tcPr>
            <w:tcW w:type="dxa" w:w="2492"/>
          </w:tcPr>
          <w:p>
            <w:pPr>
              <w:pStyle w:val="null3"/>
            </w:pPr>
            <w:r>
              <w:rPr/>
              <w:t>首次报价</w:t>
            </w:r>
          </w:p>
        </w:tc>
        <w:tc>
          <w:tcPr>
            <w:tcW w:type="dxa" w:w="3322"/>
          </w:tcPr>
          <w:p>
            <w:pPr>
              <w:pStyle w:val="null3"/>
            </w:pPr>
            <w:r>
              <w:rPr/>
              <w:t>1.未超过采购预算且无选择性报价 2.设计费及建筑安装工程费均未超过各自预算。</w:t>
            </w:r>
          </w:p>
        </w:tc>
        <w:tc>
          <w:tcPr>
            <w:tcW w:type="dxa" w:w="1661"/>
          </w:tcPr>
          <w:p>
            <w:pPr>
              <w:pStyle w:val="null3"/>
            </w:pPr>
            <w:r>
              <w:rPr/>
              <w:t>分项报价表 报价函</w:t>
            </w:r>
          </w:p>
        </w:tc>
      </w:tr>
      <w:tr>
        <w:tc>
          <w:tcPr>
            <w:tcW w:type="dxa" w:w="831"/>
          </w:tcPr>
          <w:p>
            <w:pPr>
              <w:pStyle w:val="null3"/>
            </w:pPr>
            <w:r>
              <w:rPr/>
              <w:t>5</w:t>
            </w:r>
          </w:p>
        </w:tc>
        <w:tc>
          <w:tcPr>
            <w:tcW w:type="dxa" w:w="2492"/>
          </w:tcPr>
          <w:p>
            <w:pPr>
              <w:pStyle w:val="null3"/>
            </w:pPr>
            <w:r>
              <w:rPr/>
              <w:t>磋商有效期</w:t>
            </w:r>
          </w:p>
        </w:tc>
        <w:tc>
          <w:tcPr>
            <w:tcW w:type="dxa" w:w="3322"/>
          </w:tcPr>
          <w:p>
            <w:pPr>
              <w:pStyle w:val="null3"/>
            </w:pPr>
            <w:r>
              <w:rPr/>
              <w:t>不少于90个日历日</w:t>
            </w:r>
          </w:p>
        </w:tc>
        <w:tc>
          <w:tcPr>
            <w:tcW w:type="dxa" w:w="1661"/>
          </w:tcPr>
          <w:p>
            <w:pPr>
              <w:pStyle w:val="null3"/>
            </w:pPr>
            <w:r>
              <w:rPr/>
              <w:t>响应函</w:t>
            </w:r>
          </w:p>
        </w:tc>
      </w:tr>
      <w:tr>
        <w:tc>
          <w:tcPr>
            <w:tcW w:type="dxa" w:w="831"/>
          </w:tcPr>
          <w:p>
            <w:pPr>
              <w:pStyle w:val="null3"/>
            </w:pPr>
            <w:r>
              <w:rPr/>
              <w:t>6</w:t>
            </w:r>
          </w:p>
        </w:tc>
        <w:tc>
          <w:tcPr>
            <w:tcW w:type="dxa" w:w="2492"/>
          </w:tcPr>
          <w:p>
            <w:pPr>
              <w:pStyle w:val="null3"/>
            </w:pPr>
            <w:r>
              <w:rPr/>
              <w:t>主要商务条款响应</w:t>
            </w:r>
          </w:p>
        </w:tc>
        <w:tc>
          <w:tcPr>
            <w:tcW w:type="dxa" w:w="3322"/>
          </w:tcPr>
          <w:p>
            <w:pPr>
              <w:pStyle w:val="null3"/>
            </w:pPr>
            <w:r>
              <w:rPr/>
              <w:t>响应采购文件商务要求，无负偏离</w:t>
            </w:r>
          </w:p>
        </w:tc>
        <w:tc>
          <w:tcPr>
            <w:tcW w:type="dxa" w:w="1661"/>
          </w:tcPr>
          <w:p>
            <w:pPr>
              <w:pStyle w:val="null3"/>
            </w:pPr>
            <w:r>
              <w:rPr/>
              <w:t>主要商务条款响应偏离表</w:t>
            </w:r>
          </w:p>
        </w:tc>
      </w:tr>
    </w:tbl>
    <w:p>
      <w:pPr>
        <w:pStyle w:val="null3"/>
        <w:outlineLvl w:val="3"/>
      </w:pPr>
      <w:r>
        <w:rPr>
          <w:b/>
          <w:sz w:val="24"/>
        </w:rPr>
        <w:t xml:space="preserve"> 6.3.3磋商</w:t>
      </w:r>
    </w:p>
    <w:p>
      <w:pPr>
        <w:pStyle w:val="null3"/>
        <w:ind w:firstLine="480"/>
      </w:pPr>
      <w:r>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t>二、每轮磋商开始前，磋商小组应根据磋商文件的规定，并结合各供应商的响应文件拟定磋商内容。</w:t>
      </w:r>
    </w:p>
    <w:p>
      <w:pPr>
        <w:pStyle w:val="null3"/>
        <w:ind w:firstLine="480"/>
      </w:pPr>
      <w:r>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t xml:space="preserve"> 四、对磋商文件作出的实质性变动是磋商文件的有效组成部分，磋商小组应通过项目电子化交易系统，将变动情况同时通知所有参加磋商的供应商。</w:t>
      </w:r>
    </w:p>
    <w:p>
      <w:pPr>
        <w:pStyle w:val="null3"/>
        <w:ind w:firstLine="480"/>
      </w:pPr>
      <w:r>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六、经最终磋商后，响应文件仍有下列情况之一的，应按照无效响应文件处理：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b/>
          <w:sz w:val="24"/>
        </w:rPr>
        <w:t>6.3.4最后报价</w:t>
      </w:r>
    </w:p>
    <w:p>
      <w:pPr>
        <w:pStyle w:val="null3"/>
        <w:ind w:firstLine="480"/>
      </w:pPr>
      <w:r>
        <w:rPr/>
        <w:t>一、方案评审</w:t>
      </w:r>
    </w:p>
    <w:p>
      <w:pPr>
        <w:pStyle w:val="null3"/>
      </w:pPr>
      <w:r>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t xml:space="preserve"> 二、磋商小组开启报价后，供应商应随时关注项目电子化交易系统信息或短信提醒，登录项目电子化交易系统，通过“等候大厅”进行报价并签章后提交。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 xml:space="preserve"> （五）若采用项目包干价的，供应商直接给出其完成本项目全部工作内容所需的总价，不再提供已标价工程量清单（报价格式要求见第七章）。</w:t>
      </w:r>
    </w:p>
    <w:p>
      <w:pPr>
        <w:pStyle w:val="null3"/>
        <w:ind w:firstLine="480"/>
      </w:pPr>
      <w:r>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b/>
          <w:sz w:val="24"/>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b/>
          <w:sz w:val="24"/>
        </w:rPr>
        <w:t>6.3.6比较与评价</w:t>
      </w:r>
    </w:p>
    <w:p>
      <w:pPr>
        <w:pStyle w:val="null3"/>
        <w:ind w:firstLine="480"/>
      </w:pPr>
      <w:r>
        <w:rPr/>
        <w:t xml:space="preserve"> 由磋商小组采用综合评分法对提交最后报价的供应商的响应文件和最后报价进行综合评分，具体要求详见本章评审办法及标准部分。</w:t>
      </w:r>
    </w:p>
    <w:p>
      <w:pPr>
        <w:pStyle w:val="null3"/>
        <w:outlineLvl w:val="3"/>
      </w:pPr>
      <w:r>
        <w:rPr>
          <w:b/>
          <w:sz w:val="24"/>
        </w:rPr>
        <w:t xml:space="preserve"> 6.3.7推荐成交候选供应商</w:t>
      </w:r>
    </w:p>
    <w:p>
      <w:pPr>
        <w:pStyle w:val="null3"/>
        <w:ind w:firstLine="480"/>
      </w:pPr>
      <w:r>
        <w:rPr/>
        <w:t>磋商小组应当根据综合评分情况，按照评审得分由高到低顺序推荐如下家数的成交候选供应商，并编写磋商报告。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b/>
          <w:sz w:val="24"/>
        </w:rPr>
        <w:t>6.3.8磋商小组复核</w:t>
      </w:r>
    </w:p>
    <w:p>
      <w:pPr>
        <w:pStyle w:val="null3"/>
        <w:ind w:firstLine="480"/>
      </w:pPr>
      <w:r>
        <w:rPr/>
        <w:t xml:space="preserve"> 磋商小组评分汇总结束后，磋商小组应当进行评审复核，对拟推荐为成交候选供应商的、报价最低的、供应商响应文件作无效处理的重点复核。</w:t>
      </w:r>
    </w:p>
    <w:p>
      <w:pPr>
        <w:pStyle w:val="null3"/>
        <w:outlineLvl w:val="3"/>
      </w:pPr>
      <w:r>
        <w:rPr>
          <w:b/>
          <w:sz w:val="24"/>
        </w:rPr>
        <w:t>6.3.9代理机构现场复核评审结果</w:t>
      </w:r>
    </w:p>
    <w:p>
      <w:pPr>
        <w:pStyle w:val="null3"/>
        <w:ind w:firstLine="480"/>
      </w:pPr>
      <w:r>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t>三、代理机构复核过程中，磋商小组成员不得离开评审现场。</w:t>
      </w:r>
    </w:p>
    <w:p>
      <w:pPr>
        <w:pStyle w:val="null3"/>
        <w:outlineLvl w:val="3"/>
      </w:pPr>
      <w:r>
        <w:rPr>
          <w:b/>
          <w:sz w:val="24"/>
        </w:rPr>
        <w:t>6.3.10编写磋商报告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b/>
          <w:sz w:val="24"/>
        </w:rPr>
        <w:t>6.3.11评审争议处理规则</w:t>
      </w:r>
    </w:p>
    <w:p>
      <w:pPr>
        <w:pStyle w:val="null3"/>
        <w:ind w:firstLine="480"/>
      </w:pPr>
      <w:r>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b/>
          <w:sz w:val="24"/>
        </w:rPr>
        <w:t>6.3.12终止磋商采购活动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三、在采购过程中符合要求的供应商或者报价未超过采购预算及最高限价的供应商不足3家的；</w:t>
      </w:r>
    </w:p>
    <w:p>
      <w:pPr>
        <w:pStyle w:val="null3"/>
        <w:ind w:firstLine="480"/>
      </w:pPr>
      <w:r>
        <w:rPr/>
        <w:t>四、法律法规规定的其他情形。</w:t>
      </w:r>
    </w:p>
    <w:p>
      <w:pPr>
        <w:pStyle w:val="null3"/>
        <w:outlineLvl w:val="2"/>
      </w:pPr>
      <w:r>
        <w:rPr>
          <w:b/>
          <w:sz w:val="28"/>
        </w:rPr>
        <w:t>6.4评审办法及标准</w:t>
      </w:r>
    </w:p>
    <w:p>
      <w:pPr>
        <w:pStyle w:val="null3"/>
        <w:ind w:firstLine="480"/>
      </w:pPr>
      <w:r>
        <w:rPr/>
        <w:t>一、磋商小组根据磋商文件的要求采用相同的评审程序、评分办法及标准进行评价和比较。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b/>
          <w:sz w:val="24"/>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b/>
          <w:sz w:val="24"/>
        </w:rPr>
        <w:t>6.4.2评分标准</w:t>
      </w:r>
    </w:p>
    <w:p>
      <w:pPr>
        <w:pStyle w:val="null3"/>
        <w:ind w:firstLine="480"/>
      </w:pPr>
      <w:r>
        <w:rPr/>
        <w:t>一、本次综合评分的因素详见综合评分明细表。</w:t>
      </w:r>
    </w:p>
    <w:p>
      <w:pPr>
        <w:pStyle w:val="null3"/>
        <w:ind w:firstLine="480"/>
      </w:pPr>
      <w:r>
        <w:rPr/>
        <w:t>二、综合评分明细表</w:t>
      </w:r>
    </w:p>
    <w:p>
      <w:pPr>
        <w:pStyle w:val="null3"/>
        <w:ind w:firstLine="480"/>
      </w:pPr>
      <w:r>
        <w:rPr/>
        <w:t>（一）综合评分明细表的制定以科学合理、降低磋商小组自由裁量权为原则。</w:t>
      </w:r>
    </w:p>
    <w:p>
      <w:pPr>
        <w:pStyle w:val="null3"/>
        <w:ind w:firstLine="480"/>
      </w:pPr>
      <w:r>
        <w:rPr/>
        <w:t>（二）综合评分明细表中的报价应先按供应商须知附表中的相关要求进行价格调整，再进行报价评分。</w:t>
      </w:r>
    </w:p>
    <w:p>
      <w:pPr>
        <w:pStyle w:val="null3"/>
        <w:ind w:firstLine="480"/>
      </w:pPr>
      <w:r>
        <w:rPr/>
        <w:t>（三）综合评分明细表：</w:t>
      </w:r>
    </w:p>
    <w:p>
      <w:pPr>
        <w:pStyle w:val="null3"/>
        <w:ind w:firstLine="480"/>
      </w:pPr>
      <w:r>
        <w:rPr/>
        <w:t xml:space="preserve"> （说明：采购人根据项目实际需要设置评审因素和标准，评审标准中的分值设置应当与评审因素的量化指标相对应。）</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详细评审70.00分</w:t>
            </w:r>
          </w:p>
          <w:p>
            <w:pPr>
              <w:pStyle w:val="null3"/>
            </w:pPr>
            <w:r>
              <w:rPr/>
              <w:t>报价得分30.00分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总体项目管理方案</w:t>
            </w:r>
          </w:p>
        </w:tc>
        <w:tc>
          <w:tcPr>
            <w:tcW w:type="dxa" w:w="2492"/>
          </w:tcPr>
          <w:p>
            <w:pPr>
              <w:pStyle w:val="null3"/>
            </w:pPr>
            <w:r>
              <w:rPr/>
              <w:t>1.能充分把握项目需求和背景，对项目重点、难点分析清晰，根据响应程度计[2-0）分；未提供不得分。 2.项目管理机构构成清晰，链条完整你，部门设置合理，责任分工明确，管理措施具体，根据响应程度计[2-0）分；未提供不得分。 3.总承包成本管控工作思路清晰，措施具体，内容详细，能有效的控制成本降低风险，根据响应程度计[3-0）分；未提供不得分。</w:t>
            </w:r>
          </w:p>
        </w:tc>
        <w:tc>
          <w:tcPr>
            <w:tcW w:type="dxa" w:w="831"/>
          </w:tcPr>
          <w:p>
            <w:pPr>
              <w:pStyle w:val="null3"/>
              <w:jc w:val="right"/>
            </w:pPr>
            <w:r>
              <w:rPr/>
              <w:t>7.00</w:t>
            </w:r>
          </w:p>
        </w:tc>
        <w:tc>
          <w:tcPr>
            <w:tcW w:type="dxa" w:w="831"/>
          </w:tcPr>
          <w:p>
            <w:pPr>
              <w:pStyle w:val="null3"/>
            </w:pPr>
            <w:r>
              <w:rPr/>
              <w:t>主观</w:t>
            </w:r>
          </w:p>
        </w:tc>
        <w:tc>
          <w:tcPr>
            <w:tcW w:type="dxa" w:w="1661"/>
          </w:tcPr>
          <w:p>
            <w:pPr>
              <w:pStyle w:val="null3"/>
            </w:pPr>
            <w:r>
              <w:rPr/>
              <w:t>总体项目管理方案</w:t>
            </w:r>
          </w:p>
        </w:tc>
      </w:tr>
      <w:tr>
        <w:tc>
          <w:tcPr>
            <w:tcW w:type="dxa" w:w="831"/>
            <w:vMerge/>
          </w:tcPr>
          <w:p/>
        </w:tc>
        <w:tc>
          <w:tcPr>
            <w:tcW w:type="dxa" w:w="1661"/>
          </w:tcPr>
          <w:p>
            <w:pPr>
              <w:pStyle w:val="null3"/>
            </w:pPr>
            <w:r>
              <w:rPr/>
              <w:t>方案设计</w:t>
            </w:r>
          </w:p>
        </w:tc>
        <w:tc>
          <w:tcPr>
            <w:tcW w:type="dxa" w:w="2492"/>
          </w:tcPr>
          <w:p>
            <w:pPr>
              <w:pStyle w:val="null3"/>
            </w:pPr>
            <w:r>
              <w:rPr/>
              <w:t>1.能充分把握项目需求和背景，充分理解设计任务书，对设计重点、难点分析清晰，根据响应程度计[2-0）分，未提供不得分。 2.设计思路清晰、新颖，能较好的展现和突出项目特点和需求，针对性强，根据响应程度计[2-0）分，未提供不得分。 3.设计文件完整，深度符合国家标准，内容详细，能提供系统的平面图、效果图、动线图等，根据响应程度计[3-0）分，未提供不得分。 4.展厅分区合理、动线布置流畅，展陈布置新颖，根据响应程度计[3-0）分，不合理或未提供的不得分。 5.展厅灯光效果满足展览需要，能突出展品或展览内容，视觉效果强，根据响应程度计[3-0）分，差或未提供不得分。 6.展厅整体风格简洁、美观、大方，环境舒适，色彩协调，根据响应程度计[3-0）分，差或未提供不得分。 7.多媒体及声光电呈现形式新颖，形式多样，能突出项目展品展件特点，根据响应程度计[3-0）分，差或未提供不得分。 8.对工程费用的控制措施具体、有效，能有效的控制工程造价，根据响应程度计[2-0）分，差或未提供不得分。 9.施工图设计执行标准和规范明确，质量控制措施具体、进度计划衔接连贯，能有效的保证工期，根据响应程度计[2-0）分；差或未提供不得分。</w:t>
            </w:r>
          </w:p>
        </w:tc>
        <w:tc>
          <w:tcPr>
            <w:tcW w:type="dxa" w:w="831"/>
          </w:tcPr>
          <w:p>
            <w:pPr>
              <w:pStyle w:val="null3"/>
              <w:jc w:val="right"/>
            </w:pPr>
            <w:r>
              <w:rPr/>
              <w:t>23.00</w:t>
            </w:r>
          </w:p>
        </w:tc>
        <w:tc>
          <w:tcPr>
            <w:tcW w:type="dxa" w:w="831"/>
          </w:tcPr>
          <w:p>
            <w:pPr>
              <w:pStyle w:val="null3"/>
            </w:pPr>
            <w:r>
              <w:rPr/>
              <w:t>主观</w:t>
            </w:r>
          </w:p>
        </w:tc>
        <w:tc>
          <w:tcPr>
            <w:tcW w:type="dxa" w:w="1661"/>
          </w:tcPr>
          <w:p>
            <w:pPr>
              <w:pStyle w:val="null3"/>
            </w:pPr>
            <w:r>
              <w:rPr/>
              <w:t>方案设计</w:t>
            </w:r>
          </w:p>
        </w:tc>
      </w:tr>
      <w:tr>
        <w:tc>
          <w:tcPr>
            <w:tcW w:type="dxa" w:w="831"/>
            <w:vMerge/>
          </w:tcPr>
          <w:p/>
        </w:tc>
        <w:tc>
          <w:tcPr>
            <w:tcW w:type="dxa" w:w="1661"/>
          </w:tcPr>
          <w:p>
            <w:pPr>
              <w:pStyle w:val="null3"/>
            </w:pPr>
            <w:r>
              <w:rPr/>
              <w:t>施工方案</w:t>
            </w:r>
          </w:p>
        </w:tc>
        <w:tc>
          <w:tcPr>
            <w:tcW w:type="dxa" w:w="2492"/>
          </w:tcPr>
          <w:p>
            <w:pPr>
              <w:pStyle w:val="null3"/>
            </w:pPr>
            <w:r>
              <w:rPr/>
              <w:t>1.保证工程质量的技术措施：保证工程质量的技术措施详细、完整、可行，根据响应程度计[3-0）分，差或未提供不得分。 2.工程质量的安全生产组织措施：安全生产的技术组织措施详细、明确、可行；根据响应程度计[3-0）分，差或未提供不得分。 3.施工组织方案：施工组织方案详细、各部分措施具体，与应设计方案文化，根据响应程度计[3-0）分，差或未提供不得分。 4.安全文明施工措施：安全文明施工措施及环境保护措施完整、详细、可行，根据响应程度计[2-0）分，差或未提供不得分。 5.拟派施工项目部：施工项目部组织架构清晰，责任清晰，专业作业队配置齐全、详细，根据响应程度计[2-0）分；差或未提供不得分。 6.施工机械设备配备计划：主要机械设备配备齐全、合理，根据响应程度计[2-0）分；差或未提供不得分。 7.劳动力安排计划：劳动力安排详细、合理，根据响应程度计[2-0）分；差或未提供不得分。 8.工程进度计划及措施：工期满足采购要求，提供工程进度表或施工网络图以及详细的措施，工期控制连贯、清晰、合理、规范，根据响应程度计[3-0）分；差或未提供不得分。</w:t>
            </w:r>
          </w:p>
        </w:tc>
        <w:tc>
          <w:tcPr>
            <w:tcW w:type="dxa" w:w="831"/>
          </w:tcPr>
          <w:p>
            <w:pPr>
              <w:pStyle w:val="null3"/>
              <w:jc w:val="right"/>
            </w:pPr>
            <w:r>
              <w:rPr/>
              <w:t>20.00</w:t>
            </w:r>
          </w:p>
        </w:tc>
        <w:tc>
          <w:tcPr>
            <w:tcW w:type="dxa" w:w="831"/>
          </w:tcPr>
          <w:p>
            <w:pPr>
              <w:pStyle w:val="null3"/>
            </w:pPr>
            <w:r>
              <w:rPr/>
              <w:t>主观</w:t>
            </w:r>
          </w:p>
        </w:tc>
        <w:tc>
          <w:tcPr>
            <w:tcW w:type="dxa" w:w="1661"/>
          </w:tcPr>
          <w:p>
            <w:pPr>
              <w:pStyle w:val="null3"/>
            </w:pPr>
            <w:r>
              <w:rPr/>
              <w:t>施工方案</w:t>
            </w:r>
          </w:p>
        </w:tc>
      </w:tr>
      <w:tr>
        <w:tc>
          <w:tcPr>
            <w:tcW w:type="dxa" w:w="831"/>
            <w:vMerge/>
          </w:tcPr>
          <w:p/>
        </w:tc>
        <w:tc>
          <w:tcPr>
            <w:tcW w:type="dxa" w:w="1661"/>
          </w:tcPr>
          <w:p>
            <w:pPr>
              <w:pStyle w:val="null3"/>
            </w:pPr>
            <w:r>
              <w:rPr/>
              <w:t>主要材料选型</w:t>
            </w:r>
          </w:p>
        </w:tc>
        <w:tc>
          <w:tcPr>
            <w:tcW w:type="dxa" w:w="2492"/>
          </w:tcPr>
          <w:p>
            <w:pPr>
              <w:pStyle w:val="null3"/>
            </w:pPr>
            <w:r>
              <w:rPr/>
              <w:t>供应商需按设计方案提供主要材料清单（包括但不限于墙面面材、地面面材、吊顶材料（如有），灯具、线缆、桥架、开关，展柜、展板等） 1.主材清单： ①主材清单品目与设计方案吻合，清单描述完整清晰，根据详细程度计［5-3）分。②主材清单品目与设计方案基本吻合，有相应的清单描述，根据完整程度和详细程度计［3-1）分。③主材清单品目与设计方案偏离较大，计［1-0）分，未提供的得0分。 2.根据供应商针对本项目上述拟采用主要材料（展柜、展板除外）品牌评分。 主要材料为国内市场主流中档及以上品牌产品比例达到： ① 90％以上计5分。 ②［70％-90％）计4分。 ③［50％-70％）计3分。 ④［30％-50％）计2分。 ⑤ 30％以下计1分。 注：①供应商需提供主材品牌的市场的情况说明。②主材品牌档次须全体磋商小组成员一致认定。 3.根据供应商拟采用的展柜、展板样式及材料评分。 ①展柜、展板样式新颖、美观、功能完整、适用性强，适合本项目展品展件的特点，根据响应程度计[3-0）分。注：需提供展柜、展板设计样式（规格尺寸不限）和说明，未提供不得分。 ②展柜展板材料选用合理，适用本项目展品展件，环保、美观、耐用性强，根据响应程度计[2-0）分。注：需提供材料的技术材料和说明，未提供不得分。</w:t>
            </w:r>
          </w:p>
        </w:tc>
        <w:tc>
          <w:tcPr>
            <w:tcW w:type="dxa" w:w="831"/>
          </w:tcPr>
          <w:p>
            <w:pPr>
              <w:pStyle w:val="null3"/>
              <w:jc w:val="right"/>
            </w:pPr>
            <w:r>
              <w:rPr/>
              <w:t>15.00</w:t>
            </w:r>
          </w:p>
        </w:tc>
        <w:tc>
          <w:tcPr>
            <w:tcW w:type="dxa" w:w="831"/>
          </w:tcPr>
          <w:p>
            <w:pPr>
              <w:pStyle w:val="null3"/>
            </w:pPr>
            <w:r>
              <w:rPr/>
              <w:t>主观</w:t>
            </w:r>
          </w:p>
        </w:tc>
        <w:tc>
          <w:tcPr>
            <w:tcW w:type="dxa" w:w="1661"/>
          </w:tcPr>
          <w:p>
            <w:pPr>
              <w:pStyle w:val="null3"/>
            </w:pPr>
            <w:r>
              <w:rPr/>
              <w:t>主要材料选型</w:t>
            </w:r>
          </w:p>
        </w:tc>
      </w:tr>
      <w:tr>
        <w:tc>
          <w:tcPr>
            <w:tcW w:type="dxa" w:w="831"/>
            <w:vMerge/>
          </w:tcPr>
          <w:p/>
        </w:tc>
        <w:tc>
          <w:tcPr>
            <w:tcW w:type="dxa" w:w="1661"/>
          </w:tcPr>
          <w:p>
            <w:pPr>
              <w:pStyle w:val="null3"/>
            </w:pPr>
            <w:r>
              <w:rPr/>
              <w:t>供应商业绩</w:t>
            </w:r>
          </w:p>
        </w:tc>
        <w:tc>
          <w:tcPr>
            <w:tcW w:type="dxa" w:w="2492"/>
          </w:tcPr>
          <w:p>
            <w:pPr>
              <w:pStyle w:val="null3"/>
            </w:pPr>
            <w:r>
              <w:rPr/>
              <w:t>每提供1份供应商2020年1月1日至今类似工程业绩（展馆展厅设计施工总承包类）计1分，最多5分。 注：①时间以合同签订时间为准。②提供合同复印件，至少包括封面、内容页、盖章页。</w:t>
            </w:r>
          </w:p>
        </w:tc>
        <w:tc>
          <w:tcPr>
            <w:tcW w:type="dxa" w:w="831"/>
          </w:tcPr>
          <w:p>
            <w:pPr>
              <w:pStyle w:val="null3"/>
              <w:jc w:val="right"/>
            </w:pPr>
            <w:r>
              <w:rPr/>
              <w:t>5.00</w:t>
            </w:r>
          </w:p>
        </w:tc>
        <w:tc>
          <w:tcPr>
            <w:tcW w:type="dxa" w:w="831"/>
          </w:tcPr>
          <w:p>
            <w:pPr>
              <w:pStyle w:val="null3"/>
            </w:pPr>
            <w:r>
              <w:rPr/>
              <w:t>客观</w:t>
            </w:r>
          </w:p>
        </w:tc>
        <w:tc>
          <w:tcPr>
            <w:tcW w:type="dxa" w:w="1661"/>
          </w:tcPr>
          <w:p>
            <w:pPr>
              <w:pStyle w:val="null3"/>
            </w:pPr>
            <w:r>
              <w:rPr/>
              <w:t>业绩表</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价格分采用低价优先法，即实质性满足磋商文件要求且最终磋商报价最低的为磋商基准价，其价格分为满分30分。其他供应商的价格分按照下列公式计算：磋商报价得分=(磋商基准价/磋商报价)×30。计算分数时四舍五入取小数点后两位。</w:t>
            </w:r>
          </w:p>
        </w:tc>
        <w:tc>
          <w:tcPr>
            <w:tcW w:type="dxa" w:w="831"/>
          </w:tcPr>
          <w:p>
            <w:pPr>
              <w:pStyle w:val="null3"/>
              <w:jc w:val="right"/>
            </w:pPr>
            <w:r>
              <w:rPr/>
              <w:t>30.00</w:t>
            </w:r>
          </w:p>
        </w:tc>
        <w:tc>
          <w:tcPr>
            <w:tcW w:type="dxa" w:w="831"/>
          </w:tcPr>
          <w:p>
            <w:pPr>
              <w:pStyle w:val="null3"/>
            </w:pPr>
            <w:r>
              <w:rPr/>
              <w:t>客观</w:t>
            </w:r>
          </w:p>
        </w:tc>
        <w:tc>
          <w:tcPr>
            <w:tcW w:type="dxa" w:w="1661"/>
          </w:tcPr>
          <w:p>
            <w:pPr>
              <w:pStyle w:val="null3"/>
            </w:pPr>
            <w:r>
              <w:rPr/>
              <w:t>报价函</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outlineLvl w:val="2"/>
      </w:pPr>
      <w:r>
        <w:rPr>
          <w:b/>
          <w:sz w:val="28"/>
        </w:rPr>
        <w:t>6.5确定成交供应商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b/>
          <w:sz w:val="28"/>
        </w:rPr>
        <w:t>6.6评审专家在政府采购活动中承担以下义务</w:t>
      </w:r>
    </w:p>
    <w:p>
      <w:pPr>
        <w:pStyle w:val="null3"/>
        <w:ind w:firstLine="480"/>
      </w:pPr>
      <w:r>
        <w:rPr/>
        <w:t>（一）遵守评审工作纪律；</w:t>
      </w:r>
    </w:p>
    <w:p>
      <w:pPr>
        <w:pStyle w:val="null3"/>
        <w:ind w:firstLine="480"/>
      </w:pPr>
      <w:r>
        <w:rPr/>
        <w:t xml:space="preserve"> （二）按照客观、公正、审慎的原则，根据采购文件规定的评审程序、评审方法和评审标准进行独立评审；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b/>
          <w:sz w:val="28"/>
        </w:rPr>
        <w:t xml:space="preserve"> 6.7评审专家在政府采购活动中应当遵守以下工作纪律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 xml:space="preserve"> （二）评审前，应当将通讯工具或者相关电子设备交由采购组织单位统一保管。</w:t>
      </w:r>
    </w:p>
    <w:p>
      <w:pPr>
        <w:pStyle w:val="null3"/>
        <w:ind w:firstLine="480"/>
      </w:pPr>
      <w:r>
        <w:rPr/>
        <w:t xml:space="preserve"> （三）评审过程中，不得与外界联系，因发生不可预见情况，确实需要与外界联系的， 应当在监督人员监督之下办理。</w:t>
      </w:r>
    </w:p>
    <w:p>
      <w:pPr>
        <w:pStyle w:val="null3"/>
        <w:ind w:firstLine="480"/>
      </w:pPr>
      <w:r>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 xml:space="preserve"> （六）服从评审现场采购组织单位的现场秩序管理，接受评审现场监督人员的合法监督。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r>
    </w:p>
    <w:p>
      <w:pPr>
        <w:pStyle w:val="null3"/>
        <w:jc w:val="center"/>
        <w:outlineLvl w:val="1"/>
      </w:pPr>
      <w:r>
        <w:rPr>
          <w:b/>
          <w:sz w:val="36"/>
        </w:rPr>
        <w:t>第七章 响应文件格式</w:t>
      </w:r>
    </w:p>
    <w:p>
      <w:pPr>
        <w:pStyle w:val="null3"/>
        <w:ind w:firstLine="480"/>
      </w:pPr>
      <w:r>
        <w:rPr/>
        <w:t>一、本章所制响应文件格式，除格式中明确将该格式作为实质性要求的，不具有强制性。</w:t>
      </w:r>
    </w:p>
    <w:p>
      <w:pPr>
        <w:pStyle w:val="null3"/>
        <w:ind w:firstLine="480"/>
      </w:pPr>
      <w:r>
        <w:rPr/>
        <w:t>二、本章所制响应文件格式有关表格中的备注栏，由供应商根据自身响应情况作解释性说明，不作为必填项。</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详见附件：报价函</w:t>
      </w:r>
    </w:p>
    <w:p>
      <w:pPr>
        <w:pStyle w:val="null3"/>
        <w:ind w:firstLine="960"/>
      </w:pPr>
      <w:r>
        <w:rPr/>
        <w:t>详见附件：标的清单</w:t>
      </w:r>
    </w:p>
    <w:p>
      <w:pPr>
        <w:pStyle w:val="null3"/>
        <w:ind w:firstLine="960"/>
      </w:pPr>
      <w:r>
        <w:rPr/>
        <w:t>详见附件：营业执照</w:t>
      </w:r>
    </w:p>
    <w:p>
      <w:pPr>
        <w:pStyle w:val="null3"/>
        <w:ind w:firstLine="960"/>
      </w:pPr>
      <w:r>
        <w:rPr/>
        <w:t>详见附件：财务状况证明</w:t>
      </w:r>
    </w:p>
    <w:p>
      <w:pPr>
        <w:pStyle w:val="null3"/>
        <w:ind w:firstLine="960"/>
      </w:pPr>
      <w:r>
        <w:rPr/>
        <w:t>详见附件：法定代表人证明书法定代表人授权委托书</w:t>
      </w:r>
    </w:p>
    <w:p>
      <w:pPr>
        <w:pStyle w:val="null3"/>
        <w:ind w:firstLine="960"/>
      </w:pPr>
      <w:r>
        <w:rPr/>
        <w:t>详见附件：供应商信用书面声明函</w:t>
      </w:r>
    </w:p>
    <w:p>
      <w:pPr>
        <w:pStyle w:val="null3"/>
        <w:ind w:firstLine="960"/>
      </w:pPr>
      <w:r>
        <w:rPr/>
        <w:t>详见附件：联合体声明</w:t>
      </w:r>
    </w:p>
    <w:p>
      <w:pPr>
        <w:pStyle w:val="null3"/>
        <w:ind w:firstLine="960"/>
      </w:pPr>
      <w:r>
        <w:rPr/>
        <w:t>详见附件：履约承诺书</w:t>
      </w:r>
    </w:p>
    <w:p>
      <w:pPr>
        <w:pStyle w:val="null3"/>
        <w:ind w:firstLine="960"/>
      </w:pPr>
      <w:r>
        <w:rPr/>
        <w:t>详见附件：履约能力声明</w:t>
      </w:r>
    </w:p>
    <w:p>
      <w:pPr>
        <w:pStyle w:val="null3"/>
        <w:ind w:firstLine="960"/>
      </w:pPr>
      <w:r>
        <w:rPr/>
        <w:t>详见附件：纳税证明</w:t>
      </w:r>
    </w:p>
    <w:p>
      <w:pPr>
        <w:pStyle w:val="null3"/>
        <w:ind w:firstLine="960"/>
      </w:pPr>
      <w:r>
        <w:rPr/>
        <w:t>详见附件：企业资质证书</w:t>
      </w:r>
    </w:p>
    <w:p>
      <w:pPr>
        <w:pStyle w:val="null3"/>
        <w:ind w:firstLine="960"/>
      </w:pPr>
      <w:r>
        <w:rPr/>
        <w:t>详见附件：社保缴纳证明</w:t>
      </w:r>
    </w:p>
    <w:p>
      <w:pPr>
        <w:pStyle w:val="null3"/>
        <w:ind w:firstLine="960"/>
      </w:pPr>
      <w:r>
        <w:rPr/>
        <w:t>详见附件：项目经理资料</w:t>
      </w:r>
    </w:p>
    <w:p>
      <w:pPr>
        <w:pStyle w:val="null3"/>
        <w:ind w:firstLine="960"/>
      </w:pPr>
      <w:r>
        <w:rPr/>
        <w:t>详见附件：方案设计</w:t>
      </w:r>
    </w:p>
    <w:p>
      <w:pPr>
        <w:pStyle w:val="null3"/>
        <w:ind w:firstLine="960"/>
      </w:pPr>
      <w:r>
        <w:rPr/>
        <w:t>详见附件：分项报价表</w:t>
      </w:r>
    </w:p>
    <w:p>
      <w:pPr>
        <w:pStyle w:val="null3"/>
        <w:ind w:firstLine="960"/>
      </w:pPr>
      <w:r>
        <w:rPr/>
        <w:t>详见附件：建筑安装工程费分项报价表</w:t>
      </w:r>
    </w:p>
    <w:p>
      <w:pPr>
        <w:pStyle w:val="null3"/>
        <w:ind w:firstLine="960"/>
      </w:pPr>
      <w:r>
        <w:rPr/>
        <w:t>详见附件：施工方案</w:t>
      </w:r>
    </w:p>
    <w:p>
      <w:pPr>
        <w:pStyle w:val="null3"/>
        <w:ind w:firstLine="960"/>
      </w:pPr>
      <w:r>
        <w:rPr/>
        <w:t>详见附件：业绩表</w:t>
      </w:r>
    </w:p>
    <w:p>
      <w:pPr>
        <w:pStyle w:val="null3"/>
        <w:ind w:firstLine="960"/>
      </w:pPr>
      <w:r>
        <w:rPr/>
        <w:t>详见附件：主要材料选型</w:t>
      </w:r>
    </w:p>
    <w:p>
      <w:pPr>
        <w:pStyle w:val="null3"/>
        <w:ind w:firstLine="960"/>
      </w:pPr>
      <w:r>
        <w:rPr/>
        <w:t>详见附件：总体项目管理方案</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详见附件：主要商务条款响应偏离表</w:t>
      </w:r>
    </w:p>
    <w:p>
      <w:pPr>
        <w:pStyle w:val="null3"/>
      </w:pPr>
      <w:r>
        <w:rPr/>
        <w:t xml:space="preserve"> </w:t>
      </w:r>
    </w:p>
    <w:p>
      <w:pPr>
        <w:pStyle w:val="null3"/>
        <w:jc w:val="center"/>
        <w:outlineLvl w:val="1"/>
      </w:pPr>
      <w:r>
        <w:rPr>
          <w:b/>
          <w:sz w:val="36"/>
        </w:rPr>
        <w:t>第八章 拟签订采购合同文本</w:t>
      </w:r>
    </w:p>
    <w:p>
      <w:pPr>
        <w:pStyle w:val="null3"/>
      </w:pPr>
      <w:r>
        <w:rPr/>
        <w:t>详见附件：合同模板2.26.docx</w:t>
      </w:r>
    </w:p>
    <w:p>
      <w:pPr>
        <w:pStyle w:val="null3"/>
      </w:pPr>
      <w:r>
        <w:rPr/>
        <w:t xml:space="preserve"> </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