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2"/>
        <w:rPr>
          <w:rFonts w:hint="eastAsia" w:ascii="Calibri" w:hAnsi="Calibri" w:eastAsia="宋体" w:cs="Times New Roman"/>
          <w:lang w:val="en-US" w:eastAsia="zh-Hans"/>
        </w:rPr>
      </w:pPr>
      <w:r>
        <w:rPr>
          <w:rFonts w:hint="eastAsia" w:ascii="Calibri" w:hAnsi="Calibri" w:eastAsia="宋体" w:cs="Times New Roman"/>
          <w:b/>
          <w:sz w:val="28"/>
          <w:lang w:val="en-US" w:eastAsia="zh-Hans"/>
        </w:rPr>
        <w:t>3.1技术、服务标准和要求</w:t>
      </w:r>
    </w:p>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采购包1：</w:t>
      </w:r>
    </w:p>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采购包预算金额（元）: 1,650,000.00</w:t>
      </w:r>
    </w:p>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采购包最高限价（元）: 1,650,000.00</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6"/>
        <w:gridCol w:w="1366"/>
        <w:gridCol w:w="1371"/>
        <w:gridCol w:w="1686"/>
        <w:gridCol w:w="1366"/>
        <w:gridCol w:w="1367"/>
      </w:tblGrid>
      <w:tr>
        <w:tc>
          <w:tcPr>
            <w:tcW w:w="1384"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序号</w:t>
            </w:r>
          </w:p>
        </w:tc>
        <w:tc>
          <w:tcPr>
            <w:tcW w:w="1384"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标的名称</w:t>
            </w:r>
          </w:p>
        </w:tc>
        <w:tc>
          <w:tcPr>
            <w:tcW w:w="1384"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数量</w:t>
            </w:r>
          </w:p>
        </w:tc>
        <w:tc>
          <w:tcPr>
            <w:tcW w:w="1384"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标的金额 （元）</w:t>
            </w:r>
          </w:p>
        </w:tc>
        <w:tc>
          <w:tcPr>
            <w:tcW w:w="1384"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计量单位</w:t>
            </w:r>
          </w:p>
        </w:tc>
        <w:tc>
          <w:tcPr>
            <w:tcW w:w="1384"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所属行业</w:t>
            </w:r>
          </w:p>
        </w:tc>
      </w:tr>
      <w:tr>
        <w:tc>
          <w:tcPr>
            <w:tcW w:w="1384"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1</w:t>
            </w:r>
          </w:p>
        </w:tc>
        <w:tc>
          <w:tcPr>
            <w:tcW w:w="1384"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丝绸之路考古展建设工程项目</w:t>
            </w:r>
          </w:p>
        </w:tc>
        <w:tc>
          <w:tcPr>
            <w:tcW w:w="1384" w:type="dxa"/>
          </w:tcPr>
          <w:p>
            <w:pPr>
              <w:jc w:val="right"/>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1.00</w:t>
            </w:r>
          </w:p>
        </w:tc>
        <w:tc>
          <w:tcPr>
            <w:tcW w:w="1384" w:type="dxa"/>
          </w:tcPr>
          <w:p>
            <w:pPr>
              <w:jc w:val="right"/>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1,650,000.00</w:t>
            </w:r>
          </w:p>
        </w:tc>
        <w:tc>
          <w:tcPr>
            <w:tcW w:w="1384"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项</w:t>
            </w:r>
          </w:p>
        </w:tc>
        <w:tc>
          <w:tcPr>
            <w:tcW w:w="1384"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建筑业</w:t>
            </w:r>
          </w:p>
        </w:tc>
      </w:tr>
    </w:tbl>
    <w:p>
      <w:pPr>
        <w:ind w:firstLine="480"/>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一、技术、服务标准和要求：</w:t>
      </w:r>
    </w:p>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采购包1：</w:t>
      </w:r>
    </w:p>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供应商报价不允许超过标的金额</w:t>
      </w:r>
    </w:p>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（招单价的）供应商报价不允许超过标的单价</w:t>
      </w:r>
    </w:p>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标的名称：丝绸之路考古展建设工程项目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c>
          <w:tcPr>
            <w:tcW w:w="2769"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 xml:space="preserve"> 参数性质</w:t>
            </w:r>
          </w:p>
        </w:tc>
        <w:tc>
          <w:tcPr>
            <w:tcW w:w="2769"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 xml:space="preserve"> 序号</w:t>
            </w:r>
          </w:p>
        </w:tc>
        <w:tc>
          <w:tcPr>
            <w:tcW w:w="2769"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 xml:space="preserve"> 技术参数与性能指标</w:t>
            </w:r>
          </w:p>
        </w:tc>
      </w:tr>
      <w:tr>
        <w:tc>
          <w:tcPr>
            <w:tcW w:w="2769" w:type="dxa"/>
          </w:tcPr>
          <w:p>
            <w:pPr>
              <w:rPr>
                <w:rFonts w:hint="eastAsia" w:asciiTheme="minorEastAsia" w:hAnsiTheme="minorEastAsia" w:eastAsiaTheme="minorEastAsia" w:cstheme="minorEastAsia"/>
                <w:snapToGrid/>
                <w:kern w:val="2"/>
                <w:sz w:val="28"/>
                <w:szCs w:val="28"/>
              </w:rPr>
            </w:pPr>
          </w:p>
        </w:tc>
        <w:tc>
          <w:tcPr>
            <w:tcW w:w="2769"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1</w:t>
            </w:r>
          </w:p>
        </w:tc>
        <w:tc>
          <w:tcPr>
            <w:tcW w:w="2769" w:type="dxa"/>
          </w:tcPr>
          <w:p>
            <w:pPr>
              <w:jc w:val="both"/>
              <w:rPr>
                <w:rFonts w:hint="eastAsia" w:ascii="Calibri" w:hAnsi="Calibri" w:eastAsia="宋体" w:cs="Times New Roman"/>
                <w:lang w:val="en-US" w:eastAsia="zh-Hans"/>
              </w:rPr>
            </w:pPr>
            <w:r>
              <w:rPr>
                <w:rFonts w:hint="eastAsia" w:ascii="宋体" w:hAnsi="宋体" w:eastAsia="宋体" w:cs="宋体"/>
                <w:color w:val="0070C0"/>
                <w:sz w:val="24"/>
                <w:lang w:val="en-US" w:eastAsia="zh-Hans"/>
              </w:rPr>
              <w:t>需实现的功能或者目标：</w:t>
            </w:r>
          </w:p>
          <w:p>
            <w:pPr>
              <w:jc w:val="both"/>
              <w:rPr>
                <w:rFonts w:hint="eastAsia" w:ascii="Calibri" w:hAnsi="Calibri" w:eastAsia="宋体" w:cs="Times New Roman"/>
                <w:lang w:val="en-US" w:eastAsia="zh-Hans"/>
              </w:rPr>
            </w:pPr>
            <w:r>
              <w:rPr>
                <w:rFonts w:hint="eastAsia" w:ascii="宋体" w:hAnsi="宋体" w:eastAsia="宋体" w:cs="宋体"/>
                <w:color w:val="0070C0"/>
                <w:sz w:val="24"/>
                <w:lang w:val="en-US" w:eastAsia="zh-Hans"/>
              </w:rPr>
              <w:t>拟通过图文、实物和视频展示相结合等方式，以固定展馆展陈的方式展示教育系统、陕西省和西北大学贯彻落实总书记鼓励问候的成果，展现西北大学数代师生丝绸之路考古和在中亚国家的其他考古成果，以及在遗产保护、人才培养等方面的工作成果。展厅设计、施工方案要求整体布局合理，风格简洁、美观、大方。</w:t>
            </w:r>
          </w:p>
        </w:tc>
      </w:tr>
      <w:tr>
        <w:tc>
          <w:tcPr>
            <w:tcW w:w="2769" w:type="dxa"/>
          </w:tcPr>
          <w:p>
            <w:pPr>
              <w:rPr>
                <w:rFonts w:hint="eastAsia" w:asciiTheme="minorEastAsia" w:hAnsiTheme="minorEastAsia" w:eastAsiaTheme="minorEastAsia" w:cstheme="minorEastAsia"/>
                <w:snapToGrid/>
                <w:kern w:val="2"/>
                <w:sz w:val="28"/>
                <w:szCs w:val="28"/>
              </w:rPr>
            </w:pPr>
          </w:p>
        </w:tc>
        <w:tc>
          <w:tcPr>
            <w:tcW w:w="2769"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2</w:t>
            </w:r>
            <w:bookmarkStart w:id="0" w:name="_GoBack"/>
            <w:bookmarkEnd w:id="0"/>
          </w:p>
        </w:tc>
        <w:tc>
          <w:tcPr>
            <w:tcW w:w="2769" w:type="dxa"/>
          </w:tcPr>
          <w:p>
            <w:pPr>
              <w:jc w:val="both"/>
              <w:rPr>
                <w:rFonts w:hint="eastAsia" w:ascii="Calibri" w:hAnsi="Calibri" w:eastAsia="宋体" w:cs="Times New Roman"/>
                <w:lang w:val="en-US" w:eastAsia="zh-Hans"/>
              </w:rPr>
            </w:pPr>
            <w:r>
              <w:rPr>
                <w:rFonts w:hint="eastAsia" w:ascii="宋体" w:hAnsi="宋体" w:eastAsia="宋体" w:cs="宋体"/>
                <w:color w:val="0070C0"/>
                <w:sz w:val="24"/>
                <w:lang w:val="en-US" w:eastAsia="zh-Hans"/>
              </w:rPr>
              <w:t>设计部分：</w:t>
            </w:r>
          </w:p>
          <w:p>
            <w:pPr>
              <w:jc w:val="both"/>
              <w:rPr>
                <w:rFonts w:hint="eastAsia" w:ascii="Calibri" w:hAnsi="Calibri" w:eastAsia="宋体" w:cs="Times New Roman"/>
                <w:lang w:val="en-US" w:eastAsia="zh-Hans"/>
              </w:rPr>
            </w:pPr>
            <w:r>
              <w:rPr>
                <w:rFonts w:hint="eastAsia" w:ascii="宋体" w:hAnsi="宋体" w:eastAsia="宋体" w:cs="宋体"/>
                <w:color w:val="0070C0"/>
                <w:sz w:val="24"/>
                <w:lang w:val="en-US" w:eastAsia="zh-Hans"/>
              </w:rPr>
              <w:t>设计费最高限价：</w:t>
            </w:r>
            <w:r>
              <w:rPr>
                <w:rFonts w:hint="eastAsia" w:ascii="Calibri" w:hAnsi="Calibri" w:eastAsia="Calibri" w:cs="Calibri"/>
                <w:color w:val="0070C0"/>
                <w:sz w:val="24"/>
                <w:lang w:val="en-US" w:eastAsia="zh-Hans"/>
              </w:rPr>
              <w:t>10</w:t>
            </w:r>
            <w:r>
              <w:rPr>
                <w:rFonts w:hint="eastAsia" w:ascii="宋体" w:hAnsi="宋体" w:eastAsia="宋体" w:cs="宋体"/>
                <w:color w:val="0070C0"/>
                <w:sz w:val="24"/>
                <w:lang w:val="en-US" w:eastAsia="zh-Hans"/>
              </w:rPr>
              <w:t>万元。</w:t>
            </w:r>
          </w:p>
          <w:p>
            <w:pPr>
              <w:jc w:val="both"/>
              <w:rPr>
                <w:rFonts w:hint="eastAsia" w:ascii="Calibri" w:hAnsi="Calibri" w:eastAsia="宋体" w:cs="Times New Roman"/>
                <w:lang w:val="en-US" w:eastAsia="zh-Hans"/>
              </w:rPr>
            </w:pPr>
            <w:r>
              <w:rPr>
                <w:rFonts w:hint="eastAsia" w:ascii="宋体" w:hAnsi="宋体" w:eastAsia="宋体" w:cs="宋体"/>
                <w:color w:val="0070C0"/>
                <w:sz w:val="24"/>
                <w:lang w:val="en-US" w:eastAsia="zh-Hans"/>
              </w:rPr>
              <w:t>设计内容及成果：在现博物馆二楼临展厅基础上进行改造设计丝绸之路考古成果展，展厅面积约</w:t>
            </w:r>
            <w:r>
              <w:rPr>
                <w:rFonts w:hint="eastAsia" w:ascii="Calibri" w:hAnsi="Calibri" w:eastAsia="Calibri" w:cs="Calibri"/>
                <w:color w:val="0070C0"/>
                <w:sz w:val="24"/>
                <w:lang w:val="en-US" w:eastAsia="zh-Hans"/>
              </w:rPr>
              <w:t>600m</w:t>
            </w:r>
            <w:r>
              <w:rPr>
                <w:rFonts w:hint="eastAsia" w:ascii="宋体" w:hAnsi="宋体" w:eastAsia="宋体" w:cs="宋体"/>
                <w:color w:val="0070C0"/>
                <w:sz w:val="24"/>
                <w:lang w:val="en-US" w:eastAsia="zh-Hans"/>
              </w:rPr>
              <w:t>²。设计环节须包含：布展设计、展陈重点及亮点内容包括：方案创意、平面图、流线图、效果图、多媒体及声光电呈现形式；设计图纸、设计说明、使用材质、施工图、施工图预算后续修改更新服务等内容，体现墙体立面、地面、展柜、多媒体等造型设计。</w:t>
            </w:r>
          </w:p>
          <w:p>
            <w:pPr>
              <w:jc w:val="both"/>
              <w:rPr>
                <w:rFonts w:hint="eastAsia" w:ascii="Calibri" w:hAnsi="Calibri" w:eastAsia="宋体" w:cs="Times New Roman"/>
                <w:lang w:val="en-US" w:eastAsia="zh-Hans"/>
              </w:rPr>
            </w:pPr>
            <w:r>
              <w:rPr>
                <w:rFonts w:hint="eastAsia" w:ascii="宋体" w:hAnsi="宋体" w:eastAsia="宋体" w:cs="宋体"/>
                <w:color w:val="0070C0"/>
                <w:sz w:val="24"/>
                <w:lang w:val="en-US" w:eastAsia="zh-Hans"/>
              </w:rPr>
              <w:t>设计方案须根据设计大纲和设计任务书为依据进行设计，设计大纲及设计任务书见附件（设计任务书、《西北大学丝绸之路考古成果》（陈列大纲图文稿））。</w:t>
            </w:r>
          </w:p>
        </w:tc>
      </w:tr>
      <w:tr>
        <w:tc>
          <w:tcPr>
            <w:tcW w:w="2769" w:type="dxa"/>
          </w:tcPr>
          <w:p>
            <w:pPr>
              <w:rPr>
                <w:rFonts w:hint="eastAsia" w:asciiTheme="minorEastAsia" w:hAnsiTheme="minorEastAsia" w:eastAsiaTheme="minorEastAsia" w:cstheme="minorEastAsia"/>
                <w:snapToGrid/>
                <w:kern w:val="2"/>
                <w:sz w:val="28"/>
                <w:szCs w:val="28"/>
              </w:rPr>
            </w:pPr>
          </w:p>
        </w:tc>
        <w:tc>
          <w:tcPr>
            <w:tcW w:w="2769"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3</w:t>
            </w:r>
          </w:p>
        </w:tc>
        <w:tc>
          <w:tcPr>
            <w:tcW w:w="2769" w:type="dxa"/>
          </w:tcPr>
          <w:p>
            <w:pPr>
              <w:jc w:val="both"/>
              <w:rPr>
                <w:rFonts w:hint="eastAsia" w:ascii="Calibri" w:hAnsi="Calibri" w:eastAsia="宋体" w:cs="Times New Roman"/>
                <w:lang w:val="en-US" w:eastAsia="zh-Hans"/>
              </w:rPr>
            </w:pPr>
            <w:r>
              <w:rPr>
                <w:rFonts w:hint="eastAsia" w:ascii="宋体" w:hAnsi="宋体" w:eastAsia="宋体" w:cs="宋体"/>
                <w:color w:val="0070C0"/>
                <w:sz w:val="24"/>
                <w:lang w:val="en-US" w:eastAsia="zh-Hans"/>
              </w:rPr>
              <w:t>装修部分</w:t>
            </w:r>
            <w:r>
              <w:rPr>
                <w:rFonts w:hint="eastAsia" w:ascii="Calibri" w:hAnsi="Calibri" w:eastAsia="Calibri" w:cs="Calibri"/>
                <w:color w:val="0070C0"/>
                <w:sz w:val="24"/>
                <w:lang w:val="en-US" w:eastAsia="zh-Hans"/>
              </w:rPr>
              <w:t>:</w:t>
            </w:r>
          </w:p>
          <w:p>
            <w:pPr>
              <w:jc w:val="both"/>
              <w:rPr>
                <w:rFonts w:hint="eastAsia" w:ascii="Calibri" w:hAnsi="Calibri" w:eastAsia="宋体" w:cs="Times New Roman"/>
                <w:lang w:val="en-US" w:eastAsia="zh-Hans"/>
              </w:rPr>
            </w:pPr>
            <w:r>
              <w:rPr>
                <w:rFonts w:hint="eastAsia" w:ascii="宋体" w:hAnsi="宋体" w:eastAsia="宋体" w:cs="宋体"/>
                <w:color w:val="0070C0"/>
                <w:sz w:val="24"/>
                <w:lang w:val="en-US" w:eastAsia="zh-Hans"/>
              </w:rPr>
              <w:t>建筑安装工程费最高限价：</w:t>
            </w:r>
            <w:r>
              <w:rPr>
                <w:rFonts w:hint="eastAsia" w:ascii="Calibri" w:hAnsi="Calibri" w:eastAsia="Calibri" w:cs="Calibri"/>
                <w:color w:val="0070C0"/>
                <w:sz w:val="24"/>
                <w:lang w:val="en-US" w:eastAsia="zh-Hans"/>
              </w:rPr>
              <w:t>155</w:t>
            </w:r>
            <w:r>
              <w:rPr>
                <w:rFonts w:hint="eastAsia" w:ascii="宋体" w:hAnsi="宋体" w:eastAsia="宋体" w:cs="宋体"/>
                <w:color w:val="0070C0"/>
                <w:sz w:val="24"/>
                <w:lang w:val="en-US" w:eastAsia="zh-Hans"/>
              </w:rPr>
              <w:t>万元。</w:t>
            </w:r>
          </w:p>
          <w:p>
            <w:pPr>
              <w:keepNext w:val="0"/>
              <w:keepLines w:val="0"/>
              <w:widowControl/>
              <w:suppressLineNumbers w:val="0"/>
              <w:jc w:val="left"/>
              <w:rPr>
                <w:rFonts w:hint="eastAsia" w:ascii="Calibri" w:hAnsi="Calibri" w:eastAsia="宋体" w:cs="Times New Roman"/>
                <w:lang w:val="en-US" w:eastAsia="zh-Hans"/>
              </w:rPr>
            </w:pPr>
            <w:r>
              <w:rPr>
                <w:rFonts w:hint="eastAsia" w:ascii="宋体" w:hAnsi="宋体" w:eastAsia="宋体" w:cs="宋体"/>
                <w:color w:val="0070C0"/>
                <w:sz w:val="24"/>
                <w:lang w:val="en-US" w:eastAsia="zh-Hans"/>
              </w:rPr>
              <w:t>施工内容：根据施工方案完成室内精装修，不限于墙面装饰装修、墙面造型、吊顶建设、电工电料、墙面拆除、地面拆除及垃圾清运、展柜购买、展陈布置、设备器材采购等。</w:t>
            </w:r>
            <w:r>
              <w:rPr>
                <w:rFonts w:hint="eastAsia" w:ascii="宋体" w:hAnsi="宋体" w:eastAsia="宋体" w:cs="宋体"/>
                <w:snapToGrid w:val="0"/>
                <w:color w:val="0070C0"/>
                <w:kern w:val="0"/>
                <w:sz w:val="24"/>
                <w:szCs w:val="24"/>
                <w:lang w:val="en-US" w:eastAsia="zh-CN" w:bidi="ar"/>
              </w:rPr>
              <w:t>展厅设计方案中的声光电系统所需的软件及开发费包含在建筑安装工程费中。</w:t>
            </w:r>
          </w:p>
        </w:tc>
      </w:tr>
      <w:tr>
        <w:tc>
          <w:tcPr>
            <w:tcW w:w="2769" w:type="dxa"/>
          </w:tcPr>
          <w:p>
            <w:pPr>
              <w:rPr>
                <w:rFonts w:hint="eastAsia" w:asciiTheme="minorEastAsia" w:hAnsiTheme="minorEastAsia" w:eastAsiaTheme="minorEastAsia" w:cstheme="minorEastAsia"/>
                <w:snapToGrid/>
                <w:kern w:val="2"/>
                <w:sz w:val="28"/>
                <w:szCs w:val="28"/>
              </w:rPr>
            </w:pPr>
          </w:p>
        </w:tc>
        <w:tc>
          <w:tcPr>
            <w:tcW w:w="2769"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4</w:t>
            </w:r>
          </w:p>
        </w:tc>
        <w:tc>
          <w:tcPr>
            <w:tcW w:w="2769" w:type="dxa"/>
          </w:tcPr>
          <w:p>
            <w:pPr>
              <w:jc w:val="both"/>
              <w:rPr>
                <w:rFonts w:hint="eastAsia" w:ascii="Calibri" w:hAnsi="Calibri" w:eastAsia="宋体" w:cs="Times New Roman"/>
                <w:lang w:val="en-US" w:eastAsia="zh-Hans"/>
              </w:rPr>
            </w:pPr>
            <w:r>
              <w:rPr>
                <w:rFonts w:hint="eastAsia" w:ascii="宋体" w:hAnsi="宋体" w:eastAsia="宋体" w:cs="宋体"/>
                <w:color w:val="0070C0"/>
                <w:sz w:val="24"/>
                <w:lang w:val="en-US" w:eastAsia="zh-Hans"/>
              </w:rPr>
              <w:t>实施要求：</w:t>
            </w:r>
          </w:p>
          <w:p>
            <w:pPr>
              <w:jc w:val="both"/>
              <w:rPr>
                <w:rFonts w:hint="eastAsia" w:ascii="Calibri" w:hAnsi="Calibri" w:eastAsia="宋体" w:cs="Times New Roman"/>
                <w:lang w:val="en-US" w:eastAsia="zh-Hans"/>
              </w:rPr>
            </w:pPr>
            <w:r>
              <w:rPr>
                <w:rFonts w:hint="eastAsia" w:ascii="Calibri" w:hAnsi="Calibri" w:eastAsia="Calibri" w:cs="Calibri"/>
                <w:color w:val="0070C0"/>
                <w:sz w:val="24"/>
                <w:lang w:val="en-US" w:eastAsia="zh-Hans"/>
              </w:rPr>
              <w:t>1.</w:t>
            </w:r>
            <w:r>
              <w:rPr>
                <w:rFonts w:hint="eastAsia" w:ascii="宋体" w:hAnsi="宋体" w:eastAsia="宋体" w:cs="宋体"/>
                <w:color w:val="0070C0"/>
                <w:sz w:val="24"/>
                <w:lang w:val="en-US" w:eastAsia="zh-Hans"/>
              </w:rPr>
              <w:t>根据西北大学丝绸之路考古成果展展陈大纲进行展厅设计方案制定；</w:t>
            </w:r>
            <w:r>
              <w:rPr>
                <w:rFonts w:hint="eastAsia" w:ascii="Calibri" w:hAnsi="Calibri" w:eastAsia="Calibri" w:cs="Calibri"/>
                <w:color w:val="0070C0"/>
                <w:sz w:val="24"/>
                <w:lang w:val="en-US" w:eastAsia="zh-Hans"/>
              </w:rPr>
              <w:t>2.</w:t>
            </w:r>
            <w:r>
              <w:rPr>
                <w:rFonts w:hint="eastAsia" w:ascii="宋体" w:hAnsi="宋体" w:eastAsia="宋体" w:cs="宋体"/>
                <w:color w:val="0070C0"/>
                <w:sz w:val="24"/>
                <w:lang w:val="en-US" w:eastAsia="zh-Hans"/>
              </w:rPr>
              <w:t>根据设计方案确定施工工程量清单；</w:t>
            </w:r>
            <w:r>
              <w:rPr>
                <w:rFonts w:hint="eastAsia" w:ascii="Calibri" w:hAnsi="Calibri" w:eastAsia="Calibri" w:cs="Calibri"/>
                <w:color w:val="0070C0"/>
                <w:sz w:val="24"/>
                <w:lang w:val="en-US" w:eastAsia="zh-Hans"/>
              </w:rPr>
              <w:t>3.</w:t>
            </w:r>
            <w:r>
              <w:rPr>
                <w:rFonts w:hint="eastAsia" w:ascii="宋体" w:hAnsi="宋体" w:eastAsia="宋体" w:cs="宋体"/>
                <w:color w:val="0070C0"/>
                <w:sz w:val="24"/>
                <w:lang w:val="en-US" w:eastAsia="zh-Hans"/>
              </w:rPr>
              <w:t>根据工程量清单制定施工方案，具体实施。</w:t>
            </w:r>
            <w:r>
              <w:rPr>
                <w:rFonts w:hint="eastAsia" w:ascii="Calibri" w:hAnsi="Calibri" w:eastAsia="Calibri" w:cs="Calibri"/>
                <w:color w:val="0070C0"/>
                <w:sz w:val="24"/>
                <w:lang w:val="en-US" w:eastAsia="zh-Hans"/>
              </w:rPr>
              <w:t>4.</w:t>
            </w:r>
            <w:r>
              <w:rPr>
                <w:rFonts w:hint="eastAsia" w:ascii="宋体" w:hAnsi="宋体" w:eastAsia="宋体" w:cs="宋体"/>
                <w:color w:val="0070C0"/>
                <w:sz w:val="24"/>
                <w:lang w:val="en-US" w:eastAsia="zh-Hans"/>
              </w:rPr>
              <w:t>本工程的施工过程和成果必须符合国家有关工程建设标准强制性条文和国家或有关部门关于工程施工方面现行的标准、规范、规程、定额、办法、示例，以及陕西省关于工程施工方面的文件、规定。</w:t>
            </w:r>
            <w:r>
              <w:rPr>
                <w:rFonts w:hint="eastAsia" w:ascii="Calibri" w:hAnsi="Calibri" w:eastAsia="Calibri" w:cs="Calibri"/>
                <w:color w:val="0070C0"/>
                <w:sz w:val="24"/>
                <w:lang w:val="en-US" w:eastAsia="zh-Hans"/>
              </w:rPr>
              <w:t>5.</w:t>
            </w:r>
            <w:r>
              <w:rPr>
                <w:rFonts w:hint="eastAsia" w:ascii="宋体" w:hAnsi="宋体" w:eastAsia="宋体" w:cs="宋体"/>
                <w:color w:val="0070C0"/>
                <w:sz w:val="24"/>
                <w:lang w:val="en-US" w:eastAsia="zh-Hans"/>
              </w:rPr>
              <w:t>在施工过程中，如果国家或有关部门颁布了新的技术标准或规范，则承包人应采用新的标准或规范进行施工。</w:t>
            </w:r>
            <w:r>
              <w:rPr>
                <w:rFonts w:hint="eastAsia" w:ascii="Calibri" w:hAnsi="Calibri" w:eastAsia="Calibri" w:cs="Calibri"/>
                <w:color w:val="0070C0"/>
                <w:sz w:val="24"/>
                <w:lang w:val="en-US" w:eastAsia="zh-Hans"/>
              </w:rPr>
              <w:t>6.</w:t>
            </w:r>
            <w:r>
              <w:rPr>
                <w:rFonts w:hint="eastAsia" w:ascii="宋体" w:hAnsi="宋体" w:eastAsia="宋体" w:cs="宋体"/>
                <w:color w:val="0070C0"/>
                <w:sz w:val="24"/>
                <w:lang w:val="en-US" w:eastAsia="zh-Hans"/>
              </w:rPr>
              <w:t>所选用装修材料必须确保质量合格，采用不燃材料，符合环保要求，材料品牌为市场主流中档及以上品牌，禁止使用劣质或知名度较差的品牌，否则采购人有权要求进行更换，同时供应商不得拒绝；所有过墙孔洞必须用防火泥封堵；手动报警按钮、声光报警、防火栓、自动报警系统，自动喷水系统等消防设施须醒目、施工改造不得遮挡；消防设施、设备不得擅自改动。</w:t>
            </w:r>
            <w:r>
              <w:rPr>
                <w:rFonts w:hint="eastAsia" w:ascii="Calibri" w:hAnsi="Calibri" w:eastAsia="Calibri" w:cs="Calibri"/>
                <w:color w:val="0070C0"/>
                <w:sz w:val="24"/>
                <w:lang w:val="en-US" w:eastAsia="zh-Hans"/>
              </w:rPr>
              <w:t>7.</w:t>
            </w:r>
            <w:r>
              <w:rPr>
                <w:rFonts w:hint="eastAsia" w:ascii="宋体" w:hAnsi="宋体" w:eastAsia="宋体" w:cs="宋体"/>
                <w:color w:val="0070C0"/>
                <w:sz w:val="24"/>
                <w:lang w:val="en-US" w:eastAsia="zh-Hans"/>
              </w:rPr>
              <w:t>不得改变场馆原有主体结构，施工过程中的边角料、建筑垃圾每日清理，安全标识、标牌必须清楚、明示，施工结束后对电路、管道等进行整理、标识、恢复。</w:t>
            </w:r>
            <w:r>
              <w:rPr>
                <w:rFonts w:hint="eastAsia" w:ascii="Calibri" w:hAnsi="Calibri" w:eastAsia="Calibri" w:cs="Calibri"/>
                <w:color w:val="0070C0"/>
                <w:sz w:val="24"/>
                <w:lang w:val="en-US" w:eastAsia="zh-Hans"/>
              </w:rPr>
              <w:t>8.</w:t>
            </w:r>
            <w:r>
              <w:rPr>
                <w:rFonts w:hint="eastAsia" w:ascii="宋体" w:hAnsi="宋体" w:eastAsia="宋体" w:cs="宋体"/>
                <w:color w:val="0070C0"/>
                <w:sz w:val="24"/>
                <w:lang w:val="en-US" w:eastAsia="zh-Hans"/>
              </w:rPr>
              <w:t>应考虑原有电路线经、负荷、回路等问题，满足基础供电需求；施工方须根据展馆现有情况排查强电、弱电等用电安全隐患（进行线管保护），配电箱须安置合理、定期维护、检查。</w:t>
            </w:r>
          </w:p>
        </w:tc>
      </w:tr>
      <w:tr>
        <w:tc>
          <w:tcPr>
            <w:tcW w:w="2769" w:type="dxa"/>
          </w:tcPr>
          <w:p>
            <w:pPr>
              <w:rPr>
                <w:rFonts w:hint="eastAsia" w:asciiTheme="minorEastAsia" w:hAnsiTheme="minorEastAsia" w:eastAsiaTheme="minorEastAsia" w:cstheme="minorEastAsia"/>
                <w:snapToGrid/>
                <w:kern w:val="2"/>
                <w:sz w:val="28"/>
                <w:szCs w:val="28"/>
              </w:rPr>
            </w:pPr>
          </w:p>
        </w:tc>
        <w:tc>
          <w:tcPr>
            <w:tcW w:w="2769" w:type="dxa"/>
          </w:tcPr>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5</w:t>
            </w:r>
          </w:p>
        </w:tc>
        <w:tc>
          <w:tcPr>
            <w:tcW w:w="2769" w:type="dxa"/>
          </w:tcPr>
          <w:p>
            <w:pPr>
              <w:jc w:val="both"/>
              <w:rPr>
                <w:rFonts w:hint="eastAsia" w:ascii="Calibri" w:hAnsi="Calibri" w:eastAsia="宋体" w:cs="Times New Roman"/>
                <w:lang w:val="en-US" w:eastAsia="zh-Hans"/>
              </w:rPr>
            </w:pPr>
            <w:r>
              <w:rPr>
                <w:rFonts w:hint="eastAsia" w:ascii="宋体" w:hAnsi="宋体" w:eastAsia="宋体" w:cs="宋体"/>
                <w:color w:val="0070C0"/>
                <w:sz w:val="24"/>
                <w:lang w:val="en-US" w:eastAsia="zh-Hans"/>
              </w:rPr>
              <w:t>设计要求的质量标准：满足发包人设计方面的需求</w:t>
            </w:r>
            <w:r>
              <w:rPr>
                <w:rFonts w:hint="eastAsia" w:ascii="Calibri" w:hAnsi="Calibri" w:eastAsia="Calibri" w:cs="Calibri"/>
                <w:color w:val="0070C0"/>
                <w:sz w:val="24"/>
                <w:lang w:val="en-US" w:eastAsia="zh-Hans"/>
              </w:rPr>
              <w:t>,</w:t>
            </w:r>
            <w:r>
              <w:rPr>
                <w:rFonts w:hint="eastAsia" w:ascii="宋体" w:hAnsi="宋体" w:eastAsia="宋体" w:cs="宋体"/>
                <w:color w:val="0070C0"/>
                <w:sz w:val="24"/>
                <w:lang w:val="en-US" w:eastAsia="zh-Hans"/>
              </w:rPr>
              <w:t>并达到国家现行设计规范要求；施工要求的质量标准：符合国家现行建筑工程施工质量验收“合格”标准。</w:t>
            </w:r>
          </w:p>
        </w:tc>
      </w:tr>
    </w:tbl>
    <w:p>
      <w:pPr>
        <w:ind w:firstLine="480"/>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二、供应商针对本项目的施工，必须达到国家及行业现行技术规范标准，符合国家及行业验收合格标准：</w:t>
      </w:r>
    </w:p>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采购包1：</w:t>
      </w:r>
    </w:p>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1.执行国家现行施工验收规范以及相关的标准和采购文件的要求。 2.供应商提供的货品、材料、服务满足校方要求，布展所需材料施工方须提供质检报告及样品并遵照招标文件、投标文件及国家有关标准执行。 3.工程竣工后由供应商委托第三方公司完成展厅空气检测并出具检测报告，检测费用由供应商承担。</w:t>
      </w:r>
    </w:p>
    <w:p>
      <w:pPr>
        <w:ind w:firstLine="480"/>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三、针对本项目的其他技术服务要求：</w:t>
      </w:r>
    </w:p>
    <w:p>
      <w:pPr>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Hans"/>
        </w:rPr>
        <w:t>1.合同签订后 40 日历日内。 2.质量标准：现行国家施工验收规范合格标准。 3.质保期及质保保修要求 （1）质保期：验收合格后贰年；（2）质保期保修要求： ①属于保修范围和内容的项目，承包人应在接到维修通知后立即响应，1天内派人维修。发生紧急抢修事故（如上水管跑水、爆裂，供电设施漏、断电等），承包人应在接到事故通知后 2 小时内到达事故现场并于 6 小时内完成应急维修。 具体见合同要求。 4.本工程为交钥匙工程。 5.主要材料需提供相关合格证书、要求环保材料 。 6.报价包含设计费（含施工图审查费）、材料费、人工费、运杂费、税费、水电费、安装及调试费等全部费用。</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NTkyNDJjNWFiYWRmMjRlNGYzNzgwOGFjNTE0OGUifQ=="/>
  </w:docVars>
  <w:rsids>
    <w:rsidRoot w:val="0BF53C8B"/>
    <w:rsid w:val="0BF53C8B"/>
    <w:rsid w:val="3FF9428E"/>
    <w:rsid w:val="5481728A"/>
    <w:rsid w:val="D9D90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napToGrid w:val="0"/>
      <w:kern w:val="0"/>
      <w:sz w:val="7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360" w:lineRule="auto"/>
    </w:pPr>
    <w:rPr>
      <w:rFonts w:ascii="Calibri" w:hAnsi="Calibri" w:eastAsia="宋体" w:cs="Times New Roman"/>
      <w:kern w:val="2"/>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2024-02-26T18:13:00Z</dcterms:created>
  <dc:creator>新昱</dc:creator>
  <cp:lastModifiedBy>哈登使出一招死亡缠绕</cp:lastModifiedBy>
  <dcterms:modified xsi:type="dcterms:W3CDTF">2024-03-10T10:13:15Z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8F5ADA6F1C224B89BF2092A22FDD98B8_11</vt:lpwstr>
  </property>
</Properties>
</file>