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5391A">
      <w:pPr>
        <w:pStyle w:val="4"/>
        <w:bidi w:val="0"/>
        <w:jc w:val="center"/>
        <w:outlineLvl w:val="1"/>
        <w:rPr>
          <w:rFonts w:hint="eastAsia" w:ascii="宋体" w:hAnsi="宋体" w:eastAsia="宋体" w:cs="宋体"/>
          <w:color w:val="auto"/>
          <w:lang w:val="en-US" w:eastAsia="zh-CN"/>
        </w:rPr>
      </w:pPr>
      <w:r>
        <w:rPr>
          <w:rFonts w:hint="eastAsia" w:ascii="宋体" w:hAnsi="宋体" w:eastAsia="宋体" w:cs="宋体"/>
          <w:color w:val="auto"/>
          <w:lang w:val="en-US" w:eastAsia="zh-CN"/>
        </w:rPr>
        <w:t>供应商应提供的资格证明文件</w:t>
      </w:r>
    </w:p>
    <w:p w14:paraId="6B415E98">
      <w:pPr>
        <w:keepNext w:val="0"/>
        <w:keepLines w:val="0"/>
        <w:pageBreakBefore w:val="0"/>
        <w:kinsoku/>
        <w:wordWrap/>
        <w:overflowPunct/>
        <w:topLinePunct w:val="0"/>
        <w:autoSpaceDE/>
        <w:autoSpaceDN/>
        <w:bidi w:val="0"/>
        <w:spacing w:line="46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1E5546E9">
      <w:pPr>
        <w:pStyle w:val="7"/>
        <w:keepNext w:val="0"/>
        <w:keepLines w:val="0"/>
        <w:pageBreakBefore w:val="0"/>
        <w:numPr>
          <w:ilvl w:val="0"/>
          <w:numId w:val="0"/>
        </w:numPr>
        <w:kinsoku/>
        <w:wordWrap/>
        <w:overflowPunct/>
        <w:topLinePunct w:val="0"/>
        <w:autoSpaceDE/>
        <w:autoSpaceDN/>
        <w:bidi w:val="0"/>
        <w:spacing w:before="0" w:beforeAutospacing="0" w:after="0" w:afterAutospacing="0" w:line="460" w:lineRule="exac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一</w:t>
      </w:r>
      <w:r>
        <w:rPr>
          <w:rFonts w:hint="eastAsia" w:eastAsia="宋体" w:cs="宋体"/>
          <w:color w:val="auto"/>
          <w:kern w:val="2"/>
          <w:sz w:val="24"/>
          <w:szCs w:val="24"/>
          <w:lang w:eastAsia="zh-CN"/>
        </w:rPr>
        <w:t>、</w:t>
      </w:r>
      <w:r>
        <w:rPr>
          <w:rFonts w:hint="eastAsia" w:ascii="宋体" w:hAnsi="宋体" w:eastAsia="宋体" w:cs="宋体"/>
          <w:color w:val="auto"/>
          <w:kern w:val="2"/>
          <w:sz w:val="24"/>
          <w:szCs w:val="24"/>
        </w:rPr>
        <w:t>基本资格条件：符合《中华人民共和国政府采购法》第二十二条的规定；</w:t>
      </w:r>
    </w:p>
    <w:p w14:paraId="6DDCF21B">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shd w:val="clear" w:color="auto" w:fill="FFFFFF"/>
          <w:lang w:eastAsia="zh-CN"/>
        </w:rPr>
        <w:t>供应商</w:t>
      </w:r>
      <w:r>
        <w:rPr>
          <w:rFonts w:hint="eastAsia" w:ascii="宋体" w:hAnsi="宋体" w:eastAsia="宋体" w:cs="宋体"/>
          <w:color w:val="auto"/>
          <w:sz w:val="24"/>
          <w:szCs w:val="24"/>
          <w:shd w:val="clear" w:color="auto" w:fill="FFFFFF"/>
        </w:rPr>
        <w:t>应具有独立承担民事责任的能力的企业法人、事业法人、其他组织或自然人，出具合法有效的营业执照或事业单位法人证书等国家规定的相关证明，自然人参与的提供其身份证明；</w:t>
      </w:r>
    </w:p>
    <w:p w14:paraId="4D9EBE29">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shd w:val="clear" w:color="auto" w:fill="FFFFFF"/>
          <w:lang w:eastAsia="zh-CN"/>
        </w:rPr>
      </w:pPr>
      <w:r>
        <w:rPr>
          <w:rFonts w:hint="eastAsia" w:ascii="宋体" w:hAnsi="宋体" w:eastAsia="宋体" w:cs="宋体"/>
          <w:color w:val="auto"/>
          <w:sz w:val="24"/>
          <w:szCs w:val="24"/>
          <w:shd w:val="clear" w:color="auto" w:fill="FFFFFF"/>
          <w:lang w:val="en-US" w:eastAsia="zh-CN"/>
        </w:rPr>
        <w:t>2</w:t>
      </w:r>
      <w:r>
        <w:rPr>
          <w:rFonts w:hint="eastAsia" w:ascii="宋体" w:hAnsi="宋体" w:eastAsia="宋体" w:cs="宋体"/>
          <w:color w:val="auto"/>
          <w:sz w:val="24"/>
          <w:szCs w:val="24"/>
          <w:shd w:val="clear" w:color="auto" w:fill="FFFFFF"/>
          <w:lang w:eastAsia="zh-CN"/>
        </w:rPr>
        <w:t>、财务状况报告：提供经审计</w:t>
      </w:r>
      <w:r>
        <w:rPr>
          <w:rFonts w:hint="eastAsia" w:ascii="宋体" w:hAnsi="宋体" w:eastAsia="宋体" w:cs="宋体"/>
          <w:color w:val="auto"/>
          <w:sz w:val="24"/>
          <w:szCs w:val="24"/>
          <w:shd w:val="clear" w:color="auto" w:fill="FFFFFF"/>
          <w:lang w:val="en-US" w:eastAsia="zh-CN"/>
        </w:rPr>
        <w:t>的2024年度</w:t>
      </w:r>
      <w:r>
        <w:rPr>
          <w:rFonts w:hint="eastAsia" w:ascii="宋体" w:hAnsi="宋体" w:eastAsia="宋体" w:cs="宋体"/>
          <w:color w:val="auto"/>
          <w:sz w:val="24"/>
          <w:szCs w:val="24"/>
          <w:shd w:val="clear" w:color="auto" w:fill="FFFFFF"/>
          <w:lang w:eastAsia="zh-CN"/>
        </w:rPr>
        <w:t>的财务报告或提交投标文件截止时间前六个月内其基本账户开户银行出具的资信证明</w:t>
      </w:r>
      <w:r>
        <w:rPr>
          <w:rFonts w:hint="eastAsia" w:ascii="宋体" w:hAnsi="宋体" w:eastAsia="宋体" w:cs="宋体"/>
          <w:color w:val="auto"/>
          <w:sz w:val="24"/>
          <w:szCs w:val="24"/>
          <w:shd w:val="clear" w:color="auto" w:fill="FFFFFF"/>
          <w:lang w:val="en-US" w:eastAsia="zh-CN"/>
        </w:rPr>
        <w:t>及基本存款账户信息</w:t>
      </w:r>
      <w:r>
        <w:rPr>
          <w:rFonts w:hint="eastAsia" w:ascii="宋体" w:hAnsi="宋体" w:eastAsia="宋体" w:cs="宋体"/>
          <w:color w:val="auto"/>
          <w:sz w:val="24"/>
          <w:szCs w:val="24"/>
          <w:shd w:val="clear" w:color="auto" w:fill="FFFFFF"/>
          <w:lang w:eastAsia="zh-CN"/>
        </w:rPr>
        <w:t>；其他组织和自然人提供银行出具的资信证明或财务报表（成立时间至提交投标文件截止时间不足一年的可提供成立后任意时段的资产负债表、利润表、现金流量表）；</w:t>
      </w:r>
    </w:p>
    <w:p w14:paraId="5E49914D">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、税收缴纳证明：提供</w:t>
      </w:r>
      <w:r>
        <w:rPr>
          <w:rFonts w:hint="eastAsia" w:ascii="宋体" w:hAnsi="宋体" w:eastAsia="宋体" w:cs="宋体"/>
          <w:color w:val="auto"/>
          <w:sz w:val="24"/>
          <w:szCs w:val="24"/>
          <w:highlight w:val="none"/>
          <w:lang w:eastAsia="zh-CN"/>
        </w:rPr>
        <w:t>供应商202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9月份</w:t>
      </w:r>
      <w:r>
        <w:rPr>
          <w:rFonts w:hint="eastAsia" w:ascii="宋体" w:hAnsi="宋体" w:eastAsia="宋体" w:cs="宋体"/>
          <w:color w:val="auto"/>
          <w:sz w:val="24"/>
          <w:szCs w:val="24"/>
          <w:highlight w:val="none"/>
          <w:lang w:eastAsia="zh-CN"/>
        </w:rPr>
        <w:t>至今已缴纳任意一个月完税凭证</w:t>
      </w:r>
      <w:r>
        <w:rPr>
          <w:rFonts w:hint="eastAsia" w:ascii="宋体" w:hAnsi="宋体" w:eastAsia="宋体" w:cs="宋体"/>
          <w:color w:val="auto"/>
          <w:sz w:val="24"/>
          <w:szCs w:val="24"/>
          <w:highlight w:val="none"/>
        </w:rPr>
        <w:t xml:space="preserve">或税务机关开具的完税证明（任意税种）；依法免税的应提供税务机关开具的免税证明； </w:t>
      </w:r>
    </w:p>
    <w:p w14:paraId="5F867AAF">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4、社会保障资金缴纳证明：提供供应商2024年9月份至今已缴纳任意一个月的社会保障完税证明或社保机构开具的社会保险参保缴费情况证明；依法不需要缴纳社会保障资金的应提供相关免缴证明；</w:t>
      </w:r>
    </w:p>
    <w:p w14:paraId="25FFD5E0">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bookmarkStart w:id="0" w:name="_Toc22036"/>
      <w:r>
        <w:rPr>
          <w:rFonts w:hint="eastAsia" w:ascii="宋体" w:hAnsi="宋体" w:eastAsia="宋体" w:cs="宋体"/>
          <w:color w:val="auto"/>
          <w:sz w:val="24"/>
          <w:szCs w:val="24"/>
          <w:highlight w:val="none"/>
          <w:lang w:val="en-US" w:eastAsia="zh-CN"/>
        </w:rPr>
        <w:t>5、具有履行合同所必需的设备和专业技术能力的承诺函；</w:t>
      </w:r>
      <w:bookmarkEnd w:id="0"/>
    </w:p>
    <w:p w14:paraId="73317501">
      <w:pPr>
        <w:keepNext w:val="0"/>
        <w:keepLines w:val="0"/>
        <w:pageBreakBefore w:val="0"/>
        <w:kinsoku/>
        <w:wordWrap/>
        <w:overflowPunct/>
        <w:topLinePunct w:val="0"/>
        <w:autoSpaceDE/>
        <w:autoSpaceDN/>
        <w:bidi w:val="0"/>
        <w:spacing w:line="46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参加政府采购活动前3年内在经营活动中没有重大违法记录的书面声明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格式1</w:t>
      </w:r>
      <w:r>
        <w:rPr>
          <w:rFonts w:hint="eastAsia" w:ascii="宋体" w:hAnsi="宋体" w:eastAsia="宋体" w:cs="宋体"/>
          <w:color w:val="auto"/>
          <w:sz w:val="24"/>
          <w:szCs w:val="24"/>
          <w:highlight w:val="none"/>
          <w:lang w:eastAsia="zh-CN"/>
        </w:rPr>
        <w:t>）</w:t>
      </w:r>
    </w:p>
    <w:p w14:paraId="14106592">
      <w:pPr>
        <w:keepNext w:val="0"/>
        <w:keepLines w:val="0"/>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二、特定资格条件：</w:t>
      </w:r>
    </w:p>
    <w:p w14:paraId="357A1354">
      <w:pPr>
        <w:widowControl/>
        <w:shd w:val="clear" w:color="auto" w:fill="FFFFFF"/>
        <w:spacing w:line="440" w:lineRule="exact"/>
        <w:ind w:firstLine="480" w:firstLineChars="200"/>
        <w:jc w:val="left"/>
        <w:rPr>
          <w:rFonts w:hint="eastAsia" w:ascii="宋体" w:hAnsi="宋体" w:cs="宋体"/>
          <w:color w:val="auto"/>
          <w:sz w:val="24"/>
          <w:lang w:val="en-US" w:eastAsia="zh-CN"/>
        </w:rPr>
      </w:pPr>
      <w:r>
        <w:rPr>
          <w:rFonts w:hint="eastAsia" w:ascii="宋体" w:hAnsi="宋体" w:cs="宋体"/>
          <w:color w:val="auto"/>
          <w:sz w:val="24"/>
          <w:lang w:val="en-US" w:eastAsia="zh-CN"/>
        </w:rPr>
        <w:t>7、具备建设行政主管部门颁发的电力工程施工总承包三级及以上资质或输变电工程专业承包三级及以上资质，同时具备国家电力监管部门颁发的承装（修、试）电力设施许可证五级及以上资质；</w:t>
      </w:r>
    </w:p>
    <w:p w14:paraId="1EB3D684">
      <w:pPr>
        <w:widowControl/>
        <w:shd w:val="clear" w:color="auto" w:fill="FFFFFF"/>
        <w:spacing w:line="440" w:lineRule="exact"/>
        <w:ind w:firstLine="480" w:firstLineChars="200"/>
        <w:jc w:val="left"/>
        <w:rPr>
          <w:rFonts w:hint="eastAsia" w:ascii="宋体" w:hAnsi="宋体" w:cs="宋体"/>
          <w:color w:val="auto"/>
          <w:sz w:val="24"/>
          <w:lang w:val="en-US" w:eastAsia="zh-CN"/>
        </w:rPr>
      </w:pPr>
      <w:r>
        <w:rPr>
          <w:rFonts w:hint="eastAsia" w:ascii="宋体" w:hAnsi="宋体" w:cs="宋体"/>
          <w:color w:val="auto"/>
          <w:sz w:val="24"/>
          <w:lang w:val="en-US" w:eastAsia="zh-CN"/>
        </w:rPr>
        <w:t>8、具有合格有效的安全生产许可证；</w:t>
      </w:r>
    </w:p>
    <w:p w14:paraId="0F0AB5ED">
      <w:pPr>
        <w:widowControl/>
        <w:shd w:val="clear" w:color="auto" w:fill="FFFFFF"/>
        <w:spacing w:line="440" w:lineRule="exact"/>
        <w:ind w:firstLine="480" w:firstLineChars="200"/>
        <w:jc w:val="left"/>
        <w:rPr>
          <w:rFonts w:hint="default" w:ascii="宋体" w:hAnsi="宋体" w:cs="宋体"/>
          <w:color w:val="auto"/>
          <w:sz w:val="24"/>
          <w:lang w:val="en-US" w:eastAsia="zh-CN"/>
        </w:rPr>
      </w:pPr>
      <w:r>
        <w:rPr>
          <w:rFonts w:hint="eastAsia" w:ascii="宋体" w:hAnsi="宋体" w:cs="宋体"/>
          <w:color w:val="auto"/>
          <w:sz w:val="24"/>
          <w:lang w:val="en-US" w:eastAsia="zh-CN"/>
        </w:rPr>
        <w:t>9、</w:t>
      </w:r>
      <w:r>
        <w:rPr>
          <w:rFonts w:hint="eastAsia" w:ascii="宋体" w:hAnsi="宋体" w:eastAsia="宋体" w:cs="宋体"/>
          <w:color w:val="auto"/>
          <w:sz w:val="24"/>
          <w:szCs w:val="24"/>
          <w:highlight w:val="none"/>
          <w:lang w:val="en-US" w:eastAsia="zh-CN"/>
        </w:rPr>
        <w:t>拟派项目负责人具备机电工程专业国家二级注册建造师及以上执业资格及其本人安全生产考核合格证。</w:t>
      </w:r>
    </w:p>
    <w:p w14:paraId="65D404A6">
      <w:pPr>
        <w:widowControl/>
        <w:shd w:val="clear" w:color="auto" w:fill="FFFFFF"/>
        <w:spacing w:line="440" w:lineRule="exact"/>
        <w:ind w:firstLine="480" w:firstLineChars="200"/>
        <w:jc w:val="left"/>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10、供应商基本信息在“陕西建设网（http://js.shaanxi.gov.cn/）陕西省建筑市场监管与诚信信息发布平台”可查询且无不良信用。拟派项目负责人基本信息在“陕西建设网（http://js.shaanxi.gov.cn/）陕西省建筑市场监管与诚信信息发布平台”可查询且无不良行为。</w:t>
      </w:r>
    </w:p>
    <w:p w14:paraId="36C555F5">
      <w:pPr>
        <w:widowControl/>
        <w:shd w:val="clear" w:color="auto" w:fill="FFFFFF"/>
        <w:spacing w:line="440" w:lineRule="exact"/>
        <w:ind w:firstLine="480" w:firstLineChars="200"/>
        <w:jc w:val="left"/>
        <w:rPr>
          <w:rFonts w:hint="eastAsia" w:ascii="宋体" w:hAnsi="宋体" w:cs="宋体"/>
          <w:color w:val="auto"/>
          <w:sz w:val="24"/>
        </w:rPr>
      </w:pPr>
      <w:r>
        <w:rPr>
          <w:rFonts w:hint="eastAsia" w:ascii="宋体" w:hAnsi="宋体" w:eastAsia="宋体" w:cs="宋体"/>
          <w:color w:val="auto"/>
          <w:sz w:val="24"/>
          <w:lang w:val="en-US" w:eastAsia="zh-CN"/>
        </w:rPr>
        <w:t>11、</w:t>
      </w:r>
      <w:r>
        <w:rPr>
          <w:rFonts w:hint="eastAsia" w:ascii="宋体" w:hAnsi="宋体" w:cs="宋体"/>
          <w:color w:val="auto"/>
          <w:sz w:val="24"/>
        </w:rPr>
        <w:t>未被列为“信用中国”网（www.creditchina.gov.cn）中失信被执行人和重大税收违法案件当事人名单及中国政府采购网（www.ccgp.gov.cn）政府采购严重违法失信行为记录名单；</w:t>
      </w:r>
    </w:p>
    <w:p w14:paraId="43D76894">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color w:val="auto"/>
        </w:rPr>
      </w:pPr>
      <w:r>
        <w:rPr>
          <w:rFonts w:hint="eastAsia" w:ascii="宋体" w:hAnsi="宋体" w:eastAsia="宋体" w:cs="宋体"/>
          <w:color w:val="auto"/>
          <w:sz w:val="24"/>
          <w:shd w:val="clear" w:color="auto" w:fill="FFFFFF"/>
          <w:lang w:val="en-US" w:eastAsia="zh-CN"/>
        </w:rPr>
        <w:t>12</w:t>
      </w:r>
      <w:bookmarkStart w:id="37" w:name="_GoBack"/>
      <w:bookmarkEnd w:id="37"/>
      <w:r>
        <w:rPr>
          <w:rFonts w:hint="eastAsia" w:ascii="宋体" w:hAnsi="宋体" w:eastAsia="宋体" w:cs="宋体"/>
          <w:color w:val="auto"/>
          <w:sz w:val="24"/>
          <w:shd w:val="clear" w:color="auto" w:fill="FFFFFF"/>
          <w:lang w:val="zh-CN" w:eastAsia="zh-CN"/>
        </w:rPr>
        <w:t>、单位负责人为同一人或者存在直接控股、管理关系的不同供应商，不得参加同一合同项下的政府采购活动（</w:t>
      </w:r>
      <w:r>
        <w:rPr>
          <w:rFonts w:hint="eastAsia" w:ascii="宋体" w:hAnsi="宋体" w:eastAsia="宋体" w:cs="宋体"/>
          <w:color w:val="auto"/>
          <w:sz w:val="24"/>
          <w:shd w:val="clear" w:color="auto" w:fill="FFFFFF"/>
          <w:lang w:val="en-US" w:eastAsia="zh-CN"/>
        </w:rPr>
        <w:t>格式2）</w:t>
      </w:r>
      <w:r>
        <w:rPr>
          <w:rFonts w:hint="eastAsia" w:ascii="宋体" w:hAnsi="宋体" w:eastAsia="宋体" w:cs="宋体"/>
          <w:color w:val="auto"/>
          <w:sz w:val="24"/>
          <w:lang w:val="zh-CN"/>
        </w:rPr>
        <w:t>。</w:t>
      </w:r>
    </w:p>
    <w:p w14:paraId="08D5540B">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460" w:lineRule="exact"/>
        <w:textAlignment w:val="auto"/>
        <w:rPr>
          <w:rFonts w:hint="eastAsia" w:ascii="宋体" w:hAnsi="宋体" w:cs="宋体"/>
          <w:color w:val="auto"/>
          <w:sz w:val="24"/>
        </w:rPr>
      </w:pPr>
    </w:p>
    <w:p w14:paraId="50E0285A">
      <w:pPr>
        <w:pStyle w:val="12"/>
        <w:rPr>
          <w:rFonts w:hint="eastAsia"/>
          <w:color w:val="auto"/>
        </w:rPr>
      </w:pPr>
    </w:p>
    <w:p w14:paraId="70792C48">
      <w:pPr>
        <w:pStyle w:val="12"/>
        <w:rPr>
          <w:rFonts w:hint="eastAsia"/>
          <w:color w:val="auto"/>
        </w:rPr>
      </w:pPr>
    </w:p>
    <w:p w14:paraId="4C1D3A81">
      <w:pPr>
        <w:pStyle w:val="12"/>
        <w:rPr>
          <w:rFonts w:hint="eastAsia"/>
          <w:color w:val="auto"/>
        </w:rPr>
      </w:pPr>
    </w:p>
    <w:p w14:paraId="449527A0">
      <w:pPr>
        <w:pStyle w:val="12"/>
        <w:rPr>
          <w:rFonts w:hint="eastAsia"/>
          <w:color w:val="auto"/>
        </w:rPr>
      </w:pPr>
    </w:p>
    <w:p w14:paraId="10FD9146">
      <w:pPr>
        <w:pStyle w:val="12"/>
        <w:rPr>
          <w:rFonts w:hint="eastAsia"/>
          <w:color w:val="auto"/>
        </w:rPr>
      </w:pPr>
    </w:p>
    <w:p w14:paraId="2976E484">
      <w:pPr>
        <w:pStyle w:val="12"/>
        <w:rPr>
          <w:rFonts w:hint="eastAsia"/>
          <w:color w:val="auto"/>
        </w:rPr>
      </w:pPr>
    </w:p>
    <w:p w14:paraId="56024B69">
      <w:pPr>
        <w:pStyle w:val="12"/>
        <w:rPr>
          <w:rFonts w:hint="eastAsia"/>
          <w:color w:val="auto"/>
        </w:rPr>
      </w:pPr>
    </w:p>
    <w:p w14:paraId="01E8F26E">
      <w:pPr>
        <w:pStyle w:val="12"/>
        <w:rPr>
          <w:rFonts w:hint="eastAsia"/>
          <w:color w:val="auto"/>
        </w:rPr>
      </w:pPr>
    </w:p>
    <w:p w14:paraId="6B4EFAA8">
      <w:pPr>
        <w:pStyle w:val="12"/>
        <w:rPr>
          <w:rFonts w:hint="eastAsia"/>
          <w:color w:val="auto"/>
        </w:rPr>
      </w:pPr>
    </w:p>
    <w:p w14:paraId="6F6610FD">
      <w:pPr>
        <w:pStyle w:val="12"/>
        <w:rPr>
          <w:rFonts w:hint="eastAsia"/>
          <w:color w:val="auto"/>
        </w:rPr>
      </w:pPr>
    </w:p>
    <w:p w14:paraId="7370C043">
      <w:pPr>
        <w:pStyle w:val="12"/>
        <w:rPr>
          <w:rFonts w:hint="eastAsia"/>
          <w:color w:val="auto"/>
        </w:rPr>
      </w:pPr>
    </w:p>
    <w:p w14:paraId="0D83EDAE">
      <w:pPr>
        <w:pStyle w:val="12"/>
        <w:rPr>
          <w:rFonts w:hint="eastAsia"/>
          <w:color w:val="auto"/>
        </w:rPr>
      </w:pPr>
    </w:p>
    <w:p w14:paraId="156C053B">
      <w:pPr>
        <w:pStyle w:val="12"/>
        <w:rPr>
          <w:rFonts w:hint="eastAsia"/>
          <w:color w:val="auto"/>
        </w:rPr>
      </w:pPr>
    </w:p>
    <w:p w14:paraId="1770679B">
      <w:pPr>
        <w:pStyle w:val="12"/>
        <w:rPr>
          <w:rFonts w:hint="eastAsia"/>
          <w:color w:val="auto"/>
        </w:rPr>
      </w:pPr>
    </w:p>
    <w:p w14:paraId="50F0A8FC">
      <w:pPr>
        <w:pStyle w:val="12"/>
        <w:rPr>
          <w:rFonts w:hint="eastAsia"/>
          <w:color w:val="auto"/>
        </w:rPr>
      </w:pPr>
    </w:p>
    <w:p w14:paraId="3AE93C55">
      <w:pPr>
        <w:pStyle w:val="12"/>
        <w:rPr>
          <w:rFonts w:hint="eastAsia"/>
          <w:color w:val="auto"/>
        </w:rPr>
      </w:pPr>
    </w:p>
    <w:p w14:paraId="291FF40E">
      <w:pPr>
        <w:pStyle w:val="12"/>
        <w:rPr>
          <w:rFonts w:hint="eastAsia"/>
          <w:color w:val="auto"/>
        </w:rPr>
      </w:pPr>
    </w:p>
    <w:p w14:paraId="611D1EE0">
      <w:pPr>
        <w:pStyle w:val="12"/>
        <w:rPr>
          <w:rFonts w:hint="eastAsia"/>
          <w:color w:val="auto"/>
        </w:rPr>
      </w:pPr>
    </w:p>
    <w:p w14:paraId="707D4E53">
      <w:pPr>
        <w:pStyle w:val="12"/>
        <w:rPr>
          <w:rFonts w:hint="eastAsia"/>
          <w:color w:val="auto"/>
        </w:rPr>
      </w:pPr>
    </w:p>
    <w:p w14:paraId="51AA1E89">
      <w:pPr>
        <w:pStyle w:val="12"/>
        <w:rPr>
          <w:rFonts w:hint="eastAsia"/>
          <w:color w:val="auto"/>
        </w:rPr>
      </w:pPr>
    </w:p>
    <w:p w14:paraId="0B1E3491">
      <w:pPr>
        <w:pStyle w:val="12"/>
        <w:rPr>
          <w:rFonts w:hint="eastAsia"/>
          <w:color w:val="auto"/>
        </w:rPr>
      </w:pPr>
    </w:p>
    <w:p w14:paraId="6A6B4140">
      <w:pPr>
        <w:pStyle w:val="12"/>
        <w:rPr>
          <w:rFonts w:hint="eastAsia"/>
          <w:color w:val="auto"/>
        </w:rPr>
      </w:pPr>
    </w:p>
    <w:p w14:paraId="2197BB64">
      <w:pPr>
        <w:pStyle w:val="12"/>
        <w:rPr>
          <w:rFonts w:hint="eastAsia"/>
          <w:color w:val="auto"/>
        </w:rPr>
      </w:pPr>
    </w:p>
    <w:p w14:paraId="51C5ABE4">
      <w:pPr>
        <w:pStyle w:val="12"/>
        <w:rPr>
          <w:rFonts w:hint="eastAsia"/>
          <w:color w:val="auto"/>
        </w:rPr>
      </w:pPr>
    </w:p>
    <w:p w14:paraId="1DDD9A16">
      <w:pPr>
        <w:pStyle w:val="12"/>
        <w:rPr>
          <w:rFonts w:hint="eastAsia"/>
          <w:color w:val="auto"/>
        </w:rPr>
      </w:pPr>
    </w:p>
    <w:p w14:paraId="2CA3609C">
      <w:pPr>
        <w:pStyle w:val="12"/>
        <w:rPr>
          <w:rFonts w:hint="eastAsia"/>
          <w:color w:val="auto"/>
        </w:rPr>
      </w:pPr>
    </w:p>
    <w:p w14:paraId="79E7796B">
      <w:pPr>
        <w:pStyle w:val="12"/>
        <w:rPr>
          <w:rFonts w:hint="eastAsia"/>
          <w:color w:val="auto"/>
        </w:rPr>
      </w:pPr>
    </w:p>
    <w:p w14:paraId="4A71EB1E">
      <w:pPr>
        <w:pStyle w:val="12"/>
        <w:rPr>
          <w:rFonts w:hint="eastAsia"/>
          <w:color w:val="auto"/>
        </w:rPr>
      </w:pPr>
    </w:p>
    <w:p w14:paraId="1FAC3159">
      <w:pPr>
        <w:pStyle w:val="12"/>
        <w:rPr>
          <w:rFonts w:hint="eastAsia"/>
          <w:color w:val="auto"/>
        </w:rPr>
      </w:pPr>
    </w:p>
    <w:p w14:paraId="66752F97">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bookmarkStart w:id="1" w:name="_Toc5736"/>
      <w:bookmarkStart w:id="2" w:name="_Toc3731"/>
      <w:r>
        <w:rPr>
          <w:rFonts w:hint="eastAsia" w:ascii="宋体" w:hAnsi="宋体" w:eastAsia="Times New Roman" w:cs="宋体"/>
          <w:color w:val="auto"/>
          <w:sz w:val="24"/>
          <w:lang w:val="en-US" w:eastAsia="zh-CN"/>
        </w:rPr>
        <w:t>格式1</w:t>
      </w:r>
      <w:bookmarkEnd w:id="1"/>
      <w:bookmarkEnd w:id="2"/>
    </w:p>
    <w:p w14:paraId="3C50C667">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62F9F20B">
      <w:pPr>
        <w:pStyle w:val="6"/>
        <w:spacing w:after="0" w:line="400" w:lineRule="exact"/>
        <w:rPr>
          <w:rFonts w:hint="eastAsia" w:ascii="宋体" w:hAnsi="宋体" w:eastAsia="宋体" w:cs="宋体"/>
          <w:color w:val="auto"/>
          <w:highlight w:val="none"/>
          <w:lang w:val="en-US" w:eastAsia="zh-CN"/>
        </w:rPr>
      </w:pPr>
    </w:p>
    <w:p w14:paraId="4F116288">
      <w:pPr>
        <w:pStyle w:val="6"/>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062972C9">
      <w:pPr>
        <w:pStyle w:val="6"/>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3F15B4B8">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01EDD92E">
      <w:pPr>
        <w:pStyle w:val="6"/>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5D520A48">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71AA9A38">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132C9ABB">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2B6BE8E0">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6DE1857">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36A87629">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61B4F4CD">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76DEC08B">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2CAD8D1D">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DC48C84">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6D2689E1">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49497862">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39708D71">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241D513">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51B66439">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3" w:name="_Toc25279"/>
      <w:bookmarkStart w:id="4" w:name="_Toc30687"/>
      <w:bookmarkStart w:id="5" w:name="_Toc14168"/>
      <w:bookmarkStart w:id="6" w:name="_Toc12445"/>
      <w:bookmarkStart w:id="7" w:name="_Toc28343"/>
      <w:bookmarkStart w:id="8" w:name="_Toc19234"/>
      <w:bookmarkStart w:id="9" w:name="_Toc9094"/>
      <w:bookmarkStart w:id="10" w:name="_Toc13537"/>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3"/>
      <w:bookmarkEnd w:id="4"/>
      <w:bookmarkEnd w:id="5"/>
      <w:bookmarkEnd w:id="6"/>
      <w:bookmarkEnd w:id="7"/>
      <w:bookmarkEnd w:id="8"/>
      <w:bookmarkEnd w:id="9"/>
      <w:bookmarkEnd w:id="10"/>
    </w:p>
    <w:p w14:paraId="76910017">
      <w:pPr>
        <w:autoSpaceDE w:val="0"/>
        <w:autoSpaceDN w:val="0"/>
        <w:adjustRightInd w:val="0"/>
        <w:spacing w:line="360" w:lineRule="auto"/>
        <w:ind w:firstLine="480" w:firstLineChars="200"/>
        <w:jc w:val="left"/>
        <w:rPr>
          <w:rFonts w:hint="eastAsia" w:ascii="宋体" w:hAnsi="宋体" w:eastAsia="宋体"/>
          <w:color w:val="auto"/>
          <w:szCs w:val="21"/>
          <w:lang w:val="zh-CN" w:eastAsia="zh-CN"/>
        </w:rPr>
      </w:pPr>
      <w:r>
        <w:rPr>
          <w:rFonts w:hint="eastAsia" w:ascii="宋体" w:hAnsi="宋体" w:cs="宋体"/>
          <w:color w:val="auto"/>
          <w:kern w:val="0"/>
          <w:sz w:val="24"/>
        </w:rPr>
        <w:t>1、</w:t>
      </w:r>
      <w:r>
        <w:rPr>
          <w:rFonts w:hint="eastAsia" w:ascii="宋体" w:hAnsi="宋体"/>
          <w:color w:val="auto"/>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51DD5F81">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15963"/>
      <w:bookmarkStart w:id="12" w:name="_Toc11320"/>
      <w:bookmarkStart w:id="13" w:name="_Toc15744"/>
      <w:bookmarkStart w:id="14" w:name="_Toc30201"/>
      <w:bookmarkStart w:id="15" w:name="_Toc27929"/>
      <w:bookmarkStart w:id="16" w:name="_Toc29753"/>
      <w:bookmarkStart w:id="17" w:name="_Toc1421"/>
      <w:bookmarkStart w:id="18" w:name="_Toc23178"/>
      <w:r>
        <w:rPr>
          <w:rFonts w:hint="eastAsia" w:ascii="宋体" w:hAnsi="宋体" w:cs="宋体"/>
          <w:color w:val="auto"/>
          <w:kern w:val="0"/>
          <w:sz w:val="24"/>
        </w:rPr>
        <w:t>2-1、管理关系说明：</w:t>
      </w:r>
      <w:bookmarkEnd w:id="11"/>
      <w:bookmarkEnd w:id="12"/>
      <w:bookmarkEnd w:id="13"/>
      <w:bookmarkEnd w:id="14"/>
      <w:bookmarkEnd w:id="15"/>
      <w:bookmarkEnd w:id="16"/>
      <w:bookmarkEnd w:id="17"/>
      <w:bookmarkEnd w:id="18"/>
    </w:p>
    <w:p w14:paraId="2BDE1CB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66058B6C">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AC11537">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9" w:name="_Toc29019"/>
      <w:bookmarkStart w:id="20" w:name="_Toc14359"/>
      <w:bookmarkStart w:id="21" w:name="_Toc14566"/>
      <w:bookmarkStart w:id="22" w:name="_Toc24124"/>
      <w:bookmarkStart w:id="23" w:name="_Toc15775"/>
      <w:bookmarkStart w:id="24" w:name="_Toc21024"/>
      <w:bookmarkStart w:id="25" w:name="_Toc12127"/>
      <w:bookmarkStart w:id="26" w:name="_Toc3760"/>
      <w:r>
        <w:rPr>
          <w:rFonts w:hint="eastAsia" w:ascii="宋体" w:hAnsi="宋体" w:cs="宋体"/>
          <w:color w:val="auto"/>
          <w:kern w:val="0"/>
          <w:sz w:val="24"/>
        </w:rPr>
        <w:t>2-2、股权关系说明：</w:t>
      </w:r>
      <w:bookmarkEnd w:id="19"/>
      <w:bookmarkEnd w:id="20"/>
      <w:bookmarkEnd w:id="21"/>
      <w:bookmarkEnd w:id="22"/>
      <w:bookmarkEnd w:id="23"/>
      <w:bookmarkEnd w:id="24"/>
      <w:bookmarkEnd w:id="25"/>
      <w:bookmarkEnd w:id="26"/>
    </w:p>
    <w:p w14:paraId="3D6ADCA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00D2680F">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7C350B36">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7" w:name="_Toc7355"/>
      <w:bookmarkStart w:id="28" w:name="_Toc17343"/>
      <w:bookmarkStart w:id="29" w:name="_Toc26276"/>
      <w:bookmarkStart w:id="30" w:name="_Toc3602"/>
      <w:bookmarkStart w:id="31" w:name="_Toc28920"/>
      <w:bookmarkStart w:id="32" w:name="_Toc22988"/>
      <w:bookmarkStart w:id="33" w:name="_Toc862"/>
      <w:bookmarkStart w:id="34" w:name="_Toc10366"/>
      <w:r>
        <w:rPr>
          <w:rFonts w:hint="eastAsia" w:ascii="宋体" w:hAnsi="宋体" w:cs="宋体"/>
          <w:color w:val="auto"/>
          <w:kern w:val="0"/>
          <w:sz w:val="24"/>
        </w:rPr>
        <w:t>2-3、单位负责人：</w:t>
      </w:r>
      <w:bookmarkEnd w:id="27"/>
      <w:bookmarkEnd w:id="28"/>
      <w:bookmarkEnd w:id="29"/>
      <w:bookmarkEnd w:id="30"/>
      <w:bookmarkEnd w:id="31"/>
      <w:bookmarkEnd w:id="32"/>
      <w:bookmarkEnd w:id="33"/>
      <w:bookmarkEnd w:id="34"/>
    </w:p>
    <w:p w14:paraId="3968A94D">
      <w:pPr>
        <w:widowControl/>
        <w:shd w:val="clear" w:color="auto" w:fill="FFFFFF"/>
        <w:spacing w:before="100" w:beforeAutospacing="1" w:after="100" w:afterAutospacing="1" w:line="360" w:lineRule="atLeast"/>
        <w:ind w:firstLine="480"/>
        <w:outlineLvl w:val="2"/>
        <w:rPr>
          <w:rFonts w:ascii="宋体" w:hAnsi="宋体" w:cs="宋体"/>
          <w:color w:val="auto"/>
          <w:kern w:val="0"/>
          <w:sz w:val="24"/>
        </w:rPr>
      </w:pPr>
      <w:bookmarkStart w:id="35" w:name="_Toc12468"/>
      <w:bookmarkStart w:id="36" w:name="_Toc15738"/>
      <w:r>
        <w:rPr>
          <w:rFonts w:hint="eastAsia" w:ascii="宋体" w:hAnsi="宋体" w:cs="宋体"/>
          <w:color w:val="auto"/>
          <w:kern w:val="0"/>
          <w:sz w:val="24"/>
        </w:rPr>
        <w:t>3、其他与本项目有关的利害关系说明：</w:t>
      </w:r>
      <w:bookmarkEnd w:id="35"/>
      <w:bookmarkEnd w:id="36"/>
    </w:p>
    <w:p w14:paraId="3685ACA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29F4A526">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24E6C0C2">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13537785">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r>
        <w:rPr>
          <w:rFonts w:hint="eastAsia" w:ascii="宋体" w:hAnsi="宋体" w:cs="宋体"/>
          <w:color w:val="auto"/>
          <w:kern w:val="0"/>
          <w:sz w:val="24"/>
        </w:rPr>
        <w:t>（签字</w:t>
      </w:r>
      <w:r>
        <w:rPr>
          <w:rFonts w:hint="eastAsia" w:ascii="宋体" w:hAnsi="宋体" w:eastAsia="宋体" w:cs="宋体"/>
          <w:color w:val="auto"/>
          <w:kern w:val="0"/>
          <w:sz w:val="24"/>
          <w:lang w:eastAsia="zh-CN"/>
        </w:rPr>
        <w:t>或盖章</w:t>
      </w:r>
      <w:r>
        <w:rPr>
          <w:rFonts w:hint="eastAsia" w:ascii="宋体" w:hAnsi="宋体" w:cs="宋体"/>
          <w:color w:val="auto"/>
          <w:kern w:val="0"/>
          <w:sz w:val="24"/>
        </w:rPr>
        <w:t>）</w:t>
      </w:r>
    </w:p>
    <w:p w14:paraId="1ACA56EA">
      <w:pPr>
        <w:widowControl/>
        <w:shd w:val="clear" w:color="auto" w:fill="FFFFFF"/>
        <w:spacing w:before="100" w:beforeAutospacing="1" w:after="100" w:afterAutospacing="1"/>
        <w:jc w:val="center"/>
        <w:rPr>
          <w:rFonts w:ascii="宋体" w:hAnsi="宋体" w:cs="宋体"/>
          <w:color w:val="auto"/>
          <w:kern w:val="0"/>
          <w:sz w:val="24"/>
        </w:rPr>
      </w:pPr>
    </w:p>
    <w:p w14:paraId="159744DC">
      <w:pPr>
        <w:widowControl/>
        <w:shd w:val="clear" w:color="auto" w:fill="FFFFFF"/>
        <w:spacing w:before="100" w:beforeAutospacing="1" w:after="100" w:afterAutospacing="1"/>
        <w:rPr>
          <w:rFonts w:hint="eastAsia" w:ascii="宋体" w:hAnsi="宋体" w:cs="宋体"/>
          <w:color w:val="auto"/>
          <w:kern w:val="0"/>
          <w:sz w:val="24"/>
        </w:rPr>
      </w:pPr>
    </w:p>
    <w:p w14:paraId="7E646E87">
      <w:pPr>
        <w:widowControl/>
        <w:shd w:val="clear" w:color="auto" w:fill="FFFFFF"/>
        <w:spacing w:line="440" w:lineRule="exact"/>
        <w:jc w:val="left"/>
        <w:rPr>
          <w:rFonts w:hint="eastAsia" w:ascii="宋体" w:hAnsi="宋体" w:cs="宋体"/>
          <w:sz w:val="24"/>
        </w:rPr>
      </w:pPr>
    </w:p>
    <w:p w14:paraId="649C7944">
      <w:pPr>
        <w:widowControl/>
        <w:shd w:val="clear" w:color="auto" w:fill="FFFFFF"/>
        <w:spacing w:line="440" w:lineRule="exact"/>
        <w:jc w:val="left"/>
        <w:rPr>
          <w:rFonts w:hint="eastAsia" w:ascii="宋体" w:hAnsi="宋体" w:cs="宋体"/>
          <w:sz w:val="24"/>
        </w:rPr>
      </w:pPr>
    </w:p>
    <w:p w14:paraId="38BA4B0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2232A9"/>
    <w:rsid w:val="11862D8C"/>
    <w:rsid w:val="277114EB"/>
    <w:rsid w:val="278F6D9F"/>
    <w:rsid w:val="2CD86F31"/>
    <w:rsid w:val="30631BDE"/>
    <w:rsid w:val="32A54401"/>
    <w:rsid w:val="359017BD"/>
    <w:rsid w:val="3CD64AF3"/>
    <w:rsid w:val="425305CA"/>
    <w:rsid w:val="42BE64EE"/>
    <w:rsid w:val="4B240862"/>
    <w:rsid w:val="546E2564"/>
    <w:rsid w:val="5AF60C89"/>
    <w:rsid w:val="5C911CA6"/>
    <w:rsid w:val="5DA12B58"/>
    <w:rsid w:val="60F468AE"/>
    <w:rsid w:val="633A5F8A"/>
    <w:rsid w:val="64B84A10"/>
    <w:rsid w:val="698477BA"/>
    <w:rsid w:val="6A4D5FB5"/>
    <w:rsid w:val="6C36577D"/>
    <w:rsid w:val="6D060F5D"/>
    <w:rsid w:val="6F767A5C"/>
    <w:rsid w:val="707F1EEE"/>
    <w:rsid w:val="70EA20AA"/>
    <w:rsid w:val="74322A2B"/>
    <w:rsid w:val="77CF0681"/>
    <w:rsid w:val="7C364A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1"/>
    <w:basedOn w:val="1"/>
    <w:next w:val="1"/>
    <w:link w:val="10"/>
    <w:autoRedefine/>
    <w:qFormat/>
    <w:uiPriority w:val="0"/>
    <w:pPr>
      <w:keepNext/>
      <w:keepLines/>
      <w:spacing w:before="340" w:beforeLines="0" w:after="330" w:afterLines="0" w:line="600" w:lineRule="exact"/>
      <w:jc w:val="center"/>
      <w:outlineLvl w:val="0"/>
    </w:pPr>
    <w:rPr>
      <w:rFonts w:ascii="Times New Roman" w:hAnsi="Times New Roman" w:eastAsia="宋体" w:cs="Times New Roman"/>
      <w:b/>
      <w:bCs/>
      <w:kern w:val="44"/>
      <w:sz w:val="30"/>
      <w:szCs w:val="44"/>
    </w:rPr>
  </w:style>
  <w:style w:type="paragraph" w:styleId="4">
    <w:name w:val="heading 2"/>
    <w:basedOn w:val="1"/>
    <w:next w:val="1"/>
    <w:link w:val="11"/>
    <w:autoRedefine/>
    <w:unhideWhenUsed/>
    <w:qFormat/>
    <w:uiPriority w:val="0"/>
    <w:pPr>
      <w:keepNext/>
      <w:keepLines/>
      <w:spacing w:before="260" w:beforeLines="0" w:after="260" w:afterLines="0" w:line="413" w:lineRule="auto"/>
      <w:jc w:val="center"/>
      <w:outlineLvl w:val="1"/>
    </w:pPr>
    <w:rPr>
      <w:rFonts w:ascii="Arial" w:hAnsi="Arial" w:eastAsia="黑体" w:cs="Arial"/>
      <w:b/>
      <w:bCs/>
      <w:sz w:val="30"/>
      <w:szCs w:val="32"/>
    </w:rPr>
  </w:style>
  <w:style w:type="paragraph" w:styleId="5">
    <w:name w:val="heading 3"/>
    <w:basedOn w:val="1"/>
    <w:next w:val="1"/>
    <w:autoRedefine/>
    <w:unhideWhenUsed/>
    <w:qFormat/>
    <w:uiPriority w:val="0"/>
    <w:pPr>
      <w:keepNext/>
      <w:keepLines/>
      <w:spacing w:before="260" w:beforeLines="0" w:beforeAutospacing="0" w:after="260" w:afterLines="0" w:afterAutospacing="0" w:line="480" w:lineRule="exact"/>
      <w:outlineLvl w:val="2"/>
    </w:pPr>
    <w:rPr>
      <w:rFonts w:ascii="宋体" w:hAnsi="宋体" w:eastAsia="宋体" w:cs="宋体"/>
      <w:b/>
      <w:sz w:val="28"/>
    </w:rPr>
  </w:style>
  <w:style w:type="paragraph" w:styleId="2">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pPr>
      <w:spacing w:after="120" w:afterLines="0" w:afterAutospacing="0"/>
    </w:p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0">
    <w:name w:val="标题 1 Char"/>
    <w:link w:val="3"/>
    <w:autoRedefine/>
    <w:qFormat/>
    <w:uiPriority w:val="0"/>
    <w:rPr>
      <w:rFonts w:ascii="Times New Roman" w:hAnsi="Times New Roman" w:eastAsia="宋体" w:cs="Times New Roman"/>
      <w:b/>
      <w:bCs/>
      <w:kern w:val="44"/>
      <w:sz w:val="32"/>
      <w:szCs w:val="44"/>
      <w:lang w:val="en-US" w:eastAsia="zh-CN" w:bidi="ar-SA"/>
    </w:rPr>
  </w:style>
  <w:style w:type="character" w:customStyle="1" w:styleId="11">
    <w:name w:val="标题 2 Char"/>
    <w:link w:val="4"/>
    <w:autoRedefine/>
    <w:qFormat/>
    <w:uiPriority w:val="0"/>
    <w:rPr>
      <w:rFonts w:ascii="Arial" w:hAnsi="Arial" w:eastAsia="黑体" w:cs="Arial"/>
      <w:b/>
      <w:bCs/>
      <w:sz w:val="30"/>
      <w:szCs w:val="32"/>
    </w:rPr>
  </w:style>
  <w:style w:type="paragraph" w:customStyle="1" w:styleId="12">
    <w:name w:val="HTML Preformatted"/>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1489</Words>
  <Characters>1591</Characters>
  <Lines>0</Lines>
  <Paragraphs>0</Paragraphs>
  <TotalTime>8</TotalTime>
  <ScaleCrop>false</ScaleCrop>
  <LinksUpToDate>false</LinksUpToDate>
  <CharactersWithSpaces>1815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2023-05-18T03:27:00Z</dcterms:created>
  <dc:creator>Administrator</dc:creator>
  <cp:lastModifiedBy>快乐猫</cp:lastModifiedBy>
  <dcterms:modified xsi:type="dcterms:W3CDTF">2025-09-15T04:09:56Z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FCE606074EC2408A93571CB991E6DC00_13</vt:lpwstr>
  </property>
  <property fmtid="{D5CDD505-2E9C-101B-9397-08002B2CF9AE}" pid="4" name="KSOTemplateDocerSaveRecord">
    <vt:lpwstr>eyJoZGlkIjoiOGYzOGJlZTQxYzY3ZWY4ODg1YmNmNTNiZDdlZGNlMDciLCJ1c2VySWQiOiIxNTE3ODQyNzU3In0=</vt:lpwstr>
  </property>
</Properties>
</file>