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版本号：ZR30GN2025-CS-011.5B120250519001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2025年度6-7月货物贸易境外重点展会(二次)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ZR30GN2025-CS-011.5B1</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2025年度6-7月货物贸易境外重点展会(二次)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ZR30GN2025-CS-011.5B1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2025年度6-7月货物贸易境外重点展会(二次)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2025年度6-7月货物贸易境外重点展会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 网站（www.creditchina.gov.cn）和中国政 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郑经理 彭经理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开户名称：陕西中润国际招标有限公司</w:t>
            </w:r>
          </w:p>
          <w:p>
            <w:pPr>
              <w:pStyle w:val="null3"/>
            </w:pPr>
            <w:r>
              <w:rPr>
                <w:rFonts w:ascii="仿宋_GB2312" w:hAnsi="仿宋_GB2312" w:cs="仿宋_GB2312" w:eastAsia="仿宋_GB2312"/>
              </w:rPr>
              <w:t>开户银行：中信银行西安锦都花园支行</w:t>
            </w:r>
          </w:p>
          <w:p>
            <w:pPr>
              <w:pStyle w:val="null3"/>
            </w:pPr>
            <w:r>
              <w:rPr>
                <w:rFonts w:ascii="仿宋_GB2312" w:hAnsi="仿宋_GB2312" w:cs="仿宋_GB2312" w:eastAsia="仿宋_GB2312"/>
              </w:rPr>
              <w:t>银行账号：7253310182600003710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代理服务费收费标准：代理服务费按定额 3000.00元/采购包收取。成交单位的代理服务费交纳信息 银行户名：陕西中润国际招标有限公司 开户银行：中信银行西安雁塔西路支行 账号：7251310182600086350 联系人：李帆 联系电话：029-87321299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联系人：郑经理 冯经理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2025年度6-7月货物贸易境外重点展会。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中国品牌商品（中东欧）展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标的名称：中国品牌商品（中东欧）展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并组织我省企业参加展会。其中组织企业数不少于10家（以实际企业法人予以认定，少于10家不予支持）；对2024年度进出口额超过6500万美元的企业可补贴2个展位，对进出口额在6500万美元以下的只补贴1个展位），参展企业中无进出口业绩企业不得超过参展企业总数的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4900元）及交通、展会期间翻译等事项，承办单位必须不少于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3.负责做好参展企业的展品运输及报关、报检等相关手续（商务厅对展品运输费及报关、报检费用给予补助，补助费每家企业不超过5000元）；</w:t>
            </w:r>
          </w:p>
          <w:p>
            <w:pPr>
              <w:pStyle w:val="null3"/>
              <w:jc w:val="both"/>
            </w:pPr>
            <w:r>
              <w:rPr>
                <w:rFonts w:ascii="仿宋_GB2312" w:hAnsi="仿宋_GB2312" w:cs="仿宋_GB2312" w:eastAsia="仿宋_GB2312"/>
                <w:sz w:val="20"/>
                <w:color w:val="333333"/>
                <w:shd w:fill="FFFFFF" w:val="clear"/>
              </w:rPr>
              <w:t>4.负责做好公共布展，其中公共布展费用补助上限为10万元；</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5.负责先行垫付展位费，标准内的运输费及报关、报检费用和标准内的公共布展费用以及人员境外食宿补贴，待展会结束后由商务厅按标准核销；</w:t>
            </w:r>
          </w:p>
          <w:p>
            <w:pPr>
              <w:pStyle w:val="null3"/>
              <w:jc w:val="both"/>
            </w:pPr>
            <w:r>
              <w:rPr>
                <w:rFonts w:ascii="仿宋_GB2312" w:hAnsi="仿宋_GB2312" w:cs="仿宋_GB2312" w:eastAsia="仿宋_GB2312"/>
                <w:sz w:val="20"/>
                <w:color w:val="333333"/>
                <w:shd w:fill="FFFFFF" w:val="clear"/>
              </w:rPr>
              <w:t>6.承办单位服务为10万元。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合同签署之日起至展会服务完毕后30日历日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展览日期：2025年6月26日至2025年6月28日（具体行程以最终实际行程为准）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 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首次磋商报价表.docx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 首次磋商报价表.docx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首次磋商报价表.docx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首次磋商报价表.docx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 2、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 3、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 4、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详见附件：首次磋商报价表.docx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