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版本号：KY2025-3-06220250529001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三七炮弹采购项目(二次)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KY2025-3-062</w:t>
      </w:r>
      <w:r>
        <w:br/>
      </w:r>
      <w:r>
        <w:br/>
      </w:r>
      <w:r>
        <w:br/>
      </w:r>
    </w:p>
    <w:p>
      <w:pPr>
        <w:pStyle w:val="null3"/>
        <w:jc w:val="center"/>
        <w:outlineLvl w:val="2"/>
      </w:pPr>
      <w:r>
        <w:rPr>
          <w:rFonts w:ascii="仿宋_GB2312" w:hAnsi="仿宋_GB2312" w:cs="仿宋_GB2312" w:eastAsia="仿宋_GB2312"/>
          <w:sz w:val="28"/>
          <w:b/>
        </w:rPr>
        <w:t>人工影响天气办公室</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人工影响天气办公室</w:t>
      </w:r>
      <w:r>
        <w:rPr>
          <w:rFonts w:ascii="仿宋_GB2312" w:hAnsi="仿宋_GB2312" w:cs="仿宋_GB2312" w:eastAsia="仿宋_GB2312"/>
        </w:rPr>
        <w:t>委托，拟对</w:t>
      </w:r>
      <w:r>
        <w:rPr>
          <w:rFonts w:ascii="仿宋_GB2312" w:hAnsi="仿宋_GB2312" w:cs="仿宋_GB2312" w:eastAsia="仿宋_GB2312"/>
        </w:rPr>
        <w:t>三七炮弹采购项目(二次)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三七炮弹采购项目(二次)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陕西省人工影响天气中心三七炮弹采购项目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人工影响天气办公室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029-81619397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人工影响天气办公室</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人工影响天气办公室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人工影响天气办公室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三七炮弹采购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三七炮弹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标的名称：三七炮弹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8"/>
              <w:gridCol w:w="2215"/>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口径：</w:t>
                  </w:r>
                  <w:r>
                    <w:rPr>
                      <w:rFonts w:ascii="仿宋_GB2312" w:hAnsi="仿宋_GB2312" w:cs="仿宋_GB2312" w:eastAsia="仿宋_GB2312"/>
                      <w:sz w:val="24"/>
                    </w:rPr>
                    <w:t>37mm</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炮弹全长：</w:t>
                  </w:r>
                  <w:r>
                    <w:rPr>
                      <w:rFonts w:ascii="仿宋_GB2312" w:hAnsi="仿宋_GB2312" w:cs="仿宋_GB2312" w:eastAsia="仿宋_GB2312"/>
                      <w:sz w:val="24"/>
                    </w:rPr>
                    <w:t>382mm～386mm</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全</w:t>
                  </w:r>
                  <w:r>
                    <w:rPr>
                      <w:rFonts w:ascii="仿宋_GB2312" w:hAnsi="仿宋_GB2312" w:cs="仿宋_GB2312" w:eastAsia="仿宋_GB2312"/>
                      <w:sz w:val="24"/>
                    </w:rPr>
                    <w:t>弹质量：</w:t>
                  </w:r>
                  <w:r>
                    <w:rPr>
                      <w:rFonts w:ascii="仿宋_GB2312" w:hAnsi="仿宋_GB2312" w:cs="仿宋_GB2312" w:eastAsia="仿宋_GB2312"/>
                      <w:sz w:val="24"/>
                    </w:rPr>
                    <w:t>1100</w:t>
                  </w:r>
                  <w:r>
                    <w:rPr>
                      <w:rFonts w:ascii="仿宋_GB2312" w:hAnsi="仿宋_GB2312" w:cs="仿宋_GB2312" w:eastAsia="仿宋_GB2312"/>
                      <w:sz w:val="24"/>
                    </w:rPr>
                    <w:t>～</w:t>
                  </w:r>
                  <w:r>
                    <w:rPr>
                      <w:rFonts w:ascii="仿宋_GB2312" w:hAnsi="仿宋_GB2312" w:cs="仿宋_GB2312" w:eastAsia="仿宋_GB2312"/>
                      <w:sz w:val="24"/>
                    </w:rPr>
                    <w:t>1500</w:t>
                  </w:r>
                  <w:r>
                    <w:rPr>
                      <w:rFonts w:ascii="仿宋_GB2312" w:hAnsi="仿宋_GB2312" w:cs="仿宋_GB2312" w:eastAsia="仿宋_GB2312"/>
                      <w:sz w:val="24"/>
                    </w:rPr>
                    <w:t>g</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弹丸质量：</w:t>
                  </w:r>
                  <w:r>
                    <w:rPr>
                      <w:rFonts w:ascii="仿宋_GB2312" w:hAnsi="仿宋_GB2312" w:cs="仿宋_GB2312" w:eastAsia="仿宋_GB2312"/>
                      <w:sz w:val="24"/>
                    </w:rPr>
                    <w:t>420</w:t>
                  </w:r>
                  <w:r>
                    <w:rPr>
                      <w:rFonts w:ascii="仿宋_GB2312" w:hAnsi="仿宋_GB2312" w:cs="仿宋_GB2312" w:eastAsia="仿宋_GB2312"/>
                      <w:sz w:val="24"/>
                    </w:rPr>
                    <w:t>～</w:t>
                  </w:r>
                  <w:r>
                    <w:rPr>
                      <w:rFonts w:ascii="仿宋_GB2312" w:hAnsi="仿宋_GB2312" w:cs="仿宋_GB2312" w:eastAsia="仿宋_GB2312"/>
                      <w:sz w:val="24"/>
                    </w:rPr>
                    <w:t>630</w:t>
                  </w:r>
                  <w:r>
                    <w:rPr>
                      <w:rFonts w:ascii="仿宋_GB2312" w:hAnsi="仿宋_GB2312" w:cs="仿宋_GB2312" w:eastAsia="仿宋_GB2312"/>
                      <w:sz w:val="24"/>
                    </w:rPr>
                    <w:t>g</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炸药质量：</w:t>
                  </w:r>
                  <w:r>
                    <w:rPr>
                      <w:rFonts w:ascii="仿宋_GB2312" w:hAnsi="仿宋_GB2312" w:cs="仿宋_GB2312" w:eastAsia="仿宋_GB2312"/>
                      <w:sz w:val="24"/>
                    </w:rPr>
                    <w:t>34</w:t>
                  </w:r>
                  <w:r>
                    <w:rPr>
                      <w:rFonts w:ascii="仿宋_GB2312" w:hAnsi="仿宋_GB2312" w:cs="仿宋_GB2312" w:eastAsia="仿宋_GB2312"/>
                      <w:sz w:val="24"/>
                    </w:rPr>
                    <w:t>～</w:t>
                  </w:r>
                  <w:r>
                    <w:rPr>
                      <w:rFonts w:ascii="仿宋_GB2312" w:hAnsi="仿宋_GB2312" w:cs="仿宋_GB2312" w:eastAsia="仿宋_GB2312"/>
                      <w:sz w:val="24"/>
                    </w:rPr>
                    <w:t>70.5</w:t>
                  </w:r>
                  <w:r>
                    <w:rPr>
                      <w:rFonts w:ascii="仿宋_GB2312" w:hAnsi="仿宋_GB2312" w:cs="仿宋_GB2312" w:eastAsia="仿宋_GB2312"/>
                      <w:sz w:val="24"/>
                    </w:rPr>
                    <w:t>g</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初速：</w:t>
                  </w:r>
                  <w:r>
                    <w:rPr>
                      <w:rFonts w:ascii="仿宋_GB2312" w:hAnsi="仿宋_GB2312" w:cs="仿宋_GB2312" w:eastAsia="仿宋_GB2312"/>
                      <w:sz w:val="24"/>
                    </w:rPr>
                    <w:t>≥</w:t>
                  </w:r>
                  <w:r>
                    <w:rPr>
                      <w:rFonts w:ascii="仿宋_GB2312" w:hAnsi="仿宋_GB2312" w:cs="仿宋_GB2312" w:eastAsia="仿宋_GB2312"/>
                      <w:sz w:val="24"/>
                    </w:rPr>
                    <w:t>890</w:t>
                  </w:r>
                  <w:r>
                    <w:rPr>
                      <w:rFonts w:ascii="仿宋_GB2312" w:hAnsi="仿宋_GB2312" w:cs="仿宋_GB2312" w:eastAsia="仿宋_GB2312"/>
                      <w:sz w:val="24"/>
                    </w:rPr>
                    <w:t>m/s</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膛压：平均膛压</w:t>
                  </w:r>
                  <w:r>
                    <w:rPr>
                      <w:rFonts w:ascii="仿宋_GB2312" w:hAnsi="仿宋_GB2312" w:cs="仿宋_GB2312" w:eastAsia="仿宋_GB2312"/>
                      <w:sz w:val="24"/>
                    </w:rPr>
                    <w:t>≤2</w:t>
                  </w:r>
                  <w:r>
                    <w:rPr>
                      <w:rFonts w:ascii="仿宋_GB2312" w:hAnsi="仿宋_GB2312" w:cs="仿宋_GB2312" w:eastAsia="仿宋_GB2312"/>
                      <w:sz w:val="24"/>
                    </w:rPr>
                    <w:t>84</w:t>
                  </w:r>
                  <w:r>
                    <w:rPr>
                      <w:rFonts w:ascii="仿宋_GB2312" w:hAnsi="仿宋_GB2312" w:cs="仿宋_GB2312" w:eastAsia="仿宋_GB2312"/>
                      <w:sz w:val="24"/>
                    </w:rPr>
                    <w:t>MPa</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引信类别：隔爆型引信</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引信数量：</w:t>
                  </w:r>
                  <w:r>
                    <w:rPr>
                      <w:rFonts w:ascii="仿宋_GB2312" w:hAnsi="仿宋_GB2312" w:cs="仿宋_GB2312" w:eastAsia="仿宋_GB2312"/>
                      <w:sz w:val="24"/>
                    </w:rPr>
                    <w:t>1个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最大射高：</w:t>
                  </w:r>
                  <w:r>
                    <w:rPr>
                      <w:rFonts w:ascii="仿宋_GB2312" w:hAnsi="仿宋_GB2312" w:cs="仿宋_GB2312" w:eastAsia="仿宋_GB2312"/>
                      <w:sz w:val="24"/>
                    </w:rPr>
                    <w:t>≥6</w:t>
                  </w:r>
                  <w:r>
                    <w:rPr>
                      <w:rFonts w:ascii="仿宋_GB2312" w:hAnsi="仿宋_GB2312" w:cs="仿宋_GB2312" w:eastAsia="仿宋_GB2312"/>
                      <w:sz w:val="24"/>
                    </w:rPr>
                    <w:t>5</w:t>
                  </w:r>
                  <w:r>
                    <w:rPr>
                      <w:rFonts w:ascii="仿宋_GB2312" w:hAnsi="仿宋_GB2312" w:cs="仿宋_GB2312" w:eastAsia="仿宋_GB2312"/>
                      <w:sz w:val="24"/>
                    </w:rPr>
                    <w:t>00m</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碘化银含量：</w:t>
                  </w:r>
                  <w:r>
                    <w:rPr>
                      <w:rFonts w:ascii="仿宋_GB2312" w:hAnsi="仿宋_GB2312" w:cs="仿宋_GB2312" w:eastAsia="仿宋_GB2312"/>
                      <w:sz w:val="24"/>
                    </w:rPr>
                    <w:t>≥1g</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最大破片：</w:t>
                  </w:r>
                  <w:r>
                    <w:rPr>
                      <w:rFonts w:ascii="仿宋_GB2312" w:hAnsi="仿宋_GB2312" w:cs="仿宋_GB2312" w:eastAsia="仿宋_GB2312"/>
                      <w:sz w:val="24"/>
                    </w:rPr>
                    <w:t>≤14g</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瞎火率：</w:t>
                  </w:r>
                  <w:r>
                    <w:rPr>
                      <w:rFonts w:ascii="仿宋_GB2312" w:hAnsi="仿宋_GB2312" w:cs="仿宋_GB2312" w:eastAsia="仿宋_GB2312"/>
                      <w:sz w:val="24"/>
                    </w:rPr>
                    <w:t>≤1/1000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使用温度：</w:t>
                  </w:r>
                  <w:r>
                    <w:rPr>
                      <w:rFonts w:ascii="仿宋_GB2312" w:hAnsi="仿宋_GB2312" w:cs="仿宋_GB2312" w:eastAsia="仿宋_GB2312"/>
                      <w:sz w:val="24"/>
                    </w:rPr>
                    <w:t>-20℃～+50℃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条维码标识：二维码</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r>
                    <w:rPr>
                      <w:rFonts w:ascii="仿宋_GB2312" w:hAnsi="仿宋_GB2312" w:cs="仿宋_GB2312" w:eastAsia="仿宋_GB2312"/>
                      <w:sz w:val="24"/>
                    </w:rPr>
                    <w:t>10000枚</w:t>
                  </w:r>
                  <w:r>
                    <w:rPr>
                      <w:rFonts w:ascii="仿宋_GB2312" w:hAnsi="仿宋_GB2312" w:cs="仿宋_GB2312" w:eastAsia="仿宋_GB2312"/>
                      <w:sz w:val="24"/>
                      <w:b/>
                    </w:rPr>
                    <w:t>（</w:t>
                  </w:r>
                  <w:r>
                    <w:rPr>
                      <w:rFonts w:ascii="仿宋_GB2312" w:hAnsi="仿宋_GB2312" w:cs="仿宋_GB2312" w:eastAsia="仿宋_GB2312"/>
                      <w:sz w:val="24"/>
                      <w:b/>
                    </w:rPr>
                    <w:t>最终以单价据实结算</w:t>
                  </w:r>
                  <w:r>
                    <w:rPr>
                      <w:rFonts w:ascii="仿宋_GB2312" w:hAnsi="仿宋_GB2312" w:cs="仿宋_GB2312" w:eastAsia="仿宋_GB2312"/>
                      <w:sz w:val="24"/>
                      <w:b/>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徐闫靖双，联系电话：029-81206622/81206633-841）。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开标一览表 分项报价表.docx 产品技术参数表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分项报价表.docx 产品技术参数表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指标、参数完全符合、满足招标文件要求，没有负偏离的计16分；参数负偏离一项扣1分，扣完为止。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单发炮弹弹丸最大破片要求</w:t>
            </w:r>
          </w:p>
        </w:tc>
        <w:tc>
          <w:tcPr>
            <w:tcW w:type="dxa" w:w="2492"/>
          </w:tcPr>
          <w:p>
            <w:pPr>
              <w:pStyle w:val="null3"/>
            </w:pPr>
            <w:r>
              <w:rPr>
                <w:rFonts w:ascii="仿宋_GB2312" w:hAnsi="仿宋_GB2312" w:cs="仿宋_GB2312" w:eastAsia="仿宋_GB2312"/>
              </w:rPr>
              <w:t>单发炮弹弹丸最大破片达到A级，得3分； 达到B级，得2分；达到C级，得1分；该项最高得3分。注：单发炮弹弹丸最大破片分三级：A级应小于等于5g；B级应小于等于10g；C级应小于等于14g。需提供相关证明材料。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详细评审---单发炮弹弹丸最大破片要求.docx</w:t>
            </w:r>
          </w:p>
        </w:tc>
      </w:tr>
      <w:tr>
        <w:tc>
          <w:tcPr>
            <w:tcW w:type="dxa" w:w="831"/>
            <w:vMerge/>
          </w:tcPr>
          <w:p/>
        </w:tc>
        <w:tc>
          <w:tcPr>
            <w:tcW w:type="dxa" w:w="1661"/>
          </w:tcPr>
          <w:p>
            <w:pPr>
              <w:pStyle w:val="null3"/>
            </w:pPr>
            <w:r>
              <w:rPr>
                <w:rFonts w:ascii="仿宋_GB2312" w:hAnsi="仿宋_GB2312" w:cs="仿宋_GB2312" w:eastAsia="仿宋_GB2312"/>
              </w:rPr>
              <w:t>炮弹引信瞎火率</w:t>
            </w:r>
          </w:p>
        </w:tc>
        <w:tc>
          <w:tcPr>
            <w:tcW w:type="dxa" w:w="2492"/>
          </w:tcPr>
          <w:p>
            <w:pPr>
              <w:pStyle w:val="null3"/>
            </w:pPr>
            <w:r>
              <w:rPr>
                <w:rFonts w:ascii="仿宋_GB2312" w:hAnsi="仿宋_GB2312" w:cs="仿宋_GB2312" w:eastAsia="仿宋_GB2312"/>
              </w:rPr>
              <w:t>引信瞎火率达到A级，得2分；达到B级，得1分；该项最高得2分。注：炮弹引信瞎火率为：A级小于等于1/10000；B级小于等于 1/1000。</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详细评审---炮弹引信瞎火率.docx</w:t>
            </w:r>
          </w:p>
        </w:tc>
      </w:tr>
      <w:tr>
        <w:tc>
          <w:tcPr>
            <w:tcW w:type="dxa" w:w="831"/>
            <w:vMerge/>
          </w:tcPr>
          <w:p/>
        </w:tc>
        <w:tc>
          <w:tcPr>
            <w:tcW w:type="dxa" w:w="1661"/>
          </w:tcPr>
          <w:p>
            <w:pPr>
              <w:pStyle w:val="null3"/>
            </w:pPr>
            <w:r>
              <w:rPr>
                <w:rFonts w:ascii="仿宋_GB2312" w:hAnsi="仿宋_GB2312" w:cs="仿宋_GB2312" w:eastAsia="仿宋_GB2312"/>
              </w:rPr>
              <w:t>危险品安全管理</w:t>
            </w:r>
          </w:p>
        </w:tc>
        <w:tc>
          <w:tcPr>
            <w:tcW w:type="dxa" w:w="2492"/>
          </w:tcPr>
          <w:p>
            <w:pPr>
              <w:pStyle w:val="null3"/>
            </w:pPr>
            <w:r>
              <w:rPr>
                <w:rFonts w:ascii="仿宋_GB2312" w:hAnsi="仿宋_GB2312" w:cs="仿宋_GB2312" w:eastAsia="仿宋_GB2312"/>
              </w:rPr>
              <w:t>针对本项目提供相应的危险品安全管理办法及措施，保证项目能安全、顺利的实施；从①危险品生产、②存储、③运输、④使用等四个方面进行响应。每有一项缺项扣3分，每有一项内容中有缺陷，指项目需求不匹配或漏项，不能满足项目实施要求及其他不利于项目实施的扣1.5分，此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详细评审---危险品安全管理.docx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证明材料完整，完全符合项目采购需求的计2分，证明材料不完整，有缺陷，计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详细评审---进货渠道.docx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质量保证：包括但不限于①所投产品技术工艺先进，性能稳定，具有较好的使用效果，②质量保证完善，符合国际、国内相关标准或行业标准，能够提供质量保证承诺的。每有一项缺项扣2分，每有一项内容中有缺陷，指项目需求不匹配或漏项，不能满足项目实施要求及其他不利于项目实施的扣1分，此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废旧故障弹药处理措施</w:t>
            </w:r>
          </w:p>
        </w:tc>
        <w:tc>
          <w:tcPr>
            <w:tcW w:type="dxa" w:w="2492"/>
          </w:tcPr>
          <w:p>
            <w:pPr>
              <w:pStyle w:val="null3"/>
            </w:pPr>
            <w:r>
              <w:rPr>
                <w:rFonts w:ascii="仿宋_GB2312" w:hAnsi="仿宋_GB2312" w:cs="仿宋_GB2312" w:eastAsia="仿宋_GB2312"/>
              </w:rPr>
              <w:t>针对本项目有相应的废旧故障弹药处理措施：包括：①废旧、故障弹药进行回收返厂销毁的处理方案；②废旧、故障弹药进行回收返厂销毁的处理措施；每有一项缺项扣2分，每有一项内容中有缺陷，指项目需求不匹配或漏项，不能满足项目实施要求及其他不利于项目实施的扣1分，此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详细评审---废旧故障弹药处理措施.docx</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①供应商具备有效的《气象专用技术装备使用许可证》计2分；②供应商具备《装备承制单位资格证书》计2分。注：以上证书须提供相关证件复印件，未提供不得分。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详细评审---证书.docx</w:t>
            </w:r>
          </w:p>
        </w:tc>
      </w:tr>
      <w:tr>
        <w:tc>
          <w:tcPr>
            <w:tcW w:type="dxa" w:w="831"/>
            <w:vMerge/>
          </w:tcPr>
          <w:p/>
        </w:tc>
        <w:tc>
          <w:tcPr>
            <w:tcW w:type="dxa" w:w="1661"/>
          </w:tcPr>
          <w:p>
            <w:pPr>
              <w:pStyle w:val="null3"/>
            </w:pPr>
            <w:r>
              <w:rPr>
                <w:rFonts w:ascii="仿宋_GB2312" w:hAnsi="仿宋_GB2312" w:cs="仿宋_GB2312" w:eastAsia="仿宋_GB2312"/>
              </w:rPr>
              <w:t>废旧故障弹药处理能力</w:t>
            </w:r>
          </w:p>
        </w:tc>
        <w:tc>
          <w:tcPr>
            <w:tcW w:type="dxa" w:w="2492"/>
          </w:tcPr>
          <w:p>
            <w:pPr>
              <w:pStyle w:val="null3"/>
            </w:pPr>
            <w:r>
              <w:rPr>
                <w:rFonts w:ascii="仿宋_GB2312" w:hAnsi="仿宋_GB2312" w:cs="仿宋_GB2312" w:eastAsia="仿宋_GB2312"/>
              </w:rPr>
              <w:t>针对本项目提供废旧故障弹药的处理能力，①具有处理报废弹药资质②有较强销毁能力及条件。以上两点均需提供相应的证明材料。 每有一项缺项扣2分，每有一项内容中有缺陷，指项目需求不匹配或漏项，不能满足项目实施要求及其他不利于项目实施的扣1分，此项满分4分。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详细评审---废旧故障弹药处理能力.docx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具体的售后服务方案，包括但不限于①备品配件、设备发生故障后的补救措施②维修服务响应时限等，每有一项缺项扣2分，每有一项内容中有缺陷，指项目需求不匹配或漏项，不能满足项目实施要求及其他不利于项目实施的扣1分，此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①制定培训课程计划表，列出每种培训的地点和时间，培训的具体日期及人数由使用单位确定②培训内容应包括所提供设备的原理和技术性能、操作维护方法、安装调试、排除故障等各个方面，确保培训后的人员应能熟练操作，了解设备结构、工作原理，并能排除一般故障。每有一项缺项扣2分，每有一项内容中有缺陷，指项目需求不匹配或漏项，不能满足项目实施要求及其他不利于项目实施的扣1分，此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提供2022年1月至开标前同类的业绩，须提供合同复印件加盖公章，提供不全不计分，每提供一份计2分，此项共计10分。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详见附件：详细评审---单发炮弹弹丸最大破片要求.docx</w:t>
      </w:r>
    </w:p>
    <w:p>
      <w:pPr>
        <w:pStyle w:val="null3"/>
        <w:ind w:firstLine="960"/>
      </w:pPr>
      <w:r>
        <w:rPr>
          <w:rFonts w:ascii="仿宋_GB2312" w:hAnsi="仿宋_GB2312" w:cs="仿宋_GB2312" w:eastAsia="仿宋_GB2312"/>
        </w:rPr>
        <w:t>详见附件：详细评审---炮弹引信瞎火率.docx</w:t>
      </w:r>
    </w:p>
    <w:p>
      <w:pPr>
        <w:pStyle w:val="null3"/>
        <w:ind w:firstLine="960"/>
      </w:pPr>
      <w:r>
        <w:rPr>
          <w:rFonts w:ascii="仿宋_GB2312" w:hAnsi="仿宋_GB2312" w:cs="仿宋_GB2312" w:eastAsia="仿宋_GB2312"/>
        </w:rPr>
        <w:t>详见附件：详细评审---危险品安全管理.docx</w:t>
      </w:r>
    </w:p>
    <w:p>
      <w:pPr>
        <w:pStyle w:val="null3"/>
        <w:ind w:firstLine="960"/>
      </w:pPr>
      <w:r>
        <w:rPr>
          <w:rFonts w:ascii="仿宋_GB2312" w:hAnsi="仿宋_GB2312" w:cs="仿宋_GB2312" w:eastAsia="仿宋_GB2312"/>
        </w:rPr>
        <w:t>详见附件：详细评审---进货渠道.docx</w:t>
      </w:r>
    </w:p>
    <w:p>
      <w:pPr>
        <w:pStyle w:val="null3"/>
        <w:ind w:firstLine="960"/>
      </w:pPr>
      <w:r>
        <w:rPr>
          <w:rFonts w:ascii="仿宋_GB2312" w:hAnsi="仿宋_GB2312" w:cs="仿宋_GB2312" w:eastAsia="仿宋_GB2312"/>
        </w:rPr>
        <w:t>详见附件：详细评审---质量保证.docx</w:t>
      </w:r>
    </w:p>
    <w:p>
      <w:pPr>
        <w:pStyle w:val="null3"/>
        <w:ind w:firstLine="960"/>
      </w:pPr>
      <w:r>
        <w:rPr>
          <w:rFonts w:ascii="仿宋_GB2312" w:hAnsi="仿宋_GB2312" w:cs="仿宋_GB2312" w:eastAsia="仿宋_GB2312"/>
        </w:rPr>
        <w:t>详见附件：详细评审---废旧故障弹药处理措施.docx</w:t>
      </w:r>
    </w:p>
    <w:p>
      <w:pPr>
        <w:pStyle w:val="null3"/>
        <w:ind w:firstLine="960"/>
      </w:pPr>
      <w:r>
        <w:rPr>
          <w:rFonts w:ascii="仿宋_GB2312" w:hAnsi="仿宋_GB2312" w:cs="仿宋_GB2312" w:eastAsia="仿宋_GB2312"/>
        </w:rPr>
        <w:t>详见附件：详细评审---证书.docx</w:t>
      </w:r>
    </w:p>
    <w:p>
      <w:pPr>
        <w:pStyle w:val="null3"/>
        <w:ind w:firstLine="960"/>
      </w:pPr>
      <w:r>
        <w:rPr>
          <w:rFonts w:ascii="仿宋_GB2312" w:hAnsi="仿宋_GB2312" w:cs="仿宋_GB2312" w:eastAsia="仿宋_GB2312"/>
        </w:rPr>
        <w:t>详见附件：详细评审---废旧故障弹药处理能力.docx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