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版本号：ZJZBSX-250508--10841（2）20250604001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编制《陕西省秦岭国家旅游风景道建设规划》《陕西省沿黄公路国家旅游风景道建设规划》(二次)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ZJZBSX-250508--10841（2）</w:t>
      </w:r>
      <w:r>
        <w:br/>
      </w:r>
      <w:r>
        <w:br/>
      </w:r>
      <w:r>
        <w:br/>
      </w:r>
    </w:p>
    <w:p>
      <w:pPr>
        <w:pStyle w:val="null3"/>
        <w:jc w:val="center"/>
        <w:outlineLvl w:val="2"/>
      </w:pPr>
      <w:r>
        <w:rPr>
          <w:rFonts w:ascii="仿宋_GB2312" w:hAnsi="仿宋_GB2312" w:cs="仿宋_GB2312" w:eastAsia="仿宋_GB2312"/>
          <w:sz w:val="28"/>
          <w:b/>
        </w:rPr>
        <w:t>陕西省文化和旅游厅机关</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陕西省文化和旅游厅机关</w:t>
      </w:r>
      <w:r>
        <w:rPr>
          <w:rFonts w:ascii="仿宋_GB2312" w:hAnsi="仿宋_GB2312" w:cs="仿宋_GB2312" w:eastAsia="仿宋_GB2312"/>
        </w:rPr>
        <w:t>委托，拟对</w:t>
      </w:r>
      <w:r>
        <w:rPr>
          <w:rFonts w:ascii="仿宋_GB2312" w:hAnsi="仿宋_GB2312" w:cs="仿宋_GB2312" w:eastAsia="仿宋_GB2312"/>
        </w:rPr>
        <w:t>编制《陕西省秦岭国家旅游风景道建设规划》《陕西省沿黄公路国家旅游风景道建设规划》(二次)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ZJZBSX-250508--10841（2）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编制《陕西省秦岭国家旅游风景道建设规划》《陕西省沿黄公路国家旅游风景道建设规划》(二次)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编制《陕西省秦岭国家旅游风景道建设规划》《陕西省沿黄公路国家旅游风景道建设规划》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审核共8项：（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2024年11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2024年5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5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（8）特定资质：供应商具备建设主管部门颁发的城乡规划编制乙级（含）以上资质；供应商需在项目电子化交易系统中按要求上传相应证明文件并进行电子签章。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陕西省文化和旅游厅机关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陕西省文化和旅游厅机关经办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029-85262717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张锦、盖莲花、郭燕妮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代理服务费收费标准：收费标准参照中华人民共和国国家计划委员会计价格[2002]1980号文计算收取，不足伍千元按伍千元收取。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陕西省文化和旅游厅机关</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陕西省文化和旅游厅机关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陕西省文化和旅游厅机关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联系人：张锦、盖莲花、郭燕妮</w:t>
      </w:r>
    </w:p>
    <w:p>
      <w:pPr>
        <w:pStyle w:val="null3"/>
      </w:pPr>
      <w:r>
        <w:rPr>
          <w:rFonts w:ascii="仿宋_GB2312" w:hAnsi="仿宋_GB2312" w:cs="仿宋_GB2312" w:eastAsia="仿宋_GB2312"/>
        </w:rPr>
        <w:t>联系电话：029-87888601-8014</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编制《陕西省秦岭国家旅游风景道建设规划》《陕西省沿黄公路国家旅游风景道建设规划》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1,170,000.00</w:t>
      </w:r>
    </w:p>
    <w:p>
      <w:pPr>
        <w:pStyle w:val="null3"/>
      </w:pPr>
      <w:r>
        <w:rPr>
          <w:rFonts w:ascii="仿宋_GB2312" w:hAnsi="仿宋_GB2312" w:cs="仿宋_GB2312" w:eastAsia="仿宋_GB2312"/>
        </w:rPr>
        <w:t>采购包最高限价（元）: 1,170,000.00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编制《陕西省秦岭国家旅游风景道建设规划》《陕西省沿黄公路国家旅游风景道建设规划》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标的名称：编制《陕西省秦岭国家旅游风景道建设规划》《陕西省沿黄公路国家旅游风景道建设规划》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w:t>
            </w:r>
            <w:r>
              <w:rPr>
                <w:rFonts w:ascii="仿宋_GB2312" w:hAnsi="仿宋_GB2312" w:cs="仿宋_GB2312" w:eastAsia="仿宋_GB2312"/>
                <w:sz w:val="24"/>
                <w:b/>
              </w:rPr>
              <w:t>服务内容及要求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设计黄河、秦岭国家旅游风景道</w:t>
            </w:r>
            <w:r>
              <w:rPr>
                <w:rFonts w:ascii="仿宋_GB2312" w:hAnsi="仿宋_GB2312" w:cs="仿宋_GB2312" w:eastAsia="仿宋_GB2312"/>
                <w:sz w:val="24"/>
              </w:rPr>
              <w:t>Logo</w:t>
            </w:r>
            <w:r>
              <w:rPr>
                <w:rFonts w:ascii="仿宋_GB2312" w:hAnsi="仿宋_GB2312" w:cs="仿宋_GB2312" w:eastAsia="仿宋_GB2312"/>
                <w:sz w:val="24"/>
              </w:rPr>
              <w:t>及大型意向标识（重点是旅游风景道起点、重要节点、终点）。</w:t>
            </w:r>
          </w:p>
          <w:p>
            <w:pPr>
              <w:pStyle w:val="null3"/>
            </w:pPr>
            <w:r>
              <w:rPr>
                <w:rFonts w:ascii="仿宋_GB2312" w:hAnsi="仿宋_GB2312" w:cs="仿宋_GB2312" w:eastAsia="仿宋_GB2312"/>
                <w:sz w:val="24"/>
              </w:rPr>
              <w:t>2.</w:t>
            </w:r>
            <w:r>
              <w:rPr>
                <w:rFonts w:ascii="仿宋_GB2312" w:hAnsi="仿宋_GB2312" w:cs="仿宋_GB2312" w:eastAsia="仿宋_GB2312"/>
                <w:sz w:val="24"/>
              </w:rPr>
              <w:t>明确旅游风景道选线的基本原则、线路组合和申报线路。旅游风景道廊道范围内应通过主线、支线和连接线形成旅游风景道路网。路网应能覆盖和串连廊道范围内特色村镇、旅游景区、旅游度假区、文博场馆等旅游吸引物，合理配置旅游集散中心和旅游服务中心，旅游交通通达性和便捷性好。</w:t>
            </w:r>
          </w:p>
          <w:p>
            <w:pPr>
              <w:pStyle w:val="null3"/>
            </w:pPr>
            <w:r>
              <w:rPr>
                <w:rFonts w:ascii="仿宋_GB2312" w:hAnsi="仿宋_GB2312" w:cs="仿宋_GB2312" w:eastAsia="仿宋_GB2312"/>
                <w:sz w:val="24"/>
              </w:rPr>
              <w:t>3.</w:t>
            </w:r>
            <w:r>
              <w:rPr>
                <w:rFonts w:ascii="仿宋_GB2312" w:hAnsi="仿宋_GB2312" w:cs="仿宋_GB2312" w:eastAsia="仿宋_GB2312"/>
                <w:sz w:val="24"/>
              </w:rPr>
              <w:t>明确旅游风景道的主题形象定位、空间布局、线段划分、主题与文化特色。</w:t>
            </w:r>
          </w:p>
          <w:p>
            <w:pPr>
              <w:pStyle w:val="null3"/>
            </w:pPr>
            <w:r>
              <w:rPr>
                <w:rFonts w:ascii="仿宋_GB2312" w:hAnsi="仿宋_GB2312" w:cs="仿宋_GB2312" w:eastAsia="仿宋_GB2312"/>
                <w:sz w:val="24"/>
              </w:rPr>
              <w:t>4.</w:t>
            </w:r>
            <w:r>
              <w:rPr>
                <w:rFonts w:ascii="仿宋_GB2312" w:hAnsi="仿宋_GB2312" w:cs="仿宋_GB2312" w:eastAsia="仿宋_GB2312"/>
                <w:sz w:val="24"/>
              </w:rPr>
              <w:t>规划设计旅游风景道的公共服务设施，包括旅游风景道起点、终点地标设计、沿途标志物、旅游标识（含沿途旅游交通导引标识、风景道全景图、风景道线路图等）、重要节点的风貌引导、信息解说系统、游服中心、集散中心、驿站休闲露营地、停车场（含新能源充电桩、房车水电桩等）、观景平台、旅游厕所、维修租赁等。</w:t>
            </w:r>
          </w:p>
          <w:p>
            <w:pPr>
              <w:pStyle w:val="null3"/>
            </w:pPr>
            <w:r>
              <w:rPr>
                <w:rFonts w:ascii="仿宋_GB2312" w:hAnsi="仿宋_GB2312" w:cs="仿宋_GB2312" w:eastAsia="仿宋_GB2312"/>
                <w:sz w:val="24"/>
              </w:rPr>
              <w:t>5.</w:t>
            </w:r>
            <w:r>
              <w:rPr>
                <w:rFonts w:ascii="仿宋_GB2312" w:hAnsi="仿宋_GB2312" w:cs="仿宋_GB2312" w:eastAsia="仿宋_GB2312"/>
                <w:sz w:val="24"/>
              </w:rPr>
              <w:t>明确分阶段建设内容、整体宣传体系和保障体系。</w:t>
            </w:r>
          </w:p>
          <w:p>
            <w:pPr>
              <w:pStyle w:val="null3"/>
            </w:pPr>
            <w:r>
              <w:rPr>
                <w:rFonts w:ascii="仿宋_GB2312" w:hAnsi="仿宋_GB2312" w:cs="仿宋_GB2312" w:eastAsia="仿宋_GB2312"/>
                <w:sz w:val="24"/>
              </w:rPr>
              <w:t>6.</w:t>
            </w:r>
            <w:r>
              <w:rPr>
                <w:rFonts w:ascii="仿宋_GB2312" w:hAnsi="仿宋_GB2312" w:cs="仿宋_GB2312" w:eastAsia="仿宋_GB2312"/>
                <w:sz w:val="24"/>
              </w:rPr>
              <w:t>梳理风景道沿线的文化和旅游资源及文旅项目，明确风景道安全管理的规划要求。</w:t>
            </w:r>
          </w:p>
          <w:p>
            <w:pPr>
              <w:pStyle w:val="null3"/>
            </w:pPr>
            <w:r>
              <w:rPr>
                <w:rFonts w:ascii="仿宋_GB2312" w:hAnsi="仿宋_GB2312" w:cs="仿宋_GB2312" w:eastAsia="仿宋_GB2312"/>
                <w:sz w:val="24"/>
              </w:rPr>
              <w:t>7.</w:t>
            </w:r>
            <w:r>
              <w:rPr>
                <w:rFonts w:ascii="仿宋_GB2312" w:hAnsi="仿宋_GB2312" w:cs="仿宋_GB2312" w:eastAsia="仿宋_GB2312"/>
                <w:sz w:val="24"/>
              </w:rPr>
              <w:t>其他事项按照出台后的评定程序和标准再作临时补充和调整。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符合采购文件服务内容要求，确保项目顺利实施。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符合采购文件服务内容要求，确保项目顺利实施。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按合同条款要求执行。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60 日历日内完成定稿。</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陕西西安</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编制完成并经采购人审核定稿后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①按《中华人民共和国民法典》中的相关条款执行。②未按合同要求提供的设备质量不能满足合同技术要求，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2）合同争议解决：合同执行中发生争议的，当事人双方应协商解决，协商达不成一致时，可向采购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若电子投标文件与纸质投标文件不一致的，以电子投标文件为准；纸质投标文件可邮件递交，应于递交投标文件载止时间前邮寄到代理机构。收件地址：陕西中经招标有限公司（陕西省西安市碑林区长安北路8B高速经纬大厦16层）；收件人：郭燕妮；联系电话：029-87888601、029-87888602转8013；注：请发顺丰快递，其他快递此地址无法送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资格审核共8项</w:t>
            </w:r>
          </w:p>
        </w:tc>
        <w:tc>
          <w:tcPr>
            <w:tcW w:type="dxa" w:w="3322"/>
          </w:tcPr>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2024年11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2024年5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5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（8）特定资质：供应商具备建设主管部门颁发的城乡规划编制乙级（含）以上资质；供应商需在项目电子化交易系统中按要求上传相应证明文件并进行电子签章。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磋商报价是否唯一有效或磋商报价是否未超过采购预算</w:t>
            </w:r>
          </w:p>
        </w:tc>
        <w:tc>
          <w:tcPr>
            <w:tcW w:type="dxa" w:w="1661"/>
          </w:tcPr>
          <w:p>
            <w:pPr>
              <w:pStyle w:val="null3"/>
            </w:pPr>
            <w:r>
              <w:rPr>
                <w:rFonts w:ascii="仿宋_GB2312" w:hAnsi="仿宋_GB2312" w:cs="仿宋_GB2312" w:eastAsia="仿宋_GB2312"/>
              </w:rPr>
              <w:t>3.分项报价表.docx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服务期、付款方式</w:t>
            </w:r>
          </w:p>
        </w:tc>
        <w:tc>
          <w:tcPr>
            <w:tcW w:type="dxa" w:w="3322"/>
          </w:tcPr>
          <w:p>
            <w:pPr>
              <w:pStyle w:val="null3"/>
            </w:pPr>
            <w:r>
              <w:rPr>
                <w:rFonts w:ascii="仿宋_GB2312" w:hAnsi="仿宋_GB2312" w:cs="仿宋_GB2312" w:eastAsia="仿宋_GB2312"/>
              </w:rPr>
              <w:t>服务期、付款方式是否响应采购文件要求</w:t>
            </w:r>
          </w:p>
        </w:tc>
        <w:tc>
          <w:tcPr>
            <w:tcW w:type="dxa" w:w="1661"/>
          </w:tcPr>
          <w:p>
            <w:pPr>
              <w:pStyle w:val="null3"/>
            </w:pPr>
            <w:r>
              <w:rPr>
                <w:rFonts w:ascii="仿宋_GB2312" w:hAnsi="仿宋_GB2312" w:cs="仿宋_GB2312" w:eastAsia="仿宋_GB2312"/>
              </w:rPr>
              <w:t>5.商务应答表.docx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总体要求</w:t>
            </w:r>
          </w:p>
        </w:tc>
        <w:tc>
          <w:tcPr>
            <w:tcW w:type="dxa" w:w="2492"/>
          </w:tcPr>
          <w:p>
            <w:pPr>
              <w:pStyle w:val="null3"/>
            </w:pPr>
            <w:r>
              <w:rPr>
                <w:rFonts w:ascii="仿宋_GB2312" w:hAnsi="仿宋_GB2312" w:cs="仿宋_GB2312" w:eastAsia="仿宋_GB2312"/>
              </w:rPr>
              <w:t>针对本项目有①项目理解和认识、②工作思路和原则、③专业资料搜集和内容梳理、④项目背景研判和合理化建议，共4项。供应商提供的各项方案内容完全满足采购需求计2分，评审内容每缺一项扣2分，每项方案有缺陷未完全紧扣评审标准的每处扣0.5分，扣完为止；最高计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1.总体要求.docx</w:t>
            </w:r>
          </w:p>
        </w:tc>
      </w:tr>
      <w:tr>
        <w:tc>
          <w:tcPr>
            <w:tcW w:type="dxa" w:w="831"/>
            <w:vMerge/>
          </w:tcPr>
          <w:p/>
        </w:tc>
        <w:tc>
          <w:tcPr>
            <w:tcW w:type="dxa" w:w="1661"/>
          </w:tcPr>
          <w:p>
            <w:pPr>
              <w:pStyle w:val="null3"/>
            </w:pPr>
            <w:r>
              <w:rPr>
                <w:rFonts w:ascii="仿宋_GB2312" w:hAnsi="仿宋_GB2312" w:cs="仿宋_GB2312" w:eastAsia="仿宋_GB2312"/>
              </w:rPr>
              <w:t>重难点分析及应对措施</w:t>
            </w:r>
          </w:p>
        </w:tc>
        <w:tc>
          <w:tcPr>
            <w:tcW w:type="dxa" w:w="2492"/>
          </w:tcPr>
          <w:p>
            <w:pPr>
              <w:pStyle w:val="null3"/>
            </w:pPr>
            <w:r>
              <w:rPr>
                <w:rFonts w:ascii="仿宋_GB2312" w:hAnsi="仿宋_GB2312" w:cs="仿宋_GB2312" w:eastAsia="仿宋_GB2312"/>
              </w:rPr>
              <w:t>针对本项目提供①重难点分析、②应对措施，共2项。供应商提供的各项方案内容完全满足采购需求计2分，评审内容每缺一项扣2分，每项方案有缺陷未完全紧扣评审标准的每处扣1分，扣完为止；最高计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2.重难点分析及应对措施.docx</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针对本项目提供有服务实施方案，包含①Logo及大型意向标识设计，②旅游风景道选线的基本原则、线路组合和申报线路，③旅游风景道的主题形象定位、空间布局、线段划分、主题与文化特色，④旅游风景道的公共服务设施规划设计，⑤分阶段建设内容、整体宣传体系和保障体系，⑥风景道沿线的文化和旅游资源及文旅项目、风景道安全管理的规划，⑦编制成果转化，共7项。供应商提供的各项方案内容完全满足采购需求计4分，评审内容每缺一项扣4分，每项方案有缺陷未完全紧扣评审标准的每处扣1分，扣完为止；最高计28分；未提供不计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4.服务内容响应表.docx</w:t>
            </w:r>
          </w:p>
          <w:p>
            <w:pPr>
              <w:pStyle w:val="null3"/>
            </w:pPr>
            <w:r>
              <w:rPr>
                <w:rFonts w:ascii="仿宋_GB2312" w:hAnsi="仿宋_GB2312" w:cs="仿宋_GB2312" w:eastAsia="仿宋_GB2312"/>
              </w:rPr>
              <w:t>3.服务实施方案.docx</w:t>
            </w:r>
          </w:p>
        </w:tc>
      </w:tr>
      <w:tr>
        <w:tc>
          <w:tcPr>
            <w:tcW w:type="dxa" w:w="831"/>
            <w:vMerge/>
          </w:tcPr>
          <w:p/>
        </w:tc>
        <w:tc>
          <w:tcPr>
            <w:tcW w:type="dxa" w:w="1661"/>
          </w:tcPr>
          <w:p>
            <w:pPr>
              <w:pStyle w:val="null3"/>
            </w:pPr>
            <w:r>
              <w:rPr>
                <w:rFonts w:ascii="仿宋_GB2312" w:hAnsi="仿宋_GB2312" w:cs="仿宋_GB2312" w:eastAsia="仿宋_GB2312"/>
              </w:rPr>
              <w:t>进度安排及组织协调</w:t>
            </w:r>
          </w:p>
        </w:tc>
        <w:tc>
          <w:tcPr>
            <w:tcW w:type="dxa" w:w="2492"/>
          </w:tcPr>
          <w:p>
            <w:pPr>
              <w:pStyle w:val="null3"/>
            </w:pPr>
            <w:r>
              <w:rPr>
                <w:rFonts w:ascii="仿宋_GB2312" w:hAnsi="仿宋_GB2312" w:cs="仿宋_GB2312" w:eastAsia="仿宋_GB2312"/>
              </w:rPr>
              <w:t>针对本项目提供①项目进度安排、②组织协调措施，共2项。供应商提供的各项方案内容完全满足采购需求计2分，评审内容每缺一项扣2分，每项方案有缺陷未完全紧扣评审标准的每处扣1分，扣完为止；最高计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4.进度安排及组织协调.docx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①项目负责人须为供应商在职人员，提供证明材料（截止磋商前6个月内任意1个月的由供应商缴纳社保的证明材料或与供应商签订的劳务合同），资料完整计2分，否则不计分。 ②拟派项目负责人具有相关高级职称（城乡规划专业或管理专业），提供高级证书复印件计 3 分，提供中级证书复印件计1分，低于中级不得分；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5.项目负责人.docx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①提供团队人员配备清单计1分，清单能够列明人员信息、岗位职责、本行业工作年限、本单位为其缴纳近6个月任意一个月社保缴纳证明或劳务合同，每提供1位成员且信息完整计0.5分（不含项目负责人），最高计3分，此项满分4分； ②项目团队人员具有相关规划设计经验的每提供一份业绩证明计1分，最多得4分。（提供项目团队人员参与的项目服务合同，合同里需体现项目负责人或团队人员信息）。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6.团队人员.docx</w:t>
            </w:r>
          </w:p>
        </w:tc>
      </w:tr>
      <w:tr>
        <w:tc>
          <w:tcPr>
            <w:tcW w:type="dxa" w:w="831"/>
            <w:vMerge/>
          </w:tcPr>
          <w:p/>
        </w:tc>
        <w:tc>
          <w:tcPr>
            <w:tcW w:type="dxa" w:w="1661"/>
          </w:tcPr>
          <w:p>
            <w:pPr>
              <w:pStyle w:val="null3"/>
            </w:pPr>
            <w:r>
              <w:rPr>
                <w:rFonts w:ascii="仿宋_GB2312" w:hAnsi="仿宋_GB2312" w:cs="仿宋_GB2312" w:eastAsia="仿宋_GB2312"/>
              </w:rPr>
              <w:t>应急方案及补救措施等</w:t>
            </w:r>
          </w:p>
        </w:tc>
        <w:tc>
          <w:tcPr>
            <w:tcW w:type="dxa" w:w="2492"/>
          </w:tcPr>
          <w:p>
            <w:pPr>
              <w:pStyle w:val="null3"/>
            </w:pPr>
            <w:r>
              <w:rPr>
                <w:rFonts w:ascii="仿宋_GB2312" w:hAnsi="仿宋_GB2312" w:cs="仿宋_GB2312" w:eastAsia="仿宋_GB2312"/>
              </w:rPr>
              <w:t>针对本项目提供有①应急方案及补救措施、②成果质量保障措施、③保密措施、④验收措施，共4项。供应商提供的各项方案内容完全满足采购需求计2分，评审内容每缺一项扣2分，每项方案有缺陷未完全紧扣评审标准的每处扣1分，扣完为止；最高计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7.应急方案及补救措施等.docx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有①售后服务体系、②售后服务人员安排、③售后服务响应时间与处理时间、④售后服务内容及方式，共4项。供应商提供的各项方案内容完全满足采购需求计2.5分，评审内容每缺一项扣2.5分，每项方案有缺陷未完全紧扣评审标准的每处扣1分，扣完为止；最高计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供应商提供近五年至今承接的规划案例，须提供服务合同复印件，每个案例计2分，最高不超过10分。（以合同签订日期为准）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投标总报价）×价格权值×100%。注：磋商报价不完整的，不进入评标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详见附件：1.资格证明资料.docx</w:t>
      </w:r>
    </w:p>
    <w:p>
      <w:pPr>
        <w:pStyle w:val="null3"/>
        <w:ind w:firstLine="960"/>
      </w:pPr>
      <w:r>
        <w:rPr>
          <w:rFonts w:ascii="仿宋_GB2312" w:hAnsi="仿宋_GB2312" w:cs="仿宋_GB2312" w:eastAsia="仿宋_GB2312"/>
        </w:rPr>
        <w:t>详见附件：2.拒绝政府采购领域商业贿赂承诺书.docx</w:t>
      </w:r>
    </w:p>
    <w:p>
      <w:pPr>
        <w:pStyle w:val="null3"/>
        <w:ind w:firstLine="960"/>
      </w:pPr>
      <w:r>
        <w:rPr>
          <w:rFonts w:ascii="仿宋_GB2312" w:hAnsi="仿宋_GB2312" w:cs="仿宋_GB2312" w:eastAsia="仿宋_GB2312"/>
        </w:rPr>
        <w:t>详见附件：3.分项报价表.docx</w:t>
      </w:r>
    </w:p>
    <w:p>
      <w:pPr>
        <w:pStyle w:val="null3"/>
        <w:ind w:firstLine="960"/>
      </w:pPr>
      <w:r>
        <w:rPr>
          <w:rFonts w:ascii="仿宋_GB2312" w:hAnsi="仿宋_GB2312" w:cs="仿宋_GB2312" w:eastAsia="仿宋_GB2312"/>
        </w:rPr>
        <w:t>详见附件：4.服务内容响应表.docx</w:t>
      </w:r>
    </w:p>
    <w:p>
      <w:pPr>
        <w:pStyle w:val="null3"/>
        <w:ind w:firstLine="960"/>
      </w:pPr>
      <w:r>
        <w:rPr>
          <w:rFonts w:ascii="仿宋_GB2312" w:hAnsi="仿宋_GB2312" w:cs="仿宋_GB2312" w:eastAsia="仿宋_GB2312"/>
        </w:rPr>
        <w:t>详见附件：5.商务应答表.docx</w:t>
      </w:r>
    </w:p>
    <w:p>
      <w:pPr>
        <w:pStyle w:val="null3"/>
        <w:ind w:firstLine="960"/>
      </w:pPr>
      <w:r>
        <w:rPr>
          <w:rFonts w:ascii="仿宋_GB2312" w:hAnsi="仿宋_GB2312" w:cs="仿宋_GB2312" w:eastAsia="仿宋_GB2312"/>
        </w:rPr>
        <w:t>详见附件：1.总体要求.docx</w:t>
      </w:r>
    </w:p>
    <w:p>
      <w:pPr>
        <w:pStyle w:val="null3"/>
        <w:ind w:firstLine="960"/>
      </w:pPr>
      <w:r>
        <w:rPr>
          <w:rFonts w:ascii="仿宋_GB2312" w:hAnsi="仿宋_GB2312" w:cs="仿宋_GB2312" w:eastAsia="仿宋_GB2312"/>
        </w:rPr>
        <w:t>详见附件：2.重难点分析及应对措施.docx</w:t>
      </w:r>
    </w:p>
    <w:p>
      <w:pPr>
        <w:pStyle w:val="null3"/>
        <w:ind w:firstLine="960"/>
      </w:pPr>
      <w:r>
        <w:rPr>
          <w:rFonts w:ascii="仿宋_GB2312" w:hAnsi="仿宋_GB2312" w:cs="仿宋_GB2312" w:eastAsia="仿宋_GB2312"/>
        </w:rPr>
        <w:t>详见附件：3.服务实施方案.docx</w:t>
      </w:r>
    </w:p>
    <w:p>
      <w:pPr>
        <w:pStyle w:val="null3"/>
        <w:ind w:firstLine="960"/>
      </w:pPr>
      <w:r>
        <w:rPr>
          <w:rFonts w:ascii="仿宋_GB2312" w:hAnsi="仿宋_GB2312" w:cs="仿宋_GB2312" w:eastAsia="仿宋_GB2312"/>
        </w:rPr>
        <w:t>详见附件：4.进度安排及组织协调.docx</w:t>
      </w:r>
    </w:p>
    <w:p>
      <w:pPr>
        <w:pStyle w:val="null3"/>
        <w:ind w:firstLine="960"/>
      </w:pPr>
      <w:r>
        <w:rPr>
          <w:rFonts w:ascii="仿宋_GB2312" w:hAnsi="仿宋_GB2312" w:cs="仿宋_GB2312" w:eastAsia="仿宋_GB2312"/>
        </w:rPr>
        <w:t>详见附件：5.项目负责人.docx</w:t>
      </w:r>
    </w:p>
    <w:p>
      <w:pPr>
        <w:pStyle w:val="null3"/>
        <w:ind w:firstLine="960"/>
      </w:pPr>
      <w:r>
        <w:rPr>
          <w:rFonts w:ascii="仿宋_GB2312" w:hAnsi="仿宋_GB2312" w:cs="仿宋_GB2312" w:eastAsia="仿宋_GB2312"/>
        </w:rPr>
        <w:t>详见附件：6.团队人员.docx</w:t>
      </w:r>
    </w:p>
    <w:p>
      <w:pPr>
        <w:pStyle w:val="null3"/>
        <w:ind w:firstLine="960"/>
      </w:pPr>
      <w:r>
        <w:rPr>
          <w:rFonts w:ascii="仿宋_GB2312" w:hAnsi="仿宋_GB2312" w:cs="仿宋_GB2312" w:eastAsia="仿宋_GB2312"/>
        </w:rPr>
        <w:t>详见附件：7.应急方案及补救措施等.docx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