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DF91C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实施</w:t>
      </w:r>
      <w:bookmarkStart w:id="0" w:name="_GoBack"/>
      <w:bookmarkEnd w:id="0"/>
      <w:r>
        <w:rPr>
          <w:rFonts w:hint="eastAsia"/>
          <w:lang w:val="en-US" w:eastAsia="zh-CN"/>
        </w:rPr>
        <w:t>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27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2025-06-13T04:11:07Z</dcterms:created>
  <dc:creator>Admin</dc:creator>
  <cp:lastModifiedBy>载载</cp:lastModifiedBy>
  <dcterms:modified xsi:type="dcterms:W3CDTF">2025-06-13T04:11:16Z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eyJoZGlkIjoiZjRiN2Q5ZmQ3OTVmYmI4NzkxYzc4OWJjZWNmZGE0MTkiLCJ1c2VySWQiOiIyMDMwMTA3ODEifQ==</vt:lpwstr>
  </property>
  <property fmtid="{D5CDD505-2E9C-101B-9397-08002B2CF9AE}" pid="4" name="ICV">
    <vt:lpwstr>4F17CC71DA07476BA97BC6EB63F49482_12</vt:lpwstr>
  </property>
</Properties>
</file>