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版本号：ZHCG-NZZX-20250708.1B120250724001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重要农产品品质检测项目(二次)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ZHCG-NZZX-20250708.1B1</w:t>
      </w:r>
      <w:r>
        <w:br/>
      </w:r>
      <w:r>
        <w:br/>
      </w:r>
      <w:r>
        <w:br/>
      </w:r>
    </w:p>
    <w:p>
      <w:pPr>
        <w:pStyle w:val="null3"/>
        <w:jc w:val="center"/>
        <w:outlineLvl w:val="2"/>
      </w:pPr>
      <w:r>
        <w:rPr>
          <w:rFonts w:ascii="仿宋_GB2312" w:hAnsi="仿宋_GB2312" w:cs="仿宋_GB2312" w:eastAsia="仿宋_GB2312"/>
          <w:sz w:val="28"/>
          <w:b/>
        </w:rPr>
        <w:t>陕西省农产品质量安全中心</w:t>
      </w:r>
    </w:p>
    <w:p>
      <w:pPr>
        <w:pStyle w:val="null3"/>
        <w:jc w:val="center"/>
        <w:outlineLvl w:val="2"/>
      </w:pPr>
      <w:r>
        <w:rPr>
          <w:rFonts w:ascii="仿宋_GB2312" w:hAnsi="仿宋_GB2312" w:cs="仿宋_GB2312" w:eastAsia="仿宋_GB2312"/>
          <w:sz w:val="28"/>
          <w:b/>
        </w:rPr>
        <w:t>正和丽景项目管理有限公司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正和丽景项目管理有限公司</w:t>
      </w:r>
      <w:r>
        <w:rPr>
          <w:rFonts w:ascii="仿宋_GB2312" w:hAnsi="仿宋_GB2312" w:cs="仿宋_GB2312" w:eastAsia="仿宋_GB2312"/>
        </w:rPr>
        <w:t>（以下简称“代理机构”）受</w:t>
      </w:r>
      <w:r>
        <w:rPr>
          <w:rFonts w:ascii="仿宋_GB2312" w:hAnsi="仿宋_GB2312" w:cs="仿宋_GB2312" w:eastAsia="仿宋_GB2312"/>
        </w:rPr>
        <w:t>陕西省农产品质量安全中心</w:t>
      </w:r>
      <w:r>
        <w:rPr>
          <w:rFonts w:ascii="仿宋_GB2312" w:hAnsi="仿宋_GB2312" w:cs="仿宋_GB2312" w:eastAsia="仿宋_GB2312"/>
        </w:rPr>
        <w:t>委托，拟对</w:t>
      </w:r>
      <w:r>
        <w:rPr>
          <w:rFonts w:ascii="仿宋_GB2312" w:hAnsi="仿宋_GB2312" w:cs="仿宋_GB2312" w:eastAsia="仿宋_GB2312"/>
        </w:rPr>
        <w:t>重要农产品品质检测项目(二次)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ZHCG-NZZX-20250708.1B1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重要农产品品质检测项目(二次)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开展以苹果、猕猴桃、葡萄、辣椒、冬枣、香菇、木耳、茶等28个陕西重要农产品品质特征检测研究工作。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审计报告：提供2024年度经审计的财务报告（成立时间至响应文件提交截止时间不足一年的可提供成立后任意时段的资产负债表），或提交自2025年01月01日以来银行（基本户开户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3、税收缴纳证明：提供响应文件提交截止时间前近六个月内至少一个月的纳税证明或完税证明（增值税，印花税，城市维护建设费，企业所得税等一种或多种税种），依法免税的单位应提供相关证明材料；</w:t>
      </w:r>
    </w:p>
    <w:p>
      <w:pPr>
        <w:pStyle w:val="null3"/>
      </w:pPr>
      <w:r>
        <w:rPr>
          <w:rFonts w:ascii="仿宋_GB2312" w:hAnsi="仿宋_GB2312" w:cs="仿宋_GB2312" w:eastAsia="仿宋_GB2312"/>
        </w:rPr>
        <w:t>4、社会保障资金缴纳证明：提供响应文件提交截止时间前近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5、履行合同的能力：提供具有履行本合同所必需的设备和专业技术能力的声明；</w:t>
      </w:r>
    </w:p>
    <w:p>
      <w:pPr>
        <w:pStyle w:val="null3"/>
      </w:pPr>
      <w:r>
        <w:rPr>
          <w:rFonts w:ascii="仿宋_GB2312" w:hAnsi="仿宋_GB2312" w:cs="仿宋_GB2312" w:eastAsia="仿宋_GB2312"/>
        </w:rPr>
        <w:t>6、前三年内无重大违法记录的声明：出具参加政府采购活动前3年内在经营活动中没有重大违法记录的书面声明；</w:t>
      </w:r>
    </w:p>
    <w:p>
      <w:pPr>
        <w:pStyle w:val="null3"/>
      </w:pPr>
      <w:r>
        <w:rPr>
          <w:rFonts w:ascii="仿宋_GB2312" w:hAnsi="仿宋_GB2312" w:cs="仿宋_GB2312" w:eastAsia="仿宋_GB2312"/>
        </w:rPr>
        <w:t>7、法定代表人授权书：须提供法定代表人授权书（法定代表人或负责人直接投标，须提交法定代表人证明书）</w:t>
      </w:r>
    </w:p>
    <w:p>
      <w:pPr>
        <w:pStyle w:val="null3"/>
      </w:pPr>
      <w:r>
        <w:rPr>
          <w:rFonts w:ascii="仿宋_GB2312" w:hAnsi="仿宋_GB2312" w:cs="仿宋_GB2312" w:eastAsia="仿宋_GB2312"/>
        </w:rPr>
        <w:t>8、信用信息：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9、资质证书：供应商应具备检验检测机构资质认定证书(CMA)及农产品质量安全检测机构考核合格证书(CATL)</w:t>
      </w:r>
    </w:p>
    <w:p>
      <w:pPr>
        <w:pStyle w:val="null3"/>
      </w:pPr>
      <w:r>
        <w:rPr>
          <w:rFonts w:ascii="仿宋_GB2312" w:hAnsi="仿宋_GB2312" w:cs="仿宋_GB2312" w:eastAsia="仿宋_GB2312"/>
        </w:rPr>
        <w:t>10、资质要求：供应商须纳入绿色食品定点检测机构名录或全国名特优新农产品营养品质评价鉴定机构名录。</w:t>
      </w:r>
    </w:p>
    <w:p>
      <w:pPr>
        <w:pStyle w:val="null3"/>
      </w:pPr>
      <w:r>
        <w:rPr>
          <w:rFonts w:ascii="仿宋_GB2312" w:hAnsi="仿宋_GB2312" w:cs="仿宋_GB2312" w:eastAsia="仿宋_GB2312"/>
        </w:rPr>
        <w:t>11、非联合体投标：本项目不接受联合体投标。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陕西省农产品质量安全中心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西安市未央区凤城七路118号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029-86361374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正和丽景项目管理有限公司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陕西省西安市雁塔区唐延路35号旺座现代城B座1104室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何智颖、李冲、高兴、亢辉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029-88212028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发展计划委员会计价格〔2002〕1980号、发改办价格〔2003〕857号规定，依据发改价格〔2015〕299号文件规定标准计取该项目的招标代理服务费。经双方协商，由成交供应商支付招标代理服务费，发放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陕西省农产品质量安全中心</w:t>
      </w:r>
      <w:r>
        <w:rPr>
          <w:rFonts w:ascii="仿宋_GB2312" w:hAnsi="仿宋_GB2312" w:cs="仿宋_GB2312" w:eastAsia="仿宋_GB2312"/>
        </w:rPr>
        <w:t>和</w:t>
      </w:r>
      <w:r>
        <w:rPr>
          <w:rFonts w:ascii="仿宋_GB2312" w:hAnsi="仿宋_GB2312" w:cs="仿宋_GB2312" w:eastAsia="仿宋_GB2312"/>
        </w:rPr>
        <w:t>正和丽景项目管理有限公司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陕西省农产品质量安全中心</w:t>
      </w:r>
      <w:r>
        <w:rPr>
          <w:rFonts w:ascii="仿宋_GB2312" w:hAnsi="仿宋_GB2312" w:cs="仿宋_GB2312" w:eastAsia="仿宋_GB2312"/>
        </w:rPr>
        <w:t>负责解释。除上述磋商文件内容，其他内容由</w:t>
      </w:r>
      <w:r>
        <w:rPr>
          <w:rFonts w:ascii="仿宋_GB2312" w:hAnsi="仿宋_GB2312" w:cs="仿宋_GB2312" w:eastAsia="仿宋_GB2312"/>
        </w:rPr>
        <w:t>正和丽景项目管理有限公司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陕西省农产品质量安全中心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正和丽景项目管理有限公司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(1)合同文本(2)国内相应的标准、规范(3)采购文件、响应文件、承诺、磋商内容等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联系人：何智颖、李冲、高兴、亢辉</w:t>
      </w:r>
    </w:p>
    <w:p>
      <w:pPr>
        <w:pStyle w:val="null3"/>
      </w:pPr>
      <w:r>
        <w:rPr>
          <w:rFonts w:ascii="仿宋_GB2312" w:hAnsi="仿宋_GB2312" w:cs="仿宋_GB2312" w:eastAsia="仿宋_GB2312"/>
        </w:rPr>
        <w:t>联系电话：029-88212028</w:t>
      </w:r>
    </w:p>
    <w:p>
      <w:pPr>
        <w:pStyle w:val="null3"/>
      </w:pPr>
      <w:r>
        <w:rPr>
          <w:rFonts w:ascii="仿宋_GB2312" w:hAnsi="仿宋_GB2312" w:cs="仿宋_GB2312" w:eastAsia="仿宋_GB2312"/>
        </w:rPr>
        <w:t>地址：陕西省西安市雁塔区唐延路35号旺座现代城B座1104室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开展以苹果、猕猴桃、葡萄、辣椒、冬枣、香菇、木耳、茶等28个陕西重要农产品品质特征检测研究工作。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重要农产品品质检测项目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标的名称：重要农产品品质检测项目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p>
            <w:pPr>
              <w:pStyle w:val="null3"/>
            </w:pPr>
            <w:r>
              <w:rPr>
                <w:rFonts w:ascii="仿宋_GB2312" w:hAnsi="仿宋_GB2312" w:cs="仿宋_GB2312" w:eastAsia="仿宋_GB2312"/>
              </w:rPr>
              <w:t>开展以苹果、猕猴桃、葡萄、辣椒、冬枣、香菇、木耳、茶等28个陕西重要农产品品质特征检测研究工作。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二、抽检产品</w:t>
            </w:r>
          </w:p>
          <w:p>
            <w:pPr>
              <w:pStyle w:val="null3"/>
            </w:pPr>
            <w:r>
              <w:rPr>
                <w:rFonts w:ascii="仿宋_GB2312" w:hAnsi="仿宋_GB2312" w:cs="仿宋_GB2312" w:eastAsia="仿宋_GB2312"/>
              </w:rPr>
              <w:t>凤翔苹果、旬邑苹果、宜君苹果、合阳苹果、宜川苹果、洛川苹果、富县苹果、榆林苹果、周至猕猴桃、眉县猕猴桃、城固猕猴桃、汉滨猕猴桃、户县葡萄、渭滨葡萄、丹凤葡萄、兴平辣椒、陇县线辣椒、沙底辣椒、大荔冬枣、镇巴毛尖、紫阳富硒茶、平利女娲茶、商南茶、镇安象园茶、宁陕香菇、商南香菇、陇县香菇、柞水木耳，共计28个。</w:t>
            </w:r>
          </w:p>
          <w:p>
            <w:pPr>
              <w:pStyle w:val="null3"/>
            </w:pPr>
            <w:r>
              <w:rPr>
                <w:rFonts w:ascii="仿宋_GB2312" w:hAnsi="仿宋_GB2312" w:cs="仿宋_GB2312" w:eastAsia="仿宋_GB2312"/>
              </w:rPr>
              <w:t>三、抽检要求</w:t>
            </w:r>
          </w:p>
          <w:p>
            <w:pPr>
              <w:pStyle w:val="null3"/>
            </w:pPr>
            <w:r>
              <w:rPr>
                <w:rFonts w:ascii="仿宋_GB2312" w:hAnsi="仿宋_GB2312" w:cs="仿宋_GB2312" w:eastAsia="仿宋_GB2312"/>
              </w:rPr>
              <w:t>严格依据相关规范或标准，每个产品优选5个通过绿色食品认证或名特优新、地理标志授权基地进行抽样。</w:t>
            </w:r>
          </w:p>
          <w:p>
            <w:pPr>
              <w:pStyle w:val="null3"/>
            </w:pPr>
            <w:r>
              <w:rPr>
                <w:rFonts w:ascii="仿宋_GB2312" w:hAnsi="仿宋_GB2312" w:cs="仿宋_GB2312" w:eastAsia="仿宋_GB2312"/>
              </w:rPr>
              <w:t>四、检测指标</w:t>
            </w:r>
          </w:p>
          <w:p>
            <w:pPr>
              <w:pStyle w:val="null3"/>
            </w:pPr>
            <w:r>
              <w:rPr>
                <w:rFonts w:ascii="仿宋_GB2312" w:hAnsi="仿宋_GB2312" w:cs="仿宋_GB2312" w:eastAsia="仿宋_GB2312"/>
              </w:rPr>
              <w:t>每类产品检测指标不少于5项，包括必检项和非必检项。</w:t>
            </w:r>
          </w:p>
          <w:p>
            <w:pPr>
              <w:pStyle w:val="null3"/>
            </w:pPr>
            <w:r>
              <w:rPr>
                <w:rFonts w:ascii="仿宋_GB2312" w:hAnsi="仿宋_GB2312" w:cs="仿宋_GB2312" w:eastAsia="仿宋_GB2312"/>
              </w:rPr>
              <w:t>其中：</w:t>
            </w:r>
          </w:p>
          <w:p>
            <w:pPr>
              <w:pStyle w:val="null3"/>
            </w:pPr>
            <w:r>
              <w:rPr>
                <w:rFonts w:ascii="仿宋_GB2312" w:hAnsi="仿宋_GB2312" w:cs="仿宋_GB2312" w:eastAsia="仿宋_GB2312"/>
              </w:rPr>
              <w:t>苹果必检项为可溶性固形物、可滴定酸、硬度、维生素C；</w:t>
            </w:r>
          </w:p>
          <w:p>
            <w:pPr>
              <w:pStyle w:val="null3"/>
            </w:pPr>
            <w:r>
              <w:rPr>
                <w:rFonts w:ascii="仿宋_GB2312" w:hAnsi="仿宋_GB2312" w:cs="仿宋_GB2312" w:eastAsia="仿宋_GB2312"/>
              </w:rPr>
              <w:t>猕猴桃必检项为维生素C、可溶性固形物、可滴定酸；</w:t>
            </w:r>
          </w:p>
          <w:p>
            <w:pPr>
              <w:pStyle w:val="null3"/>
            </w:pPr>
            <w:r>
              <w:rPr>
                <w:rFonts w:ascii="仿宋_GB2312" w:hAnsi="仿宋_GB2312" w:cs="仿宋_GB2312" w:eastAsia="仿宋_GB2312"/>
              </w:rPr>
              <w:t>葡萄必检项为可溶性固形物、可滴定酸；</w:t>
            </w:r>
          </w:p>
          <w:p>
            <w:pPr>
              <w:pStyle w:val="null3"/>
            </w:pPr>
            <w:r>
              <w:rPr>
                <w:rFonts w:ascii="仿宋_GB2312" w:hAnsi="仿宋_GB2312" w:cs="仿宋_GB2312" w:eastAsia="仿宋_GB2312"/>
              </w:rPr>
              <w:t>辣椒必检项为辣椒素类物质、维生素C；</w:t>
            </w:r>
          </w:p>
          <w:p>
            <w:pPr>
              <w:pStyle w:val="null3"/>
            </w:pPr>
            <w:r>
              <w:rPr>
                <w:rFonts w:ascii="仿宋_GB2312" w:hAnsi="仿宋_GB2312" w:cs="仿宋_GB2312" w:eastAsia="仿宋_GB2312"/>
              </w:rPr>
              <w:t>冬枣必检项为可溶性固形物、总酸；</w:t>
            </w:r>
          </w:p>
          <w:p>
            <w:pPr>
              <w:pStyle w:val="null3"/>
            </w:pPr>
            <w:r>
              <w:rPr>
                <w:rFonts w:ascii="仿宋_GB2312" w:hAnsi="仿宋_GB2312" w:cs="仿宋_GB2312" w:eastAsia="仿宋_GB2312"/>
              </w:rPr>
              <w:t>茶叶必检项为水浸出物、茶多酚、游离氨基酸总量；</w:t>
            </w:r>
          </w:p>
          <w:p>
            <w:pPr>
              <w:pStyle w:val="null3"/>
            </w:pPr>
            <w:r>
              <w:rPr>
                <w:rFonts w:ascii="仿宋_GB2312" w:hAnsi="仿宋_GB2312" w:cs="仿宋_GB2312" w:eastAsia="仿宋_GB2312"/>
              </w:rPr>
              <w:t>香菇必检项为蛋白质、总糖；</w:t>
            </w:r>
          </w:p>
          <w:p>
            <w:pPr>
              <w:pStyle w:val="null3"/>
            </w:pPr>
            <w:r>
              <w:rPr>
                <w:rFonts w:ascii="仿宋_GB2312" w:hAnsi="仿宋_GB2312" w:cs="仿宋_GB2312" w:eastAsia="仿宋_GB2312"/>
              </w:rPr>
              <w:t>木耳必检项为蛋白质、总糖。</w:t>
            </w:r>
          </w:p>
          <w:p>
            <w:pPr>
              <w:pStyle w:val="null3"/>
            </w:pPr>
            <w:r>
              <w:rPr>
                <w:rFonts w:ascii="仿宋_GB2312" w:hAnsi="仿宋_GB2312" w:cs="仿宋_GB2312" w:eastAsia="仿宋_GB2312"/>
              </w:rPr>
              <w:t>非必检项双方沟通确定。</w:t>
            </w:r>
          </w:p>
          <w:p>
            <w:pPr>
              <w:pStyle w:val="null3"/>
            </w:pPr>
            <w:r>
              <w:rPr>
                <w:rFonts w:ascii="仿宋_GB2312" w:hAnsi="仿宋_GB2312" w:cs="仿宋_GB2312" w:eastAsia="仿宋_GB2312"/>
              </w:rPr>
              <w:t>五、检测报告要求</w:t>
            </w:r>
          </w:p>
          <w:p>
            <w:pPr>
              <w:pStyle w:val="null3"/>
            </w:pPr>
            <w:r>
              <w:rPr>
                <w:rFonts w:ascii="仿宋_GB2312" w:hAnsi="仿宋_GB2312" w:cs="仿宋_GB2312" w:eastAsia="仿宋_GB2312"/>
              </w:rPr>
              <w:t>（一）产品检测报告，纸质版一式四份，并提供电子版。</w:t>
            </w:r>
          </w:p>
          <w:p>
            <w:pPr>
              <w:pStyle w:val="null3"/>
            </w:pPr>
            <w:r>
              <w:rPr>
                <w:rFonts w:ascii="仿宋_GB2312" w:hAnsi="仿宋_GB2312" w:cs="仿宋_GB2312" w:eastAsia="仿宋_GB2312"/>
              </w:rPr>
              <w:t>（二）检测结果总结分析报告一份。</w:t>
            </w:r>
          </w:p>
          <w:p>
            <w:pPr>
              <w:pStyle w:val="null3"/>
            </w:pPr>
            <w:r>
              <w:rPr>
                <w:rFonts w:ascii="仿宋_GB2312" w:hAnsi="仿宋_GB2312" w:cs="仿宋_GB2312" w:eastAsia="仿宋_GB2312"/>
              </w:rPr>
              <w:t>六、会商分析</w:t>
            </w:r>
          </w:p>
          <w:p>
            <w:pPr>
              <w:pStyle w:val="null3"/>
            </w:pPr>
            <w:r>
              <w:rPr>
                <w:rFonts w:ascii="仿宋_GB2312" w:hAnsi="仿宋_GB2312" w:cs="仿宋_GB2312" w:eastAsia="仿宋_GB2312"/>
              </w:rPr>
              <w:t>项目实施过程中，乙方应按照甲方要求的时间提供结果品质分析报告以及检测报告电子版及纸质版（其中包括实施方案、工作过程、产品结果汇总分析、存在问题及建议等），组织召开6次以上专家会商分析会，即视为乙方已经完成了甲方委托的当次全部任务，甲方应当完成履行付款义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检测单位须根据本次服务要求，配备有足够的相关专业人员。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检测单位须配备有液相色谱-串联质谱仪、气相色谱-串联质谱仪、高效液相色谱仪、气相色谱仪、紫外分光光度计、原子荧光光度计、原子吸收分光光度计等必要的检测设备。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2025年12月30日前完成本项目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经组织相关专家进行项目验收通过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甲方于合同签订后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1.甲方如未按照双方约定的时限条件付款，甲方应当承担违约责任，承担方式和违约金额为每迟延履行一日，向乙方支付未付款金额的1‰违约金，延期超过30日未付款，乙方有权解除本协议。 2.乙方仅对按照甲方名单中抽取的样品自身的检测结果负责，由于样品的检测结果与样品所代表的同种产品物质真实情况存在的客观误差，所引发的一切法律后果由甲方自行承担；如因乙方过错导致样品的检测结果与样品的真实情况超过正常的客观误差范围，乙方承担此样品此检测项目的二倍检测费用的赔偿责任，赔偿金额最高不超过甲方应向乙方支付的检测费用金额，除此之外，乙方对其它任何原因导致的检测结果误差及检测结果的使用不承担任何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1、报价含完成任务所需的样品费、交通费、检测费、专家费、会议室租赁费、租车费、资料费等。 2、付款进度：具体支付进度以财政审批下达时间为准，由甲乙双方协商确定。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经审计的财务报告（成立时间至响应文件提交截止时间不足一年的可提供成立后任意时段的资产负债表），或提交自2025年01月01日以来银行（基本户开户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提供响应文件提交截止时间前近六个月内至少一个月的纳税证明或完税证明（增值税，印花税，城市维护建设费，企业所得税等一种或多种税种），依法免税的单位应提供相关证明材料；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前三年内无重大违法记录的声明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供应商应具备检验检测机构资质认定证书(CMA)及农产品质量安全检测机构考核合格证书(CATL)</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供应商须纳入绿色食品定点检测机构名录或全国名特优新农产品营养品质评价鉴定机构名录。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供应商有必要说明的问题.docx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商务应答表 服务方案 承诺书.docx 报价表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针对本项目提供具体的服务方案（包括但不限于服务响应、抽样、样品采集、保存、运输、检品检测、 检测报告出具等）。1、服务方案考虑全面，内容详实，切实可行，完全满足采购需求的，计（8～12]分； 2、服务方案基本完整，具有一定的操作性，基本满足采购需求的，计（4～8]分；3、服务方案内容有缺漏项，可行性、针对性不足，计（0～4]分。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服务过程中的各种突发事件（如样品丢失、样品污染、数据泄露等）提供具体应急预案，1、方案详尽合理、可行性较强计（4～6]分；2、方案基本可行、有利于妥善处理应急事件发生计（2～4]分；3、应急方案内容粗略，可行性较差（0～2]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供应商应保证检验结果的完整性、真实性、合法性、保密性，无检测质量事故、无违法违约等行为，检测报告真实有效，不弄虚作假，不对外泄漏相关数据。结合采购需求，提供具体的相关质量保障措施。 1、措施科学合理、具体可行，计（6～9]分； 2、措施基本合理，可行性一般计（3～6]分； 3、措施简单、不利于项目实施，计（0～3]分。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供应商具有完善的农产品安全检测制度、检验档案管理制度、责任追究制度等管理制度，根据响应内容计0～5分。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投诉受理机制</w:t>
            </w:r>
          </w:p>
        </w:tc>
        <w:tc>
          <w:tcPr>
            <w:tcW w:type="dxa" w:w="2492"/>
          </w:tcPr>
          <w:p>
            <w:pPr>
              <w:pStyle w:val="null3"/>
            </w:pPr>
            <w:r>
              <w:rPr>
                <w:rFonts w:ascii="仿宋_GB2312" w:hAnsi="仿宋_GB2312" w:cs="仿宋_GB2312" w:eastAsia="仿宋_GB2312"/>
              </w:rPr>
              <w:t>有完善的投诉受理机制，能够对被抽检人的异议做出有效回应，根据投诉受理制度、有专门的负责人或部门等方面，计0～6分。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检验设备</w:t>
            </w:r>
          </w:p>
        </w:tc>
        <w:tc>
          <w:tcPr>
            <w:tcW w:type="dxa" w:w="2492"/>
          </w:tcPr>
          <w:p>
            <w:pPr>
              <w:pStyle w:val="null3"/>
            </w:pPr>
            <w:r>
              <w:rPr>
                <w:rFonts w:ascii="仿宋_GB2312" w:hAnsi="仿宋_GB2312" w:cs="仿宋_GB2312" w:eastAsia="仿宋_GB2312"/>
              </w:rPr>
              <w:t>供应商需具有必要的试验检验设备 ，如液相色谱-串联质谱仪、气相色谱-串联质谱仪、高效液相色谱仪、气相色谱仪、紫外分光光度计、原子荧光光度计、原子吸收分光光度计等，根据供应商提供的设备清单及相关材料（仪器设备照片、购置发票或检定/校准报告等证明等材料），计0～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项目团队构架</w:t>
            </w:r>
          </w:p>
        </w:tc>
        <w:tc>
          <w:tcPr>
            <w:tcW w:type="dxa" w:w="2492"/>
          </w:tcPr>
          <w:p>
            <w:pPr>
              <w:pStyle w:val="null3"/>
            </w:pPr>
            <w:r>
              <w:rPr>
                <w:rFonts w:ascii="仿宋_GB2312" w:hAnsi="仿宋_GB2312" w:cs="仿宋_GB2312" w:eastAsia="仿宋_GB2312"/>
              </w:rPr>
              <w:t>本项目拟投入人员的工作经验及组织架构需满足项目需求。架构合理，人员配置齐全、岗位分配合理、 团队人员经验丰富，完全满足项目需求，计（6～9]分；架构基本完善，人员配置完整、有具体岗位分配 、团队人员具有一定的经验，基本满足项目需求，计（3～6]分；人员配置欠缺、不利于项目实施的计（0～3]分，未提供不得分。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专业技术人员</w:t>
            </w:r>
          </w:p>
        </w:tc>
        <w:tc>
          <w:tcPr>
            <w:tcW w:type="dxa" w:w="2492"/>
          </w:tcPr>
          <w:p>
            <w:pPr>
              <w:pStyle w:val="null3"/>
            </w:pPr>
            <w:r>
              <w:rPr>
                <w:rFonts w:ascii="仿宋_GB2312" w:hAnsi="仿宋_GB2312" w:cs="仿宋_GB2312" w:eastAsia="仿宋_GB2312"/>
              </w:rPr>
              <w:t>从事农产品质量安全检测工作的中级及以上技术职称人员，提供1名 得2分，最高6分，（需提供人员身份证、职称证以及在本单位所缴纳的社会保险缴纳证明材料复印件）。未提供不得分。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工作场地</w:t>
            </w:r>
          </w:p>
        </w:tc>
        <w:tc>
          <w:tcPr>
            <w:tcW w:type="dxa" w:w="2492"/>
          </w:tcPr>
          <w:p>
            <w:pPr>
              <w:pStyle w:val="null3"/>
            </w:pPr>
            <w:r>
              <w:rPr>
                <w:rFonts w:ascii="仿宋_GB2312" w:hAnsi="仿宋_GB2312" w:cs="仿宋_GB2312" w:eastAsia="仿宋_GB2312"/>
              </w:rPr>
              <w:t>有独立检测实验室。提供相关证明材料（房产证明或房屋租赁合同等及检验场所的照片），完整有效计5分，未提供不得分。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针对本项目提供具体的合理化建议及服务承诺。1、建议及承诺科学合理、具有针对性、切实可行，计（3～6]分；2、建议及承诺基本合理，具有一定的可行性，计（0～3]分。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供应商提供2021年1月1日至今的类似项目业绩，每提供一个得2分,满分10分。 注：以业绩合同为准，附合同关键页（应包含合同首页、采购内容、金额所在页和签字盖章页及合同签订日期页等）。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以满足磋商文件要求且磋商价格最低的报价为评标基准价,其价格分为满分,其他供应商的价格分按照下列公式计算:报价得分=(评标基准价/磋商报价)×20。 注：对符合政府采购政策供应商的价格扣除见评审办法</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详见附件：供应商有必要说明的问题.docx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详见附件：2025年重要农产品检测合作协议.docx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