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版本号：ZR30GN2025-CS-034.3.5B120250701001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2025年度11月货物贸易境外重点展会(二次)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ZR30GN2025-CS-034.3.5B1</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陕西中润国际招标有限公司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陕西中润国际招标有限公司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2025年度11月货物贸易境外重点展会(二次)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ZR30GN2025-CS-034.3.5B1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2025年度11月货物贸易境外重点展会(二次)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2025年度11月货物贸易境外重点展会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采购包1（德国汉诺威国际农业机械展览会）：属于专门面向小微企业采购。</w:t>
      </w:r>
    </w:p>
    <w:p>
      <w:pPr>
        <w:pStyle w:val="null3"/>
      </w:pPr>
      <w:r>
        <w:rPr>
          <w:rFonts w:ascii="仿宋_GB2312" w:hAnsi="仿宋_GB2312" w:cs="仿宋_GB2312" w:eastAsia="仿宋_GB2312"/>
        </w:rPr>
        <w:t>采购包2（中东迪拜礼品及消费品展览会）：属于专门面向小微企业采购。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1、供应商特定资格条件：供应商在递交响应文件截止时间前被“信用中国 ”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2、供应商特定资格条件：法定代表人（负责人）授权委托书/法定代表人（负责人）身份证明：法定代表人（负责人）参加磋商的，须出示身份证；法定代表人（负责人）授权他人参加磋商的，须提供法定代表人（负责人）授权委托书及被授权人身份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1、供应商特定资格条件：供应商在递交响应文件截止时间前被“信用中国 ”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2、供应商特定资格条件：法定代表人（负责人）授权委托书/法定代表人（负责人）身份证明：法定代表人（负责人）参加磋商的，须出示身份证；法定代表人（负责人）授权他人参加磋商的，须提供法定代表人（负责人）授权委托书及被授权人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陕西中润国际招标有限公司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西安市高新区唐延路1号旺座国际城A座12楼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郑经理 杨经理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029-88825655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采购包2：200,000.00元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采购包3保证金金额：3,000.00元</w:t>
            </w:r>
          </w:p>
          <w:p>
            <w:pPr>
              <w:pStyle w:val="null3"/>
            </w:pPr>
            <w:r>
              <w:rPr>
                <w:rFonts w:ascii="仿宋_GB2312" w:hAnsi="仿宋_GB2312" w:cs="仿宋_GB2312" w:eastAsia="仿宋_GB2312"/>
              </w:rPr>
              <w:t>采购包4保证金金额：3,000.00元</w:t>
            </w:r>
          </w:p>
          <w:p>
            <w:pPr>
              <w:pStyle w:val="null3"/>
            </w:pPr>
            <w:r>
              <w:rPr>
                <w:rFonts w:ascii="仿宋_GB2312" w:hAnsi="仿宋_GB2312" w:cs="仿宋_GB2312" w:eastAsia="仿宋_GB2312"/>
              </w:rPr>
              <w:t>采购包5保证金金额：3,000.00元</w:t>
            </w:r>
          </w:p>
          <w:p>
            <w:pPr>
              <w:pStyle w:val="null3"/>
            </w:pPr>
            <w:r>
              <w:rPr>
                <w:rFonts w:ascii="仿宋_GB2312" w:hAnsi="仿宋_GB2312" w:cs="仿宋_GB2312" w:eastAsia="仿宋_GB2312"/>
              </w:rPr>
              <w:t>采购包6保证金金额：3,000.00元</w:t>
            </w:r>
          </w:p>
          <w:p>
            <w:pPr>
              <w:pStyle w:val="null3"/>
            </w:pPr>
            <w:r>
              <w:rPr>
                <w:rFonts w:ascii="仿宋_GB2312" w:hAnsi="仿宋_GB2312" w:cs="仿宋_GB2312" w:eastAsia="仿宋_GB2312"/>
              </w:rPr>
              <w:t>采购包7保证金金额：3,000.00元</w:t>
            </w:r>
          </w:p>
          <w:p>
            <w:pPr>
              <w:pStyle w:val="null3"/>
            </w:pPr>
            <w:r>
              <w:rPr>
                <w:rFonts w:ascii="仿宋_GB2312" w:hAnsi="仿宋_GB2312" w:cs="仿宋_GB2312" w:eastAsia="仿宋_GB2312"/>
              </w:rPr>
              <w:t>采购包8保证金金额：3,000.00元</w:t>
            </w:r>
          </w:p>
          <w:p>
            <w:pPr>
              <w:pStyle w:val="null3"/>
            </w:pPr>
            <w:r>
              <w:rPr>
                <w:rFonts w:ascii="仿宋_GB2312" w:hAnsi="仿宋_GB2312" w:cs="仿宋_GB2312" w:eastAsia="仿宋_GB2312"/>
              </w:rPr>
              <w:t>采购包9保证金金额：3,000.00元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开户名称：陕西中润国际招标有限公司</w:t>
            </w:r>
          </w:p>
          <w:p>
            <w:pPr>
              <w:pStyle w:val="null3"/>
            </w:pPr>
            <w:r>
              <w:rPr>
                <w:rFonts w:ascii="仿宋_GB2312" w:hAnsi="仿宋_GB2312" w:cs="仿宋_GB2312" w:eastAsia="仿宋_GB2312"/>
              </w:rPr>
              <w:t>开户银行：中信银行西安锦都花园支行</w:t>
            </w:r>
          </w:p>
          <w:p>
            <w:pPr>
              <w:pStyle w:val="null3"/>
            </w:pPr>
            <w:r>
              <w:rPr>
                <w:rFonts w:ascii="仿宋_GB2312" w:hAnsi="仿宋_GB2312" w:cs="仿宋_GB2312" w:eastAsia="仿宋_GB2312"/>
              </w:rPr>
              <w:t>银行账号：7253310182600003710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规定标准按各包收取，每包代理服务费不足5000元按5000元收取。 成交单位的代理服务费交纳信息 银行户名：陕西中润国际招标有限公司 开户银行：中信银行西安雁塔西路支行 账号：7251310182600086350 联系人：李帆 联系电话：029-87321299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陕西中润国际招标有限公司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陕西中润国际招标有限公司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陕西中润国际招标有限公司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陕西中润国际招标有限公司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联系人：郑经理 冯经理</w:t>
      </w:r>
    </w:p>
    <w:p>
      <w:pPr>
        <w:pStyle w:val="null3"/>
      </w:pPr>
      <w:r>
        <w:rPr>
          <w:rFonts w:ascii="仿宋_GB2312" w:hAnsi="仿宋_GB2312" w:cs="仿宋_GB2312" w:eastAsia="仿宋_GB2312"/>
        </w:rPr>
        <w:t>联系电话：029-88825655</w:t>
      </w:r>
    </w:p>
    <w:p>
      <w:pPr>
        <w:pStyle w:val="null3"/>
      </w:pPr>
      <w:r>
        <w:rPr>
          <w:rFonts w:ascii="仿宋_GB2312" w:hAnsi="仿宋_GB2312" w:cs="仿宋_GB2312" w:eastAsia="仿宋_GB2312"/>
        </w:rPr>
        <w:t>地址：西安市高新区唐延路1号旺座国际城A座12楼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2025年度11月货物贸易境外重点展会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德国汉诺威国际农业机械展览会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中东迪拜礼品及消费品展览会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标的名称：德国汉诺威国际农业机械展览会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shd w:fill="FFFFFF" w:val="clear"/>
              </w:rPr>
              <w:t>承办单位工作内容及要求</w:t>
            </w:r>
          </w:p>
          <w:p>
            <w:pPr>
              <w:pStyle w:val="null3"/>
              <w:jc w:val="both"/>
            </w:pPr>
            <w:r>
              <w:rPr>
                <w:rFonts w:ascii="仿宋_GB2312" w:hAnsi="仿宋_GB2312" w:cs="仿宋_GB2312" w:eastAsia="仿宋_GB2312"/>
                <w:sz w:val="20"/>
                <w:color w:val="333333"/>
                <w:shd w:fill="FFFFFF" w:val="clear"/>
              </w:rPr>
              <w:t>一、项目概况</w:t>
            </w:r>
          </w:p>
          <w:tbl>
            <w:tblPr>
              <w:tblBorders>
                <w:top w:val="none" w:color="000000" w:sz="4"/>
                <w:left w:val="none" w:color="000000" w:sz="4"/>
                <w:bottom w:val="none" w:color="000000" w:sz="4"/>
                <w:right w:val="none" w:color="000000" w:sz="4"/>
                <w:insideH w:val="none"/>
                <w:insideV w:val="none"/>
              </w:tblBorders>
            </w:tblPr>
            <w:tblGrid>
              <w:gridCol w:w="326"/>
              <w:gridCol w:w="350"/>
              <w:gridCol w:w="498"/>
              <w:gridCol w:w="529"/>
              <w:gridCol w:w="319"/>
              <w:gridCol w:w="505"/>
            </w:tblGrid>
            <w:tr>
              <w:tc>
                <w:tcPr>
                  <w:tcW w:type="dxa" w:w="3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国别</w:t>
                  </w:r>
                </w:p>
              </w:tc>
              <w:tc>
                <w:tcPr>
                  <w:tcW w:type="dxa" w:w="3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城市</w:t>
                  </w:r>
                </w:p>
              </w:tc>
              <w:tc>
                <w:tcPr>
                  <w:tcW w:type="dxa" w:w="4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展会名称</w:t>
                  </w:r>
                </w:p>
              </w:tc>
              <w:tc>
                <w:tcPr>
                  <w:tcW w:type="dxa" w:w="5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展览</w:t>
                  </w:r>
                </w:p>
                <w:p>
                  <w:pPr>
                    <w:pStyle w:val="null3"/>
                    <w:jc w:val="center"/>
                  </w:pPr>
                  <w:r>
                    <w:rPr>
                      <w:rFonts w:ascii="仿宋_GB2312" w:hAnsi="仿宋_GB2312" w:cs="仿宋_GB2312" w:eastAsia="仿宋_GB2312"/>
                      <w:sz w:val="20"/>
                      <w:color w:val="333333"/>
                      <w:shd w:fill="FFFFFF" w:val="clear"/>
                    </w:rPr>
                    <w:t>日期</w:t>
                  </w:r>
                </w:p>
              </w:tc>
              <w:tc>
                <w:tcPr>
                  <w:tcW w:type="dxa" w:w="3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展品</w:t>
                  </w:r>
                </w:p>
                <w:p>
                  <w:pPr>
                    <w:pStyle w:val="null3"/>
                    <w:jc w:val="center"/>
                  </w:pPr>
                  <w:r>
                    <w:rPr>
                      <w:rFonts w:ascii="仿宋_GB2312" w:hAnsi="仿宋_GB2312" w:cs="仿宋_GB2312" w:eastAsia="仿宋_GB2312"/>
                      <w:sz w:val="20"/>
                      <w:color w:val="333333"/>
                      <w:shd w:fill="FFFFFF" w:val="clear"/>
                    </w:rPr>
                    <w:t>范围</w:t>
                  </w:r>
                </w:p>
              </w:tc>
              <w:tc>
                <w:tcPr>
                  <w:tcW w:type="dxa" w:w="5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采购预算</w:t>
                  </w:r>
                </w:p>
                <w:p>
                  <w:pPr>
                    <w:pStyle w:val="null3"/>
                    <w:jc w:val="center"/>
                  </w:pPr>
                  <w:r>
                    <w:rPr>
                      <w:rFonts w:ascii="仿宋_GB2312" w:hAnsi="仿宋_GB2312" w:cs="仿宋_GB2312" w:eastAsia="仿宋_GB2312"/>
                      <w:sz w:val="20"/>
                      <w:color w:val="333333"/>
                      <w:shd w:fill="FFFFFF" w:val="clear"/>
                    </w:rPr>
                    <w:t>（万元）</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德国</w:t>
                  </w:r>
                </w:p>
              </w:tc>
              <w:tc>
                <w:tcPr>
                  <w:tcW w:type="dxa" w:w="3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汉诺威</w:t>
                  </w:r>
                </w:p>
              </w:tc>
              <w:tc>
                <w:tcPr>
                  <w:tcW w:type="dxa" w:w="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德国汉诺威国际农业机械展览会项目</w:t>
                  </w:r>
                </w:p>
              </w:tc>
              <w:tc>
                <w:tcPr>
                  <w:tcW w:type="dxa" w:w="5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center"/>
                  </w:pPr>
                  <w:r>
                    <w:rPr>
                      <w:rFonts w:ascii="仿宋_GB2312" w:hAnsi="仿宋_GB2312" w:cs="仿宋_GB2312" w:eastAsia="仿宋_GB2312"/>
                      <w:sz w:val="19"/>
                    </w:rPr>
                    <w:t>2025年</w:t>
                  </w:r>
                  <w:r>
                    <w:rPr>
                      <w:rFonts w:ascii="仿宋_GB2312" w:hAnsi="仿宋_GB2312" w:cs="仿宋_GB2312" w:eastAsia="仿宋_GB2312"/>
                      <w:sz w:val="19"/>
                    </w:rPr>
                    <w:t>1</w:t>
                  </w:r>
                  <w:r>
                    <w:rPr>
                      <w:rFonts w:ascii="仿宋_GB2312" w:hAnsi="仿宋_GB2312" w:cs="仿宋_GB2312" w:eastAsia="仿宋_GB2312"/>
                      <w:sz w:val="19"/>
                    </w:rPr>
                    <w:t>1月9日</w:t>
                  </w:r>
                </w:p>
                <w:p>
                  <w:pPr>
                    <w:pStyle w:val="null3"/>
                    <w:jc w:val="center"/>
                  </w:pPr>
                  <w:r>
                    <w:rPr>
                      <w:rFonts w:ascii="仿宋_GB2312" w:hAnsi="仿宋_GB2312" w:cs="仿宋_GB2312" w:eastAsia="仿宋_GB2312"/>
                      <w:sz w:val="19"/>
                    </w:rPr>
                    <w:t>-</w:t>
                  </w:r>
                  <w:r>
                    <w:rPr>
                      <w:rFonts w:ascii="仿宋_GB2312" w:hAnsi="仿宋_GB2312" w:cs="仿宋_GB2312" w:eastAsia="仿宋_GB2312"/>
                      <w:sz w:val="19"/>
                    </w:rPr>
                    <w:t>2025年11月15日</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农业机械</w:t>
                  </w:r>
                </w:p>
              </w:tc>
              <w:tc>
                <w:tcPr>
                  <w:tcW w:type="dxa" w:w="5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15（其中包含公共布展费5万元）</w:t>
                  </w:r>
                </w:p>
              </w:tc>
            </w:tr>
          </w:tbl>
          <w:p>
            <w:pPr>
              <w:pStyle w:val="null3"/>
              <w:jc w:val="both"/>
            </w:pPr>
            <w:r>
              <w:rPr>
                <w:rFonts w:ascii="仿宋_GB2312" w:hAnsi="仿宋_GB2312" w:cs="仿宋_GB2312" w:eastAsia="仿宋_GB2312"/>
                <w:sz w:val="20"/>
                <w:b/>
                <w:color w:val="333333"/>
                <w:shd w:fill="FFFFFF" w:val="clear"/>
              </w:rPr>
              <w:t>（说明：该项目具体行程以最终实际行程为准）</w:t>
            </w:r>
          </w:p>
          <w:p>
            <w:pPr>
              <w:pStyle w:val="null3"/>
              <w:jc w:val="both"/>
            </w:pPr>
            <w:r>
              <w:rPr>
                <w:rFonts w:ascii="仿宋_GB2312" w:hAnsi="仿宋_GB2312" w:cs="仿宋_GB2312" w:eastAsia="仿宋_GB2312"/>
                <w:sz w:val="20"/>
                <w:color w:val="333333"/>
                <w:shd w:fill="FFFFFF" w:val="clear"/>
              </w:rPr>
              <w:t>二、服务要求</w:t>
            </w:r>
          </w:p>
          <w:p>
            <w:pPr>
              <w:pStyle w:val="null3"/>
              <w:jc w:val="both"/>
            </w:pPr>
            <w:r>
              <w:rPr>
                <w:rFonts w:ascii="仿宋_GB2312" w:hAnsi="仿宋_GB2312" w:cs="仿宋_GB2312" w:eastAsia="仿宋_GB2312"/>
                <w:sz w:val="20"/>
                <w:color w:val="333333"/>
                <w:shd w:fill="FFFFFF" w:val="clear"/>
              </w:rPr>
              <w:t>1.负责与展会组织方或展会国内一级代理机构联系确定展会展位（每个标准展位费用预算不得高于60000元），并组织我省企业参加展会。其中组织企业数不少于10家（以实际企业法人予以认定，少于10家不予支持）；对2024年度进出口额超过6500万美元的企业可补贴2个展位，对进出口额在6500万美元以下的只补贴1个展位），参展企业中无进出口业绩企业不得超过参展企业总数的50%。</w:t>
            </w:r>
          </w:p>
          <w:p>
            <w:pPr>
              <w:pStyle w:val="null3"/>
              <w:jc w:val="both"/>
            </w:pPr>
            <w:r>
              <w:rPr>
                <w:rFonts w:ascii="仿宋_GB2312" w:hAnsi="仿宋_GB2312" w:cs="仿宋_GB2312" w:eastAsia="仿宋_GB2312"/>
                <w:sz w:val="20"/>
                <w:color w:val="333333"/>
                <w:shd w:fill="FFFFFF" w:val="clear"/>
              </w:rPr>
              <w:t>2.负责组织参展企业人员有关商务礼仪、谈判技巧、产品报价、出国纪律等方面内容的培训，负责办理参展企业人员出国手续，组织企业人员按时参加展会，并负责安排参展人员食宿（每家参展企业可补贴境外食宿费用每户企业不超过7400元）及交通、展会期间翻译等事项，承办单位必须不少于2人全程参与展会的组织；</w:t>
            </w:r>
          </w:p>
          <w:p>
            <w:pPr>
              <w:pStyle w:val="null3"/>
              <w:jc w:val="both"/>
            </w:pPr>
            <w:r>
              <w:rPr>
                <w:rFonts w:ascii="仿宋_GB2312" w:hAnsi="仿宋_GB2312" w:cs="仿宋_GB2312" w:eastAsia="仿宋_GB2312"/>
                <w:sz w:val="20"/>
                <w:color w:val="333333"/>
                <w:shd w:fill="FFFFFF" w:val="clear"/>
              </w:rPr>
              <w:t>3.负责做好参展企业的展品运输及报关、报检等相关手续（商务厅对展品运输费及报关、报检费用给予补助，补助费每家企业不超过5000元）；</w:t>
            </w:r>
          </w:p>
          <w:p>
            <w:pPr>
              <w:pStyle w:val="null3"/>
              <w:jc w:val="both"/>
            </w:pPr>
            <w:r>
              <w:rPr>
                <w:rFonts w:ascii="仿宋_GB2312" w:hAnsi="仿宋_GB2312" w:cs="仿宋_GB2312" w:eastAsia="仿宋_GB2312"/>
                <w:sz w:val="20"/>
                <w:color w:val="333333"/>
                <w:shd w:fill="FFFFFF" w:val="clear"/>
              </w:rPr>
              <w:t>4.负责做好公共布展；</w:t>
            </w:r>
          </w:p>
          <w:p>
            <w:pPr>
              <w:pStyle w:val="null3"/>
              <w:jc w:val="both"/>
            </w:pPr>
            <w:r>
              <w:rPr>
                <w:rFonts w:ascii="仿宋_GB2312" w:hAnsi="仿宋_GB2312" w:cs="仿宋_GB2312" w:eastAsia="仿宋_GB2312"/>
                <w:sz w:val="20"/>
                <w:color w:val="333333"/>
                <w:shd w:fill="FFFFFF" w:val="clear"/>
              </w:rPr>
              <w:t>5.负责先行垫付展位费，标准内的运输费及报关、报检费用和标准内的公共布展费用以及人员境外食宿补贴，待展会结束后由商务厅按标准核销；</w:t>
            </w:r>
          </w:p>
          <w:p>
            <w:pPr>
              <w:pStyle w:val="null3"/>
              <w:jc w:val="both"/>
            </w:pPr>
            <w:r>
              <w:rPr>
                <w:rFonts w:ascii="仿宋_GB2312" w:hAnsi="仿宋_GB2312" w:cs="仿宋_GB2312" w:eastAsia="仿宋_GB2312"/>
                <w:sz w:val="20"/>
                <w:color w:val="333333"/>
                <w:shd w:fill="FFFFFF" w:val="clear"/>
              </w:rPr>
              <w:t>6.承办单位服务为10万元。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标的名称：中东迪拜礼品及消费品展览会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shd w:fill="FFFFFF" w:val="clear"/>
              </w:rPr>
              <w:t>承办单位工作内容及要求</w:t>
            </w:r>
          </w:p>
          <w:p>
            <w:pPr>
              <w:pStyle w:val="null3"/>
              <w:jc w:val="both"/>
            </w:pPr>
            <w:r>
              <w:rPr>
                <w:rFonts w:ascii="仿宋_GB2312" w:hAnsi="仿宋_GB2312" w:cs="仿宋_GB2312" w:eastAsia="仿宋_GB2312"/>
                <w:sz w:val="20"/>
                <w:color w:val="333333"/>
                <w:shd w:fill="FFFFFF" w:val="clear"/>
              </w:rPr>
              <w:t>一、项目概况</w:t>
            </w:r>
          </w:p>
          <w:tbl>
            <w:tblPr>
              <w:tblInd w:type="dxa" w:w="135"/>
              <w:tblBorders>
                <w:top w:val="none" w:color="000000" w:sz="4"/>
                <w:left w:val="none" w:color="000000" w:sz="4"/>
                <w:bottom w:val="none" w:color="000000" w:sz="4"/>
                <w:right w:val="none" w:color="000000" w:sz="4"/>
                <w:insideH w:val="none"/>
                <w:insideV w:val="none"/>
              </w:tblBorders>
            </w:tblPr>
            <w:tblGrid>
              <w:gridCol w:w="326"/>
              <w:gridCol w:w="348"/>
              <w:gridCol w:w="615"/>
              <w:gridCol w:w="497"/>
              <w:gridCol w:w="319"/>
              <w:gridCol w:w="415"/>
            </w:tblGrid>
            <w:tr>
              <w:tc>
                <w:tcPr>
                  <w:tcW w:type="dxa" w:w="3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国别</w:t>
                  </w:r>
                </w:p>
              </w:tc>
              <w:tc>
                <w:tcPr>
                  <w:tcW w:type="dxa" w:w="3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城市</w:t>
                  </w:r>
                </w:p>
              </w:tc>
              <w:tc>
                <w:tcPr>
                  <w:tcW w:type="dxa" w:w="6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展会名称</w:t>
                  </w:r>
                </w:p>
              </w:tc>
              <w:tc>
                <w:tcPr>
                  <w:tcW w:type="dxa" w:w="4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展览</w:t>
                  </w:r>
                </w:p>
                <w:p>
                  <w:pPr>
                    <w:pStyle w:val="null3"/>
                    <w:jc w:val="center"/>
                  </w:pPr>
                  <w:r>
                    <w:rPr>
                      <w:rFonts w:ascii="仿宋_GB2312" w:hAnsi="仿宋_GB2312" w:cs="仿宋_GB2312" w:eastAsia="仿宋_GB2312"/>
                      <w:sz w:val="20"/>
                      <w:color w:val="333333"/>
                      <w:shd w:fill="FFFFFF" w:val="clear"/>
                    </w:rPr>
                    <w:t>日期</w:t>
                  </w:r>
                </w:p>
              </w:tc>
              <w:tc>
                <w:tcPr>
                  <w:tcW w:type="dxa" w:w="3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展品</w:t>
                  </w:r>
                </w:p>
                <w:p>
                  <w:pPr>
                    <w:pStyle w:val="null3"/>
                    <w:jc w:val="center"/>
                  </w:pPr>
                  <w:r>
                    <w:rPr>
                      <w:rFonts w:ascii="仿宋_GB2312" w:hAnsi="仿宋_GB2312" w:cs="仿宋_GB2312" w:eastAsia="仿宋_GB2312"/>
                      <w:sz w:val="20"/>
                      <w:color w:val="333333"/>
                      <w:shd w:fill="FFFFFF" w:val="clear"/>
                    </w:rPr>
                    <w:t>范围</w:t>
                  </w:r>
                </w:p>
              </w:tc>
              <w:tc>
                <w:tcPr>
                  <w:tcW w:type="dxa" w:w="4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采购预算</w:t>
                  </w:r>
                </w:p>
                <w:p>
                  <w:pPr>
                    <w:pStyle w:val="null3"/>
                    <w:jc w:val="center"/>
                  </w:pPr>
                  <w:r>
                    <w:rPr>
                      <w:rFonts w:ascii="仿宋_GB2312" w:hAnsi="仿宋_GB2312" w:cs="仿宋_GB2312" w:eastAsia="仿宋_GB2312"/>
                      <w:sz w:val="20"/>
                      <w:color w:val="333333"/>
                      <w:shd w:fill="FFFFFF" w:val="clear"/>
                    </w:rPr>
                    <w:t>（万元）</w:t>
                  </w:r>
                </w:p>
              </w:tc>
            </w:tr>
            <w:tr>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阿联</w:t>
                  </w:r>
                </w:p>
                <w:p>
                  <w:pPr>
                    <w:pStyle w:val="null3"/>
                    <w:jc w:val="center"/>
                  </w:pPr>
                  <w:r>
                    <w:rPr>
                      <w:rFonts w:ascii="仿宋_GB2312" w:hAnsi="仿宋_GB2312" w:cs="仿宋_GB2312" w:eastAsia="仿宋_GB2312"/>
                      <w:sz w:val="20"/>
                      <w:color w:val="333333"/>
                      <w:shd w:fill="FFFFFF" w:val="clear"/>
                    </w:rPr>
                    <w:t>酋</w:t>
                  </w:r>
                </w:p>
              </w:tc>
              <w:tc>
                <w:tcPr>
                  <w:tcW w:type="dxa" w:w="3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迪拜</w:t>
                  </w:r>
                </w:p>
              </w:tc>
              <w:tc>
                <w:tcPr>
                  <w:tcW w:type="dxa" w:w="6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中东迪拜礼品及消费品展览会项目</w:t>
                  </w:r>
                </w:p>
              </w:tc>
              <w:tc>
                <w:tcPr>
                  <w:tcW w:type="dxa" w:w="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center"/>
                  </w:pPr>
                  <w:r>
                    <w:rPr>
                      <w:rFonts w:ascii="仿宋_GB2312" w:hAnsi="仿宋_GB2312" w:cs="仿宋_GB2312" w:eastAsia="仿宋_GB2312"/>
                      <w:sz w:val="19"/>
                    </w:rPr>
                    <w:t>2025年</w:t>
                  </w:r>
                  <w:r>
                    <w:rPr>
                      <w:rFonts w:ascii="仿宋_GB2312" w:hAnsi="仿宋_GB2312" w:cs="仿宋_GB2312" w:eastAsia="仿宋_GB2312"/>
                      <w:sz w:val="19"/>
                    </w:rPr>
                    <w:t>1</w:t>
                  </w:r>
                  <w:r>
                    <w:rPr>
                      <w:rFonts w:ascii="仿宋_GB2312" w:hAnsi="仿宋_GB2312" w:cs="仿宋_GB2312" w:eastAsia="仿宋_GB2312"/>
                      <w:sz w:val="19"/>
                    </w:rPr>
                    <w:t>1</w:t>
                  </w:r>
                </w:p>
                <w:p>
                  <w:pPr>
                    <w:pStyle w:val="null3"/>
                    <w:jc w:val="center"/>
                  </w:pPr>
                  <w:r>
                    <w:rPr>
                      <w:rFonts w:ascii="仿宋_GB2312" w:hAnsi="仿宋_GB2312" w:cs="仿宋_GB2312" w:eastAsia="仿宋_GB2312"/>
                      <w:sz w:val="19"/>
                    </w:rPr>
                    <w:t>月</w:t>
                  </w:r>
                  <w:r>
                    <w:rPr>
                      <w:rFonts w:ascii="仿宋_GB2312" w:hAnsi="仿宋_GB2312" w:cs="仿宋_GB2312" w:eastAsia="仿宋_GB2312"/>
                      <w:sz w:val="19"/>
                    </w:rPr>
                    <w:t>1</w:t>
                  </w:r>
                  <w:r>
                    <w:rPr>
                      <w:rFonts w:ascii="仿宋_GB2312" w:hAnsi="仿宋_GB2312" w:cs="仿宋_GB2312" w:eastAsia="仿宋_GB2312"/>
                      <w:sz w:val="19"/>
                    </w:rPr>
                    <w:t>3日</w:t>
                  </w:r>
                  <w:r>
                    <w:rPr>
                      <w:rFonts w:ascii="仿宋_GB2312" w:hAnsi="仿宋_GB2312" w:cs="仿宋_GB2312" w:eastAsia="仿宋_GB2312"/>
                      <w:sz w:val="19"/>
                    </w:rPr>
                    <w:t>-</w:t>
                  </w:r>
                  <w:r>
                    <w:rPr>
                      <w:rFonts w:ascii="仿宋_GB2312" w:hAnsi="仿宋_GB2312" w:cs="仿宋_GB2312" w:eastAsia="仿宋_GB2312"/>
                      <w:sz w:val="19"/>
                    </w:rPr>
                    <w:t>2025年11月15日</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礼品及消费品</w:t>
                  </w:r>
                </w:p>
              </w:tc>
              <w:tc>
                <w:tcPr>
                  <w:tcW w:type="dxa" w:w="4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333333"/>
                      <w:shd w:fill="FFFFFF" w:val="clear"/>
                    </w:rPr>
                    <w:t>20（其中包含公共布展费10万元）</w:t>
                  </w:r>
                </w:p>
              </w:tc>
            </w:tr>
          </w:tbl>
          <w:p>
            <w:pPr>
              <w:pStyle w:val="null3"/>
              <w:jc w:val="both"/>
            </w:pPr>
            <w:r>
              <w:rPr>
                <w:rFonts w:ascii="仿宋_GB2312" w:hAnsi="仿宋_GB2312" w:cs="仿宋_GB2312" w:eastAsia="仿宋_GB2312"/>
                <w:sz w:val="20"/>
                <w:b/>
                <w:color w:val="333333"/>
                <w:shd w:fill="FFFFFF" w:val="clear"/>
              </w:rPr>
              <w:t>（说明：该项目具体行程以最终实际行程为准）</w:t>
            </w:r>
          </w:p>
          <w:p>
            <w:pPr>
              <w:pStyle w:val="null3"/>
              <w:jc w:val="both"/>
            </w:pPr>
            <w:r>
              <w:rPr>
                <w:rFonts w:ascii="仿宋_GB2312" w:hAnsi="仿宋_GB2312" w:cs="仿宋_GB2312" w:eastAsia="仿宋_GB2312"/>
                <w:sz w:val="20"/>
                <w:color w:val="333333"/>
                <w:shd w:fill="FFFFFF" w:val="clear"/>
              </w:rPr>
              <w:t>二、服务要求</w:t>
            </w:r>
          </w:p>
          <w:p>
            <w:pPr>
              <w:pStyle w:val="null3"/>
              <w:jc w:val="both"/>
            </w:pPr>
            <w:r>
              <w:rPr>
                <w:rFonts w:ascii="仿宋_GB2312" w:hAnsi="仿宋_GB2312" w:cs="仿宋_GB2312" w:eastAsia="仿宋_GB2312"/>
                <w:sz w:val="20"/>
                <w:color w:val="333333"/>
                <w:shd w:fill="FFFFFF" w:val="clear"/>
              </w:rPr>
              <w:t>1.负责与展会组织方或展会国内一级代理机构联系确定展会展位（每个标准展位费用预算不得高于57000元），并组织我省企业参加展会。其中组织企业数不少于10家（以实际企业法人予以认定，少于10家不予支持）；对2024年度进出口额超过6500万美元的企业可补贴2个展位，对进出口额在6500万美元以下的只补贴1个展位），参展企业中无进出口业绩企业不得超过参展企业总数的50%。</w:t>
            </w:r>
          </w:p>
          <w:p>
            <w:pPr>
              <w:pStyle w:val="null3"/>
              <w:jc w:val="both"/>
            </w:pPr>
            <w:r>
              <w:rPr>
                <w:rFonts w:ascii="仿宋_GB2312" w:hAnsi="仿宋_GB2312" w:cs="仿宋_GB2312" w:eastAsia="仿宋_GB2312"/>
                <w:sz w:val="20"/>
                <w:color w:val="333333"/>
                <w:shd w:fill="FFFFFF" w:val="clear"/>
              </w:rPr>
              <w:t>2.负责组织参展企业人员有关商务礼仪、谈判技巧、产品报价、出国纪律等方面内容的培训，负责办理参展企业人员出国手续，组织企业人员按时参加展会，并负责安排参展人员食宿（每家参展企业可补贴境外食宿费用每户企业不超过4350元）及交通、展会期间翻译等事项，承办单位必须不少于2人全程参与展会的组织；</w:t>
            </w:r>
          </w:p>
          <w:p>
            <w:pPr>
              <w:pStyle w:val="null3"/>
              <w:jc w:val="both"/>
            </w:pPr>
            <w:r>
              <w:rPr>
                <w:rFonts w:ascii="仿宋_GB2312" w:hAnsi="仿宋_GB2312" w:cs="仿宋_GB2312" w:eastAsia="仿宋_GB2312"/>
                <w:sz w:val="20"/>
                <w:color w:val="333333"/>
                <w:shd w:fill="FFFFFF" w:val="clear"/>
              </w:rPr>
              <w:t>3.负责做好参展企业的展品运输及报关、报检等相关手续（商务厅对展品运输费及报关、报检费用给予补助，补助费每家企业不超过5000元）；</w:t>
            </w:r>
          </w:p>
          <w:p>
            <w:pPr>
              <w:pStyle w:val="null3"/>
              <w:jc w:val="both"/>
            </w:pPr>
            <w:r>
              <w:rPr>
                <w:rFonts w:ascii="仿宋_GB2312" w:hAnsi="仿宋_GB2312" w:cs="仿宋_GB2312" w:eastAsia="仿宋_GB2312"/>
                <w:sz w:val="20"/>
                <w:color w:val="333333"/>
                <w:shd w:fill="FFFFFF" w:val="clear"/>
              </w:rPr>
              <w:t>4.负责做好公共布展；</w:t>
            </w:r>
          </w:p>
          <w:p>
            <w:pPr>
              <w:pStyle w:val="null3"/>
              <w:jc w:val="both"/>
            </w:pPr>
            <w:r>
              <w:rPr>
                <w:rFonts w:ascii="仿宋_GB2312" w:hAnsi="仿宋_GB2312" w:cs="仿宋_GB2312" w:eastAsia="仿宋_GB2312"/>
                <w:sz w:val="20"/>
                <w:color w:val="333333"/>
                <w:shd w:fill="FFFFFF" w:val="clear"/>
              </w:rPr>
              <w:t>5.负责先行垫付展位费，标准内的运输费及报关、报检费用和标准内的公共布展费用以及人员境外食宿补贴，待展会结束后由商务厅按标准核销；</w:t>
            </w:r>
          </w:p>
          <w:p>
            <w:pPr>
              <w:pStyle w:val="null3"/>
              <w:jc w:val="both"/>
            </w:pPr>
            <w:r>
              <w:rPr>
                <w:rFonts w:ascii="仿宋_GB2312" w:hAnsi="仿宋_GB2312" w:cs="仿宋_GB2312" w:eastAsia="仿宋_GB2312"/>
                <w:sz w:val="20"/>
                <w:color w:val="333333"/>
                <w:shd w:fill="FFFFFF" w:val="clear"/>
              </w:rPr>
              <w:t>6.承办单位服务为10万元。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满足采购需求的设备设施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合同签署之日起至展会服务完毕后30日历日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合同签署之日起至展会服务完毕后30日历日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 ，达到付款条件起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承办单位负责在结束后30日内，将展会执行情况、参展数据、参展总结等上报省商务厅，并按照商务厅有关要求提交经费核销相关资料 ，达到付款条件起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1.供应商缴纳保证金时请备注：项目编号-包号。 2.为保证项目存档使用,供应商须递交纸质版响应文件，纸质版响应文件递交要求：详见磋商公告。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 ”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度的财务审计报告（成立时间至提交响应文件截止时间不足一年的可提供成立后任意时段的资产负债表）或磋商前六个月内其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 ”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3、提供投标截止时间前近六个月中至少一个月的纳税证明或完税证明，依法免税的单位应提供相关证明材料；时间以税款所属时期为准。4、提供投标截止时间前近六个月中至少一个月的社会保障资金缴存单据或社保机构开具的社会保险参保缴费情况证明，依法不需要缴纳社会保障资金的单位应提供相关证明材料。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度的财务审计报告（成立时间至提交响应文件截止时间不足一年的可提供成立后任意时段的资产负债表）或磋商前六个月内其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供应商在递交响应文件截止时间前被“信用中国 ”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负责人）授权委托书/法定代表人（负责人）身份证明：法定代表人（负责人）参加磋商的，须出示身份证；法定代表人（负责人）授权他人参加磋商的，须提供法定代表人（负责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供应商在递交响应文件截止时间前被“信用中国 ”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负责人）授权委托书/法定代表人（负责人）身份证明：法定代表人（负责人）参加磋商的，须出示身份证；法定代表人（负责人）授权他人参加磋商的，须提供法定代表人（负责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按照磋商文件的规定提交磋商保证金（包括形式及金额）</w:t>
            </w:r>
          </w:p>
        </w:tc>
        <w:tc>
          <w:tcPr>
            <w:tcW w:type="dxa" w:w="1661"/>
          </w:tcPr>
          <w:p>
            <w:pPr>
              <w:pStyle w:val="null3"/>
            </w:pPr>
            <w:r>
              <w:rPr>
                <w:rFonts w:ascii="仿宋_GB2312" w:hAnsi="仿宋_GB2312" w:cs="仿宋_GB2312" w:eastAsia="仿宋_GB2312"/>
              </w:rPr>
              <w:t>服务方案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供应商应提交的相关资格证明材料.docx 服务内容及服务邀请应答表 商务应答表 服务方案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 目有两个或者多个报价</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按照磋商文件的规定提交磋商保证金（包括形式及金额）</w:t>
            </w:r>
          </w:p>
        </w:tc>
        <w:tc>
          <w:tcPr>
            <w:tcW w:type="dxa" w:w="1661"/>
          </w:tcPr>
          <w:p>
            <w:pPr>
              <w:pStyle w:val="null3"/>
            </w:pPr>
            <w:r>
              <w:rPr>
                <w:rFonts w:ascii="仿宋_GB2312" w:hAnsi="仿宋_GB2312" w:cs="仿宋_GB2312" w:eastAsia="仿宋_GB2312"/>
              </w:rPr>
              <w:t>服务方案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服务方案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 目有两个或者多个报价</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①方案内容详细完整、科学合理、针对性强、可行性高，完全满足项目采购要求的，得12分；②方案内容较为详细完整、科学合理，针对性较强、可行性较高，满足项目采购要求的，得9分；③方案内容基本完整、合理，针对性、可行性一般，基本满足项目采购要求的，得6分； ④方案不够详细完整，合理性、针对性、可行性较差，部分满足项目采购要求的，得3分；⑤未提供或其他不得分。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12分；②方案内容较为详细完整、科学合理，针对性较强、可行性较高，满足项目采购要求的，得9分；③方案内容基本完整、合理，针对性、可行性一般，基本满足项目采购要求的，得6分； ④方案不够详细完整，合理性、针对性、可行性较差，部分满足项目采购要求的，得3分；⑤未提供或其他不得分。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①方案内容详细完整、科学合理、针对性强、可行性高，完全满足项目采购要求的，得12分；②方案内容较为详细完整、科学合理，针对性较强、可行性较高，满足项目采购要求的，得9分；③方案内容基本完整、合理，针对性、可行性一般，基本满足项目采购要求的，得6分； ④方案不够详细完整，合理性、针对性、可行性较差，部分满足项目采购要求的，得3分；⑤未提供或其他不得分。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根据取得展位在展馆的区域及位置、对应价格和数量等情况进行评审：①展位可见性高、价格合理、数量完全满足展会要求得9分；②展位可见性一般、价格基本合理、数量满足展会要求得6分；③展位可见性差、价格基本合理、数量不满足展会要求得3分；④未提供或其他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5分；②内容阐述但并未完全贴合项目需求理解情况、可实施性一般，得3分；③阐述内容有缺失影响到项目实施的，得1分。④内容未进行阐述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①方案内容详细完整、科学合理、针对性强、可行性高，完全满足项目采购要求的，得12分；②方案内容较为详细完整、科学合理，针对性较强、可行性较高，满足项目采购要求的，得9分；③方案内容基本完整、合理，针对性、可行性一般，基本满足项目采购要求的，得6分； ④方案不够详细完整，合理性、针对性、可行性较差，部分满足项目采购要求的，得3分；⑤未提供或其他不得分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①方案内容详细完整、科学合理、针对性强、可行性高，完全满足项目采购要求的，得12分；②方案内容较为详细完整、科学合理，针对性较强、可行性较高，满足项目采购要求的，得9分；③方案内容基本完整、合理，针对性、可行性一般，基本满足项目采购要求的，得6分； ④方案不够详细完整，合理性、针对性、可行性较差，部分满足项目采购要求的，得3分；⑤未提供或其他不得分。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①方案内容详细完整、科学合理、针对性强、可行性高，完全满足项目采购要求的，得12分；②方案内容较为详细完整、科学合理，针对性较强、可行性较高，满足项目采购要求的，得9分；③方案内容基本完整、合理，针对性、可行性一般，基本满足项目采购要求的，得6分； ④方案不够详细完整，合理性、针对性、可行性较差，部分满足项目采购要求的，得3分；⑤未提供或其他不得分。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根据取得展位在展馆的区域及位置、对应价格和数量等情况进行评审：①展位可见性高、价格合理、数量完全满足展会要求得9分；②展位可见性一般、价格基本合理、数量满足展会要求得6分；③展位可见性差、价格基本合理、数量不满足展会要求得3分；④未提供或其他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5分；②内容阐述但并未完全贴合项目需求理解情况、可实施性一般，得3分；③阐述内容有缺失影响到项目实施的，得1分。④内容未进行阐述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10分；②团队组织架构、人员构成及分工较为合理，岗位设置比较明确，责任制度较为严谨、规范，工作人员经验比较丰富，得7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供应商提供2022年1月1日至今类似项目业绩：每提供一项得2分，最多得10分（以合同复印件复印件为准，时间以合同签订时间为准，否则不得分）。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其他供应商的价格分按照下列公式计算：磋商报价得分＝（磋商基准价/磋商报价）×10。小数点后保留2位，四舍五入。</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