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版本号：SXWZ2025ZB-XJD-183A20250813001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阵列组合送风装置及控制系统平台采购(二次)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SXWZ2025ZB-XJD-183A</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阵列组合送风装置及控制系统平台采购(二次)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SXWZ2025ZB-XJD-183A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阵列组合送风装置及控制系统平台采购(二次)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西安建筑科技大学阵列组合送风装置及控制系统平台采购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须提供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3、税收缴纳证明：投标人须提供2024年7月至今已缴纳的至少一个月纳税证明或完税证明，依法免税的单位应提供相关证明材料。（以税款所属期限为准）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4、财务状况证明：提供经会计师事务所审计的2024年财务审计报告，或在开标日期前六个月内其基本开户银行出具的资信证明。</w:t>
      </w:r>
    </w:p>
    <w:p>
      <w:pPr>
        <w:pStyle w:val="null3"/>
      </w:pPr>
      <w:r>
        <w:rPr>
          <w:rFonts w:ascii="仿宋_GB2312" w:hAnsi="仿宋_GB2312" w:cs="仿宋_GB2312" w:eastAsia="仿宋_GB2312"/>
        </w:rPr>
        <w:t>5、无重大违法声明：投标人应出具参加本次政府采购活动前3年内在经营活动中没有重大违法违纪，以及未被列入失信被执行人、重大税收违法案件当事人名单、政府采购严重违法失信行为记录名单的书面声明。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7、非联合体声明：本项目不接受联合体磋商，供应商应提供非联合体声明函（格式自拟）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 号）文件规定标准计取 1.100 万元(不含)以下的项目，按照文件标准计费收取; 2.100万元(含)以上的项目，按照文件标准上限75%计费。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阵列组合送风装置及控制系统平台采购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阵列送风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标的名称：阵列送风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一、商务要求：</w:t>
            </w:r>
          </w:p>
          <w:p>
            <w:pPr>
              <w:pStyle w:val="null3"/>
              <w:jc w:val="both"/>
            </w:pPr>
            <w:r>
              <w:rPr>
                <w:rFonts w:ascii="仿宋_GB2312" w:hAnsi="仿宋_GB2312" w:cs="仿宋_GB2312" w:eastAsia="仿宋_GB2312"/>
                <w:sz w:val="24"/>
              </w:rPr>
              <w:t>1.交货期：合同签订后180天。</w:t>
            </w:r>
          </w:p>
          <w:p>
            <w:pPr>
              <w:pStyle w:val="null3"/>
              <w:jc w:val="both"/>
            </w:pPr>
            <w:r>
              <w:rPr>
                <w:rFonts w:ascii="仿宋_GB2312" w:hAnsi="仿宋_GB2312" w:cs="仿宋_GB2312" w:eastAsia="仿宋_GB2312"/>
                <w:sz w:val="24"/>
              </w:rPr>
              <w:t>2.质保期：</w:t>
            </w:r>
            <w:r>
              <w:rPr>
                <w:rFonts w:ascii="仿宋_GB2312" w:hAnsi="仿宋_GB2312" w:cs="仿宋_GB2312" w:eastAsia="仿宋_GB2312"/>
                <w:sz w:val="24"/>
              </w:rPr>
              <w:t>负责提供产品</w:t>
            </w:r>
            <w:r>
              <w:rPr>
                <w:rFonts w:ascii="仿宋_GB2312" w:hAnsi="仿宋_GB2312" w:cs="仿宋_GB2312" w:eastAsia="仿宋_GB2312"/>
                <w:sz w:val="24"/>
              </w:rPr>
              <w:t>3 年全质保，终生维修。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.配套工作：搭建实验平台所涉及的施工及材料需由投标人解决。</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.质量保证：①资料提交：需提供设备手册</w:t>
            </w:r>
            <w:r>
              <w:rPr>
                <w:rFonts w:ascii="仿宋_GB2312" w:hAnsi="仿宋_GB2312" w:cs="仿宋_GB2312" w:eastAsia="仿宋_GB2312"/>
                <w:sz w:val="24"/>
              </w:rPr>
              <w:t>彩页</w:t>
            </w:r>
            <w:r>
              <w:rPr>
                <w:rFonts w:ascii="仿宋_GB2312" w:hAnsi="仿宋_GB2312" w:cs="仿宋_GB2312" w:eastAsia="仿宋_GB2312"/>
                <w:sz w:val="24"/>
              </w:rPr>
              <w:t>一套，操作说明书一份。提供仪器设备的维修保养手册；列出主要易损件、耗材的价格。</w:t>
            </w:r>
          </w:p>
          <w:p>
            <w:pPr>
              <w:pStyle w:val="null3"/>
              <w:jc w:val="both"/>
            </w:pPr>
            <w:r>
              <w:rPr>
                <w:rFonts w:ascii="仿宋_GB2312" w:hAnsi="仿宋_GB2312" w:cs="仿宋_GB2312" w:eastAsia="仿宋_GB2312"/>
                <w:sz w:val="24"/>
              </w:rPr>
              <w:t>②安装、调试、验收：由投标人的技术人员进行现场安装、调试，并按照技术参数要求进行验收。验收需经双方人员通过实验共同见证，最终确认是否验收合格；首次计量检定费用由投标人承担，包含在设备报价中。计量机构最终由采购人确定。</w:t>
            </w:r>
          </w:p>
          <w:p>
            <w:pPr>
              <w:pStyle w:val="null3"/>
              <w:jc w:val="both"/>
            </w:pPr>
            <w:r>
              <w:rPr>
                <w:rFonts w:ascii="仿宋_GB2312" w:hAnsi="仿宋_GB2312" w:cs="仿宋_GB2312" w:eastAsia="仿宋_GB2312"/>
                <w:sz w:val="24"/>
              </w:rPr>
              <w:t>③保修：仪器在保修期内如出现2次以上严重质量问题，投标人应当予以更换重要零部件，并进行全面检修，重新验收，并再延长一年保修。项目应有专门负责的，经验丰富的维修工程师和专门的应用支持工程师。当系统平台出现问题时，投标人应当及时（72小时内）提供所有的服务，包括上门维修，备用零件及消耗品更换等。</w:t>
            </w:r>
          </w:p>
          <w:p>
            <w:pPr>
              <w:pStyle w:val="null3"/>
              <w:jc w:val="both"/>
            </w:pPr>
            <w:r>
              <w:rPr>
                <w:rFonts w:ascii="仿宋_GB2312" w:hAnsi="仿宋_GB2312" w:cs="仿宋_GB2312" w:eastAsia="仿宋_GB2312"/>
                <w:sz w:val="24"/>
              </w:rPr>
              <w:t>④维修维护：每年对系统平台进行维护，保修期后2年内维修只收材料费，免收维修费和上门费。保修期后，各种零配件和消耗品供应享受最优惠折扣（提供具体优惠折扣，表格详见附件）；</w:t>
            </w:r>
          </w:p>
          <w:p>
            <w:pPr>
              <w:pStyle w:val="null3"/>
              <w:jc w:val="both"/>
            </w:pPr>
            <w:r>
              <w:rPr>
                <w:rFonts w:ascii="仿宋_GB2312" w:hAnsi="仿宋_GB2312" w:cs="仿宋_GB2312" w:eastAsia="仿宋_GB2312"/>
                <w:sz w:val="24"/>
              </w:rPr>
              <w:t>⑤培训：提供设备使用培训服务（包括系统的运行模式、操作、日常维护等内容），时间≥2天。</w:t>
            </w:r>
          </w:p>
          <w:p>
            <w:pPr>
              <w:pStyle w:val="null3"/>
              <w:jc w:val="both"/>
            </w:pPr>
            <w:r>
              <w:rPr>
                <w:rFonts w:ascii="仿宋_GB2312" w:hAnsi="仿宋_GB2312" w:cs="仿宋_GB2312" w:eastAsia="仿宋_GB2312"/>
                <w:sz w:val="24"/>
              </w:rPr>
              <w:t>⑥全部售后技术服务必须由投标人提供书面承诺。</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项目概述：</w:t>
            </w:r>
          </w:p>
          <w:p>
            <w:pPr>
              <w:pStyle w:val="null3"/>
              <w:ind w:firstLine="480"/>
              <w:jc w:val="both"/>
            </w:pPr>
            <w:r>
              <w:rPr>
                <w:rFonts w:ascii="仿宋_GB2312" w:hAnsi="仿宋_GB2312" w:cs="仿宋_GB2312" w:eastAsia="仿宋_GB2312"/>
                <w:sz w:val="24"/>
              </w:rPr>
              <w:t>在实验室中对于室内外风环境的研究，需要满足场地尺寸足够大，以满足气流生成演变需求；边界条件可控，可以精确快速调控，能生产各种风环境气流流场条件。本项目拟建设一个基于组合风机的风环境控制系统实验台，主要包含可最多组合</w:t>
            </w:r>
            <w:r>
              <w:rPr>
                <w:rFonts w:ascii="仿宋_GB2312" w:hAnsi="仿宋_GB2312" w:cs="仿宋_GB2312" w:eastAsia="仿宋_GB2312"/>
                <w:sz w:val="24"/>
              </w:rPr>
              <w:t>1000个可独立调节、集成控制的风扇单元的系统，营造可动态变化、多尺度及多湍流度的精确调控通风气流；营造基于标准可控参数的建筑室内多元通风环境、室外大气边界层来流风环境。</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技术标准与配置要求</w:t>
            </w:r>
          </w:p>
          <w:p>
            <w:pPr>
              <w:pStyle w:val="null3"/>
              <w:jc w:val="both"/>
            </w:pPr>
            <w:r>
              <w:rPr>
                <w:rFonts w:ascii="仿宋_GB2312" w:hAnsi="仿宋_GB2312" w:cs="仿宋_GB2312" w:eastAsia="仿宋_GB2312"/>
                <w:sz w:val="24"/>
                <w:b/>
                <w:color w:val="000000"/>
              </w:rPr>
              <w:t>1. 组合送风装置。</w:t>
            </w:r>
          </w:p>
          <w:p>
            <w:pPr>
              <w:pStyle w:val="null3"/>
              <w:jc w:val="left"/>
            </w:pPr>
            <w:r>
              <w:rPr>
                <w:rFonts w:ascii="仿宋_GB2312" w:hAnsi="仿宋_GB2312" w:cs="仿宋_GB2312" w:eastAsia="仿宋_GB2312"/>
                <w:sz w:val="24"/>
                <w:color w:val="000000"/>
              </w:rPr>
              <w:t>①组合送风装置由可多个送风模块组成，可根据实际需要扩展增加。本项目包含400个送风口外尺寸为100mm×100mm的送风模块和100个送风口外尺寸为200mm×200mm的送风模块，每个送风模块均可独立识别，金属或塑料材质，送风模块之间可通过磁吸、卡扣等方式任意连接、组合和拆卸，送风模块之间连接牢固稳定，模块组合后，送风口之间无错位、无缝隙、无偏移。</w:t>
            </w:r>
          </w:p>
          <w:p>
            <w:pPr>
              <w:pStyle w:val="null3"/>
              <w:jc w:val="left"/>
            </w:pPr>
            <w:r>
              <w:rPr>
                <w:rFonts w:ascii="仿宋_GB2312" w:hAnsi="仿宋_GB2312" w:cs="仿宋_GB2312" w:eastAsia="仿宋_GB2312"/>
                <w:sz w:val="24"/>
                <w:color w:val="000000"/>
              </w:rPr>
              <w:t>②每个送风模块均包含风机段和均流段，风机段和均流段通过螺丝或卡扣等方式连接固定，并可以拆卸。每个送风模块的风机段与均流段总长度≤350mm，送风模块外表面光滑，壁厚在保证结构强度不变形的基础上，不大于3mm。</w:t>
            </w:r>
          </w:p>
          <w:p>
            <w:pPr>
              <w:pStyle w:val="null3"/>
              <w:jc w:val="left"/>
            </w:pPr>
            <w:r>
              <w:rPr>
                <w:rFonts w:ascii="仿宋_GB2312" w:hAnsi="仿宋_GB2312" w:cs="仿宋_GB2312" w:eastAsia="仿宋_GB2312"/>
                <w:sz w:val="24"/>
                <w:color w:val="000000"/>
              </w:rPr>
              <w:t>③每个送风模块应包含独立的送风风机，风机电源模块和风机调速模块，每个送风模块的送风口风速可在0-12m/s无极精确调节，且单个送风模块最大风速下工作噪音≤70dB，单风机功率不高于150W。</w:t>
            </w:r>
          </w:p>
          <w:p>
            <w:pPr>
              <w:pStyle w:val="null3"/>
              <w:jc w:val="left"/>
            </w:pPr>
            <w:r>
              <w:rPr>
                <w:rFonts w:ascii="仿宋_GB2312" w:hAnsi="仿宋_GB2312" w:cs="仿宋_GB2312" w:eastAsia="仿宋_GB2312"/>
                <w:sz w:val="24"/>
                <w:color w:val="000000"/>
              </w:rPr>
              <w:t>④每个送风模块需保证送风口断面处9个测点上的风速测量值与该断面风速平均值偏差≤3%。</w:t>
            </w:r>
          </w:p>
          <w:p>
            <w:pPr>
              <w:pStyle w:val="null3"/>
              <w:jc w:val="both"/>
            </w:pPr>
            <w:r>
              <w:rPr>
                <w:rFonts w:ascii="仿宋_GB2312" w:hAnsi="仿宋_GB2312" w:cs="仿宋_GB2312" w:eastAsia="仿宋_GB2312"/>
                <w:sz w:val="24"/>
                <w:b/>
                <w:color w:val="000000"/>
              </w:rPr>
              <w:t>2. 组合送风装置控制系统。</w:t>
            </w:r>
          </w:p>
          <w:p>
            <w:pPr>
              <w:pStyle w:val="null3"/>
              <w:jc w:val="left"/>
            </w:pPr>
            <w:r>
              <w:rPr>
                <w:rFonts w:ascii="仿宋_GB2312" w:hAnsi="仿宋_GB2312" w:cs="仿宋_GB2312" w:eastAsia="仿宋_GB2312"/>
                <w:sz w:val="24"/>
                <w:color w:val="000000"/>
              </w:rPr>
              <w:t>①组合送风装置控制系统可独立控制每个送风模块的风机启停、风速大小无极调节，控制风速响应时间≤10ms，控制送风模块的风速变化速率≥5m/s</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②组合送风装置控制系统预留扩展能力，最大可扩展的送风模块数量不少于1000个。</w:t>
            </w:r>
          </w:p>
          <w:p>
            <w:pPr>
              <w:pStyle w:val="null3"/>
              <w:jc w:val="left"/>
            </w:pPr>
            <w:r>
              <w:rPr>
                <w:rFonts w:ascii="仿宋_GB2312" w:hAnsi="仿宋_GB2312" w:cs="仿宋_GB2312" w:eastAsia="仿宋_GB2312"/>
                <w:sz w:val="24"/>
                <w:color w:val="000000"/>
              </w:rPr>
              <w:t>③所有送风模块具备有线/无线方式接入控制系统，控制系统需配套图形化界面控制软件，所有送风模块可在控制软件中图形化界面识别编号并展示每个送风模块相对位置。</w:t>
            </w:r>
          </w:p>
          <w:p>
            <w:pPr>
              <w:pStyle w:val="null3"/>
              <w:jc w:val="left"/>
            </w:pPr>
            <w:r>
              <w:rPr>
                <w:rFonts w:ascii="仿宋_GB2312" w:hAnsi="仿宋_GB2312" w:cs="仿宋_GB2312" w:eastAsia="仿宋_GB2312"/>
                <w:sz w:val="24"/>
                <w:color w:val="000000"/>
              </w:rPr>
              <w:t>④控制系统软件需满足Python API自定义脚本接口，基于Web的图形用户界面，可扩展、易于维护升级。</w:t>
            </w:r>
          </w:p>
          <w:p>
            <w:pPr>
              <w:pStyle w:val="null3"/>
              <w:jc w:val="left"/>
            </w:pPr>
            <w:r>
              <w:rPr>
                <w:rFonts w:ascii="仿宋_GB2312" w:hAnsi="仿宋_GB2312" w:cs="仿宋_GB2312" w:eastAsia="仿宋_GB2312"/>
                <w:sz w:val="24"/>
                <w:color w:val="000000"/>
              </w:rPr>
              <w:t>⑤控制系统软件中可通过图形化界面快速选取任意数量送风模块，并通过手动输入和函数输入方式调节送风模块风速参数。</w:t>
            </w:r>
          </w:p>
          <w:p>
            <w:pPr>
              <w:pStyle w:val="null3"/>
              <w:jc w:val="left"/>
            </w:pPr>
            <w:r>
              <w:rPr>
                <w:rFonts w:ascii="仿宋_GB2312" w:hAnsi="仿宋_GB2312" w:cs="仿宋_GB2312" w:eastAsia="仿宋_GB2312"/>
                <w:sz w:val="24"/>
                <w:color w:val="000000"/>
              </w:rPr>
              <w:t>⑥控制系统</w:t>
            </w:r>
            <w:r>
              <w:rPr>
                <w:rFonts w:ascii="仿宋_GB2312" w:hAnsi="仿宋_GB2312" w:cs="仿宋_GB2312" w:eastAsia="仿宋_GB2312"/>
                <w:sz w:val="24"/>
                <w:color w:val="000000"/>
              </w:rPr>
              <w:t>终端</w:t>
            </w:r>
            <w:r>
              <w:rPr>
                <w:rFonts w:ascii="仿宋_GB2312" w:hAnsi="仿宋_GB2312" w:cs="仿宋_GB2312" w:eastAsia="仿宋_GB2312"/>
                <w:sz w:val="24"/>
                <w:color w:val="000000"/>
              </w:rPr>
              <w:t>配置参数要求：</w:t>
            </w:r>
            <w:r>
              <w:rPr>
                <w:rFonts w:ascii="仿宋_GB2312" w:hAnsi="仿宋_GB2312" w:cs="仿宋_GB2312" w:eastAsia="仿宋_GB2312"/>
                <w:sz w:val="24"/>
                <w:color w:val="000000"/>
              </w:rPr>
              <w:t>CPU性能≥intel i5 14600，12G以上显存</w:t>
            </w:r>
            <w:r>
              <w:rPr>
                <w:rFonts w:ascii="仿宋_GB2312" w:hAnsi="仿宋_GB2312" w:cs="仿宋_GB2312" w:eastAsia="仿宋_GB2312"/>
                <w:sz w:val="24"/>
                <w:color w:val="000000"/>
              </w:rPr>
              <w:t>，</w:t>
            </w:r>
            <w:r>
              <w:rPr>
                <w:rFonts w:ascii="仿宋_GB2312" w:hAnsi="仿宋_GB2312" w:cs="仿宋_GB2312" w:eastAsia="仿宋_GB2312"/>
                <w:sz w:val="24"/>
                <w:color w:val="000000"/>
              </w:rPr>
              <w:t>独立显卡，配置</w:t>
            </w:r>
            <w:r>
              <w:rPr>
                <w:rFonts w:ascii="仿宋_GB2312" w:hAnsi="仿宋_GB2312" w:cs="仿宋_GB2312" w:eastAsia="仿宋_GB2312"/>
                <w:sz w:val="24"/>
                <w:color w:val="000000"/>
              </w:rPr>
              <w:t>1T固态硬盘及32G运行内存，配备鼠标、键盘、≥27寸液晶显示器、散热、金牌全模电源。</w:t>
            </w:r>
          </w:p>
          <w:p>
            <w:pPr>
              <w:pStyle w:val="null3"/>
              <w:jc w:val="both"/>
            </w:pPr>
            <w:r>
              <w:rPr>
                <w:rFonts w:ascii="仿宋_GB2312" w:hAnsi="仿宋_GB2312" w:cs="仿宋_GB2312" w:eastAsia="仿宋_GB2312"/>
                <w:sz w:val="24"/>
                <w:b/>
                <w:color w:val="000000"/>
              </w:rPr>
              <w:t>3. 组合送风装置外边框。</w:t>
            </w:r>
          </w:p>
          <w:p>
            <w:pPr>
              <w:pStyle w:val="null3"/>
              <w:jc w:val="left"/>
            </w:pPr>
            <w:r>
              <w:rPr>
                <w:rFonts w:ascii="仿宋_GB2312" w:hAnsi="仿宋_GB2312" w:cs="仿宋_GB2312" w:eastAsia="仿宋_GB2312"/>
                <w:sz w:val="24"/>
              </w:rPr>
              <w:t>①组合送风装置的外边框采用牢固耐用金属材料制成，送风模块可在拼接后通过外边框固定。</w:t>
            </w:r>
          </w:p>
          <w:p>
            <w:pPr>
              <w:pStyle w:val="null3"/>
              <w:jc w:val="left"/>
            </w:pPr>
            <w:r>
              <w:rPr>
                <w:rFonts w:ascii="仿宋_GB2312" w:hAnsi="仿宋_GB2312" w:cs="仿宋_GB2312" w:eastAsia="仿宋_GB2312"/>
                <w:sz w:val="24"/>
              </w:rPr>
              <w:t>②送风模块由外边框固定后，确保所有送风模块全功率运行时，装置不发生位移、震动、共振。</w:t>
            </w:r>
          </w:p>
          <w:p>
            <w:pPr>
              <w:pStyle w:val="null3"/>
              <w:jc w:val="left"/>
            </w:pPr>
            <w:r>
              <w:rPr>
                <w:rFonts w:ascii="仿宋_GB2312" w:hAnsi="仿宋_GB2312" w:cs="仿宋_GB2312" w:eastAsia="仿宋_GB2312"/>
                <w:sz w:val="24"/>
              </w:rPr>
              <w:t>③外边框两侧中部带有转轴，可以与组合送风装置底座连接固定。</w:t>
            </w:r>
          </w:p>
          <w:p>
            <w:pPr>
              <w:pStyle w:val="null3"/>
              <w:jc w:val="left"/>
            </w:pPr>
            <w:r>
              <w:rPr>
                <w:rFonts w:ascii="仿宋_GB2312" w:hAnsi="仿宋_GB2312" w:cs="仿宋_GB2312" w:eastAsia="仿宋_GB2312"/>
                <w:sz w:val="24"/>
              </w:rPr>
              <w:t>④外边框用于固定送风模块，要求结构稳定不变形，包括以下5种规格：</w:t>
            </w:r>
          </w:p>
          <w:tbl>
            <w:tblPr>
              <w:tblInd w:type="dxa" w:w="120"/>
              <w:tblBorders>
                <w:top w:val="none" w:color="000000" w:sz="4"/>
                <w:left w:val="none" w:color="000000" w:sz="4"/>
                <w:bottom w:val="none" w:color="000000" w:sz="4"/>
                <w:right w:val="none" w:color="000000" w:sz="4"/>
                <w:insideH w:val="none"/>
                <w:insideV w:val="none"/>
              </w:tblBorders>
            </w:tblPr>
            <w:tblGrid>
              <w:gridCol w:w="1620"/>
              <w:gridCol w:w="933"/>
            </w:tblGrid>
            <w:tr>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内边长规格</w:t>
                  </w:r>
                </w:p>
              </w:tc>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2000mm×2000mm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2个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2000mm×1000mm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4个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2000mm×200mm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10个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1000mm×1000mm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8个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400mm×400mm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25个</w:t>
                  </w:r>
                </w:p>
              </w:tc>
            </w:tr>
          </w:tbl>
          <w:p>
            <w:pPr>
              <w:pStyle w:val="null3"/>
              <w:jc w:val="left"/>
            </w:pPr>
            <w:r>
              <w:rPr>
                <w:rFonts w:ascii="仿宋_GB2312" w:hAnsi="仿宋_GB2312" w:cs="仿宋_GB2312" w:eastAsia="仿宋_GB2312"/>
                <w:sz w:val="24"/>
              </w:rPr>
              <w:t>其中，每种规格的外边框，有如下要求：</w:t>
            </w:r>
          </w:p>
          <w:p>
            <w:pPr>
              <w:pStyle w:val="null3"/>
              <w:jc w:val="left"/>
            </w:pPr>
            <w:r>
              <w:rPr>
                <w:rFonts w:ascii="仿宋_GB2312" w:hAnsi="仿宋_GB2312" w:cs="仿宋_GB2312" w:eastAsia="仿宋_GB2312"/>
                <w:sz w:val="24"/>
              </w:rPr>
              <w:t>1）内边长2000mm×2000mm的外边框，可安装20个×20个送风口外尺寸为100mm×100mm的送风模块，或者10个×10个送风口外尺寸为200mm×200mm的送风模块；</w:t>
            </w:r>
          </w:p>
          <w:p>
            <w:pPr>
              <w:pStyle w:val="null3"/>
              <w:jc w:val="left"/>
            </w:pPr>
            <w:r>
              <w:rPr>
                <w:rFonts w:ascii="仿宋_GB2312" w:hAnsi="仿宋_GB2312" w:cs="仿宋_GB2312" w:eastAsia="仿宋_GB2312"/>
                <w:sz w:val="24"/>
              </w:rPr>
              <w:t>2）边长2000mm×1000mm的外边框，其中可安装20个×10个送风口外尺寸为100mm×100mm的送风模块，或者10个×5个送风口外尺寸为200mm×200mm的送风模块；</w:t>
            </w:r>
          </w:p>
          <w:p>
            <w:pPr>
              <w:pStyle w:val="null3"/>
              <w:jc w:val="left"/>
            </w:pPr>
            <w:r>
              <w:rPr>
                <w:rFonts w:ascii="仿宋_GB2312" w:hAnsi="仿宋_GB2312" w:cs="仿宋_GB2312" w:eastAsia="仿宋_GB2312"/>
                <w:sz w:val="24"/>
              </w:rPr>
              <w:t>3）边长2000mm×200mm的外边框，其中可安装20个×2个送风口外尺寸为100mm×100mm的送风模块，或者10个×1个送风口外尺寸为200mm×200mm的送风模块；</w:t>
            </w:r>
          </w:p>
          <w:p>
            <w:pPr>
              <w:pStyle w:val="null3"/>
              <w:jc w:val="left"/>
            </w:pPr>
            <w:r>
              <w:rPr>
                <w:rFonts w:ascii="仿宋_GB2312" w:hAnsi="仿宋_GB2312" w:cs="仿宋_GB2312" w:eastAsia="仿宋_GB2312"/>
                <w:sz w:val="24"/>
              </w:rPr>
              <w:t>4）边长1000mm×1000mm的外边框，其中可安装10个×10个送风口外尺寸为100mm×100mm的送风模块，或者5个×5个送风口外尺寸为200mm×200mm的送风模块；</w:t>
            </w:r>
          </w:p>
          <w:p>
            <w:pPr>
              <w:pStyle w:val="null3"/>
              <w:jc w:val="left"/>
            </w:pPr>
            <w:r>
              <w:rPr>
                <w:rFonts w:ascii="仿宋_GB2312" w:hAnsi="仿宋_GB2312" w:cs="仿宋_GB2312" w:eastAsia="仿宋_GB2312"/>
                <w:sz w:val="24"/>
              </w:rPr>
              <w:t>5）边长400mm×400mm的外边框，其中可安装4个×4个送风口外尺寸为100mm×100mm的送风模块，或者2个×2个送风口外尺寸为200mm×200mm的送风模块。</w:t>
            </w:r>
          </w:p>
          <w:p>
            <w:pPr>
              <w:pStyle w:val="null3"/>
              <w:jc w:val="both"/>
            </w:pPr>
            <w:r>
              <w:rPr>
                <w:rFonts w:ascii="仿宋_GB2312" w:hAnsi="仿宋_GB2312" w:cs="仿宋_GB2312" w:eastAsia="仿宋_GB2312"/>
                <w:sz w:val="24"/>
                <w:b/>
                <w:color w:val="000000"/>
              </w:rPr>
              <w:t>4. 组合送风装置底座。</w:t>
            </w:r>
          </w:p>
          <w:p>
            <w:pPr>
              <w:pStyle w:val="null3"/>
              <w:jc w:val="both"/>
            </w:pPr>
            <w:r>
              <w:rPr>
                <w:rFonts w:ascii="仿宋_GB2312" w:hAnsi="仿宋_GB2312" w:cs="仿宋_GB2312" w:eastAsia="仿宋_GB2312"/>
                <w:sz w:val="24"/>
              </w:rPr>
              <w:t>①配置有连接安装组合送风装置外边框的同规格底座5个，可连接所有规格送风模块外边框。</w:t>
            </w:r>
          </w:p>
          <w:p>
            <w:pPr>
              <w:pStyle w:val="null3"/>
              <w:jc w:val="both"/>
            </w:pPr>
            <w:r>
              <w:rPr>
                <w:rFonts w:ascii="仿宋_GB2312" w:hAnsi="仿宋_GB2312" w:cs="仿宋_GB2312" w:eastAsia="仿宋_GB2312"/>
                <w:sz w:val="24"/>
              </w:rPr>
              <w:t>②底座为金属门型构架，近地面不设置横梁，不妨碍人和设备从门型构架中通过。底座安装送风模块外边框后，下降到最低时可直接接触地面。</w:t>
            </w:r>
          </w:p>
          <w:p>
            <w:pPr>
              <w:pStyle w:val="null3"/>
              <w:jc w:val="both"/>
            </w:pPr>
            <w:r>
              <w:rPr>
                <w:rFonts w:ascii="仿宋_GB2312" w:hAnsi="仿宋_GB2312" w:cs="仿宋_GB2312" w:eastAsia="仿宋_GB2312"/>
                <w:sz w:val="24"/>
              </w:rPr>
              <w:t>③底座可以与外边框中部转轴连接，连接后，外边框可以通过底座上电机实现垂直方向360°旋转并任意调节俯仰角度；底座可电控升降外边框高度，调节范围为0-2500mm；底座可通过伸缩杆或更换不同长度连接杆调节门型宽度，调节范围为200-2000mm。</w:t>
            </w:r>
          </w:p>
          <w:p>
            <w:pPr>
              <w:pStyle w:val="null3"/>
              <w:jc w:val="both"/>
            </w:pPr>
            <w:r>
              <w:rPr>
                <w:rFonts w:ascii="仿宋_GB2312" w:hAnsi="仿宋_GB2312" w:cs="仿宋_GB2312" w:eastAsia="仿宋_GB2312"/>
                <w:sz w:val="24"/>
              </w:rPr>
              <w:t>④底座承重强度需≥2倍装满组合送风模块和外边框及附属设施的重量。</w:t>
            </w:r>
          </w:p>
          <w:p>
            <w:pPr>
              <w:pStyle w:val="null3"/>
              <w:jc w:val="both"/>
            </w:pPr>
            <w:r>
              <w:rPr>
                <w:rFonts w:ascii="仿宋_GB2312" w:hAnsi="仿宋_GB2312" w:cs="仿宋_GB2312" w:eastAsia="仿宋_GB2312"/>
                <w:sz w:val="24"/>
              </w:rPr>
              <w:t>⑤底座可通过万向轮移动，并可以通过额外支撑腿固定，在外边框任意旋转、升降，以及系统全功率运行时保持稳定，不发生位移、振动、摇摆和倾覆。</w:t>
            </w:r>
          </w:p>
          <w:p>
            <w:pPr>
              <w:pStyle w:val="null3"/>
              <w:jc w:val="both"/>
            </w:pPr>
            <w:r>
              <w:rPr>
                <w:rFonts w:ascii="仿宋_GB2312" w:hAnsi="仿宋_GB2312" w:cs="仿宋_GB2312" w:eastAsia="仿宋_GB2312"/>
                <w:sz w:val="24"/>
                <w:b/>
                <w:color w:val="000000"/>
              </w:rPr>
              <w:t>5. 其他。</w:t>
            </w:r>
          </w:p>
          <w:p>
            <w:pPr>
              <w:pStyle w:val="null3"/>
              <w:jc w:val="both"/>
            </w:pPr>
            <w:r>
              <w:rPr>
                <w:rFonts w:ascii="仿宋_GB2312" w:hAnsi="仿宋_GB2312" w:cs="仿宋_GB2312" w:eastAsia="仿宋_GB2312"/>
                <w:sz w:val="24"/>
                <w:color w:val="000000"/>
              </w:rPr>
              <w:t>①投标人需向采购人提供可行具体结构设计方案；</w:t>
            </w:r>
          </w:p>
          <w:p>
            <w:pPr>
              <w:pStyle w:val="null3"/>
              <w:jc w:val="both"/>
            </w:pPr>
            <w:r>
              <w:rPr>
                <w:rFonts w:ascii="仿宋_GB2312" w:hAnsi="仿宋_GB2312" w:cs="仿宋_GB2312" w:eastAsia="仿宋_GB2312"/>
                <w:sz w:val="24"/>
                <w:color w:val="000000"/>
              </w:rPr>
              <w:t>②投标人需向采购人提供控制系统详细设计方案。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待设备到达指定地点、安装调试完成并验收合格后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供应商需要在线提交所有通过电子化交易平台实施的政府采购项目的投标文件，同时，线下提交纸质投标文件正本壹份、副本壹份、电子版壹份（U盘壹份）。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线下递交文件地点：西安市高新区唐延路旺座现代城C座2502室；若选择邮寄，请邮寄至2502室。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投标人须提供2024年7月至今已缴纳的至少一个月纳税证明或完税证明，依法免税的单位应提供相关证明材料。（以税款所属期限为准）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供应商磋商一览表 分项报价清单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标的清单 供应商磋商一览表 分项报价清单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商务应答表 供应商磋商一览表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商务应答表 供应商磋商一览表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售后服务方案 磋商保证金 产品使用寿命承诺函 中小企业声明函 商务应答表 供应商认为其他有必要说明的其他问题 设计方案 供应商磋商一览表 供应商业绩一览表 响应文件封面 技术参数证明资料 产品技术参数表 培训方案 残疾人福利性单位声明函 标的清单 陕西省政府采购供应商拒绝政府采购领域商业贿赂承诺书 响应函 监狱企业的证明文件 分项报价清单 供应商资格证明文件 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磋商保证金</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陕西省政府采购供应商拒绝政府采购领域商业贿赂承诺书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投标产品技术参数清楚、明确，有相应齐全的技术资料，完全满足招标技术参数要求得20分；技术参数负偏离一项扣1分；直到扣完为止。 评审依据： 提供生产厂家确认的具有相应的功能证明材料（投标产品注册证及附件、技术白皮书、产品彩页（如有）、（产品）说明书、认证证书、检测/检验报告等，官网截图等）。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技术参数证明资料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供应商针对本项目制定实施方案。包括①供货配送方案②运输保管方案③人员配备④产品调换方案⑤出现紧急情况下的应急方案。 2、评审标准：①完整性：内容全面，对评审内容中的各项要求描述详细；②针对性：能够紧扣项目实际情况，内容科学合理。 3、赋分依据（满分10分） ①供货配送方案：每完全满足一个评审标准得1分，满分2分；未提供不得分； ②运输保管方案：每完全满足一个评审标准得1分，满分2分；未提供不得分； ③人员配备：每完全满足一个评审标准得1分，满分2分；未提供不得分。 ④产品调换方案：每完全满足一个评审标准得1分，满分2分；未提供不得分。 ⑤出现紧急情况下的应急方案：每完全满足一个评审标准得1分，满分2分；未提供不得分。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1、评审内容： 供应商针对本项目制定设计方案。包括①结构设计方案、②控制系统详细设计方案。 2、评审标准：①完整性：内容全面，对评审内容中的各项要求描述 详细；②可实施性：切合本项目实际情况，实施步骤清晰、合理；③针对性：能够紧扣项目实际情况，内容科学合理。 3、赋分依据（满分6分） ①结构设计方案：每完全满足一个评审标准得1分，满分3分；未提供不得分； ②控制系统详细设计方案：每完全满足一个评审标准得1分，满分3分；未提供不得分；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供应商针对本项目制定售后服务方案。包括①调换货响应时效、②维保方案、③具体可行的售后服务措施承诺、④售后服务人员组成和安排。 2、评审标准：①完整性：内容全面，对评审内容中的各项要求描述 详细；②针对性：能够紧扣项目实际情况，内容科学合理。 3、赋分依据（满分8分） ①调换货响应时效：每完全满足一个评审标准得1分，满分2分；未提供不得分； ②维保方案：每完全满足一个评审标准得1分，满分2分；未提供不得分； ③具体可行的售后服务措施承诺：每完全满足一个评审标准得1分，满分2分；未提供不得分； ④售后服务人员组成和安排：每完全满足一个评审标准得1分，满分2分；未提供不得分；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供应商针对本项目制定培训方案。包括①培训内容、②培训方式、③培训人员。 2、评审标准：①完整性：内容全面，对评审内容中的各项要求描述 详细；②针对性：能够紧扣项目实际情况，内容科学合理。 3、赋分依据（满分6分） ①培训内容：每完全满足一个评审标准得1分，满分2分；未提供不得分； ②培训方式：每完全满足一个评审标准得1分，满分2分；未提供不得分； ③培训人员：每完全满足一个评审标准得1分，满分2分；未提供不得分。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提供2022年1月1日起至今（以合同签订时间为准）类似项目业绩。每提供一份计1分，满分5分。 评审依据：投标文件中须提供完整业绩合同证明材料复印件加盖公章，以合同签订时间为准。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1、经初审合格的磋商文件，其磋商报价为有效磋商报价； 2、满足磋商文件要求且最后提交价格最低的响应报价为评标基准价。 3、响应报价得分=(评审基准价／最后响应报价)×45；4、响应报价不完整的，本项得0分。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供应商磋商一览表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详见附件：产品使用寿命承诺函</w:t>
      </w:r>
    </w:p>
    <w:p>
      <w:pPr>
        <w:pStyle w:val="null3"/>
        <w:ind w:firstLine="960"/>
      </w:pPr>
      <w:r>
        <w:rPr>
          <w:rFonts w:ascii="仿宋_GB2312" w:hAnsi="仿宋_GB2312" w:cs="仿宋_GB2312" w:eastAsia="仿宋_GB2312"/>
        </w:rPr>
        <w:t>详见附件：分项报价清单</w:t>
      </w:r>
    </w:p>
    <w:p>
      <w:pPr>
        <w:pStyle w:val="null3"/>
        <w:ind w:firstLine="960"/>
      </w:pPr>
      <w:r>
        <w:rPr>
          <w:rFonts w:ascii="仿宋_GB2312" w:hAnsi="仿宋_GB2312" w:cs="仿宋_GB2312" w:eastAsia="仿宋_GB2312"/>
        </w:rPr>
        <w:t>详见附件：供应商磋商一览表</w:t>
      </w:r>
    </w:p>
    <w:p>
      <w:pPr>
        <w:pStyle w:val="null3"/>
        <w:ind w:firstLine="960"/>
      </w:pPr>
      <w:r>
        <w:rPr>
          <w:rFonts w:ascii="仿宋_GB2312" w:hAnsi="仿宋_GB2312" w:cs="仿宋_GB2312" w:eastAsia="仿宋_GB2312"/>
        </w:rPr>
        <w:t>详见附件：供应商认为其他有必要说明的其他问题</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详见附件：技术参数证明资料</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详见附件：设计方案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