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版本号：ZHZB-2025-GK-07027-EC20250822001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人工智能通识课程教学实践平台项目(二次)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ZHZB-2025-GK-07027-EC</w:t>
      </w:r>
      <w:r>
        <w:br/>
      </w:r>
      <w:r>
        <w:br/>
      </w:r>
      <w:r>
        <w:br/>
      </w:r>
    </w:p>
    <w:p>
      <w:pPr>
        <w:pStyle w:val="null3"/>
        <w:jc w:val="center"/>
        <w:outlineLvl w:val="2"/>
      </w:pPr>
      <w:r>
        <w:rPr>
          <w:rFonts w:ascii="仿宋_GB2312" w:hAnsi="仿宋_GB2312" w:cs="仿宋_GB2312" w:eastAsia="仿宋_GB2312"/>
          <w:sz w:val="28"/>
          <w:b/>
        </w:rPr>
        <w:t>安康学院</w:t>
      </w:r>
    </w:p>
    <w:p>
      <w:pPr>
        <w:pStyle w:val="null3"/>
        <w:jc w:val="center"/>
        <w:outlineLvl w:val="2"/>
      </w:pPr>
      <w:r>
        <w:rPr>
          <w:rFonts w:ascii="仿宋_GB2312" w:hAnsi="仿宋_GB2312" w:cs="仿宋_GB2312" w:eastAsia="仿宋_GB2312"/>
          <w:sz w:val="28"/>
          <w:b/>
        </w:rPr>
        <w:t>陕西正鸿项目管理有限公司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陕西正鸿项目管理有限公司</w:t>
      </w:r>
      <w:r>
        <w:rPr>
          <w:rFonts w:ascii="仿宋_GB2312" w:hAnsi="仿宋_GB2312" w:cs="仿宋_GB2312" w:eastAsia="仿宋_GB2312"/>
        </w:rPr>
        <w:t>（以下简称“代理机构”）受</w:t>
      </w:r>
      <w:r>
        <w:rPr>
          <w:rFonts w:ascii="仿宋_GB2312" w:hAnsi="仿宋_GB2312" w:cs="仿宋_GB2312" w:eastAsia="仿宋_GB2312"/>
        </w:rPr>
        <w:t>安康学院</w:t>
      </w:r>
      <w:r>
        <w:rPr>
          <w:rFonts w:ascii="仿宋_GB2312" w:hAnsi="仿宋_GB2312" w:cs="仿宋_GB2312" w:eastAsia="仿宋_GB2312"/>
        </w:rPr>
        <w:t>委托，拟对</w:t>
      </w:r>
      <w:r>
        <w:rPr>
          <w:rFonts w:ascii="仿宋_GB2312" w:hAnsi="仿宋_GB2312" w:cs="仿宋_GB2312" w:eastAsia="仿宋_GB2312"/>
        </w:rPr>
        <w:t>人工智能通识课程教学实践平台项目(二次)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ZHZB-2025-GK-07027-EC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人工智能通识课程教学实践平台项目(二次)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安康学院人工智能通识课程教学实践平台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2023年或2024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w:t>
      </w:r>
    </w:p>
    <w:p>
      <w:pPr>
        <w:pStyle w:val="null3"/>
      </w:pPr>
      <w:r>
        <w:rPr>
          <w:rFonts w:ascii="仿宋_GB2312" w:hAnsi="仿宋_GB2312" w:cs="仿宋_GB2312" w:eastAsia="仿宋_GB2312"/>
        </w:rPr>
        <w:t>4、有依法缴纳社会保障资金的良好记录：提供投标文件递交截止时间前一年内任意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安康学院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陕西省安康市育才路92号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725000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丁老师、赵老师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0915-3358049、0915-3288097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高欢欢、刘晓利、卫钰、肖崇阳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029-89338755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国家发展改革委员会办公厅关于招标代理服务收费有关问题的通知》（发改办价[2003]857号）规定标准及乙方相关承诺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安康学院</w:t>
      </w:r>
      <w:r>
        <w:rPr>
          <w:rFonts w:ascii="仿宋_GB2312" w:hAnsi="仿宋_GB2312" w:cs="仿宋_GB2312" w:eastAsia="仿宋_GB2312"/>
        </w:rPr>
        <w:t>和</w:t>
      </w:r>
      <w:r>
        <w:rPr>
          <w:rFonts w:ascii="仿宋_GB2312" w:hAnsi="仿宋_GB2312" w:cs="仿宋_GB2312" w:eastAsia="仿宋_GB2312"/>
        </w:rPr>
        <w:t>陕西正鸿项目管理有限公司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安康学院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安康学院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联系人：高欢欢、刘晓利、卫钰、肖崇阳</w:t>
      </w:r>
    </w:p>
    <w:p>
      <w:pPr>
        <w:pStyle w:val="null3"/>
      </w:pPr>
      <w:r>
        <w:rPr>
          <w:rFonts w:ascii="仿宋_GB2312" w:hAnsi="仿宋_GB2312" w:cs="仿宋_GB2312" w:eastAsia="仿宋_GB2312"/>
        </w:rPr>
        <w:t>联系电话：029-89338755</w:t>
      </w:r>
    </w:p>
    <w:p>
      <w:pPr>
        <w:pStyle w:val="null3"/>
      </w:pPr>
      <w:r>
        <w:rPr>
          <w:rFonts w:ascii="仿宋_GB2312" w:hAnsi="仿宋_GB2312" w:cs="仿宋_GB2312" w:eastAsia="仿宋_GB2312"/>
        </w:rPr>
        <w:t>地址：陕西省西安市曲江新区雁翔路3269号旺座曲江D座30层3003室</w:t>
      </w:r>
    </w:p>
    <w:p>
      <w:pPr>
        <w:pStyle w:val="null3"/>
      </w:pPr>
      <w:r>
        <w:rPr>
          <w:rFonts w:ascii="仿宋_GB2312" w:hAnsi="仿宋_GB2312" w:cs="仿宋_GB2312" w:eastAsia="仿宋_GB2312"/>
        </w:rPr>
        <w:t>邮编：710062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该人工智能通识教学实践平台为机架式架构，搭载≥2 颗处理器（合计:≥24核、≥48线程，≥2.1GHz基频）、≥512GB DDR4内存及≥6块3.84T固态硬盘，配置≥8张计算卡,单卡显存≥48GB且配置≥96个永久切分授权，还配有1U智能 KVM。其能无缝接入学院现有算力集群平台，实现统一登录、数据采集与分析，功能涵盖简洁易用的实验教学管理含学生、实验、作业等管理及教师自定义实验、实验报告自动批改支持多模态信息与大模型判分、丰富的模型服务覆盖文本对话、图像生成等多类型、模型服务弹性伸缩与统计分析、RAG知识库关联AI助学模块支持主流大模型与启发式问答，并提供文科、理工科、AIGC课程实验资源各实验均配配套手册。</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人工智能通识课程教学实践平台项目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标的名称：人工智能通识课程教学实践平台项目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333333"/>
                <w:shd w:fill="FFFFFF" w:val="clear"/>
              </w:rPr>
              <w:t>人工智能通识课程教学实践平台</w:t>
            </w:r>
            <w:r>
              <w:rPr>
                <w:rFonts w:ascii="仿宋_GB2312" w:hAnsi="仿宋_GB2312" w:cs="仿宋_GB2312" w:eastAsia="仿宋_GB2312"/>
                <w:sz w:val="24"/>
                <w:b/>
                <w:color w:val="333333"/>
                <w:shd w:fill="FFFFFF" w:val="clear"/>
              </w:rPr>
              <w:t xml:space="preserve">1套    </w:t>
            </w:r>
            <w:r>
              <w:rPr>
                <w:rFonts w:ascii="仿宋_GB2312" w:hAnsi="仿宋_GB2312" w:cs="仿宋_GB2312" w:eastAsia="仿宋_GB2312"/>
                <w:sz w:val="24"/>
                <w:b/>
                <w:color w:val="333333"/>
                <w:shd w:fill="FFFFFF" w:val="clear"/>
              </w:rPr>
              <w:t>（</w:t>
            </w:r>
            <w:r>
              <w:rPr>
                <w:rFonts w:ascii="仿宋_GB2312" w:hAnsi="仿宋_GB2312" w:cs="仿宋_GB2312" w:eastAsia="仿宋_GB2312"/>
                <w:sz w:val="24"/>
                <w:b/>
                <w:color w:val="333333"/>
                <w:shd w:fill="FFFFFF" w:val="clear"/>
              </w:rPr>
              <w:t>核心产品</w:t>
            </w:r>
            <w:r>
              <w:rPr>
                <w:rFonts w:ascii="仿宋_GB2312" w:hAnsi="仿宋_GB2312" w:cs="仿宋_GB2312" w:eastAsia="仿宋_GB2312"/>
                <w:sz w:val="24"/>
                <w:b/>
                <w:color w:val="333333"/>
                <w:shd w:fill="FFFFFF" w:val="clear"/>
              </w:rPr>
              <w:t>）</w:t>
            </w:r>
          </w:p>
          <w:p>
            <w:pPr>
              <w:pStyle w:val="null3"/>
              <w:jc w:val="both"/>
            </w:pPr>
            <w:r>
              <w:rPr>
                <w:rFonts w:ascii="仿宋_GB2312" w:hAnsi="仿宋_GB2312" w:cs="仿宋_GB2312" w:eastAsia="仿宋_GB2312"/>
                <w:sz w:val="24"/>
                <w:b/>
                <w:shd w:fill="FFFFFF" w:val="clear"/>
              </w:rPr>
              <w:t>1.</w:t>
            </w:r>
            <w:r>
              <w:rPr>
                <w:rFonts w:ascii="仿宋_GB2312" w:hAnsi="仿宋_GB2312" w:cs="仿宋_GB2312" w:eastAsia="仿宋_GB2312"/>
                <w:sz w:val="24"/>
                <w:b/>
                <w:shd w:fill="FFFFFF" w:val="clear"/>
              </w:rPr>
              <w:t>配置机架式高性能计算服务器设备一台</w:t>
            </w:r>
            <w:r>
              <w:rPr>
                <w:rFonts w:ascii="仿宋_GB2312" w:hAnsi="仿宋_GB2312" w:cs="仿宋_GB2312" w:eastAsia="仿宋_GB2312"/>
                <w:sz w:val="24"/>
                <w:b/>
              </w:rPr>
              <w:t>，</w:t>
            </w:r>
            <w:r>
              <w:rPr>
                <w:rFonts w:ascii="仿宋_GB2312" w:hAnsi="仿宋_GB2312" w:cs="仿宋_GB2312" w:eastAsia="仿宋_GB2312"/>
                <w:sz w:val="24"/>
                <w:shd w:fill="FFFFFF" w:val="clear"/>
              </w:rPr>
              <w:t>带</w:t>
            </w:r>
            <w:r>
              <w:rPr>
                <w:rFonts w:ascii="仿宋_GB2312" w:hAnsi="仿宋_GB2312" w:cs="仿宋_GB2312" w:eastAsia="仿宋_GB2312"/>
                <w:sz w:val="24"/>
                <w:shd w:fill="FFFFFF" w:val="clear"/>
              </w:rPr>
              <w:t>GPU套件，可扩展8张GPU加速卡，2+2冗余电源，详细配置如下：</w:t>
            </w:r>
          </w:p>
          <w:p>
            <w:pPr>
              <w:pStyle w:val="null3"/>
              <w:jc w:val="both"/>
            </w:pPr>
            <w:r>
              <w:rPr>
                <w:rFonts w:ascii="仿宋_GB2312" w:hAnsi="仿宋_GB2312" w:cs="仿宋_GB2312" w:eastAsia="仿宋_GB2312"/>
                <w:sz w:val="24"/>
                <w:shd w:fill="FFFFFF" w:val="clear"/>
              </w:rPr>
              <w:t xml:space="preserve">1.1 </w:t>
            </w:r>
            <w:r>
              <w:rPr>
                <w:rFonts w:ascii="仿宋_GB2312" w:hAnsi="仿宋_GB2312" w:cs="仿宋_GB2312" w:eastAsia="仿宋_GB2312"/>
                <w:sz w:val="24"/>
                <w:shd w:fill="FFFFFF" w:val="clear"/>
              </w:rPr>
              <w:t>≥2颗处理器，≥24核，≥48线程，≥2.1GHz基频</w:t>
            </w:r>
          </w:p>
          <w:p>
            <w:pPr>
              <w:pStyle w:val="null3"/>
              <w:jc w:val="both"/>
            </w:pPr>
            <w:r>
              <w:rPr>
                <w:rFonts w:ascii="仿宋_GB2312" w:hAnsi="仿宋_GB2312" w:cs="仿宋_GB2312" w:eastAsia="仿宋_GB2312"/>
                <w:sz w:val="24"/>
                <w:shd w:fill="FFFFFF" w:val="clear"/>
              </w:rPr>
              <w:t xml:space="preserve">1.2 </w:t>
            </w:r>
            <w:r>
              <w:rPr>
                <w:rFonts w:ascii="仿宋_GB2312" w:hAnsi="仿宋_GB2312" w:cs="仿宋_GB2312" w:eastAsia="仿宋_GB2312"/>
                <w:sz w:val="24"/>
                <w:shd w:fill="FFFFFF" w:val="clear"/>
              </w:rPr>
              <w:t>≥512GB</w:t>
            </w:r>
            <w:r>
              <w:rPr>
                <w:rFonts w:ascii="仿宋_GB2312" w:hAnsi="仿宋_GB2312" w:cs="仿宋_GB2312" w:eastAsia="仿宋_GB2312"/>
                <w:sz w:val="21"/>
              </w:rPr>
              <w:t xml:space="preserve"> </w:t>
            </w:r>
            <w:r>
              <w:rPr>
                <w:rFonts w:ascii="仿宋_GB2312" w:hAnsi="仿宋_GB2312" w:cs="仿宋_GB2312" w:eastAsia="仿宋_GB2312"/>
                <w:sz w:val="24"/>
                <w:shd w:fill="FFFFFF" w:val="clear"/>
              </w:rPr>
              <w:t>DDR4</w:t>
            </w:r>
            <w:r>
              <w:rPr>
                <w:rFonts w:ascii="仿宋_GB2312" w:hAnsi="仿宋_GB2312" w:cs="仿宋_GB2312" w:eastAsia="仿宋_GB2312"/>
                <w:sz w:val="24"/>
                <w:shd w:fill="FFFFFF" w:val="clear"/>
              </w:rPr>
              <w:t>内存</w:t>
            </w:r>
          </w:p>
          <w:p>
            <w:pPr>
              <w:pStyle w:val="null3"/>
              <w:jc w:val="both"/>
            </w:pPr>
            <w:r>
              <w:rPr>
                <w:rFonts w:ascii="仿宋_GB2312" w:hAnsi="仿宋_GB2312" w:cs="仿宋_GB2312" w:eastAsia="仿宋_GB2312"/>
                <w:sz w:val="24"/>
                <w:shd w:fill="FFFFFF" w:val="clear"/>
              </w:rPr>
              <w:t xml:space="preserve">1.3 </w:t>
            </w:r>
            <w:r>
              <w:rPr>
                <w:rFonts w:ascii="仿宋_GB2312" w:hAnsi="仿宋_GB2312" w:cs="仿宋_GB2312" w:eastAsia="仿宋_GB2312"/>
                <w:sz w:val="24"/>
                <w:shd w:fill="FFFFFF" w:val="clear"/>
              </w:rPr>
              <w:t>≥6块3.84T固态硬盘</w:t>
            </w:r>
          </w:p>
          <w:p>
            <w:pPr>
              <w:pStyle w:val="null3"/>
              <w:jc w:val="both"/>
            </w:pPr>
            <w:r>
              <w:rPr>
                <w:rFonts w:ascii="仿宋_GB2312" w:hAnsi="仿宋_GB2312" w:cs="仿宋_GB2312" w:eastAsia="仿宋_GB2312"/>
                <w:sz w:val="24"/>
                <w:shd w:fill="FFFFFF" w:val="clear"/>
              </w:rPr>
              <w:t>1.4</w:t>
            </w:r>
            <w:r>
              <w:rPr>
                <w:rFonts w:ascii="仿宋_GB2312" w:hAnsi="仿宋_GB2312" w:cs="仿宋_GB2312" w:eastAsia="仿宋_GB2312"/>
                <w:sz w:val="24"/>
                <w:shd w:fill="FFFFFF" w:val="clear"/>
              </w:rPr>
              <w:t>配置</w:t>
            </w:r>
            <w:r>
              <w:rPr>
                <w:rFonts w:ascii="仿宋_GB2312" w:hAnsi="仿宋_GB2312" w:cs="仿宋_GB2312" w:eastAsia="仿宋_GB2312"/>
                <w:sz w:val="24"/>
                <w:shd w:fill="FFFFFF" w:val="clear"/>
              </w:rPr>
              <w:t>≥4GB cache RAID卡，支持RAID0,1,5,6,10,50,60，支持Cache超级电容保护，提供RAID级别迁移、磁盘漫游、自诊断、Web远程设置等功能</w:t>
            </w:r>
          </w:p>
          <w:p>
            <w:pPr>
              <w:pStyle w:val="null3"/>
              <w:jc w:val="both"/>
            </w:pPr>
            <w:r>
              <w:rPr>
                <w:rFonts w:ascii="仿宋_GB2312" w:hAnsi="仿宋_GB2312" w:cs="仿宋_GB2312" w:eastAsia="仿宋_GB2312"/>
                <w:sz w:val="24"/>
                <w:shd w:fill="FFFFFF" w:val="clear"/>
              </w:rPr>
              <w:t xml:space="preserve">1.5 </w:t>
            </w:r>
            <w:r>
              <w:rPr>
                <w:rFonts w:ascii="仿宋_GB2312" w:hAnsi="仿宋_GB2312" w:cs="仿宋_GB2312" w:eastAsia="仿宋_GB2312"/>
                <w:sz w:val="24"/>
                <w:shd w:fill="FFFFFF" w:val="clear"/>
              </w:rPr>
              <w:t>配置</w:t>
            </w:r>
            <w:r>
              <w:rPr>
                <w:rFonts w:ascii="仿宋_GB2312" w:hAnsi="仿宋_GB2312" w:cs="仿宋_GB2312" w:eastAsia="仿宋_GB2312"/>
                <w:sz w:val="24"/>
                <w:shd w:fill="FFFFFF" w:val="clear"/>
              </w:rPr>
              <w:t>≥2个OCP3.0千兆电口、2个万兆光口（含光模块）</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b/>
                <w:shd w:fill="FFFFFF" w:val="clear"/>
              </w:rPr>
              <w:t>2.</w:t>
            </w:r>
            <w:r>
              <w:rPr>
                <w:rFonts w:ascii="仿宋_GB2312" w:hAnsi="仿宋_GB2312" w:cs="仿宋_GB2312" w:eastAsia="仿宋_GB2312"/>
                <w:sz w:val="24"/>
                <w:b/>
                <w:shd w:fill="FFFFFF" w:val="clear"/>
              </w:rPr>
              <w:t>配置</w:t>
            </w:r>
            <w:r>
              <w:rPr>
                <w:rFonts w:ascii="仿宋_GB2312" w:hAnsi="仿宋_GB2312" w:cs="仿宋_GB2312" w:eastAsia="仿宋_GB2312"/>
                <w:sz w:val="24"/>
                <w:b/>
                <w:shd w:fill="FFFFFF" w:val="clear"/>
              </w:rPr>
              <w:t>≥8张计算卡，单卡显存容量≥48GB；单卡配置≥96个永久切分授权</w:t>
            </w:r>
            <w:r>
              <w:rPr>
                <w:rFonts w:ascii="仿宋_GB2312" w:hAnsi="仿宋_GB2312" w:cs="仿宋_GB2312" w:eastAsia="仿宋_GB2312"/>
                <w:sz w:val="24"/>
                <w:b/>
                <w:shd w:fill="FFFFFF" w:val="clear"/>
              </w:rPr>
              <w:t>（提供承诺书）</w:t>
            </w:r>
          </w:p>
          <w:p>
            <w:pPr>
              <w:pStyle w:val="null3"/>
              <w:jc w:val="left"/>
            </w:pPr>
            <w:r>
              <w:rPr>
                <w:rFonts w:ascii="仿宋_GB2312" w:hAnsi="仿宋_GB2312" w:cs="仿宋_GB2312" w:eastAsia="仿宋_GB2312"/>
                <w:sz w:val="24"/>
                <w:b/>
                <w:shd w:fill="FFFFFF" w:val="clear"/>
              </w:rPr>
              <w:t>3.</w:t>
            </w:r>
            <w:r>
              <w:rPr>
                <w:rFonts w:ascii="仿宋_GB2312" w:hAnsi="仿宋_GB2312" w:cs="仿宋_GB2312" w:eastAsia="仿宋_GB2312"/>
                <w:sz w:val="24"/>
                <w:b/>
                <w:shd w:fill="FFFFFF" w:val="clear"/>
              </w:rPr>
              <w:t>人工智能通识课程教学实践平台运维监控一体机：</w:t>
            </w:r>
          </w:p>
          <w:p>
            <w:pPr>
              <w:pStyle w:val="null3"/>
              <w:jc w:val="left"/>
            </w:pPr>
            <w:r>
              <w:rPr>
                <w:rFonts w:ascii="仿宋_GB2312" w:hAnsi="仿宋_GB2312" w:cs="仿宋_GB2312" w:eastAsia="仿宋_GB2312"/>
                <w:sz w:val="24"/>
                <w:shd w:fill="FFFFFF" w:val="clear"/>
              </w:rPr>
              <w:t>①1u高度机架式，标准机柜.</w:t>
            </w:r>
          </w:p>
          <w:p>
            <w:pPr>
              <w:pStyle w:val="null3"/>
              <w:jc w:val="left"/>
            </w:pPr>
            <w:r>
              <w:rPr>
                <w:rFonts w:ascii="仿宋_GB2312" w:hAnsi="仿宋_GB2312" w:cs="仿宋_GB2312" w:eastAsia="仿宋_GB2312"/>
                <w:sz w:val="24"/>
                <w:shd w:fill="FFFFFF" w:val="clear"/>
              </w:rPr>
              <w:t>②处理器：≥4核，主频≥2.0GHz 带NPU AI加速器；支持INT8和INT16。</w:t>
            </w:r>
          </w:p>
          <w:p>
            <w:pPr>
              <w:pStyle w:val="null3"/>
              <w:jc w:val="left"/>
            </w:pPr>
            <w:r>
              <w:rPr>
                <w:rFonts w:ascii="仿宋_GB2312" w:hAnsi="仿宋_GB2312" w:cs="仿宋_GB2312" w:eastAsia="仿宋_GB2312"/>
                <w:sz w:val="24"/>
                <w:shd w:fill="FFFFFF" w:val="clear"/>
              </w:rPr>
              <w:t>③内存：≥4GB LPDDR4X</w:t>
            </w:r>
          </w:p>
          <w:p>
            <w:pPr>
              <w:pStyle w:val="null3"/>
              <w:jc w:val="left"/>
            </w:pPr>
            <w:r>
              <w:rPr>
                <w:rFonts w:ascii="仿宋_GB2312" w:hAnsi="仿宋_GB2312" w:cs="仿宋_GB2312" w:eastAsia="仿宋_GB2312"/>
                <w:sz w:val="24"/>
                <w:shd w:fill="FFFFFF" w:val="clear"/>
              </w:rPr>
              <w:t>④存储：≥64GB 存储</w:t>
            </w:r>
          </w:p>
          <w:p>
            <w:pPr>
              <w:pStyle w:val="null3"/>
              <w:jc w:val="left"/>
            </w:pPr>
            <w:r>
              <w:rPr>
                <w:rFonts w:ascii="仿宋_GB2312" w:hAnsi="仿宋_GB2312" w:cs="仿宋_GB2312" w:eastAsia="仿宋_GB2312"/>
                <w:sz w:val="24"/>
                <w:shd w:fill="FFFFFF" w:val="clear"/>
              </w:rPr>
              <w:t>⑤显示屏：≥17英寸高清屏，1920*1080以上分辨率</w:t>
            </w:r>
          </w:p>
          <w:p>
            <w:pPr>
              <w:pStyle w:val="null3"/>
              <w:jc w:val="left"/>
            </w:pPr>
            <w:r>
              <w:rPr>
                <w:rFonts w:ascii="仿宋_GB2312" w:hAnsi="仿宋_GB2312" w:cs="仿宋_GB2312" w:eastAsia="仿宋_GB2312"/>
                <w:sz w:val="24"/>
                <w:shd w:fill="FFFFFF" w:val="clear"/>
              </w:rPr>
              <w:t>⑥接口：外置≥8个物理网口。</w:t>
            </w:r>
          </w:p>
          <w:p>
            <w:pPr>
              <w:pStyle w:val="null3"/>
              <w:jc w:val="left"/>
            </w:pPr>
            <w:r>
              <w:rPr>
                <w:rFonts w:ascii="仿宋_GB2312" w:hAnsi="仿宋_GB2312" w:cs="仿宋_GB2312" w:eastAsia="仿宋_GB2312"/>
                <w:sz w:val="24"/>
                <w:shd w:fill="FFFFFF" w:val="clear"/>
              </w:rPr>
              <w:t>⑦键鼠：自带键盘及触控板。</w:t>
            </w:r>
          </w:p>
          <w:p>
            <w:pPr>
              <w:pStyle w:val="null3"/>
              <w:jc w:val="left"/>
            </w:pPr>
            <w:r>
              <w:rPr>
                <w:rFonts w:ascii="仿宋_GB2312" w:hAnsi="仿宋_GB2312" w:cs="仿宋_GB2312" w:eastAsia="仿宋_GB2312"/>
                <w:sz w:val="24"/>
                <w:shd w:fill="FFFFFF" w:val="clear"/>
              </w:rPr>
              <w:t>⑧操作系统：支持Debian、Ubuntu、、Andriod、OpenHarmony等主流系统。</w:t>
            </w:r>
          </w:p>
          <w:p>
            <w:pPr>
              <w:pStyle w:val="null3"/>
              <w:jc w:val="left"/>
            </w:pPr>
            <w:r>
              <w:rPr>
                <w:rFonts w:ascii="仿宋_GB2312" w:hAnsi="仿宋_GB2312" w:cs="仿宋_GB2312" w:eastAsia="仿宋_GB2312"/>
                <w:sz w:val="24"/>
                <w:shd w:fill="FFFFFF" w:val="clear"/>
              </w:rPr>
              <w:t>★⑨运维客户端支持开机自启，支持BMC直连或者远程BMC两种方式。支持平台故障检测报警，如服务器宕机、网络不可达、服务无法访问等。同时LCD屏应滚屏显示服务器的业务ip，错误代码等，ui界面显示对应的详细错误报告，以及记录为日志log_info.json。所有监控到的异常信息都需向管理员手机发送告警短信通知。</w:t>
            </w:r>
          </w:p>
          <w:p>
            <w:pPr>
              <w:pStyle w:val="null3"/>
              <w:jc w:val="both"/>
            </w:pPr>
            <w:r>
              <w:rPr>
                <w:rFonts w:ascii="仿宋_GB2312" w:hAnsi="仿宋_GB2312" w:cs="仿宋_GB2312" w:eastAsia="仿宋_GB2312"/>
                <w:sz w:val="24"/>
                <w:shd w:fill="FFFFFF" w:val="clear"/>
              </w:rPr>
              <w:t>★⑩支持校园网客户端拨号上网；支持代理wget/curl/git/yum/dnf/apt/pacman等；支持通过校内网ssh；支持代理访问互联网。支持通过学校VPN和网络远程访问管理网络，仅支持SSH隧道加密方式远程访问校内服务器，仅限通过信任设备远程访问管理网段。</w:t>
            </w:r>
          </w:p>
          <w:p>
            <w:pPr>
              <w:pStyle w:val="null3"/>
              <w:jc w:val="both"/>
            </w:pPr>
            <w:r>
              <w:rPr>
                <w:rFonts w:ascii="仿宋_GB2312" w:hAnsi="仿宋_GB2312" w:cs="仿宋_GB2312" w:eastAsia="仿宋_GB2312"/>
                <w:sz w:val="24"/>
                <w:b/>
                <w:color w:val="333333"/>
                <w:shd w:fill="FFFFFF" w:val="clear"/>
              </w:rPr>
              <w:t>4.</w:t>
            </w:r>
            <w:r>
              <w:rPr>
                <w:rFonts w:ascii="仿宋_GB2312" w:hAnsi="仿宋_GB2312" w:cs="仿宋_GB2312" w:eastAsia="仿宋_GB2312"/>
                <w:sz w:val="24"/>
                <w:b/>
                <w:color w:val="333333"/>
                <w:shd w:fill="FFFFFF" w:val="clear"/>
              </w:rPr>
              <w:t>配置人工智能实验平台软件一套：</w:t>
            </w:r>
          </w:p>
          <w:p>
            <w:pPr>
              <w:pStyle w:val="null3"/>
              <w:jc w:val="both"/>
            </w:pPr>
            <w:r>
              <w:rPr>
                <w:rFonts w:ascii="仿宋_GB2312" w:hAnsi="仿宋_GB2312" w:cs="仿宋_GB2312" w:eastAsia="仿宋_GB2312"/>
                <w:sz w:val="24"/>
                <w:color w:val="333333"/>
                <w:shd w:fill="FFFFFF" w:val="clear"/>
              </w:rPr>
              <w:t>★能够无缝接入学院现有算力集群平台，并能够统一登录、统一数据采集与分析，实验专题按章节结构以二级目录方式组织。提供学生管理、实验管理、实验专题管理、实验作业管理等功能，支持实验作业发布、实验作业评阅、实验成绩分析、实验成绩导出等基本实验教学过程管理功能。支持教师编辑修改现有实验，支持教师基于现有实验系统自定义添加新实验，具体功能如下：（投标人须在投标前完成与招标方现有智能算力平台的兼容性测试，测试内容包括但不限于硬件接口、数据协议、算力调度等核心功能。测试通过后，投标人应提供《系统对接验证报告》作为投标文件必要组成部分。未提供有效报告或测试未通过的投标将被视为无效投标。）</w:t>
            </w:r>
          </w:p>
          <w:p>
            <w:pPr>
              <w:pStyle w:val="null3"/>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4.1</w:t>
            </w:r>
            <w:r>
              <w:rPr>
                <w:rFonts w:ascii="仿宋_GB2312" w:hAnsi="仿宋_GB2312" w:cs="仿宋_GB2312" w:eastAsia="仿宋_GB2312"/>
                <w:sz w:val="24"/>
                <w:color w:val="333333"/>
                <w:shd w:fill="FFFFFF" w:val="clear"/>
              </w:rPr>
              <w:t>平台</w:t>
            </w:r>
            <w:r>
              <w:rPr>
                <w:rFonts w:ascii="仿宋_GB2312" w:hAnsi="仿宋_GB2312" w:cs="仿宋_GB2312" w:eastAsia="仿宋_GB2312"/>
                <w:sz w:val="24"/>
                <w:color w:val="333333"/>
                <w:shd w:fill="FFFFFF" w:val="clear"/>
              </w:rPr>
              <w:t>≥三类实验专题，包括文科实验专题、理科实验专题、AIGC实验专题等。</w:t>
            </w:r>
          </w:p>
          <w:p>
            <w:pPr>
              <w:pStyle w:val="null3"/>
              <w:jc w:val="both"/>
            </w:pPr>
            <w:r>
              <w:rPr>
                <w:rFonts w:ascii="仿宋_GB2312" w:hAnsi="仿宋_GB2312" w:cs="仿宋_GB2312" w:eastAsia="仿宋_GB2312"/>
                <w:sz w:val="24"/>
                <w:color w:val="333333"/>
                <w:shd w:fill="FFFFFF" w:val="clear"/>
              </w:rPr>
              <w:t>4.2</w:t>
            </w:r>
            <w:r>
              <w:rPr>
                <w:rFonts w:ascii="仿宋_GB2312" w:hAnsi="仿宋_GB2312" w:cs="仿宋_GB2312" w:eastAsia="仿宋_GB2312"/>
                <w:sz w:val="24"/>
                <w:color w:val="333333"/>
                <w:shd w:fill="FFFFFF" w:val="clear"/>
              </w:rPr>
              <w:t>提供学生管理、实验管理、实验专题管理、实验作业管理等功能，支持实验作业发布、实验作业评阅、实验成绩分析、实验成绩导出等基本实验教学过程管理功能。支持教师编辑修改现有实验，支持教师基于现有实验系统自定义添加新实验。</w:t>
            </w:r>
          </w:p>
          <w:p>
            <w:pPr>
              <w:pStyle w:val="null3"/>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4.3</w:t>
            </w:r>
            <w:r>
              <w:rPr>
                <w:rFonts w:ascii="仿宋_GB2312" w:hAnsi="仿宋_GB2312" w:cs="仿宋_GB2312" w:eastAsia="仿宋_GB2312"/>
                <w:sz w:val="24"/>
                <w:color w:val="333333"/>
                <w:shd w:fill="FFFFFF" w:val="clear"/>
              </w:rPr>
              <w:t>提供实验报告自动批改功能。支持教师在线设置实验报告评分标准，通过大模型对学生提交的实验报告文档进行自动判分；实验报告可包含文本、图像、表格、代码等多模态信息。</w:t>
            </w:r>
            <w:r>
              <w:rPr>
                <w:rFonts w:ascii="仿宋_GB2312" w:hAnsi="仿宋_GB2312" w:cs="仿宋_GB2312" w:eastAsia="仿宋_GB2312"/>
                <w:sz w:val="24"/>
                <w:b/>
                <w:color w:val="333333"/>
                <w:shd w:fill="FFFFFF" w:val="clear"/>
              </w:rPr>
              <w:t>（需提供现场演示）</w:t>
            </w:r>
          </w:p>
          <w:p>
            <w:pPr>
              <w:pStyle w:val="null3"/>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4.4</w:t>
            </w:r>
            <w:r>
              <w:rPr>
                <w:rFonts w:ascii="仿宋_GB2312" w:hAnsi="仿宋_GB2312" w:cs="仿宋_GB2312" w:eastAsia="仿宋_GB2312"/>
                <w:sz w:val="24"/>
                <w:color w:val="333333"/>
                <w:shd w:fill="FFFFFF" w:val="clear"/>
              </w:rPr>
              <w:t>提供模型文件管理、模型服务管理、模型服务部署等功能，自动从公有云仓库同步模型文件和模型服务。</w:t>
            </w:r>
          </w:p>
          <w:p>
            <w:pPr>
              <w:pStyle w:val="null3"/>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4.5</w:t>
            </w:r>
            <w:r>
              <w:rPr>
                <w:rFonts w:ascii="仿宋_GB2312" w:hAnsi="仿宋_GB2312" w:cs="仿宋_GB2312" w:eastAsia="仿宋_GB2312"/>
                <w:sz w:val="24"/>
                <w:color w:val="333333"/>
                <w:shd w:fill="FFFFFF" w:val="clear"/>
              </w:rPr>
              <w:t>提供丰富的模型服务，至少需覆盖文本对话、代码生成、图像生成、视频生成、</w:t>
            </w:r>
            <w:r>
              <w:rPr>
                <w:rFonts w:ascii="仿宋_GB2312" w:hAnsi="仿宋_GB2312" w:cs="仿宋_GB2312" w:eastAsia="仿宋_GB2312"/>
                <w:sz w:val="24"/>
                <w:color w:val="333333"/>
                <w:shd w:fill="FFFFFF" w:val="clear"/>
              </w:rPr>
              <w:t>3D生成、图像理解、视频理解、语音通话、视频通话、思考推理、语音合成、语音克隆、蛋白质结构预测等模型类型。</w:t>
            </w:r>
          </w:p>
          <w:p>
            <w:pPr>
              <w:pStyle w:val="null3"/>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4.6</w:t>
            </w:r>
            <w:r>
              <w:rPr>
                <w:rFonts w:ascii="仿宋_GB2312" w:hAnsi="仿宋_GB2312" w:cs="仿宋_GB2312" w:eastAsia="仿宋_GB2312"/>
                <w:sz w:val="24"/>
                <w:color w:val="333333"/>
                <w:shd w:fill="FFFFFF" w:val="clear"/>
              </w:rPr>
              <w:t>支持模型服务弹性伸缩。</w:t>
            </w:r>
            <w:r>
              <w:rPr>
                <w:rFonts w:ascii="仿宋_GB2312" w:hAnsi="仿宋_GB2312" w:cs="仿宋_GB2312" w:eastAsia="仿宋_GB2312"/>
                <w:sz w:val="24"/>
                <w:color w:val="333333"/>
                <w:shd w:fill="FFFFFF" w:val="clear"/>
              </w:rPr>
              <w:t>①新建模型服务时，支持启用伸缩模式，可设置最大连接数、最小实例数、最大实例数、扩容阈值、关闭等待时间等参数；②部署上线的模型服务，支持根据并发请求负载，实时自动调整模型服务的实例数量；③支持手动增加或减少模型服务实例。</w:t>
            </w:r>
            <w:r>
              <w:rPr>
                <w:rFonts w:ascii="仿宋_GB2312" w:hAnsi="仿宋_GB2312" w:cs="仿宋_GB2312" w:eastAsia="仿宋_GB2312"/>
                <w:sz w:val="24"/>
                <w:b/>
                <w:color w:val="333333"/>
                <w:shd w:fill="FFFFFF" w:val="clear"/>
              </w:rPr>
              <w:t>（需提供现场演示）</w:t>
            </w:r>
          </w:p>
          <w:p>
            <w:pPr>
              <w:pStyle w:val="null3"/>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4.7</w:t>
            </w:r>
            <w:r>
              <w:rPr>
                <w:rFonts w:ascii="仿宋_GB2312" w:hAnsi="仿宋_GB2312" w:cs="仿宋_GB2312" w:eastAsia="仿宋_GB2312"/>
                <w:sz w:val="24"/>
                <w:color w:val="333333"/>
                <w:shd w:fill="FFFFFF" w:val="clear"/>
              </w:rPr>
              <w:t>支持模型服务统计分析和状态查看。</w:t>
            </w:r>
            <w:r>
              <w:rPr>
                <w:rFonts w:ascii="仿宋_GB2312" w:hAnsi="仿宋_GB2312" w:cs="仿宋_GB2312" w:eastAsia="仿宋_GB2312"/>
                <w:sz w:val="24"/>
                <w:color w:val="333333"/>
                <w:shd w:fill="FFFFFF" w:val="clear"/>
              </w:rPr>
              <w:t>①支持以柱状图可视化方式查看模型服务的请求信息，如请求次数、请求大小、响应大小、平均等待时间、平均响应时间、平均耗时、状态码等指标，便于了解模型服务的运行状态；②支持查看模型服务的队列状态；③支持查看K8S集群状态。</w:t>
            </w:r>
            <w:r>
              <w:rPr>
                <w:rFonts w:ascii="仿宋_GB2312" w:hAnsi="仿宋_GB2312" w:cs="仿宋_GB2312" w:eastAsia="仿宋_GB2312"/>
                <w:sz w:val="24"/>
                <w:b/>
                <w:color w:val="333333"/>
                <w:shd w:fill="FFFFFF" w:val="clear"/>
              </w:rPr>
              <w:t>（需提供现场演示）</w:t>
            </w:r>
          </w:p>
          <w:p>
            <w:pPr>
              <w:pStyle w:val="null3"/>
              <w:jc w:val="both"/>
            </w:pPr>
            <w:r>
              <w:rPr>
                <w:rFonts w:ascii="仿宋_GB2312" w:hAnsi="仿宋_GB2312" w:cs="仿宋_GB2312" w:eastAsia="仿宋_GB2312"/>
                <w:sz w:val="24"/>
                <w:color w:val="333333"/>
                <w:shd w:fill="FFFFFF" w:val="clear"/>
              </w:rPr>
              <w:t>4.8</w:t>
            </w:r>
            <w:r>
              <w:rPr>
                <w:rFonts w:ascii="仿宋_GB2312" w:hAnsi="仿宋_GB2312" w:cs="仿宋_GB2312" w:eastAsia="仿宋_GB2312"/>
                <w:sz w:val="24"/>
                <w:color w:val="333333"/>
                <w:shd w:fill="FFFFFF" w:val="clear"/>
              </w:rPr>
              <w:t>学科大模型构建。</w:t>
            </w:r>
            <w:r>
              <w:rPr>
                <w:rFonts w:ascii="仿宋_GB2312" w:hAnsi="仿宋_GB2312" w:cs="仿宋_GB2312" w:eastAsia="仿宋_GB2312"/>
                <w:sz w:val="24"/>
                <w:color w:val="333333"/>
                <w:shd w:fill="FFFFFF" w:val="clear"/>
              </w:rPr>
              <w:t>①支持基于RAG知识库技术，通过上传课程资料构建学科大模型；②支持通过上传课程资料，通过LoRA、QLoRA等模型微调技术训练学科大模型；③支持配置DeepSeek系列、Qwen系列、Llama系列等主流大模型作为基座模型。</w:t>
            </w:r>
          </w:p>
          <w:p>
            <w:pPr>
              <w:pStyle w:val="null3"/>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 xml:space="preserve">4.9 </w:t>
            </w:r>
            <w:r>
              <w:rPr>
                <w:rFonts w:ascii="仿宋_GB2312" w:hAnsi="仿宋_GB2312" w:cs="仿宋_GB2312" w:eastAsia="仿宋_GB2312"/>
                <w:sz w:val="24"/>
                <w:color w:val="333333"/>
                <w:shd w:fill="FFFFFF" w:val="clear"/>
              </w:rPr>
              <w:t>AI助学功能。提供AI学伴功能，支持将RAG知识库并关联至AI学伴，支持支持配置DeepSeek系列、Qwen系列、Llama系列等主流大模型。AI学伴支持启发式问答模式。AI学伴在学生端实验页面上，以可拖动的浮动图标方式呈现；学生可随时打开AI学伴对话窗口，向AI学伴提问。支持教师查看AI学伴的使用状况，至少需支持查看平均活跃人数、平均对话数量、平均输出速度、历史对话记录等信息。</w:t>
            </w:r>
            <w:r>
              <w:rPr>
                <w:rFonts w:ascii="仿宋_GB2312" w:hAnsi="仿宋_GB2312" w:cs="仿宋_GB2312" w:eastAsia="仿宋_GB2312"/>
                <w:sz w:val="24"/>
                <w:b/>
                <w:shd w:fill="FFFFFF" w:val="clear"/>
              </w:rPr>
              <w:t>（需提供现场演示）</w:t>
            </w:r>
          </w:p>
          <w:p>
            <w:pPr>
              <w:pStyle w:val="null3"/>
              <w:jc w:val="both"/>
            </w:pPr>
            <w:r>
              <w:rPr>
                <w:rFonts w:ascii="仿宋_GB2312" w:hAnsi="仿宋_GB2312" w:cs="仿宋_GB2312" w:eastAsia="仿宋_GB2312"/>
                <w:sz w:val="24"/>
                <w:color w:val="333333"/>
                <w:shd w:fill="FFFFFF" w:val="clear"/>
              </w:rPr>
              <w:t xml:space="preserve">4.10 </w:t>
            </w:r>
            <w:r>
              <w:rPr>
                <w:rFonts w:ascii="仿宋_GB2312" w:hAnsi="仿宋_GB2312" w:cs="仿宋_GB2312" w:eastAsia="仿宋_GB2312"/>
                <w:sz w:val="24"/>
                <w:color w:val="333333"/>
                <w:shd w:fill="FFFFFF" w:val="clear"/>
              </w:rPr>
              <w:t>文科课程实验资源，至少包含以下实验项目（所有实验需提供配套实验手册）：零代码图像分类；零代码姿态识别；零代码语音识别；提示词工程；智能体综合设计；大模型语音通话；大模型视频通话；智能体小说文本分析；智能体历史文献分析；智能法律助手设计；智能公文写作；电商海报生成；智能体教学数据分析；中小学作业智能评阅；新闻稿件智能写作；智能体财务数据分析；智能体金融风控建模；模型多语种对话；</w:t>
            </w:r>
            <w:r>
              <w:rPr>
                <w:rFonts w:ascii="仿宋_GB2312" w:hAnsi="仿宋_GB2312" w:cs="仿宋_GB2312" w:eastAsia="仿宋_GB2312"/>
                <w:sz w:val="24"/>
                <w:color w:val="333333"/>
                <w:shd w:fill="FFFFFF" w:val="clear"/>
              </w:rPr>
              <w:t>Word 文档生成；PPT 文档生成。</w:t>
            </w:r>
          </w:p>
          <w:p>
            <w:pPr>
              <w:pStyle w:val="null3"/>
              <w:jc w:val="both"/>
            </w:pPr>
            <w:r>
              <w:rPr>
                <w:rFonts w:ascii="仿宋_GB2312" w:hAnsi="仿宋_GB2312" w:cs="仿宋_GB2312" w:eastAsia="仿宋_GB2312"/>
                <w:sz w:val="24"/>
                <w:color w:val="333333"/>
                <w:shd w:fill="FFFFFF" w:val="clear"/>
              </w:rPr>
              <w:t xml:space="preserve">4.11 </w:t>
            </w:r>
            <w:r>
              <w:rPr>
                <w:rFonts w:ascii="仿宋_GB2312" w:hAnsi="仿宋_GB2312" w:cs="仿宋_GB2312" w:eastAsia="仿宋_GB2312"/>
                <w:sz w:val="24"/>
                <w:color w:val="333333"/>
                <w:shd w:fill="FFFFFF" w:val="clear"/>
              </w:rPr>
              <w:t>理工科课程实验资源与</w:t>
            </w:r>
            <w:r>
              <w:rPr>
                <w:rFonts w:ascii="仿宋_GB2312" w:hAnsi="仿宋_GB2312" w:cs="仿宋_GB2312" w:eastAsia="仿宋_GB2312"/>
                <w:sz w:val="24"/>
                <w:color w:val="333333"/>
                <w:shd w:fill="FFFFFF" w:val="clear"/>
              </w:rPr>
              <w:t>AIGC课程实验资源，至少包含以下实验项目（所有实验需提供配套实验手册）：机器学习分类算法；机器学习回归算法；机器学习非监督算法；神经网络模型训练；神经网络模型调优；神经网络数学原理；推理模型提示词工程；大模型能力评测；Transformer可视化；GPT模型推理可视化；零代码WebApp生成；零代码Web系统生成；大模型图像理解；大模型视频理解；智能体医学数据分析；智能体方程求解；智能体数学定理证明；蛋白质结构预测；病灶识别模型训练；复杂表格图像理解；复杂网络智能分析；DNA序列自动分析：快速图像生成；图像文字生成；专业图像生成；工作流图像生成；快速视频生成；工作流视频生成；语音克隆；语音生成；音乐生成；3D模型生成。</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安康学院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完成设备安装调试，验收合格，采购人收到全额发票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使用单位组成验收小组，验收小组对供应商提供的货物的品牌、名称、型号、配置、规格、外观、产地、生产厂商、技术性能、数量、服务承诺及结果等，对照政府采购合同、供应商投标（响应）文件、封存样品等逐项进行现场检验、核对和验收。 验收流程：使用单位初步验收合格后向国资处提交初验报告单，由国资处组织验收小组进行终验 。</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质保期3年，在质保期内乙方应提供本项目所有产品原制造厂商标准的售后服务并承担全部费用。在质保期外，乙方应提供终身的维修服务，维修所需的原材料费用由甲方承担，人工费由乙方承担 。</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按《民法典》等国家相关法律法规执行，或按双方约定。如有纠纷，双方友好协商解决，协商不成时应向安康市人民法院起诉 。</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投标文件，同时，线下提交纸质投标文件正本壹份、副本贰份。2、纸质投标文件正、副本分别胶装，标明投标人名称密封递交，递交截止时间同在线递交投标电子文件截止时间一致，递交地址：陕西省西安市曲江新区雁翔路3269号旺座曲江D座30层3003室（纸质投标文件可邮寄，邮件签收时间应在递交电子投标文件截止时间之前，邮寄地址：陕西省西安市曲江新区雁翔路3269号旺座曲江D座30层3003室，联系人：高欢欢，联系电话：18629335237）。3、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2023年或2024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任意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投标文件按招标文件要求的计量单位、报价货币及签字盖章（合格）投标文件未按招标文件要求的计量单位、报价货币及签字盖章（不合格）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响应内容符合实质性要求</w:t>
            </w:r>
          </w:p>
        </w:tc>
        <w:tc>
          <w:tcPr>
            <w:tcW w:type="dxa" w:w="3322"/>
          </w:tcPr>
          <w:p>
            <w:pPr>
              <w:pStyle w:val="null3"/>
            </w:pPr>
            <w:r>
              <w:rPr>
                <w:rFonts w:ascii="仿宋_GB2312" w:hAnsi="仿宋_GB2312" w:cs="仿宋_GB2312" w:eastAsia="仿宋_GB2312"/>
              </w:rPr>
              <w:t>技术参数响应满足第三章3.3技术要求中加“★”项要求，商务响应满足第三章3.4商务要求（合格），任意一条不满足（不合格）</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符合法律、法规和招标文件中规的其他实质性要求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产品功能性参数响应情况</w:t>
            </w:r>
          </w:p>
        </w:tc>
        <w:tc>
          <w:tcPr>
            <w:tcW w:type="dxa" w:w="2492"/>
          </w:tcPr>
          <w:p>
            <w:pPr>
              <w:pStyle w:val="null3"/>
            </w:pPr>
            <w:r>
              <w:rPr>
                <w:rFonts w:ascii="仿宋_GB2312" w:hAnsi="仿宋_GB2312" w:cs="仿宋_GB2312" w:eastAsia="仿宋_GB2312"/>
              </w:rPr>
              <w:t>1.“★”指标为实质性要求，须提供佐证材料，不满足或未提供佐证材料按无效投标处理。 2.“▲”指标为重要要求，每出现1项不满足该项扣4分，最多扣12分。 3.除“★”、“▲”、“●”外，其余为一般性要求，每出现1项不满足该项扣1分，最多扣18分。 注：所有标注“★”“▲”技术内容的响应均应提供支撑资料①“★”指标须提供相关证明材料，有要求的按其要求提供，未明确要求的可提供产品宣传彩页、第三方检测报告、官网截图等②“▲”指标须提供相关证明材料（产品宣传彩页、第三方检测报告、官网截图等）③一般性指标需在产品技术参数表内响应，如应答有缺项，评标委员会有权不予认可，视同负偏离处理，并在评分中扣除相应分值。④本文件所需的证明材料，默认要求是处于有效期内、且来源合法的。</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投标人需自行准备演示环境（采用真实系统进行演示，不接受demo、PPT、视频等环境演示）针对“●”标注项进行不超过20分钟的现场演示，评委根据招标文件相应的技术要求以及演示的真实性、系统性、沉浸性逐项打分。现场演示合计16分，每有一项不满足扣4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兼容性适配</w:t>
            </w:r>
          </w:p>
        </w:tc>
        <w:tc>
          <w:tcPr>
            <w:tcW w:type="dxa" w:w="2492"/>
          </w:tcPr>
          <w:p>
            <w:pPr>
              <w:pStyle w:val="null3"/>
            </w:pPr>
            <w:r>
              <w:rPr>
                <w:rFonts w:ascii="仿宋_GB2312" w:hAnsi="仿宋_GB2312" w:cs="仿宋_GB2312" w:eastAsia="仿宋_GB2312"/>
              </w:rPr>
              <w:t>1.为保证软硬件产品具有良好的兼容性、稳定性及维护便利性，本项目中的高性能计算服务器设备与人工智能实验平台软件为同一品牌的，得2分。 2.人工智能实验平台软件具有软件著作权证书的得2分。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兼容性适配方案.docx</w:t>
            </w:r>
          </w:p>
        </w:tc>
      </w:tr>
      <w:tr>
        <w:tc>
          <w:tcPr>
            <w:tcW w:type="dxa" w:w="831"/>
            <w:vMerge/>
          </w:tcPr>
          <w:p/>
        </w:tc>
        <w:tc>
          <w:tcPr>
            <w:tcW w:type="dxa" w:w="1661"/>
          </w:tcPr>
          <w:p>
            <w:pPr>
              <w:pStyle w:val="null3"/>
            </w:pPr>
            <w:r>
              <w:rPr>
                <w:rFonts w:ascii="仿宋_GB2312" w:hAnsi="仿宋_GB2312" w:cs="仿宋_GB2312" w:eastAsia="仿宋_GB2312"/>
              </w:rPr>
              <w:t>供货安装方案</w:t>
            </w:r>
          </w:p>
        </w:tc>
        <w:tc>
          <w:tcPr>
            <w:tcW w:type="dxa" w:w="2492"/>
          </w:tcPr>
          <w:p>
            <w:pPr>
              <w:pStyle w:val="null3"/>
            </w:pPr>
            <w:r>
              <w:rPr>
                <w:rFonts w:ascii="仿宋_GB2312" w:hAnsi="仿宋_GB2312" w:cs="仿宋_GB2312" w:eastAsia="仿宋_GB2312"/>
              </w:rPr>
              <w:t>一、评审内容： 根据供应商提供的供货安装方案进行评审，包括但不限于以下内容： （1）针对本项目的供货进度计划。 （2）针对本项目的质量保证方案。 （3）针对本项目的安装调试计划。 二、评审标准： （1）完整性：方案必须完整，对招标文件中的各项要求有详细描述； （2）合理性、针对性：符合项目具体情况，提出的方案合理、恰当、可行；根据招标文件要求提出操作性强的方案。 三、赋分标准 （1）针对本项目的供货进度计划：每完全满足一个评审标准得1分，基本满足一个评审标准得0.5分，满分2分，未提供不得分。 （2）针对本项目的质量保证方案：每完全满足一个评审标准得1分，基本满足一个评审标准得0.5分，满分2分，未提供不得分。 （3）针对本项目的安装调试计划师：每完全满足一个评审标准得1分，基本满足一个评审标准得0.5分，满分2分，未提供不得分。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供货安装方案.docx</w:t>
            </w:r>
          </w:p>
        </w:tc>
      </w:tr>
      <w:tr>
        <w:tc>
          <w:tcPr>
            <w:tcW w:type="dxa" w:w="831"/>
            <w:vMerge/>
          </w:tcPr>
          <w:p/>
        </w:tc>
        <w:tc>
          <w:tcPr>
            <w:tcW w:type="dxa" w:w="1661"/>
          </w:tcPr>
          <w:p>
            <w:pPr>
              <w:pStyle w:val="null3"/>
            </w:pPr>
            <w:r>
              <w:rPr>
                <w:rFonts w:ascii="仿宋_GB2312" w:hAnsi="仿宋_GB2312" w:cs="仿宋_GB2312" w:eastAsia="仿宋_GB2312"/>
              </w:rPr>
              <w:t>培训及售后服务方案</w:t>
            </w:r>
          </w:p>
        </w:tc>
        <w:tc>
          <w:tcPr>
            <w:tcW w:type="dxa" w:w="2492"/>
          </w:tcPr>
          <w:p>
            <w:pPr>
              <w:pStyle w:val="null3"/>
            </w:pPr>
            <w:r>
              <w:rPr>
                <w:rFonts w:ascii="仿宋_GB2312" w:hAnsi="仿宋_GB2312" w:cs="仿宋_GB2312" w:eastAsia="仿宋_GB2312"/>
              </w:rPr>
              <w:t>一、评审内容： 根据供应商提供的培训及售后服务方案进行评审，包括但不限于以下内容： （1）针对本项目的专业技术培训人员配备情况、培训内容等。 （2）针对本项目的售后人员配置及服务标准、巡检计划、故障解决能力及响应时间保障、备品备件储备情况、制造商技术支持等。 二、评审标准： （1）完整性：方案必须完整，对招标文件中的各项要求有详细描述； （2）合理性、针对性：符合项目具体情况，提出的方案合理、恰当、可行；根据招标文件要求提出操作性强的方案。 三、赋分标准 （1）针对本项目的专业技术培训人员配备情况、培训内容等：每完全满足一个评审标准得2分，基本满足一个评审标准得1分，满分4分，未提供不得分。 （2）针对本项目的售后人员配置及服务标准、巡检计划、故障解决能力及响应时间保障、备品备件储备情况、制造商技术支持等：每完全满足一个评审标准得2分，基本满足一个评审标准得1分，满分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培训及售后服务方案.docx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提供2022年7月1日至今类似项目业绩，每个得2分，最多得6分。未提供或未按要求的提供不得分。 注：需提供中标通知书或合同（合同至少应提供甲乙双方页、产品内容页、盖章部分等关键页）的复印件。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100，价格权值30%。（注：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详见附件：供货安装方案.docx</w:t>
      </w:r>
    </w:p>
    <w:p>
      <w:pPr>
        <w:pStyle w:val="null3"/>
        <w:ind w:firstLine="960"/>
      </w:pPr>
      <w:r>
        <w:rPr>
          <w:rFonts w:ascii="仿宋_GB2312" w:hAnsi="仿宋_GB2312" w:cs="仿宋_GB2312" w:eastAsia="仿宋_GB2312"/>
        </w:rPr>
        <w:t>详见附件：兼容性适配方案.docx</w:t>
      </w:r>
    </w:p>
    <w:p>
      <w:pPr>
        <w:pStyle w:val="null3"/>
        <w:ind w:firstLine="960"/>
      </w:pPr>
      <w:r>
        <w:rPr>
          <w:rFonts w:ascii="仿宋_GB2312" w:hAnsi="仿宋_GB2312" w:cs="仿宋_GB2312" w:eastAsia="仿宋_GB2312"/>
        </w:rPr>
        <w:t>详见附件：培训及售后服务方案.docx</w:t>
      </w:r>
    </w:p>
    <w:p>
      <w:pPr>
        <w:pStyle w:val="null3"/>
        <w:ind w:firstLine="960"/>
      </w:pPr>
      <w:r>
        <w:rPr>
          <w:rFonts w:ascii="仿宋_GB2312" w:hAnsi="仿宋_GB2312" w:cs="仿宋_GB2312" w:eastAsia="仿宋_GB2312"/>
        </w:rPr>
        <w:t>详见附件：现场演示.docx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