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版本号：MDZB-2025-113-1.1B120250916001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122“全国交通安全日”主题活动“2025平安三秦行”专题节目项目(二次)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MDZB-2025-113-1.1B1</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陕西明德招标有限责任公司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陕西明德招标有限责任公司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122“全国交通安全日”主题活动“2025平安三秦行”专题节目项目(二次)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MDZB-2025-113-1.1B1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122“全国交通安全日”主题活动“2025平安三秦行”专题节目项目(二次)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122“全国交通安全日”主题活动“2025平安三秦行”专题节目项目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是独立承担民事责任能力的法人、其他组织或自然人：供应商应是独立承担民事责任能力的法人、其他组织或自然人：法人或者其他组织提供营业执照等证明文件，自然人提供身份证件，供应商需在项目电子化 交易系统中按要求上传相应证明文件</w:t>
      </w:r>
    </w:p>
    <w:p>
      <w:pPr>
        <w:pStyle w:val="null3"/>
      </w:pPr>
      <w:r>
        <w:rPr>
          <w:rFonts w:ascii="仿宋_GB2312" w:hAnsi="仿宋_GB2312" w:cs="仿宋_GB2312" w:eastAsia="仿宋_GB2312"/>
        </w:rPr>
        <w:t>2、供应商财务状况报告：供应商2023年或2024年经审计的财务报告或开户银行出具的资信证明或政府采购专业担保机构出具的 投标担保函（事业单位可不提供），供应商需在项目电子化交易系统中按要求上传相应证明文件</w:t>
      </w:r>
    </w:p>
    <w:p>
      <w:pPr>
        <w:pStyle w:val="null3"/>
      </w:pPr>
      <w:r>
        <w:rPr>
          <w:rFonts w:ascii="仿宋_GB2312" w:hAnsi="仿宋_GB2312" w:cs="仿宋_GB2312" w:eastAsia="仿宋_GB2312"/>
        </w:rPr>
        <w:t>3、供应商在本项目投标文件递交截止时间前十二个月内任意一个月的税收缴纳凭证及社会保险缴纳的凭证 , 依法免税或不需要缴纳社会保障 资金的供应商提供相关证明材料：供应商在本项目投标文件递交截止时间前十二个月内任意一个月的税收缴纳凭证及社会保险 缴纳的凭证，依法免税或不需要缴纳社会保障 资金的供应商提供相关证明材料，供应商需在项目电子化交易系统中按要求上传相应证明文件</w:t>
      </w:r>
    </w:p>
    <w:p>
      <w:pPr>
        <w:pStyle w:val="null3"/>
      </w:pPr>
      <w:r>
        <w:rPr>
          <w:rFonts w:ascii="仿宋_GB2312" w:hAnsi="仿宋_GB2312" w:cs="仿宋_GB2312" w:eastAsia="仿宋_GB2312"/>
        </w:rPr>
        <w:t>4、参加政府采购活动前3年内在经营活动中没有重大违法记录的书面声明：参加政府采购活动前3年内在经营活动中没有重大违法记录的书面声明，供应商需在项目电子化交易系统中按要求上传相应证明文件</w:t>
      </w:r>
    </w:p>
    <w:p>
      <w:pPr>
        <w:pStyle w:val="null3"/>
      </w:pPr>
      <w:r>
        <w:rPr>
          <w:rFonts w:ascii="仿宋_GB2312" w:hAnsi="仿宋_GB2312" w:cs="仿宋_GB2312" w:eastAsia="仿宋_GB2312"/>
        </w:rPr>
        <w:t>5、具有履行合同所必需的设备和专业技术能力书面声明函：具有履行合同所必需的设备和专业技术能力书面声明函，供应商需在项目电子化交易系统中 按要求上传相应证明文件</w:t>
      </w:r>
    </w:p>
    <w:p>
      <w:pPr>
        <w:pStyle w:val="null3"/>
      </w:pPr>
      <w:r>
        <w:rPr>
          <w:rFonts w:ascii="仿宋_GB2312" w:hAnsi="仿宋_GB2312" w:cs="仿宋_GB2312" w:eastAsia="仿宋_GB2312"/>
        </w:rPr>
        <w:t>6、供应商未被列入《信用中国》失信被执行人、重大税收违法失信主体、政府采购严重违法失信行为记录名单和《中国政府采购网》政府采购严重违法失信行为记录名单：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西安市雁塔区长延堡街道长安南路 123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陕西省公安厅交通警察总队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029-87680153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陕西明德招标有限责任公司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陕西省西安市未央区太华北路甲字 88 号锦园国际广场 10 层 1007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明世星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18681863740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代理服务费收费标准：按照国家计委颁布的《招标代理服务收费管理暂行办法》（计价格【2002】1980号）及发改办价 格【2003】857号中的规定计取，采用差额定律累进法计算。2、中标投标人向采购代理机构 一次性缴付招标代理服务费。3、招标代理服务费以电汇或现金形式缴纳。4、服务费转账信息（1）开户行名称：农行西安太华北路支行 （2）账 号：26192001040012631（3）收款单位 ：陕西明德招标有限责任公司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陕西明德招标有限责任公司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陕西明德招标有限责任公司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陕西明德招标有限责任公司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陕西明德招标有限责任公司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联系人：明世星</w:t>
      </w:r>
    </w:p>
    <w:p>
      <w:pPr>
        <w:pStyle w:val="null3"/>
      </w:pPr>
      <w:r>
        <w:rPr>
          <w:rFonts w:ascii="仿宋_GB2312" w:hAnsi="仿宋_GB2312" w:cs="仿宋_GB2312" w:eastAsia="仿宋_GB2312"/>
        </w:rPr>
        <w:t>联系电话：18681863740</w:t>
      </w:r>
    </w:p>
    <w:p>
      <w:pPr>
        <w:pStyle w:val="null3"/>
      </w:pPr>
      <w:r>
        <w:rPr>
          <w:rFonts w:ascii="仿宋_GB2312" w:hAnsi="仿宋_GB2312" w:cs="仿宋_GB2312" w:eastAsia="仿宋_GB2312"/>
        </w:rPr>
        <w:t>地址：陕西省西安市未央区太华北路甲字 88 号锦园国际广场 10 层 1007 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一、活动地点：拟定西安市内集广播电视演播、录制、大型舞台综艺演出等功能于一体的现代化剧院，容纳观众1000人以上。 二、活动现场氛围设计营造及物料：剧院门口陈列高3米，长10米的“2025平安三秦行”主题活动墙、高度5米主题道旗。大厅陈列现历年122“全国交通安全日”主题展示墙，该处主题墙高3米，长12米，主持人手卡、节目单设计等。 三、舞美、灯光、音响及搭建：舞台大屏使用LED弧形显示屏搭建，尺寸长34米，高6米；前台横幅 LED屏尺寸长25米，高1米；舞台灯光使用200余盏智能控制氛围效果光束；搭建16组专业音响，配备具有专业资质的音、视频工程师等。 四、活动内容：编排创作舞蹈类（民族舞、现代舞等）、歌曲类（独唱、合唱、重唱等）、音乐类（独奏、齐奏、合奏、交响乐、诗朗诵、配乐诗朗诵、音诗画、音舞诗画等）、语言类（相声、小品、魔术、戏曲、曲艺舞台剧、情景剧等）文艺节目10个；拍摄制作MV背景视频、队伍形象及交管工作展示、新媒体宣发短视频10条；运用高清转播车或集成转播系统录制并现场直播，活动在陕西二套、三套进行播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446,000.00</w:t>
      </w:r>
    </w:p>
    <w:p>
      <w:pPr>
        <w:pStyle w:val="null3"/>
      </w:pPr>
      <w:r>
        <w:rPr>
          <w:rFonts w:ascii="仿宋_GB2312" w:hAnsi="仿宋_GB2312" w:cs="仿宋_GB2312" w:eastAsia="仿宋_GB2312"/>
        </w:rPr>
        <w:t>采购包最高限价（元）: 446,000.00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122“全国交通安全日”主题活动“2025平安三秦行”专题节目项目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标的名称：122“全国交通安全日”主题活动“2025平安三秦行”专题节目项目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05"/>
              <w:gridCol w:w="428"/>
              <w:gridCol w:w="1138"/>
              <w:gridCol w:w="254"/>
              <w:gridCol w:w="249"/>
              <w:gridCol w:w="260"/>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名称</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规格型号</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数量</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单位</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备</w:t>
                  </w:r>
                  <w:r>
                    <w:rPr>
                      <w:rFonts w:ascii="仿宋_GB2312" w:hAnsi="仿宋_GB2312" w:cs="仿宋_GB2312" w:eastAsia="仿宋_GB2312"/>
                      <w:sz w:val="18"/>
                      <w:b/>
                    </w:rPr>
                    <w:t>注</w:t>
                  </w:r>
                </w:p>
              </w:tc>
            </w:tr>
            <w:tr>
              <w:tc>
                <w:tcPr>
                  <w:tcW w:type="dxa" w:w="253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活动现场氛围设计营造及物料</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主背景展板</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3*10m桁架+黑白布画面厚度1m</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平米</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内场展板</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3*12m桁架+黑白布画面厚度1m</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平米</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道旗</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5m道旗</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工作证</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8*12cmPVC工作证</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主持人手卡</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10*16cm200g铜版纸彩色快印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节目单</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A4双面200g铜版纸彩色快印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张</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导视牌</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1.8*0.8m立屏展架+KT板画面</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设计</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活动物料延展设计</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舞美、灯光、音响及搭建</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显示屏</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LED显示屏 34*6m弧形搭建</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204</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平米</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大屏背架</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雷亚架</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吨</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台前条幅屏</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LED显示屏 25*1m</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平米</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控屏师</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专业控屏师</w:t>
                  </w:r>
                  <w:r>
                    <w:rPr>
                      <w:rFonts w:ascii="仿宋_GB2312" w:hAnsi="仿宋_GB2312" w:cs="仿宋_GB2312" w:eastAsia="仿宋_GB2312"/>
                      <w:sz w:val="18"/>
                    </w:rPr>
                    <w:t>*2天（含彩排）</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服务台</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Hirender S3服务器</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套</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线阵主扩全频音箱</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 xml:space="preserve"> </w:t>
                  </w:r>
                  <w:r>
                    <w:rPr>
                      <w:rFonts w:ascii="仿宋_GB2312" w:hAnsi="仿宋_GB2312" w:cs="仿宋_GB2312" w:eastAsia="仿宋_GB2312"/>
                      <w:sz w:val="18"/>
                    </w:rPr>
                    <w:t>LA212</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低频音箱</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 xml:space="preserve"> </w:t>
                  </w:r>
                  <w:r>
                    <w:rPr>
                      <w:rFonts w:ascii="仿宋_GB2312" w:hAnsi="仿宋_GB2312" w:cs="仿宋_GB2312" w:eastAsia="仿宋_GB2312"/>
                      <w:sz w:val="18"/>
                    </w:rPr>
                    <w:t>110S</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超低音箱</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 xml:space="preserve"> </w:t>
                  </w:r>
                  <w:r>
                    <w:rPr>
                      <w:rFonts w:ascii="仿宋_GB2312" w:hAnsi="仿宋_GB2312" w:cs="仿宋_GB2312" w:eastAsia="仿宋_GB2312"/>
                      <w:sz w:val="18"/>
                    </w:rPr>
                    <w:t>LA ss2</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返听音箱</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 xml:space="preserve"> </w:t>
                  </w:r>
                  <w:r>
                    <w:rPr>
                      <w:rFonts w:ascii="仿宋_GB2312" w:hAnsi="仿宋_GB2312" w:cs="仿宋_GB2312" w:eastAsia="仿宋_GB2312"/>
                      <w:sz w:val="18"/>
                    </w:rPr>
                    <w:t>CM12</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无线手持话筒</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支</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头戴麦</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信号放大器</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 xml:space="preserve"> </w:t>
                  </w:r>
                  <w:r>
                    <w:rPr>
                      <w:rFonts w:ascii="仿宋_GB2312" w:hAnsi="仿宋_GB2312" w:cs="仿宋_GB2312" w:eastAsia="仿宋_GB2312"/>
                      <w:sz w:val="18"/>
                    </w:rPr>
                    <w:t>MA2400</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调音台</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M32调音台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音控师</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专业音控师</w:t>
                  </w:r>
                  <w:r>
                    <w:rPr>
                      <w:rFonts w:ascii="仿宋_GB2312" w:hAnsi="仿宋_GB2312" w:cs="仿宋_GB2312" w:eastAsia="仿宋_GB2312"/>
                      <w:sz w:val="18"/>
                    </w:rPr>
                    <w:t>+助理*2天（含彩排）</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干冰机</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舞台效果干冰机</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灯光（剧院吊杆挂装）</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光束灯（</w:t>
                  </w:r>
                  <w:r>
                    <w:rPr>
                      <w:rFonts w:ascii="仿宋_GB2312" w:hAnsi="仿宋_GB2312" w:cs="仿宋_GB2312" w:eastAsia="仿宋_GB2312"/>
                      <w:sz w:val="18"/>
                    </w:rPr>
                    <w:t>12台*5道）</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LEDpar 染色灯（24台*5道）</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面光切割灯</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定点光切割灯</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舞台效果光束</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数字灯光台</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灯光师</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天</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演讲台</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白色铁艺演讲台（含</w:t>
                  </w:r>
                  <w:r>
                    <w:rPr>
                      <w:rFonts w:ascii="仿宋_GB2312" w:hAnsi="仿宋_GB2312" w:cs="仿宋_GB2312" w:eastAsia="仿宋_GB2312"/>
                      <w:sz w:val="18"/>
                    </w:rPr>
                    <w:t>KT板画面包装）</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台</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舞台地毯</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35*12m烟灰色拉绒地毯</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平米</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人员搭建</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执行及搭建人工（含搭建及撤场）</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运输</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物料运输</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趟</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34"/>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编排创作</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tc>
              <w:tc>
                <w:tcPr>
                  <w:tcW w:type="dxa" w:w="4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文艺节目</w:t>
                  </w:r>
                </w:p>
              </w:tc>
              <w:tc>
                <w:tcPr>
                  <w:tcW w:type="dxa" w:w="11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舞蹈类、歌曲类、音乐类、语言类节目创作、演员、录音化妆、道具、盒饭等</w:t>
                  </w:r>
                </w:p>
              </w:tc>
              <w:tc>
                <w:tcPr>
                  <w:tcW w:type="dxa" w:w="2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个</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晚会录制及制作及播出</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转播车</w:t>
                  </w:r>
                  <w:r>
                    <w:rPr>
                      <w:rFonts w:ascii="仿宋_GB2312" w:hAnsi="仿宋_GB2312" w:cs="仿宋_GB2312" w:eastAsia="仿宋_GB2312"/>
                      <w:sz w:val="18"/>
                    </w:rPr>
                    <w:t>1辆或集成录制系统1套、</w:t>
                  </w:r>
                </w:p>
                <w:p>
                  <w:pPr>
                    <w:pStyle w:val="null3"/>
                    <w:jc w:val="center"/>
                  </w:pPr>
                  <w:r>
                    <w:rPr>
                      <w:rFonts w:ascii="仿宋_GB2312" w:hAnsi="仿宋_GB2312" w:cs="仿宋_GB2312" w:eastAsia="仿宋_GB2312"/>
                      <w:sz w:val="18"/>
                    </w:rPr>
                    <w:t>机位</w:t>
                  </w:r>
                  <w:r>
                    <w:rPr>
                      <w:rFonts w:ascii="仿宋_GB2312" w:hAnsi="仿宋_GB2312" w:cs="仿宋_GB2312" w:eastAsia="仿宋_GB2312"/>
                      <w:sz w:val="18"/>
                    </w:rPr>
                    <w:t>6个。后期剪辑60分钟。陕西二套首播60分钟，陕西三套重播60分钟</w:t>
                  </w:r>
                </w:p>
                <w:p>
                  <w:pPr>
                    <w:pStyle w:val="null3"/>
                    <w:ind w:firstLine="420"/>
                    <w:jc w:val="both"/>
                  </w:pPr>
                  <w:r>
                    <w:rPr>
                      <w:rFonts w:ascii="仿宋_GB2312" w:hAnsi="仿宋_GB2312" w:cs="仿宋_GB2312" w:eastAsia="仿宋_GB2312"/>
                      <w:sz w:val="18"/>
                    </w:rPr>
                    <w:t>（播出确保节目完整性）</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项</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短片制作</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视频制作团队、编导</w:t>
                  </w:r>
                  <w:r>
                    <w:rPr>
                      <w:rFonts w:ascii="仿宋_GB2312" w:hAnsi="仿宋_GB2312" w:cs="仿宋_GB2312" w:eastAsia="仿宋_GB2312"/>
                      <w:sz w:val="18"/>
                    </w:rPr>
                    <w:t>6名、摄像6名、导演6名、短片13条</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tc>
              <w:tc>
                <w:tcPr>
                  <w:tcW w:type="dxa" w:w="4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礼仪</w:t>
                  </w:r>
                </w:p>
              </w:tc>
              <w:tc>
                <w:tcPr>
                  <w:tcW w:type="dxa" w:w="11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礼仪人员</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满足本项目所有要求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满足本项目所有要求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自合同签订之日起至汇演活动结束提交活动总结报告，经采购人验收确认为止。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1、验收依据：合同文本、合同附件、招标文件、投标文件。2、服务期内的过程资料。3、国内响应的标准、规范。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2、乙方履约延误 2-1、如乙方事先未征得甲方同意并得到甲方的谅解而单方面延迟执行合同，将按违约终止合同。 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 3、违约终止合同：未按合同要求提供服务或不能满足技术要求，甲方会同监督机构有权终止合同，并按照合同总额30%向乙方主张违约金，违约金不足以弥补甲方损失的，乙方还应予以补足，同时甲方有权按政府采购法的有关规定对其进行相应的处罚。 4、双方在合同履行过程中产生争议的，首先应友好协商解决。协商不成的，双方均有权向西安仲裁委员会申请仲裁。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供应商应是独立承担民事责任能力的法人、其他组织或自然人</w:t>
            </w:r>
          </w:p>
        </w:tc>
        <w:tc>
          <w:tcPr>
            <w:tcW w:type="dxa" w:w="3322"/>
          </w:tcPr>
          <w:p>
            <w:pPr>
              <w:pStyle w:val="null3"/>
            </w:pPr>
            <w:r>
              <w:rPr>
                <w:rFonts w:ascii="仿宋_GB2312" w:hAnsi="仿宋_GB2312" w:cs="仿宋_GB2312" w:eastAsia="仿宋_GB2312"/>
              </w:rPr>
              <w:t>供应商应是独立承担民事责任能力的法人、其他组织或自然人：法人或者其他组织提供营业执照等证明文件，自然人提供身份证件，供应商需在项目电子化 交易系统中按要求上传相应证明文件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供应商财务状况报告</w:t>
            </w:r>
          </w:p>
        </w:tc>
        <w:tc>
          <w:tcPr>
            <w:tcW w:type="dxa" w:w="3322"/>
          </w:tcPr>
          <w:p>
            <w:pPr>
              <w:pStyle w:val="null3"/>
            </w:pPr>
            <w:r>
              <w:rPr>
                <w:rFonts w:ascii="仿宋_GB2312" w:hAnsi="仿宋_GB2312" w:cs="仿宋_GB2312" w:eastAsia="仿宋_GB2312"/>
              </w:rPr>
              <w:t>供应商2023年或2024年经审计的财务报告或开户银行出具的资信证明或政府采购专业担保机构出具的 投标担保函（事业单位可不提供），供应商需在项目电子化交易系统中按要求上传相应证明文件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供应商在本项目投标文件递交截止时间前十二个月内任意一个月的税收缴纳凭证及社会保险缴纳的凭证 , 依法免税或不需要缴纳社会保障 资金的供应商提供相关证明材料</w:t>
            </w:r>
          </w:p>
        </w:tc>
        <w:tc>
          <w:tcPr>
            <w:tcW w:type="dxa" w:w="3322"/>
          </w:tcPr>
          <w:p>
            <w:pPr>
              <w:pStyle w:val="null3"/>
            </w:pPr>
            <w:r>
              <w:rPr>
                <w:rFonts w:ascii="仿宋_GB2312" w:hAnsi="仿宋_GB2312" w:cs="仿宋_GB2312" w:eastAsia="仿宋_GB2312"/>
              </w:rPr>
              <w:t>供应商在本项目投标文件递交截止时间前十二个月内任意一个月的税收缴纳凭证及社会保险 缴纳的凭证，依法免税或不需要缴纳社会保障 资金的供应商提供相关证明材料，供应商需在项目电子化交易系统中按要求上传相应证明文件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 按要求上传相应证明文件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w:t>
            </w:r>
          </w:p>
        </w:tc>
        <w:tc>
          <w:tcPr>
            <w:tcW w:type="dxa" w:w="3322"/>
          </w:tcPr>
          <w:p>
            <w:pPr>
              <w:pStyle w:val="null3"/>
            </w:pPr>
            <w:r>
              <w:rPr>
                <w:rFonts w:ascii="仿宋_GB2312" w:hAnsi="仿宋_GB2312" w:cs="仿宋_GB2312" w:eastAsia="仿宋_GB2312"/>
              </w:rPr>
              <w:t>供应商未被列入《信用中国》失信被执行人、重大税收违法失信主体、政府采购严重违法失信行为记录名单和《中国政府采购网》政府采购严重违法失信行为记录名单。以响应文件上传截止时间后当日内采购人或采购代理机构的查询结果为准。</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法人授权委托书及被授权人身份证（法人参与投标的，需提供法定代表人身份证及法定代表人身份证明书）合格有效</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总价报价未超过采购预算，且无选择性报价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投标文件的签署、加盖印章是否合格、有效</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供应商资格证明文件.docx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技术及商务条款的响应符合招标文件要求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对本项目的理解 A.对活动内容、采购需求、目标要求认识全面、理解深刻到位，完全符 合项目需求，得8分； B.对活动内容、采购需求、目标要求有一定认识和理解，基本符 合项目需求，得5分； C.对活动内容、采购需求有一定认识和理解，针对性不强，得3分 ； D.对本项目相关要求的认识、理解不深入，有偏差，得1分； E.其他或未提供不得分 。</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活动组织方案</w:t>
            </w:r>
          </w:p>
        </w:tc>
        <w:tc>
          <w:tcPr>
            <w:tcW w:type="dxa" w:w="2492"/>
          </w:tcPr>
          <w:p>
            <w:pPr>
              <w:pStyle w:val="null3"/>
            </w:pPr>
            <w:r>
              <w:rPr>
                <w:rFonts w:ascii="仿宋_GB2312" w:hAnsi="仿宋_GB2312" w:cs="仿宋_GB2312" w:eastAsia="仿宋_GB2312"/>
              </w:rPr>
              <w:t>活动组织方案 包括但不限于活动策划与执行、活动各阶段的组织协调工作、其他采购人 需要的事务性工作等。 A.方案内容完善，规范性、针对性及可行性强，得8分； B.方案 内容完善，有一定的针对性、可行性，得6分； C.方案内容一般，针对性不强，得4分； D.方案内容简单笼统，缺乏针对性，得2分； E.其他或未提供不得分。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场地规划及会场布置</w:t>
            </w:r>
          </w:p>
        </w:tc>
        <w:tc>
          <w:tcPr>
            <w:tcW w:type="dxa" w:w="2492"/>
          </w:tcPr>
          <w:p>
            <w:pPr>
              <w:pStyle w:val="null3"/>
            </w:pPr>
            <w:r>
              <w:rPr>
                <w:rFonts w:ascii="仿宋_GB2312" w:hAnsi="仿宋_GB2312" w:cs="仿宋_GB2312" w:eastAsia="仿宋_GB2312"/>
              </w:rPr>
              <w:t>场地规划及会场布置 A.活动空间充足，场地规划合理，会场布置氛围贴合活动主题，得 8分； B.活动空间紧张，场地规划基本合理，会场布置氛围普遍通用，得5分； C.活动 空间小，场地规划不明确，会场布置简单，得3分； D.其他或未提供不得分。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材料设备投入计划</w:t>
            </w:r>
          </w:p>
        </w:tc>
        <w:tc>
          <w:tcPr>
            <w:tcW w:type="dxa" w:w="2492"/>
          </w:tcPr>
          <w:p>
            <w:pPr>
              <w:pStyle w:val="null3"/>
            </w:pPr>
            <w:r>
              <w:rPr>
                <w:rFonts w:ascii="仿宋_GB2312" w:hAnsi="仿宋_GB2312" w:cs="仿宋_GB2312" w:eastAsia="仿宋_GB2312"/>
              </w:rPr>
              <w:t>根据完成本项目须提供的相关物品明确投入计划。 A.材料设备配备齐全，质量可靠，充分满足服务需求，有备品备件，得4 分； B.材料设备配备基本齐全，质量基本可靠，满足服务需求，得2分； C.材料设备配 备紧张，基本满足服务需求，得1分。 D.其他或未提供不得分。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舞美及物料设计方案</w:t>
            </w:r>
          </w:p>
        </w:tc>
        <w:tc>
          <w:tcPr>
            <w:tcW w:type="dxa" w:w="2492"/>
          </w:tcPr>
          <w:p>
            <w:pPr>
              <w:pStyle w:val="null3"/>
            </w:pPr>
            <w:r>
              <w:rPr>
                <w:rFonts w:ascii="仿宋_GB2312" w:hAnsi="仿宋_GB2312" w:cs="仿宋_GB2312" w:eastAsia="仿宋_GB2312"/>
              </w:rPr>
              <w:t>根据服务内容及要求，提供活动平面设计、舞美设计、电子邀请函设计、及相关物料等 设计方案。 A.方案内容完善，设计新颖独特，针对性及可行性强，得8分； B.方案内容 一般，设计有一定创意，有一定的针对性及可行性，得5分； C.方案内容简单笼统，设 计普通，缺乏针对性，得3分； D.其他或未提供不得分。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活动宣发</w:t>
            </w:r>
          </w:p>
        </w:tc>
        <w:tc>
          <w:tcPr>
            <w:tcW w:type="dxa" w:w="2492"/>
          </w:tcPr>
          <w:p>
            <w:pPr>
              <w:pStyle w:val="null3"/>
            </w:pPr>
            <w:r>
              <w:rPr>
                <w:rFonts w:ascii="仿宋_GB2312" w:hAnsi="仿宋_GB2312" w:cs="仿宋_GB2312" w:eastAsia="仿宋_GB2312"/>
              </w:rPr>
              <w:t>活动宣发 A.宣发方案内容完善，媒体属性局限性小，信息承载力强，新闻发布资质证明 材料齐全，采编能力强且具有针对性，得4分； B.宣发方案内容较完善，媒体属性局限 性较小，信息承载力较强，新闻发布资质证明材料较齐全，采编能力具有针对性，得2 分； C.宣发方案内容简单笼统，缺乏层次，无新闻发布资质证明材料，得1分； D.其他 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服务团队 A.人员配备完善充足、岗位设置齐全、分工明确、管理方案详细，得10分； B .人员配备、岗位设置、分工及管理方案简单笼统，得6分； C.人员配备不充足，岗位设 置及分工简单、无针对性，管理方案不健全，得3分； D.其他或未提供不得分。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安全保障方案：针对本项目具体情况，供应商提供可靠的安全保障方案（包括但不限于 活动现场治安、消防、观众进退场等）。 A.方案内容完善，措施针对性、合理性、可行 性强，得6分； B.方案内容较完善，措施针对性、合理性、可行性较强，得4分； C.方 案内容基本完善，措施有一定的合理性、可行性，得2分； D.方案内容简单笼统，措施 缺乏针对性，得1分； E.其他或未提供不得分。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突发事件应急预案</w:t>
            </w:r>
          </w:p>
        </w:tc>
        <w:tc>
          <w:tcPr>
            <w:tcW w:type="dxa" w:w="2492"/>
          </w:tcPr>
          <w:p>
            <w:pPr>
              <w:pStyle w:val="null3"/>
            </w:pPr>
            <w:r>
              <w:rPr>
                <w:rFonts w:ascii="仿宋_GB2312" w:hAnsi="仿宋_GB2312" w:cs="仿宋_GB2312" w:eastAsia="仿宋_GB2312"/>
              </w:rPr>
              <w:t>制定合理、可行的各种突发情况（包含现场秩序调节、活动效果调动、停电、断网、所 提供的设备及材料出现质量问题等）的应急预案。 A.应急预案内容完善，应对措施全面 、可行性强、考虑充分，能够确保活动顺利开展，得4分； B.应急预案内容基本完善， 应对措施的可行性较强，考虑得当，基本能够确保活动顺利开展，得2分； C.应急预案 内容基本完善，应对措施有一定可行性，考虑不足，得1分； D.其他或未提供不得分。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服务质量保证方案</w:t>
            </w:r>
          </w:p>
        </w:tc>
        <w:tc>
          <w:tcPr>
            <w:tcW w:type="dxa" w:w="2492"/>
          </w:tcPr>
          <w:p>
            <w:pPr>
              <w:pStyle w:val="null3"/>
            </w:pPr>
            <w:r>
              <w:rPr>
                <w:rFonts w:ascii="仿宋_GB2312" w:hAnsi="仿宋_GB2312" w:cs="仿宋_GB2312" w:eastAsia="仿宋_GB2312"/>
              </w:rPr>
              <w:t>提供针对本项目的服务质量保证方案（包括：健全的质量控制体系、针对本项目的质量 把控方案、质量保证措施，并有质量目标无法实现时的认罚承诺等）。 A.方案内容全面 、可行、针对性强。得6分； B.方案内容较全面、可行，有一定的针对性。得4分； C. 方案内容简单笼统或不全面，无针对性。得2分； D.其他或未提供不得分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A.满足用户的服务要求，对完成项目所涉及的货物服务的安全、质量等方面具有详细的 服务承诺； B.服务承诺完善，内容详细、科学合理、针对性强，得6分； 服务承诺基本 完善，保证措施内容不够详细，有一定针对性，得4分； C.服务承诺简单笼统，保证措 施内容粗略，针对性欠缺，得2分； D.其他或未提供不得分。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重点难点的理解与解决方法</w:t>
            </w:r>
          </w:p>
        </w:tc>
        <w:tc>
          <w:tcPr>
            <w:tcW w:type="dxa" w:w="2492"/>
          </w:tcPr>
          <w:p>
            <w:pPr>
              <w:pStyle w:val="null3"/>
            </w:pPr>
            <w:r>
              <w:rPr>
                <w:rFonts w:ascii="仿宋_GB2312" w:hAnsi="仿宋_GB2312" w:cs="仿宋_GB2312" w:eastAsia="仿宋_GB2312"/>
              </w:rPr>
              <w:t>提供具有针对性的重点难点的理解与解决方法，内容包含①重点难点的理解②重点难点 的解决方法③保密制度。内容全面详细、阐述条理清晰详尽、符合本项目采购需求得6分 ；以上分项每缺少一项内容扣2分；有某一项不完整或不符合实际要求或不满足实施要 求或套用其他项目内容的每项得0.5-1.5分；未提供不得分。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进度保障方案</w:t>
            </w:r>
          </w:p>
        </w:tc>
        <w:tc>
          <w:tcPr>
            <w:tcW w:type="dxa" w:w="2492"/>
          </w:tcPr>
          <w:p>
            <w:pPr>
              <w:pStyle w:val="null3"/>
            </w:pPr>
            <w:r>
              <w:rPr>
                <w:rFonts w:ascii="仿宋_GB2312" w:hAnsi="仿宋_GB2312" w:cs="仿宋_GB2312" w:eastAsia="仿宋_GB2312"/>
              </w:rPr>
              <w:t>提供具有针对性的进度保障方案，方案内容包含①工作时间进度表②工作程序和步骤③ 关键步骤的思路和要点。内容全面详细、阐述条理清晰详尽、符合本项目采购需求得6 分。以上分项每缺少一项内容扣2分；有某一项不完整或不符合实际要求或不满足实施 要求或套用其他项目内容的每项得0.5-1.5分；未提供不得分。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提供供应商2021年10月1日至开标截止日类似业绩，每提供一份业绩得2分，最高得6 分。（以合同签订时间为准，合同、协议复印件加盖公章装订在招标文件中，否则不作 为评审依据）若提供虚假业绩，一经发现，按无效投标处理。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在所有的有效投标报价中，以最低投标报价为基准价，其价格分为满分。其他供应商的报价分统一按下列公式计算：投标报价得分=(评标基准价／投标报价)×价格权值（10%）×100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根据《政府采购促进中小企业发展暂行办法》的相关规定，对符合要求中型、小型和微型企业的价格给予10%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详见附件：122“全国交通安全日”主题活动“2025平安三秦行”专题节目项目合同范本.docx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