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版本号：0617-2512FZ232320250822001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2024年慈善事业标准化建设项目(二次)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0617-2512FZ2323</w:t>
      </w:r>
      <w:r>
        <w:br/>
      </w:r>
      <w:r>
        <w:br/>
      </w:r>
      <w:r>
        <w:br/>
      </w:r>
    </w:p>
    <w:p>
      <w:pPr>
        <w:pStyle w:val="null3"/>
        <w:jc w:val="center"/>
        <w:outlineLvl w:val="5"/>
      </w:pPr>
      <w:r>
        <w:rPr>
          <w:rFonts w:ascii="仿宋_GB2312" w:hAnsi="仿宋_GB2312" w:cs="仿宋_GB2312" w:eastAsia="仿宋_GB2312"/>
          <w:sz w:val="15"/>
          <w:b/>
        </w:rPr>
        <w:t>陕西省民政厅机关</w:t>
      </w:r>
    </w:p>
    <w:p>
      <w:pPr>
        <w:pStyle w:val="null3"/>
        <w:jc w:val="center"/>
        <w:outlineLvl w:val="5"/>
      </w:pPr>
      <w:r>
        <w:rPr>
          <w:rFonts w:ascii="仿宋_GB2312" w:hAnsi="仿宋_GB2312" w:cs="仿宋_GB2312" w:eastAsia="仿宋_GB2312"/>
          <w:sz w:val="15"/>
          <w:b/>
        </w:rPr>
        <w:t>西北(陕西)国际招标有限公司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2024年慈善事业标准化建设项目(二次)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0617-2512FZ2323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2024年慈善事业标准化建设项目(二次)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制定出台公益慈善标准；组织开展慈善法规制度、慈善标准以及慈善业务培训；持续承担慈善法规制度、慈善标准在全省范围的宣传和慈善文化弘扬等工作；组织开展摸底调研，建立行业档案；完成慈善事业发展数据调查统计工作，搭建智慧慈善平台；负责通过购买第三方专业机构服务，配合省厅开展慈善行业督导检查和慈善组织管理漏洞与风险隐患全面排查整治工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029-63917568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吴乐平、唐丽娜、衣冯源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029-85235058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代理服务费收费标准：参照原《国家计委关于印发&lt;招标代理服务收费管理暂行办法&gt;的通知》（计价格﹝2002﹞1980号）规定的标准执行。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采购文件和响应文件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制定出台公益慈善标准；组织开展慈善法规制度、慈善标准以及慈善业务培训；持续承担慈善法规制度、慈善标准在全省范围的宣传和慈善文化弘扬等工作；组织开展摸底调研，建立行业档案；完成慈善事业发展数据调查统计工作，搭建智慧慈善平台；负责通过购买第三方专业机构服务，配合省厅开展慈善行业督导检查和慈善组织管理漏洞与风险隐患全面排查整治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2024年慈善事业标准化建设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标的名称：2024年慈善事业标准化建设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制定出台公益慈善标准。完成2024年省市场监督管理局批复下达的《慈善项目策划与实施指南》《慈善项目评估指南》2项地方标准和《社区慈善组织建设规范》《医疗器械、药品和其他医用物资的捐赠流程》《社区慈善资金管理规范》等3项团体标准的调研论证、起草制订和发布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组织开展慈善法规制度、慈善标准以及慈善业务培训。重点围绕新修改的《中华人民共和国慈善法》《慈善组织公开募捐管理办法》《慈善组织认定办法》《个人求助网络服务平台管理办法》，以及我省发布的公益慈善标准等，举办民政系统分管慈善工作的领导和业务人员，以及慈善组织负责人等参加的培训班。</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持续承担慈善法规制度、慈善标准在全省范围的宣传和慈善文化弘扬等工作。充分利用广播、电视、报刊及互联网等新媒体宣传优势，采取多种形式，广泛开展慈善法规进企业、进学校、进农村、进社区、进家庭等系列活动。其中，每季度组织开展两次集中宣传活动，持续做好慈善法规制度和我省公益慈善地方标准的宣传工作。</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组织开展摸底调研，建立行业档案。组织慈善组织代表、专家学者组成调研组，分组走访各地市和区县慈善组织，围绕组织架构、制度建设、项目执行、信息公开等方面进行调研，摸细、摸清各慈善组织发展情况，建立行业档案。</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完成慈善事业发展数据调查统计工作，搭建智慧慈善平台。结合计划开展的摸底调研行动，收集汇总各地市慈善事业发展情况、捐赠款物使用、慈善活动开展等信息，起草完成《陕西慈善事业发展报告》，分析我省慈善事业发展存在的问题和面临的挑战，提出解决问题的战略举措，为制定推动慈善事业高质量发展的政策制度提供参考依据。设计建立“智慧慈善”办公平台，提升慈善组织内部管理能力和审核效率，平台先行在陕西省慈善联合会试行，待完善后逐步向其他慈善组织推广。</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完成慈善社区（村）的实地抽查，开展行业督导。依据省民政厅明确的慈善社区(村)建设要求，对省民政厅联合省财政厅下达各市建设的慈善社区(村)进行抽查和绩效评估，撰写慈善社区（村）抽查报告(包括：慈善社区（村）的抽查情况、先进案例、存在的问题和困难、抽查结论及工作建议等)。</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7、负责通过购买第三方专业机构服务，配合省厅开展慈善行业督导检查和慈善组织管理漏洞与风险隐患全面排查整治工作。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具有满足本项目实施的人员。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具有满足本项目实施的设施设备。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采购文件和响应文件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1、违约责任：（1）按《中华人民共和国民法典》 中的相关条款执行。（2）未按合同要求提供服务或服务质量不能满足采购需求的，采购单位有权终止合同，并对供方违约行为进行追究。2、解决争议的方法：甲乙双方在履行合同中如果发生争议，应协商解决，协商不成的，任何一方均有权向甲方所在地有管辖权的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（1）供应商需在项目电子化交易系统中按要求填写《响应函》完成承诺并进行电子签章。（2）具有独立承担民事责任的能力。 提供注册登记凭证（营业执照、其他组织经营的合法凭证，自然人的提供身份证明文件）。供应商需在项目电子化交易系统中按要求上传相应证明文件并进行电子签章。 （3）具有良好的商业信誉和健全的财务会计制度。提供经审计的2023年度或2024年度财务报告（包括四表一注，即资产负债表、利润表、现金流量表、所有者权益变动表及其附注），且无反对意见；事业法人提供部门决算报告；/或在响应文件递交截止时间前六个月内其基本开户银行出具的资信证明（附《基本存款账户信息》或《银行开户许可证》）；/或财政部门认可的政府采购专业担保机构出具的响应担保函；/或表明具有良好的商业信誉和健全的财务会计制度的诚信声明；以上四种形式的资料提供任何一种即可。供应商需在项目电子化交易系统中按要求上传相应证明文件并进行电子签章。（4）具有履行合同所必需的设备和专业技术能力。提供声明文件。供应商需在项目电子化交易系统中按要求上传相应证明文件并进行电子签章。（5）具有依法缴纳税收的良好记录。提供缴费所属日期为响应文件递交截止时间前6个月内任一月份（响应文件递交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6）具有依法缴纳社会保障资金的良好记录。提供缴费所属日期为响应文件递交截止时间前6个月内任一月份（响应文件递交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7）参加政府采购活动前3年内在经营活动中没有重大违法记录的书面声明。供应商需在项目电子化交易系统中按要求上传相应证明文件并进行电子签章。（8）法定代表人授权委托书或法定代表人证明书。法定代表人授权委托书（被授权代表参加）或法定代表人证明书（法定代表人直接参加），供应商需在项目电子化交易系统中按要求上传相应证明文件并进行电子签章。（9）不接受联合体。提供非联合体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1、供应商按照采购文件要求上传响应文件；2、响应文件是否按照采购文件要求的格式编写。</w:t>
            </w:r>
          </w:p>
        </w:tc>
        <w:tc>
          <w:tcPr>
            <w:tcW w:type="dxa" w:w="1661"/>
          </w:tcPr>
          <w:p>
            <w:pPr>
              <w:pStyle w:val="null3"/>
            </w:pPr>
            <w:r>
              <w:rPr>
                <w:rFonts w:ascii="仿宋_GB2312" w:hAnsi="仿宋_GB2312" w:cs="仿宋_GB2312" w:eastAsia="仿宋_GB2312"/>
              </w:rPr>
              <w:t>响应文件封面 服务方案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1、供应商按照采购文件要求上传响应文件；2、响应文件的签署、加盖印章是否有效；提供的各种证明文件、数据、资料是否有效。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服务方案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1、供应商按照采购文件要求上传响应文件；2、报价是否超过采购预算；报价有效期是否符合采购文件要求；响应内容是否符合国家法律法规。</w:t>
            </w:r>
          </w:p>
        </w:tc>
        <w:tc>
          <w:tcPr>
            <w:tcW w:type="dxa" w:w="1661"/>
          </w:tcPr>
          <w:p>
            <w:pPr>
              <w:pStyle w:val="null3"/>
            </w:pPr>
            <w:r>
              <w:rPr>
                <w:rFonts w:ascii="仿宋_GB2312" w:hAnsi="仿宋_GB2312" w:cs="仿宋_GB2312" w:eastAsia="仿宋_GB2312"/>
              </w:rPr>
              <w:t>响应文件封面 服务方案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报价明显低于采购预算，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报价合理性的，协商小组应当将其投标文件作为无效处理。</w:t>
            </w:r>
          </w:p>
        </w:tc>
        <w:tc>
          <w:tcPr>
            <w:tcW w:type="dxa" w:w="1661"/>
          </w:tcPr>
          <w:p>
            <w:pPr>
              <w:pStyle w:val="null3"/>
            </w:pPr>
            <w:r>
              <w:rPr>
                <w:rFonts w:ascii="仿宋_GB2312" w:hAnsi="仿宋_GB2312" w:cs="仿宋_GB2312" w:eastAsia="仿宋_GB2312"/>
              </w:rPr>
              <w:t>响应文件封面 服务方案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详见附件：服务要求和商务要求响应表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详见附件：同类项目业绩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