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版本号：RTZB-2025-2078(R)20250918001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太白校区电力升级改造项目(二次)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RTZB-2025-2078(R)</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太白校区电力升级改造项目(二次)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RTZB-2025-2078(R)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太白校区电力升级改造项目(二次)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（1）14个10KV保护装置的采购和更换；（2）5台低压进线柜断路器的采购和更换；（3）8个配电室的开关柜、保护和电缆的预防性试验。具体以采购文件、工程量清单及答疑、补充文件为准。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采购包1（太白校区电力升级改造项目）：属于专门面向中小企业采购。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p>
      <w:pPr>
        <w:pStyle w:val="null3"/>
      </w:pPr>
      <w:r>
        <w:rPr>
          <w:rFonts w:ascii="仿宋_GB2312" w:hAnsi="仿宋_GB2312" w:cs="仿宋_GB2312" w:eastAsia="仿宋_GB2312"/>
        </w:rPr>
        <w:t>2、法人主体：提供营业执照/事业单位法人登记证/非企业单位登记证/执业许可证，未提供的接受采购人通过国家企业信用信息公示系统（http://www.gsxt.gov.cn/index.html）进行相关信息的核实，并承担核实不到的后果；自然人提供身份证。</w:t>
      </w:r>
    </w:p>
    <w:p>
      <w:pPr>
        <w:pStyle w:val="null3"/>
      </w:pPr>
      <w:r>
        <w:rPr>
          <w:rFonts w:ascii="仿宋_GB2312" w:hAnsi="仿宋_GB2312" w:cs="仿宋_GB2312" w:eastAsia="仿宋_GB2312"/>
        </w:rPr>
        <w:t>3、财务状况：提供2024年度经第三方会计事务所审计过的财务报告，或磋商截止时间前90天内基本账户银行出具的资信证明。注：①提供财务报告的，附件须完整（以审计报告附件为准）。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4、纳税证明：提供2025年1月1日至今至少一个月依法纳税的相关凭证（任意税种）。注：依法免税或无须缴纳税收的应提供说明，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5、社保缴纳凭证：提供2025年1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6、履约能力：提供具有履行本合同所必需的专业技术能力的书面声明。</w:t>
      </w:r>
    </w:p>
    <w:p>
      <w:pPr>
        <w:pStyle w:val="null3"/>
      </w:pPr>
      <w:r>
        <w:rPr>
          <w:rFonts w:ascii="仿宋_GB2312" w:hAnsi="仿宋_GB2312" w:cs="仿宋_GB2312" w:eastAsia="仿宋_GB2312"/>
        </w:rPr>
        <w:t>7、资质：具有承装（修、试）电力设施许可证（承装类、承修类、承试类）三级及以上资质（或旧证承装（修、试）电力设施许可证（承装类、承修类、承试类）四级及以上资质），且同时具备有效的安全生产许可证，提供证书。</w:t>
      </w:r>
    </w:p>
    <w:p>
      <w:pPr>
        <w:pStyle w:val="null3"/>
      </w:pPr>
      <w:r>
        <w:rPr>
          <w:rFonts w:ascii="仿宋_GB2312" w:hAnsi="仿宋_GB2312" w:cs="仿宋_GB2312" w:eastAsia="仿宋_GB2312"/>
        </w:rPr>
        <w:t>8、外省进陕企业证明资料：供应商为外省进陕企业的，须提供陕西省住房和城乡建设厅官网企业库外省进陕企业信息首页截图。（非外省进陕企业的无需提供。）</w:t>
      </w:r>
    </w:p>
    <w:p>
      <w:pPr>
        <w:pStyle w:val="null3"/>
      </w:pPr>
      <w:r>
        <w:rPr>
          <w:rFonts w:ascii="仿宋_GB2312" w:hAnsi="仿宋_GB2312" w:cs="仿宋_GB2312" w:eastAsia="仿宋_GB2312"/>
        </w:rPr>
        <w:t>9、项目经理：拟派项目经理须为供应商单位注册的机电工程专业二级以上（含二级）注册建造师，具有有效的安全生产考核合格证（B证）且无在建工程。提供证书及无在建声明（格式自拟）</w:t>
      </w:r>
    </w:p>
    <w:p>
      <w:pPr>
        <w:pStyle w:val="null3"/>
      </w:pPr>
      <w:r>
        <w:rPr>
          <w:rFonts w:ascii="仿宋_GB2312" w:hAnsi="仿宋_GB2312" w:cs="仿宋_GB2312" w:eastAsia="仿宋_GB2312"/>
        </w:rPr>
        <w:t>10、磋商代表授权：参加磋商的供应商代表需提供提法定代表人证明书和法定代表人授权书。</w:t>
      </w:r>
    </w:p>
    <w:p>
      <w:pPr>
        <w:pStyle w:val="null3"/>
      </w:pPr>
      <w:r>
        <w:rPr>
          <w:rFonts w:ascii="仿宋_GB2312" w:hAnsi="仿宋_GB2312" w:cs="仿宋_GB2312" w:eastAsia="仿宋_GB2312"/>
        </w:rPr>
        <w:t>11、联合体形式：不接受联合体投标，提供非联合体声明。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说明：1.本采购包履约保证金为合同金额的5.0% 说明：供应商凭成交通知书向采购人缴纳成交金额的5%作为履约保证金。 2.缴纳信息： 户名：西北大学 开户银行：交通银行太白路支行 账号： 611301015018001145006 3.履约保证金汇款后，可持银行回执到西北大学采购与招标办公室换取收据。待合同执行完毕、项目验收合格后凭验收单和缴款收据，履约保证金予以无息退还。如遇下列情况之一者，履约保证金不予退还，作为对采购人的赔偿： （1）合同签订后不能按合同时限要求完工的； （2）项目与合同不符或验收不合格的；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以成交价为基础计算下浮20%计取，供应商在下载成交通知书时一次性缴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踏勘时间：2025-09-26 09:30:00</w:t>
            </w:r>
          </w:p>
          <w:p>
            <w:pPr>
              <w:pStyle w:val="null3"/>
              <w:ind w:firstLine="975"/>
            </w:pPr>
            <w:r>
              <w:rPr>
                <w:rFonts w:ascii="仿宋_GB2312" w:hAnsi="仿宋_GB2312" w:cs="仿宋_GB2312" w:eastAsia="仿宋_GB2312"/>
              </w:rPr>
              <w:t>踏勘地点：西北大学太白校区中心配电室（教学七号楼东）</w:t>
            </w:r>
          </w:p>
          <w:p>
            <w:pPr>
              <w:pStyle w:val="null3"/>
              <w:ind w:firstLine="975"/>
            </w:pPr>
            <w:r>
              <w:rPr>
                <w:rFonts w:ascii="仿宋_GB2312" w:hAnsi="仿宋_GB2312" w:cs="仿宋_GB2312" w:eastAsia="仿宋_GB2312"/>
              </w:rPr>
              <w:t>联系人：水工</w:t>
            </w:r>
          </w:p>
          <w:p>
            <w:pPr>
              <w:pStyle w:val="null3"/>
              <w:ind w:firstLine="975"/>
            </w:pPr>
            <w:r>
              <w:rPr>
                <w:rFonts w:ascii="仿宋_GB2312" w:hAnsi="仿宋_GB2312" w:cs="仿宋_GB2312" w:eastAsia="仿宋_GB2312"/>
              </w:rPr>
              <w:t>联系电话号码：15332338330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地址：西安市雁塔区科技路30号合力紫郡A座22层2204室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331,200.00</w:t>
      </w:r>
    </w:p>
    <w:p>
      <w:pPr>
        <w:pStyle w:val="null3"/>
      </w:pPr>
      <w:r>
        <w:rPr>
          <w:rFonts w:ascii="仿宋_GB2312" w:hAnsi="仿宋_GB2312" w:cs="仿宋_GB2312" w:eastAsia="仿宋_GB2312"/>
        </w:rPr>
        <w:t>采购包最高限价（元）: 331,200.00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太白校区电力升级改造项目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331,200.00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标的名称：太白校区电力升级改造项目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施工范围及工作内容：（</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个</w:t>
            </w:r>
            <w:r>
              <w:rPr>
                <w:rFonts w:ascii="仿宋_GB2312" w:hAnsi="仿宋_GB2312" w:cs="仿宋_GB2312" w:eastAsia="仿宋_GB2312"/>
              </w:rPr>
              <w:t>10KV</w:t>
            </w:r>
            <w:r>
              <w:rPr>
                <w:rFonts w:ascii="仿宋_GB2312" w:hAnsi="仿宋_GB2312" w:cs="仿宋_GB2312" w:eastAsia="仿宋_GB2312"/>
              </w:rPr>
              <w:t>保护装置的采购和更换；（</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台低压进线柜断路器的采购和更换；（</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个配电室的开关柜、保护和电缆的预防性试验。具体以采购文件、工程量清单及答疑、补充文件为准。</w:t>
            </w:r>
          </w:p>
          <w:p>
            <w:pPr>
              <w:pStyle w:val="null3"/>
              <w:jc w:val="both"/>
            </w:pPr>
            <w:r>
              <w:rPr>
                <w:rFonts w:ascii="仿宋_GB2312" w:hAnsi="仿宋_GB2312" w:cs="仿宋_GB2312" w:eastAsia="仿宋_GB2312"/>
                <w:sz w:val="21"/>
              </w:rPr>
              <w:t>注：工程量清单见附件。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项目设计任务书</w:t>
            </w:r>
          </w:p>
          <w:p>
            <w:pPr>
              <w:pStyle w:val="null3"/>
              <w:jc w:val="both"/>
            </w:pPr>
            <w:r>
              <w:rPr>
                <w:rFonts w:ascii="仿宋_GB2312" w:hAnsi="仿宋_GB2312" w:cs="仿宋_GB2312" w:eastAsia="仿宋_GB2312"/>
                <w:sz w:val="21"/>
              </w:rPr>
              <w:t>注：见附件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工期：合同签订后</w:t>
            </w:r>
            <w:r>
              <w:rPr>
                <w:rFonts w:ascii="仿宋_GB2312" w:hAnsi="仿宋_GB2312" w:cs="仿宋_GB2312" w:eastAsia="仿宋_GB2312"/>
              </w:rPr>
              <w:t>45</w:t>
            </w:r>
            <w:r>
              <w:rPr>
                <w:rFonts w:ascii="仿宋_GB2312" w:hAnsi="仿宋_GB2312" w:cs="仿宋_GB2312" w:eastAsia="仿宋_GB2312"/>
              </w:rPr>
              <w:t>日历日。</w:t>
            </w:r>
          </w:p>
          <w:p>
            <w:pPr>
              <w:pStyle w:val="null3"/>
              <w:jc w:val="both"/>
            </w:pPr>
            <w:r>
              <w:rPr>
                <w:rFonts w:ascii="仿宋_GB2312" w:hAnsi="仿宋_GB2312" w:cs="仿宋_GB2312" w:eastAsia="仿宋_GB2312"/>
              </w:rPr>
              <w:t>2.</w:t>
            </w:r>
            <w:r>
              <w:rPr>
                <w:rFonts w:ascii="仿宋_GB2312" w:hAnsi="仿宋_GB2312" w:cs="仿宋_GB2312" w:eastAsia="仿宋_GB2312"/>
              </w:rPr>
              <w:t>付款方式：本项目无预付款，工程竣工并达到验收标准后付至合同金额的</w:t>
            </w:r>
            <w:r>
              <w:rPr>
                <w:rFonts w:ascii="仿宋_GB2312" w:hAnsi="仿宋_GB2312" w:cs="仿宋_GB2312" w:eastAsia="仿宋_GB2312"/>
              </w:rPr>
              <w:t>80%</w:t>
            </w:r>
            <w:r>
              <w:rPr>
                <w:rFonts w:ascii="仿宋_GB2312" w:hAnsi="仿宋_GB2312" w:cs="仿宋_GB2312" w:eastAsia="仿宋_GB2312"/>
              </w:rPr>
              <w:t>；待学校审计后支付至审定金额的</w:t>
            </w:r>
            <w:r>
              <w:rPr>
                <w:rFonts w:ascii="仿宋_GB2312" w:hAnsi="仿宋_GB2312" w:cs="仿宋_GB2312" w:eastAsia="仿宋_GB2312"/>
              </w:rPr>
              <w:t>100%</w:t>
            </w:r>
            <w:r>
              <w:rPr>
                <w:rFonts w:ascii="仿宋_GB2312" w:hAnsi="仿宋_GB2312" w:cs="仿宋_GB2312" w:eastAsia="仿宋_GB2312"/>
              </w:rPr>
              <w:t>。但前期支付金额超过审定金额的成交人应当退还。</w:t>
            </w:r>
          </w:p>
          <w:p>
            <w:pPr>
              <w:pStyle w:val="null3"/>
              <w:jc w:val="both"/>
            </w:pPr>
            <w:r>
              <w:rPr>
                <w:rFonts w:ascii="仿宋_GB2312" w:hAnsi="仿宋_GB2312" w:cs="仿宋_GB2312" w:eastAsia="仿宋_GB2312"/>
              </w:rPr>
              <w:t>3.</w:t>
            </w:r>
            <w:r>
              <w:rPr>
                <w:rFonts w:ascii="仿宋_GB2312" w:hAnsi="仿宋_GB2312" w:cs="仿宋_GB2312" w:eastAsia="仿宋_GB2312"/>
              </w:rPr>
              <w:t>质量标准：工程质量达到国家现行施工验收规范合格标准，并符合采购文件、合同以及采购方使用需求。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质保期：预防试验无质保期，保护装置和频闪消除设备质保期为</w:t>
            </w:r>
            <w:r>
              <w:rPr>
                <w:rFonts w:ascii="仿宋_GB2312" w:hAnsi="仿宋_GB2312" w:cs="仿宋_GB2312" w:eastAsia="仿宋_GB2312"/>
                <w:sz w:val="21"/>
              </w:rPr>
              <w:t>24</w:t>
            </w:r>
            <w:r>
              <w:rPr>
                <w:rFonts w:ascii="仿宋_GB2312" w:hAnsi="仿宋_GB2312" w:cs="仿宋_GB2312" w:eastAsia="仿宋_GB2312"/>
                <w:sz w:val="21"/>
              </w:rPr>
              <w:t>个月。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项目实施、施工组织管理，主要包括但不限于以下要求：</w:t>
            </w:r>
          </w:p>
          <w:p>
            <w:pPr>
              <w:pStyle w:val="null3"/>
              <w:jc w:val="both"/>
            </w:pPr>
            <w:r>
              <w:rPr>
                <w:rFonts w:ascii="仿宋_GB2312" w:hAnsi="仿宋_GB2312" w:cs="仿宋_GB2312" w:eastAsia="仿宋_GB2312"/>
              </w:rPr>
              <w:t>1.</w:t>
            </w:r>
            <w:r>
              <w:rPr>
                <w:rFonts w:ascii="仿宋_GB2312" w:hAnsi="仿宋_GB2312" w:cs="仿宋_GB2312" w:eastAsia="仿宋_GB2312"/>
              </w:rPr>
              <w:t>供应商选择保护、断路器须统筹兼顾现有通讯规约、尺寸、易于维护等因素，应选用全新、技术先进、成熟的产品，合国家标准，无安全隐患。供应商进场施工前须提供检验报告、合格证、竣工图纸资料（电子版和纸质版）</w:t>
            </w:r>
            <w:r>
              <w:rPr>
                <w:rFonts w:ascii="仿宋_GB2312" w:hAnsi="仿宋_GB2312" w:cs="仿宋_GB2312" w:eastAsia="仿宋_GB2312"/>
              </w:rPr>
              <w:t>,</w:t>
            </w:r>
            <w:r>
              <w:rPr>
                <w:rFonts w:ascii="仿宋_GB2312" w:hAnsi="仿宋_GB2312" w:cs="仿宋_GB2312" w:eastAsia="仿宋_GB2312"/>
              </w:rPr>
              <w:t>并协助学校进行各类相关联络、协调。</w:t>
            </w:r>
          </w:p>
          <w:p>
            <w:pPr>
              <w:pStyle w:val="null3"/>
              <w:jc w:val="both"/>
            </w:pPr>
            <w:r>
              <w:rPr>
                <w:rFonts w:ascii="仿宋_GB2312" w:hAnsi="仿宋_GB2312" w:cs="仿宋_GB2312" w:eastAsia="仿宋_GB2312"/>
              </w:rPr>
              <w:t>2.</w:t>
            </w:r>
            <w:r>
              <w:rPr>
                <w:rFonts w:ascii="仿宋_GB2312" w:hAnsi="仿宋_GB2312" w:cs="仿宋_GB2312" w:eastAsia="仿宋_GB2312"/>
              </w:rPr>
              <w:t>本项目采购保护应采用市面通用标准接口，并提供保护等设备通讯规约；所有硬件必须提供与第三方的无缝对接的所有必备条件，并无条件配合与第三方对接。所提供的货物或其任何一部分均不会侵犯任何第三方的专利权、商标权或著作权，否则由此产生的一切后果由乙方负全责。</w:t>
            </w:r>
          </w:p>
          <w:p>
            <w:pPr>
              <w:pStyle w:val="null3"/>
              <w:jc w:val="both"/>
            </w:pPr>
            <w:r>
              <w:rPr>
                <w:rFonts w:ascii="仿宋_GB2312" w:hAnsi="仿宋_GB2312" w:cs="仿宋_GB2312" w:eastAsia="仿宋_GB2312"/>
              </w:rPr>
              <w:t>3.</w:t>
            </w:r>
            <w:r>
              <w:rPr>
                <w:rFonts w:ascii="仿宋_GB2312" w:hAnsi="仿宋_GB2312" w:cs="仿宋_GB2312" w:eastAsia="仿宋_GB2312"/>
              </w:rPr>
              <w:t>变压器绝缘电阻的测量（耐压试验前进行），用</w:t>
            </w:r>
            <w:r>
              <w:rPr>
                <w:rFonts w:ascii="仿宋_GB2312" w:hAnsi="仿宋_GB2312" w:cs="仿宋_GB2312" w:eastAsia="仿宋_GB2312"/>
              </w:rPr>
              <w:t>2500V</w:t>
            </w:r>
            <w:r>
              <w:rPr>
                <w:rFonts w:ascii="仿宋_GB2312" w:hAnsi="仿宋_GB2312" w:cs="仿宋_GB2312" w:eastAsia="仿宋_GB2312"/>
              </w:rPr>
              <w:t>摇表测量；直流电阻的测量，采用直流电阻快速测试仪分别对变压器高压侧</w:t>
            </w:r>
            <w:r>
              <w:rPr>
                <w:rFonts w:ascii="仿宋_GB2312" w:hAnsi="仿宋_GB2312" w:cs="仿宋_GB2312" w:eastAsia="仿宋_GB2312"/>
              </w:rPr>
              <w:t>1</w:t>
            </w:r>
            <w:r>
              <w:rPr>
                <w:rFonts w:ascii="仿宋_GB2312" w:hAnsi="仿宋_GB2312" w:cs="仿宋_GB2312" w:eastAsia="仿宋_GB2312"/>
              </w:rPr>
              <w:t>、２、３档及低压侧进行测量；耐压试验要求打压工频电压</w:t>
            </w:r>
            <w:r>
              <w:rPr>
                <w:rFonts w:ascii="仿宋_GB2312" w:hAnsi="仿宋_GB2312" w:cs="仿宋_GB2312" w:eastAsia="仿宋_GB2312"/>
              </w:rPr>
              <w:t>30KV,1</w:t>
            </w:r>
            <w:r>
              <w:rPr>
                <w:rFonts w:ascii="仿宋_GB2312" w:hAnsi="仿宋_GB2312" w:cs="仿宋_GB2312" w:eastAsia="仿宋_GB2312"/>
              </w:rPr>
              <w:t>分钟。</w:t>
            </w:r>
          </w:p>
          <w:p>
            <w:pPr>
              <w:pStyle w:val="null3"/>
              <w:jc w:val="both"/>
            </w:pPr>
            <w:r>
              <w:rPr>
                <w:rFonts w:ascii="仿宋_GB2312" w:hAnsi="仿宋_GB2312" w:cs="仿宋_GB2312" w:eastAsia="仿宋_GB2312"/>
              </w:rPr>
              <w:t>4.</w:t>
            </w:r>
            <w:r>
              <w:rPr>
                <w:rFonts w:ascii="仿宋_GB2312" w:hAnsi="仿宋_GB2312" w:cs="仿宋_GB2312" w:eastAsia="仿宋_GB2312"/>
              </w:rPr>
              <w:t>电力电缆绝缘电阻的测量。在直流耐压试验之前进行。相间绝缘，用</w:t>
            </w:r>
            <w:r>
              <w:rPr>
                <w:rFonts w:ascii="仿宋_GB2312" w:hAnsi="仿宋_GB2312" w:cs="仿宋_GB2312" w:eastAsia="仿宋_GB2312"/>
              </w:rPr>
              <w:t>2500V</w:t>
            </w:r>
            <w:r>
              <w:rPr>
                <w:rFonts w:ascii="仿宋_GB2312" w:hAnsi="仿宋_GB2312" w:cs="仿宋_GB2312" w:eastAsia="仿宋_GB2312"/>
              </w:rPr>
              <w:t>摇表摇测</w:t>
            </w:r>
            <w:r>
              <w:rPr>
                <w:rFonts w:ascii="仿宋_GB2312" w:hAnsi="仿宋_GB2312" w:cs="仿宋_GB2312" w:eastAsia="仿宋_GB2312"/>
              </w:rPr>
              <w:t>1</w:t>
            </w:r>
            <w:r>
              <w:rPr>
                <w:rFonts w:ascii="仿宋_GB2312" w:hAnsi="仿宋_GB2312" w:cs="仿宋_GB2312" w:eastAsia="仿宋_GB2312"/>
              </w:rPr>
              <w:t>分钟。</w:t>
            </w:r>
          </w:p>
          <w:p>
            <w:pPr>
              <w:pStyle w:val="null3"/>
              <w:jc w:val="both"/>
            </w:pPr>
            <w:r>
              <w:rPr>
                <w:rFonts w:ascii="仿宋_GB2312" w:hAnsi="仿宋_GB2312" w:cs="仿宋_GB2312" w:eastAsia="仿宋_GB2312"/>
              </w:rPr>
              <w:t>5.</w:t>
            </w:r>
            <w:r>
              <w:rPr>
                <w:rFonts w:ascii="仿宋_GB2312" w:hAnsi="仿宋_GB2312" w:cs="仿宋_GB2312" w:eastAsia="仿宋_GB2312"/>
              </w:rPr>
              <w:t>绝缘电阻测量包括母线，断路器，互感器绝缘子相间与地的测量。</w:t>
            </w:r>
          </w:p>
          <w:p>
            <w:pPr>
              <w:pStyle w:val="null3"/>
              <w:jc w:val="both"/>
            </w:pPr>
            <w:r>
              <w:rPr>
                <w:rFonts w:ascii="仿宋_GB2312" w:hAnsi="仿宋_GB2312" w:cs="仿宋_GB2312" w:eastAsia="仿宋_GB2312"/>
              </w:rPr>
              <w:t>6.</w:t>
            </w:r>
            <w:r>
              <w:rPr>
                <w:rFonts w:ascii="仿宋_GB2312" w:hAnsi="仿宋_GB2312" w:cs="仿宋_GB2312" w:eastAsia="仿宋_GB2312"/>
              </w:rPr>
              <w:t xml:space="preserve">耐压试验包括母线、互感器，断路器、绝缘子、母线、绝缘子 </w:t>
            </w:r>
            <w:r>
              <w:rPr>
                <w:rFonts w:ascii="仿宋_GB2312" w:hAnsi="仿宋_GB2312" w:cs="仿宋_GB2312" w:eastAsia="仿宋_GB2312"/>
              </w:rPr>
              <w:t>42KV,1</w:t>
            </w:r>
            <w:r>
              <w:rPr>
                <w:rFonts w:ascii="仿宋_GB2312" w:hAnsi="仿宋_GB2312" w:cs="仿宋_GB2312" w:eastAsia="仿宋_GB2312"/>
              </w:rPr>
              <w:t>分钟，断路器、互感器，</w:t>
            </w:r>
            <w:r>
              <w:rPr>
                <w:rFonts w:ascii="仿宋_GB2312" w:hAnsi="仿宋_GB2312" w:cs="仿宋_GB2312" w:eastAsia="仿宋_GB2312"/>
              </w:rPr>
              <w:t>28KV,1</w:t>
            </w:r>
            <w:r>
              <w:rPr>
                <w:rFonts w:ascii="仿宋_GB2312" w:hAnsi="仿宋_GB2312" w:cs="仿宋_GB2312" w:eastAsia="仿宋_GB2312"/>
              </w:rPr>
              <w:t>分钟。</w:t>
            </w:r>
          </w:p>
          <w:p>
            <w:pPr>
              <w:pStyle w:val="null3"/>
              <w:jc w:val="both"/>
            </w:pPr>
            <w:r>
              <w:rPr>
                <w:rFonts w:ascii="仿宋_GB2312" w:hAnsi="仿宋_GB2312" w:cs="仿宋_GB2312" w:eastAsia="仿宋_GB2312"/>
              </w:rPr>
              <w:t>7.</w:t>
            </w:r>
            <w:r>
              <w:rPr>
                <w:rFonts w:ascii="仿宋_GB2312" w:hAnsi="仿宋_GB2312" w:cs="仿宋_GB2312" w:eastAsia="仿宋_GB2312"/>
              </w:rPr>
              <w:t>试验设备外壳应可靠接地，试验用的接地线应用裸铜线，截面积不得小于</w:t>
            </w:r>
            <w:r>
              <w:rPr>
                <w:rFonts w:ascii="仿宋_GB2312" w:hAnsi="仿宋_GB2312" w:cs="仿宋_GB2312" w:eastAsia="仿宋_GB2312"/>
              </w:rPr>
              <w:t>6mm2</w:t>
            </w:r>
            <w:r>
              <w:rPr>
                <w:rFonts w:ascii="仿宋_GB2312" w:hAnsi="仿宋_GB2312" w:cs="仿宋_GB2312" w:eastAsia="仿宋_GB2312"/>
              </w:rPr>
              <w:t>，不准用保险丝或刀闸接地。</w:t>
            </w:r>
          </w:p>
          <w:p>
            <w:pPr>
              <w:pStyle w:val="null3"/>
              <w:jc w:val="both"/>
            </w:pPr>
            <w:r>
              <w:rPr>
                <w:rFonts w:ascii="仿宋_GB2312" w:hAnsi="仿宋_GB2312" w:cs="仿宋_GB2312" w:eastAsia="仿宋_GB2312"/>
              </w:rPr>
              <w:t>8.</w:t>
            </w:r>
            <w:r>
              <w:rPr>
                <w:rFonts w:ascii="仿宋_GB2312" w:hAnsi="仿宋_GB2312" w:cs="仿宋_GB2312" w:eastAsia="仿宋_GB2312"/>
              </w:rPr>
              <w:t>试验设备电源开关应设有明显断开点，为保证安全在刀刃上应加绝缘罩。试验装置低压回路应有两个串联开关，并有零位闭锁和过载自动保护装置。</w:t>
            </w:r>
          </w:p>
          <w:p>
            <w:pPr>
              <w:pStyle w:val="null3"/>
              <w:jc w:val="both"/>
            </w:pPr>
            <w:r>
              <w:rPr>
                <w:rFonts w:ascii="仿宋_GB2312" w:hAnsi="仿宋_GB2312" w:cs="仿宋_GB2312" w:eastAsia="仿宋_GB2312"/>
              </w:rPr>
              <w:t>9.</w:t>
            </w:r>
            <w:r>
              <w:rPr>
                <w:rFonts w:ascii="仿宋_GB2312" w:hAnsi="仿宋_GB2312" w:cs="仿宋_GB2312" w:eastAsia="仿宋_GB2312"/>
              </w:rPr>
              <w:t>因试验需要解开被试设备的一次线及二次线的接头时，拆前应做相序和二次线的标记，接后进行核对，以确保接线正确。　　</w:t>
            </w:r>
          </w:p>
          <w:p>
            <w:pPr>
              <w:pStyle w:val="null3"/>
              <w:jc w:val="both"/>
            </w:pPr>
            <w:r>
              <w:rPr>
                <w:rFonts w:ascii="仿宋_GB2312" w:hAnsi="仿宋_GB2312" w:cs="仿宋_GB2312" w:eastAsia="仿宋_GB2312"/>
              </w:rPr>
              <w:t>10.</w:t>
            </w:r>
            <w:r>
              <w:rPr>
                <w:rFonts w:ascii="仿宋_GB2312" w:hAnsi="仿宋_GB2312" w:cs="仿宋_GB2312" w:eastAsia="仿宋_GB2312"/>
              </w:rPr>
              <w:t>试验结束后，试验人员应清理好现场，恢复原来设备状况，由负责人进行检查。　</w:t>
            </w:r>
          </w:p>
          <w:p>
            <w:pPr>
              <w:pStyle w:val="null3"/>
              <w:jc w:val="both"/>
            </w:pPr>
            <w:r>
              <w:rPr>
                <w:rFonts w:ascii="仿宋_GB2312" w:hAnsi="仿宋_GB2312" w:cs="仿宋_GB2312" w:eastAsia="仿宋_GB2312"/>
              </w:rPr>
              <w:t>11.</w:t>
            </w:r>
            <w:r>
              <w:rPr>
                <w:rFonts w:ascii="仿宋_GB2312" w:hAnsi="仿宋_GB2312" w:cs="仿宋_GB2312" w:eastAsia="仿宋_GB2312"/>
              </w:rPr>
              <w:t>高压试验工作，要做到方法正确，数据准确，结论明确，安全措施符合规程的要求。　　</w:t>
            </w:r>
          </w:p>
          <w:p>
            <w:pPr>
              <w:pStyle w:val="null3"/>
              <w:jc w:val="both"/>
            </w:pPr>
            <w:r>
              <w:rPr>
                <w:rFonts w:ascii="仿宋_GB2312" w:hAnsi="仿宋_GB2312" w:cs="仿宋_GB2312" w:eastAsia="仿宋_GB2312"/>
              </w:rPr>
              <w:t>12.</w:t>
            </w:r>
            <w:r>
              <w:rPr>
                <w:rFonts w:ascii="仿宋_GB2312" w:hAnsi="仿宋_GB2312" w:cs="仿宋_GB2312" w:eastAsia="仿宋_GB2312"/>
              </w:rPr>
              <w:t>高压试验时，试验人员不准在与带电部分的最低距离上用手指点被试设备。　　</w:t>
            </w:r>
          </w:p>
          <w:p>
            <w:pPr>
              <w:pStyle w:val="null3"/>
              <w:jc w:val="both"/>
            </w:pPr>
            <w:r>
              <w:rPr>
                <w:rFonts w:ascii="仿宋_GB2312" w:hAnsi="仿宋_GB2312" w:cs="仿宋_GB2312" w:eastAsia="仿宋_GB2312"/>
              </w:rPr>
              <w:t>13.</w:t>
            </w:r>
            <w:r>
              <w:rPr>
                <w:rFonts w:ascii="仿宋_GB2312" w:hAnsi="仿宋_GB2312" w:cs="仿宋_GB2312" w:eastAsia="仿宋_GB2312"/>
              </w:rPr>
              <w:t>试验设备外壳应可靠接地，试验用的接地线应用裸铜线，截面积不得小于</w:t>
            </w:r>
            <w:r>
              <w:rPr>
                <w:rFonts w:ascii="仿宋_GB2312" w:hAnsi="仿宋_GB2312" w:cs="仿宋_GB2312" w:eastAsia="仿宋_GB2312"/>
              </w:rPr>
              <w:t>6mm2</w:t>
            </w:r>
            <w:r>
              <w:rPr>
                <w:rFonts w:ascii="仿宋_GB2312" w:hAnsi="仿宋_GB2312" w:cs="仿宋_GB2312" w:eastAsia="仿宋_GB2312"/>
              </w:rPr>
              <w:t>，不准用保险丝或刀闸接地。</w:t>
            </w:r>
          </w:p>
          <w:p>
            <w:pPr>
              <w:pStyle w:val="null3"/>
              <w:jc w:val="both"/>
            </w:pPr>
            <w:r>
              <w:rPr>
                <w:rFonts w:ascii="仿宋_GB2312" w:hAnsi="仿宋_GB2312" w:cs="仿宋_GB2312" w:eastAsia="仿宋_GB2312"/>
              </w:rPr>
              <w:t>14.</w:t>
            </w:r>
            <w:r>
              <w:rPr>
                <w:rFonts w:ascii="仿宋_GB2312" w:hAnsi="仿宋_GB2312" w:cs="仿宋_GB2312" w:eastAsia="仿宋_GB2312"/>
              </w:rPr>
              <w:t>试验设备电源开关应设有明显断开点，为保证安全在刀刃上应加绝缘罩。试验装置低压回路应有两个串联开关，并有零位闭锁和过载自动保护装置。</w:t>
            </w:r>
          </w:p>
          <w:p>
            <w:pPr>
              <w:pStyle w:val="null3"/>
              <w:jc w:val="both"/>
            </w:pPr>
            <w:r>
              <w:rPr>
                <w:rFonts w:ascii="仿宋_GB2312" w:hAnsi="仿宋_GB2312" w:cs="仿宋_GB2312" w:eastAsia="仿宋_GB2312"/>
              </w:rPr>
              <w:t>15.</w:t>
            </w:r>
            <w:r>
              <w:rPr>
                <w:rFonts w:ascii="仿宋_GB2312" w:hAnsi="仿宋_GB2312" w:cs="仿宋_GB2312" w:eastAsia="仿宋_GB2312"/>
              </w:rPr>
              <w:t>因试验需要解开被试设备的一次线及二次线的接头时，拆前应做相序和二次线的标记，接后进行核对，以确保接线正确。　　</w:t>
            </w:r>
          </w:p>
          <w:p>
            <w:pPr>
              <w:pStyle w:val="null3"/>
              <w:jc w:val="both"/>
            </w:pPr>
            <w:r>
              <w:rPr>
                <w:rFonts w:ascii="仿宋_GB2312" w:hAnsi="仿宋_GB2312" w:cs="仿宋_GB2312" w:eastAsia="仿宋_GB2312"/>
              </w:rPr>
              <w:t>16.</w:t>
            </w:r>
            <w:r>
              <w:rPr>
                <w:rFonts w:ascii="仿宋_GB2312" w:hAnsi="仿宋_GB2312" w:cs="仿宋_GB2312" w:eastAsia="仿宋_GB2312"/>
              </w:rPr>
              <w:t>试验结束后，试验人员应清理好现场，恢复原来设备状况，由负责人进行检查。　　</w:t>
            </w:r>
          </w:p>
          <w:p>
            <w:pPr>
              <w:pStyle w:val="null3"/>
              <w:jc w:val="both"/>
            </w:pPr>
            <w:r>
              <w:rPr>
                <w:rFonts w:ascii="仿宋_GB2312" w:hAnsi="仿宋_GB2312" w:cs="仿宋_GB2312" w:eastAsia="仿宋_GB2312"/>
              </w:rPr>
              <w:t>17.</w:t>
            </w:r>
            <w:r>
              <w:rPr>
                <w:rFonts w:ascii="仿宋_GB2312" w:hAnsi="仿宋_GB2312" w:cs="仿宋_GB2312" w:eastAsia="仿宋_GB2312"/>
              </w:rPr>
              <w:t>严格把关，确保整个施工完全按照国家和行业标准及施工组织计划进行，采用后道工序检查前道工序的方法，杜绝质量事故。</w:t>
            </w:r>
          </w:p>
          <w:p>
            <w:pPr>
              <w:pStyle w:val="null3"/>
              <w:jc w:val="both"/>
            </w:pPr>
            <w:r>
              <w:rPr>
                <w:rFonts w:ascii="仿宋_GB2312" w:hAnsi="仿宋_GB2312" w:cs="仿宋_GB2312" w:eastAsia="仿宋_GB2312"/>
              </w:rPr>
              <w:t>18.</w:t>
            </w:r>
            <w:r>
              <w:rPr>
                <w:rFonts w:ascii="仿宋_GB2312" w:hAnsi="仿宋_GB2312" w:cs="仿宋_GB2312" w:eastAsia="仿宋_GB2312"/>
              </w:rPr>
              <w:t>及时清运施工垃圾。</w:t>
            </w:r>
          </w:p>
          <w:p>
            <w:pPr>
              <w:pStyle w:val="null3"/>
              <w:jc w:val="both"/>
            </w:pPr>
            <w:r>
              <w:rPr>
                <w:rFonts w:ascii="仿宋_GB2312" w:hAnsi="仿宋_GB2312" w:cs="仿宋_GB2312" w:eastAsia="仿宋_GB2312"/>
              </w:rPr>
              <w:t>19.</w:t>
            </w:r>
            <w:r>
              <w:rPr>
                <w:rFonts w:ascii="仿宋_GB2312" w:hAnsi="仿宋_GB2312" w:cs="仿宋_GB2312" w:eastAsia="仿宋_GB2312"/>
              </w:rPr>
              <w:t>成交供应商项目负责人是安全生产第一责任人，成交供应商应建立健全安全生产责任制度和安全教育培训、安全生产检查和安全生产操作规程等各项规章制度；向施工作业人员提供符合相关标准的劳动安全防护用品（具），为施工人员缴纳意外伤害保险。</w:t>
            </w:r>
          </w:p>
          <w:p>
            <w:pPr>
              <w:pStyle w:val="null3"/>
              <w:jc w:val="both"/>
            </w:pPr>
            <w:r>
              <w:rPr>
                <w:rFonts w:ascii="仿宋_GB2312" w:hAnsi="仿宋_GB2312" w:cs="仿宋_GB2312" w:eastAsia="仿宋_GB2312"/>
              </w:rPr>
              <w:t>20.</w:t>
            </w:r>
            <w:r>
              <w:rPr>
                <w:rFonts w:ascii="仿宋_GB2312" w:hAnsi="仿宋_GB2312" w:cs="仿宋_GB2312" w:eastAsia="仿宋_GB2312"/>
              </w:rPr>
              <w:t>成交供应商应根据工程特点和周边各种管线管网、相邻建筑物等其他设施等编制工程安全防护措施方案。该方案经施工单位技术负责人签字批准送建设单位审核后方可施工。</w:t>
            </w:r>
          </w:p>
          <w:p>
            <w:pPr>
              <w:pStyle w:val="null3"/>
              <w:jc w:val="both"/>
            </w:pPr>
            <w:r>
              <w:rPr>
                <w:rFonts w:ascii="仿宋_GB2312" w:hAnsi="仿宋_GB2312" w:cs="仿宋_GB2312" w:eastAsia="仿宋_GB2312"/>
              </w:rPr>
              <w:t>21.</w:t>
            </w:r>
            <w:r>
              <w:rPr>
                <w:rFonts w:ascii="仿宋_GB2312" w:hAnsi="仿宋_GB2312" w:cs="仿宋_GB2312" w:eastAsia="仿宋_GB2312"/>
              </w:rPr>
              <w:t>施工单位在施工现场应建立项目部，并按规定配备专职安全员。现场专职安全员必须持有安全生产考核合格证。</w:t>
            </w:r>
          </w:p>
          <w:p>
            <w:pPr>
              <w:pStyle w:val="null3"/>
              <w:jc w:val="both"/>
            </w:pPr>
            <w:r>
              <w:rPr>
                <w:rFonts w:ascii="仿宋_GB2312" w:hAnsi="仿宋_GB2312" w:cs="仿宋_GB2312" w:eastAsia="仿宋_GB2312"/>
              </w:rPr>
              <w:t>22.</w:t>
            </w:r>
            <w:r>
              <w:rPr>
                <w:rFonts w:ascii="仿宋_GB2312" w:hAnsi="仿宋_GB2312" w:cs="仿宋_GB2312" w:eastAsia="仿宋_GB2312"/>
              </w:rPr>
              <w:t>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jc w:val="both"/>
            </w:pPr>
            <w:r>
              <w:rPr>
                <w:rFonts w:ascii="仿宋_GB2312" w:hAnsi="仿宋_GB2312" w:cs="仿宋_GB2312" w:eastAsia="仿宋_GB2312"/>
              </w:rPr>
              <w:t>23.</w:t>
            </w:r>
            <w:r>
              <w:rPr>
                <w:rFonts w:ascii="仿宋_GB2312" w:hAnsi="仿宋_GB2312" w:cs="仿宋_GB2312" w:eastAsia="仿宋_GB2312"/>
              </w:rPr>
              <w:t>制定施工组织方案，确保系统工程能在计划时间内尽早完成。　</w:t>
            </w:r>
          </w:p>
          <w:p>
            <w:pPr>
              <w:pStyle w:val="null3"/>
              <w:jc w:val="both"/>
            </w:pPr>
            <w:r>
              <w:rPr>
                <w:rFonts w:ascii="仿宋_GB2312" w:hAnsi="仿宋_GB2312" w:cs="仿宋_GB2312" w:eastAsia="仿宋_GB2312"/>
              </w:rPr>
              <w:t>24.</w:t>
            </w:r>
            <w:r>
              <w:rPr>
                <w:rFonts w:ascii="仿宋_GB2312" w:hAnsi="仿宋_GB2312" w:cs="仿宋_GB2312" w:eastAsia="仿宋_GB2312"/>
              </w:rPr>
              <w:t>高压试验工作，要做到方法正确，数据准确，结论明确，安全措施符合规程的要求。　　</w:t>
            </w:r>
          </w:p>
          <w:p>
            <w:pPr>
              <w:pStyle w:val="null3"/>
              <w:jc w:val="both"/>
            </w:pPr>
            <w:r>
              <w:rPr>
                <w:rFonts w:ascii="仿宋_GB2312" w:hAnsi="仿宋_GB2312" w:cs="仿宋_GB2312" w:eastAsia="仿宋_GB2312"/>
              </w:rPr>
              <w:t>25.</w:t>
            </w:r>
            <w:r>
              <w:rPr>
                <w:rFonts w:ascii="仿宋_GB2312" w:hAnsi="仿宋_GB2312" w:cs="仿宋_GB2312" w:eastAsia="仿宋_GB2312"/>
              </w:rPr>
              <w:t>试验人员在工作中应穿绝缘鞋，必要时应站到绝缘垫上。带电使用绝缘杆时应戴绝缘手套，并穿绝缘鞋。</w:t>
            </w:r>
          </w:p>
          <w:p>
            <w:pPr>
              <w:pStyle w:val="null3"/>
              <w:jc w:val="both"/>
            </w:pPr>
            <w:r>
              <w:rPr>
                <w:rFonts w:ascii="仿宋_GB2312" w:hAnsi="仿宋_GB2312" w:cs="仿宋_GB2312" w:eastAsia="仿宋_GB2312"/>
              </w:rPr>
              <w:t>26.</w:t>
            </w:r>
            <w:r>
              <w:rPr>
                <w:rFonts w:ascii="仿宋_GB2312" w:hAnsi="仿宋_GB2312" w:cs="仿宋_GB2312" w:eastAsia="仿宋_GB2312"/>
              </w:rPr>
              <w:t>试验地点应装设围栏，向外悬挂“止步、高压危险”标示牌，试验室围栏应固定，围栏高度应防止人员进入，围栏门应有闭锁装置，临时围栏，应派人看守。　　</w:t>
            </w:r>
          </w:p>
          <w:p>
            <w:pPr>
              <w:pStyle w:val="null3"/>
              <w:jc w:val="both"/>
            </w:pPr>
            <w:r>
              <w:rPr>
                <w:rFonts w:ascii="仿宋_GB2312" w:hAnsi="仿宋_GB2312" w:cs="仿宋_GB2312" w:eastAsia="仿宋_GB2312"/>
              </w:rPr>
              <w:t>27.</w:t>
            </w:r>
            <w:r>
              <w:rPr>
                <w:rFonts w:ascii="仿宋_GB2312" w:hAnsi="仿宋_GB2312" w:cs="仿宋_GB2312" w:eastAsia="仿宋_GB2312"/>
              </w:rPr>
              <w:t>高压试验时，试验人员应站在保证人身安全的距离以外，劝告非试验人员离开试验地点。　　</w:t>
            </w:r>
          </w:p>
          <w:p>
            <w:pPr>
              <w:pStyle w:val="null3"/>
              <w:jc w:val="both"/>
            </w:pPr>
            <w:r>
              <w:rPr>
                <w:rFonts w:ascii="仿宋_GB2312" w:hAnsi="仿宋_GB2312" w:cs="仿宋_GB2312" w:eastAsia="仿宋_GB2312"/>
              </w:rPr>
              <w:t>28.</w:t>
            </w:r>
            <w:r>
              <w:rPr>
                <w:rFonts w:ascii="仿宋_GB2312" w:hAnsi="仿宋_GB2312" w:cs="仿宋_GB2312" w:eastAsia="仿宋_GB2312"/>
              </w:rPr>
              <w:t>成交供应商对工程的周边环境和施工区域内的环境卫生负责。</w:t>
            </w:r>
          </w:p>
          <w:p>
            <w:pPr>
              <w:pStyle w:val="null3"/>
              <w:jc w:val="both"/>
            </w:pPr>
            <w:r>
              <w:rPr>
                <w:rFonts w:ascii="仿宋_GB2312" w:hAnsi="仿宋_GB2312" w:cs="仿宋_GB2312" w:eastAsia="仿宋_GB2312"/>
              </w:rPr>
              <w:t>29.</w:t>
            </w:r>
            <w:r>
              <w:rPr>
                <w:rFonts w:ascii="仿宋_GB2312" w:hAnsi="仿宋_GB2312" w:cs="仿宋_GB2312" w:eastAsia="仿宋_GB2312"/>
              </w:rPr>
              <w:t>为保证学校正常用点，试验中应尽量减少停电次数和范围。</w:t>
            </w:r>
          </w:p>
          <w:p>
            <w:pPr>
              <w:pStyle w:val="null3"/>
              <w:jc w:val="both"/>
            </w:pPr>
            <w:r>
              <w:rPr>
                <w:rFonts w:ascii="仿宋_GB2312" w:hAnsi="仿宋_GB2312" w:cs="仿宋_GB2312" w:eastAsia="仿宋_GB2312"/>
              </w:rPr>
              <w:t>30.</w:t>
            </w:r>
            <w:r>
              <w:rPr>
                <w:rFonts w:ascii="仿宋_GB2312" w:hAnsi="仿宋_GB2312" w:cs="仿宋_GB2312" w:eastAsia="仿宋_GB2312"/>
              </w:rPr>
              <w:t>本项目不得分包、转包。</w:t>
            </w:r>
          </w:p>
          <w:p>
            <w:pPr>
              <w:pStyle w:val="null3"/>
              <w:jc w:val="both"/>
            </w:pPr>
            <w:r>
              <w:rPr>
                <w:rFonts w:ascii="仿宋_GB2312" w:hAnsi="仿宋_GB2312" w:cs="仿宋_GB2312" w:eastAsia="仿宋_GB2312"/>
              </w:rPr>
              <w:t>31.</w:t>
            </w:r>
            <w:r>
              <w:rPr>
                <w:rFonts w:ascii="仿宋_GB2312" w:hAnsi="仿宋_GB2312" w:cs="仿宋_GB2312" w:eastAsia="仿宋_GB2312"/>
              </w:rPr>
              <w:t>供应商在投标文件中承诺的项目负责人及相应资质的专业技术、安全管理人员未经招标人书面同意，承包人不得调换和撤离，并按工程进度及时到位。招标人有权要求成交供应商撤换工作不负责任、管理不力、贻误工期和造成严重安全事故和违法乱纪的专业技术、安全管理人员。如项目负责人及相应资质的专业技术人员未按要求到位，视作违约，招标人有权按合同约定进行罚款直至单方面终止合同。</w:t>
            </w:r>
          </w:p>
          <w:p>
            <w:pPr>
              <w:pStyle w:val="null3"/>
              <w:jc w:val="both"/>
            </w:pPr>
            <w:r>
              <w:rPr>
                <w:rFonts w:ascii="仿宋_GB2312" w:hAnsi="仿宋_GB2312" w:cs="仿宋_GB2312" w:eastAsia="仿宋_GB2312"/>
              </w:rPr>
              <w:t>32.</w:t>
            </w:r>
            <w:r>
              <w:rPr>
                <w:rFonts w:ascii="仿宋_GB2312" w:hAnsi="仿宋_GB2312" w:cs="仿宋_GB2312" w:eastAsia="仿宋_GB2312"/>
              </w:rPr>
              <w:t>成交供应商须无条件接受甲方代表的现场检查和管理。</w:t>
            </w:r>
          </w:p>
          <w:p>
            <w:pPr>
              <w:pStyle w:val="null3"/>
              <w:jc w:val="both"/>
            </w:pPr>
            <w:r>
              <w:rPr>
                <w:rFonts w:ascii="仿宋_GB2312" w:hAnsi="仿宋_GB2312" w:cs="仿宋_GB2312" w:eastAsia="仿宋_GB2312"/>
              </w:rPr>
              <w:t>33.</w:t>
            </w:r>
            <w:r>
              <w:rPr>
                <w:rFonts w:ascii="仿宋_GB2312" w:hAnsi="仿宋_GB2312" w:cs="仿宋_GB2312" w:eastAsia="仿宋_GB2312"/>
              </w:rPr>
              <w:t>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w:t>
            </w:r>
          </w:p>
          <w:p>
            <w:pPr>
              <w:pStyle w:val="null3"/>
              <w:jc w:val="both"/>
            </w:pPr>
            <w:r>
              <w:rPr>
                <w:rFonts w:ascii="仿宋_GB2312" w:hAnsi="仿宋_GB2312" w:cs="仿宋_GB2312" w:eastAsia="仿宋_GB2312"/>
              </w:rPr>
              <w:t>34.</w:t>
            </w:r>
            <w:r>
              <w:rPr>
                <w:rFonts w:ascii="仿宋_GB2312" w:hAnsi="仿宋_GB2312" w:cs="仿宋_GB2312" w:eastAsia="仿宋_GB2312"/>
              </w:rPr>
              <w:t>施工的建筑垃圾应清运至有关部门指定的地点，做到工完场清，不留死角。</w:t>
            </w:r>
          </w:p>
          <w:p>
            <w:pPr>
              <w:pStyle w:val="null3"/>
              <w:jc w:val="both"/>
            </w:pPr>
            <w:r>
              <w:rPr>
                <w:rFonts w:ascii="仿宋_GB2312" w:hAnsi="仿宋_GB2312" w:cs="仿宋_GB2312" w:eastAsia="仿宋_GB2312"/>
              </w:rPr>
              <w:t>35.</w:t>
            </w:r>
            <w:r>
              <w:rPr>
                <w:rFonts w:ascii="仿宋_GB2312" w:hAnsi="仿宋_GB2312" w:cs="仿宋_GB2312" w:eastAsia="仿宋_GB2312"/>
              </w:rPr>
              <w:t>成交供应商应遵守工程建设安全生产有关规定，严格按照安全标准组织施工，并随时接受行业安全检查人员依法实施的监督检查，采取必要的安全防护措施，消除安全隐患，安全措施费由成交供应商承担。施工现场安全事故的责任和由此发生的费用均由成交供应商承担。</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成交供应商应遵守政府有关部门对施工场地交通、噪音以及环境保护和文明施工等地管理规定，按有关规定办理有关手续，上述费用由成交供应商承担。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《电气装置安装工程电气设备交接试验标准》GB 50150-2016 《电力设备预防性试验规程》DL/T 596-1996 《国家电网公司电力安全工作规程》 《建筑电气工程施工质量验收规范》GB 50303-2015 《电气装置安装工程 接地装置施工及验收规范》 GB 50169-2006 《1kV及以下配线工程施工与验收规范》GB 50575-2010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1.中标供应商应遵循现行的国家标准或国家行政部门颁布的法律法规、规章制度等，自觉采用行业较高施工作业标准，高标准完成施工内容，确保施工品质。没有国家标准的，可以参考行业最新标准。 2.所交付工程不符合其投标承诺，存在偷工减料、以次充好情形的，采购人要求更换一次后仍不符合约定的，采购人有权解除采购合同，没收履约保证金，并将有关情况上报政府采购监管部门处理。 3.工程质量达到国家现行施工验收规范合格标准并符合采购、合同以及采购方使用需求，按照实际情况组织现场验收。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须通过电子化交易平台上传响应文件，另外还需在磋商截止时间前向代理机构递交密封完好的电子化交易系统生成的纸质版响应文件贰份（胶装，密封袋外层标注供应商名称和项目名称）。代理机构对递交的文件签收，由监标人查验密封情况并记录，开标后交磋商小组，作为评审的辅助资料。 递交方式：现场递交，或顺丰邮寄 2.供应商请仔细阅读招标文件《第一章 投标邀请》第六条“电子化采购相关事项”，提前做好线上开标准备。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4.本项目采用两次报价，响应文件中的报价为首次报价，磋商后的报价为最终报价，评审按最终报价评审。 5.中小企业： ①是否属于中小企业，供应商按《统计上大中小微型企业划分办法（2017）》（国统字﹝2017﹞213号）建筑业划型标准判定，并承担责任。如判定原则与第四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6.本项目非广联达清单报价，供应商应根据附件工程量清单填写《分项报价表》并上传至关联位置即可。需上传已标价工程量的在应答位置上传《分项报价表》即可，磋商文件第二章2.4.7响应报价中对已标价工程量清单的相关要求，本项目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法人主体</w:t>
            </w:r>
          </w:p>
        </w:tc>
        <w:tc>
          <w:tcPr>
            <w:tcW w:type="dxa" w:w="3322"/>
          </w:tcPr>
          <w:p>
            <w:pPr>
              <w:pStyle w:val="null3"/>
            </w:pPr>
            <w:r>
              <w:rPr>
                <w:rFonts w:ascii="仿宋_GB2312" w:hAnsi="仿宋_GB2312" w:cs="仿宋_GB2312" w:eastAsia="仿宋_GB2312"/>
              </w:rPr>
              <w:t>提供营业执照/事业单位法人登记证/非企业单位登记证/执业许可证，未提供的接受采购人通过国家企业信用信息公示系统（http://www.gsxt.gov.cn/index.html）进行相关信息的核实，并承担核实不到的后果；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第三方会计事务所审计过的财务报告，或磋商截止时间前90天内基本账户银行出具的资信证明。注：①提供财务报告的，附件须完整（以审计报告附件为准）。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个月依法纳税的相关凭证（任意税种）。注：依法免税或无须缴纳税收的应提供说明，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有承装（修、试）电力设施许可证（承装类、承修类、承试类）三级及以上资质（或旧证承装（修、试）电力设施许可证（承装类、承修类、承试类）四级及以上资质），且同时具备有效的安全生产许可证，提供证书。</w:t>
            </w:r>
          </w:p>
        </w:tc>
        <w:tc>
          <w:tcPr>
            <w:tcW w:type="dxa" w:w="1661"/>
          </w:tcPr>
          <w:p>
            <w:pPr>
              <w:pStyle w:val="null3"/>
            </w:pPr>
            <w:r>
              <w:rPr>
                <w:rFonts w:ascii="仿宋_GB2312" w:hAnsi="仿宋_GB2312" w:cs="仿宋_GB2312" w:eastAsia="仿宋_GB2312"/>
              </w:rPr>
              <w:t>资质证书.docx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外省进陕企业证明资料</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供应商为外省进陕企业的，须提供陕西省住房和城乡建设厅官网企业库外省进陕企业信息首页截图。（非外省进陕企业的无需提供。）</w:t>
            </w:r>
          </w:p>
        </w:tc>
        <w:tc>
          <w:tcPr>
            <w:tcW w:type="dxa" w:w="1661"/>
          </w:tcPr>
          <w:p>
            <w:pPr>
              <w:pStyle w:val="null3"/>
            </w:pPr>
            <w:r>
              <w:rPr>
                <w:rFonts w:ascii="仿宋_GB2312" w:hAnsi="仿宋_GB2312" w:cs="仿宋_GB2312" w:eastAsia="仿宋_GB2312"/>
              </w:rPr>
              <w:t>外省进陕企业证明资料.docx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拟派项目经理须为供应商单位注册的机电工程专业二级以上（含二级）注册建造师，具有有效的安全生产考核合格证（B证）且无在建工程。提供证书及无在建声明（格式自拟）</w:t>
            </w:r>
          </w:p>
        </w:tc>
        <w:tc>
          <w:tcPr>
            <w:tcW w:type="dxa" w:w="1661"/>
          </w:tcPr>
          <w:p>
            <w:pPr>
              <w:pStyle w:val="null3"/>
            </w:pPr>
            <w:r>
              <w:rPr>
                <w:rFonts w:ascii="仿宋_GB2312" w:hAnsi="仿宋_GB2312" w:cs="仿宋_GB2312" w:eastAsia="仿宋_GB2312"/>
              </w:rPr>
              <w:t>项目经理资格证书及无在建声明.docx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磋商代表授权</w:t>
            </w:r>
          </w:p>
        </w:tc>
        <w:tc>
          <w:tcPr>
            <w:tcW w:type="dxa" w:w="3322"/>
          </w:tcPr>
          <w:p>
            <w:pPr>
              <w:pStyle w:val="null3"/>
            </w:pPr>
            <w:r>
              <w:rPr>
                <w:rFonts w:ascii="仿宋_GB2312" w:hAnsi="仿宋_GB2312" w:cs="仿宋_GB2312" w:eastAsia="仿宋_GB2312"/>
              </w:rPr>
              <w:t>参加磋商的供应商代表需提供提法定代表人证明书和法定代表人授权书。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合同签订后45日历日</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预防试验无质保期，保护装置和频闪消除设备质保期为24个月。</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工程质量达到国家现行施工验收规范合格标准，并符合采购文件、合同以及采购方使用需求。</w:t>
            </w:r>
          </w:p>
        </w:tc>
        <w:tc>
          <w:tcPr>
            <w:tcW w:type="dxa" w:w="1661"/>
          </w:tcPr>
          <w:p>
            <w:pPr>
              <w:pStyle w:val="null3"/>
            </w:pPr>
            <w:r>
              <w:rPr>
                <w:rFonts w:ascii="仿宋_GB2312" w:hAnsi="仿宋_GB2312" w:cs="仿宋_GB2312" w:eastAsia="仿宋_GB2312"/>
              </w:rPr>
              <w:t>质量标准响应函.docx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1.合同价款： ①本项目采用固定综合单价合同。②综合单价修正系数： 修正系数=磋商最终报价/首次报价。 ③报价包含、材料费、人工费、运杂费、税费、水电费、安装及调试费等全部费用。 2.变更、签证价款： ①审核后的工程量清单报价中已有工程综合单价的，按已有综合单价结算;②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工程量清单计价标准》(2025)、《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及相应的费率，经甲方审核确认的价款为该变更签证价款。 3.付款方式：本项目无预付款，工程竣工并达到验收标准后付至合同金额的80%；待学校审计后支付至审定金额的100%。但前期支付金额超过审定金额的成交人应当退还。 4.履约保证金 本采购包履约保证金为合同金额的5.0%。如遇下列情况之一者，履约保证金不予退还，作为对采购人的赔偿：①合同签订后不能按合同时限要求完工的；②项目与合同不符或验收不合格的；③不能按合同履约的。 对以上商务条款相应无负偏离。</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1.施工组织方案 （1）施工组织方案详细、各部分措施具体，可行性强，得1.5分； （2）施工组织方案较为详细、各部分措施较为具体，有一定可行性，得1分； （3）施工组织方案简陋、仅有基本的描述，可行性差，得0.5分。 2.工程质量保证措施 （1）工程质量保证措施详细、完整、可行性强，得1.5分； （2）质量保证措施较为详细、基本完整、有一定可行性，得1分； （3）工程质量保证措施简陋、仅有基本的描述，可行性差，得0.5分。 3.安全生产组织措施 （1）安全生产组织措施详细、完整、可行性强，得1.5分； （2）安全生产组织措施较为详细、基本完整、有一定可行性，得1分； （3）安全生产组织措施简陋、仅有基本的描述，可行性差，得0.5分。 4.文明施工措施 （1）文明施工措施详细、完整、可行性强，得1.5分； （2）文明施工措施较为详细、基本完整、有一定可行性，得1分； （3）文明施工措施简陋、仅有基本的描述，可行性差，得0.5分；。 5.拟派施工项目部 （1）施工项目部组织架构清晰，分工明确，责任清晰，专业作业队配置齐全、详细得1.5分； （2）施工项目部组织架构基本清晰，分工较为明确，责任相对清晰，专业作业队配置较为齐全得1分； （3）内容简陋、仅有基本的描述，不能满足项目需要得0.5分。 6.施工机械设备配备计划 （1）主要机械设备配备齐全、合理，完全满足项目实施需要得1.5分； （2）主要机械设备配备相对齐全、合理，基本满足项目实施需要得1分； （3）内容简陋、仅有基本的描述，不能满足项目需要得0.5分。 7.劳动力安排计划 （1）劳动力安排详细、合理，完全满足项目实施需要得1.5分； （2）劳动力安排较为详细、合理，基本满足项目实施需要得1分； （3）内容简陋、仅有基本的描述，不能满足项目需要得0.5分。 8.工程进度计划及措施 （1）工期满足采购要求，提供工程进度表或施工网络图以及详细的措施，工期控制连贯、清晰、合理、规范，得1.5分； （2）工期满足采购要求，提供工程进度表或施工网络图以及基本的措施，工期控制较为连贯、清晰、合理、规范，得1分； （3）工期满足采购要求，但未提供工程进度表或施工网络图以及措施，工期控制不连贯、不清晰、不合理、不规范，得0.5分。 注：以上各项未提供不得分。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主要材料/设备选型</w:t>
            </w:r>
          </w:p>
        </w:tc>
        <w:tc>
          <w:tcPr>
            <w:tcW w:type="dxa" w:w="2492"/>
          </w:tcPr>
          <w:p>
            <w:pPr>
              <w:pStyle w:val="null3"/>
            </w:pPr>
            <w:r>
              <w:rPr>
                <w:rFonts w:ascii="仿宋_GB2312" w:hAnsi="仿宋_GB2312" w:cs="仿宋_GB2312" w:eastAsia="仿宋_GB2312"/>
              </w:rPr>
              <w:t>供应商需提供主要材料/设备清单及主要材料选型说明（包括但不限于保护装置、断路器、铜母排、延时电源模块、辅料等。 1.主要材料/设备清单品目完整，品牌明确得2分。 注：未提供不得分。 2.提供主要材料/设备选型说明 （1）选型说明详细，产品符合项目特征，资料齐全得3分； （2）有基本的选型说明，产品基本符合项目特征，资料齐全得2分； （3）选型说明简陋，产品不完全符合项目特征得1分； 注：未提供不得分。 3.提供市场调研情况说明 （1）调研情况说明详细且所选材料/设备为主流产品的得3分； （2）调研情况说明相对详细且所选材料/设备为主流产品的得2分； （3）调研情况说明简陋、或所选材料/设备为非主流产品的得1分； 未提供不得分。 4.主要材料/设备来源及质量保证措施 （1）主要材料/设备来源清晰，质量保证措施详细、完整，能有效保证主要材料/设备质量得3分； （2）主要材料/设备来源基本清晰，质量保证措施较为详细、完整，基本能保证主要材料/设备质量得2分； （3）主要材料来源模糊，质量保证措施简陋，无法保证主要材料/设备质量得1分； 注：未提供不得分。 5.提供无假冒产品、无翻新产品的书面承诺，得2分。注：未提供承诺书不得分，承诺书格式自拟。 6.拟投入的主要材料/设备，具有节能标志认证证书的，每个产品得1分，最高2分。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主要材料设备选型.docx</w:t>
            </w:r>
          </w:p>
        </w:tc>
      </w:tr>
      <w:tr>
        <w:tc>
          <w:tcPr>
            <w:tcW w:type="dxa" w:w="831"/>
            <w:vMerge/>
          </w:tcPr>
          <w:p/>
        </w:tc>
        <w:tc>
          <w:tcPr>
            <w:tcW w:type="dxa" w:w="1661"/>
          </w:tcPr>
          <w:p>
            <w:pPr>
              <w:pStyle w:val="null3"/>
            </w:pPr>
            <w:r>
              <w:rPr>
                <w:rFonts w:ascii="仿宋_GB2312" w:hAnsi="仿宋_GB2312" w:cs="仿宋_GB2312" w:eastAsia="仿宋_GB2312"/>
              </w:rPr>
              <w:t>预防性试验技术方案</w:t>
            </w:r>
          </w:p>
        </w:tc>
        <w:tc>
          <w:tcPr>
            <w:tcW w:type="dxa" w:w="2492"/>
          </w:tcPr>
          <w:p>
            <w:pPr>
              <w:pStyle w:val="null3"/>
            </w:pPr>
            <w:r>
              <w:rPr>
                <w:rFonts w:ascii="仿宋_GB2312" w:hAnsi="仿宋_GB2312" w:cs="仿宋_GB2312" w:eastAsia="仿宋_GB2312"/>
              </w:rPr>
              <w:t>供应商应根据自身实力、经验以及工程实际情况提供预防性试验技术方案，包括但不限于实验依据、试验内容、试验前准备、试验流程、技术措施、质量控制、安全控制等。 （1）内容完整、详细、措施具体、能有效满足项目需要得6分； （2）内容相对完整、较为详细、措施相对具体、基本能满足项目需要得3分； （3）内容、措施简陋，无法保证项目需要得1分；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预防性试验技术方案.docx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1.项目经理具有机电类高级及以上职称的得2分，中级职称的得1分，其他的不得分。注：需提供身份证、职称证。 2.项目经理具有同类项目经验，每提供1份2022年1月1日至今业绩得1分，最高2分。注：需提供合同或验收报告或中标公告截图，且合同或验收报告或中标公告截图中能显示项目经理的名字。</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项目经理职称及业绩.docx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保护装置和频闪消除设备在基础质保期（2年）的基础上，每增加1年得1分，最高2分。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在要求工期的基础上（45天）的基础上，缩短5天得2分，缩短3天得1分。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供应商需根据自身实力和项目特点提供针对性的维保方案。 1.提供详细的维保人员名单，联系电话，并提供7X24小时服务响应的书面承诺得1分。（承诺书格式自拟） 2.维保方案（包括但不限于维保内容、维保方式、巡检等） （1）方案内容详细，措施具体，可行性强得3分； （2）方案内容较为详细，措施相对具体，有一定的可行性得2分； （3）方案内容简陋，缺乏措施，可行性差得1分； 注：未提供不得分。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每提供1份供应商2022年1月1日至今同类工程业绩计1分，最多5分。 注：①业绩以合同为准，时间以合同签订时间为准。②提供合同（至少包括封面、内容页、盖章页）、验收单。</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50分。其他供应商的价格分按照下列公式计算：磋商报价得分=(磋商基准价/磋商报价)×50。计算分数时四舍五入取小数点后两位。</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详见附件：外省进陕企业证明资料.docx</w:t>
      </w:r>
    </w:p>
    <w:p>
      <w:pPr>
        <w:pStyle w:val="null3"/>
        <w:ind w:firstLine="960"/>
      </w:pPr>
      <w:r>
        <w:rPr>
          <w:rFonts w:ascii="仿宋_GB2312" w:hAnsi="仿宋_GB2312" w:cs="仿宋_GB2312" w:eastAsia="仿宋_GB2312"/>
        </w:rPr>
        <w:t>详见附件：项目经理资格证书及无在建声明.docx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详见附件：资质证书.docx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详见附件：维保方案.docx</w:t>
      </w:r>
    </w:p>
    <w:p>
      <w:pPr>
        <w:pStyle w:val="null3"/>
        <w:ind w:firstLine="960"/>
      </w:pPr>
      <w:r>
        <w:rPr>
          <w:rFonts w:ascii="仿宋_GB2312" w:hAnsi="仿宋_GB2312" w:cs="仿宋_GB2312" w:eastAsia="仿宋_GB2312"/>
        </w:rPr>
        <w:t>详见附件：项目经理职称及业绩.docx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详见附件：预防性试验技术方案.docx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详见附件：质量标准响应函.docx</w:t>
      </w:r>
    </w:p>
    <w:p>
      <w:pPr>
        <w:pStyle w:val="null3"/>
        <w:ind w:firstLine="960"/>
      </w:pPr>
      <w:r>
        <w:rPr>
          <w:rFonts w:ascii="仿宋_GB2312" w:hAnsi="仿宋_GB2312" w:cs="仿宋_GB2312" w:eastAsia="仿宋_GB2312"/>
        </w:rPr>
        <w:t>详见附件：主要材料设备选型.docx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