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0733F">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 w:val="44"/>
          <w:szCs w:val="44"/>
          <w:highlight w:val="none"/>
          <w:lang w:val="en-US" w:eastAsia="zh-CN"/>
        </w:rPr>
      </w:pPr>
      <w:bookmarkStart w:id="0" w:name="_Toc23324"/>
      <w:bookmarkStart w:id="1" w:name="_Toc19916"/>
    </w:p>
    <w:p w14:paraId="0CFDE8F1">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 w:val="44"/>
          <w:szCs w:val="44"/>
          <w:highlight w:val="none"/>
          <w:lang w:val="en-US" w:eastAsia="zh-CN"/>
        </w:rPr>
      </w:pPr>
    </w:p>
    <w:p w14:paraId="0E46F43B">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 w:val="44"/>
          <w:szCs w:val="44"/>
          <w:highlight w:val="none"/>
        </w:rPr>
      </w:pPr>
      <w:r>
        <w:rPr>
          <w:rFonts w:hint="eastAsia" w:ascii="宋体" w:hAnsi="宋体" w:eastAsia="宋体" w:cs="宋体"/>
          <w:b/>
          <w:bCs/>
          <w:sz w:val="44"/>
          <w:szCs w:val="44"/>
          <w:highlight w:val="none"/>
          <w:lang w:val="en-US" w:eastAsia="zh-CN"/>
        </w:rPr>
        <w:t xml:space="preserve">陕西省知识产权纠纷快速处理创新机制建设项目 </w:t>
      </w:r>
    </w:p>
    <w:bookmarkEnd w:id="0"/>
    <w:bookmarkEnd w:id="1"/>
    <w:p w14:paraId="1DC4C514">
      <w:pPr>
        <w:spacing w:line="420" w:lineRule="exact"/>
        <w:ind w:firstLine="480"/>
        <w:jc w:val="center"/>
        <w:outlineLvl w:val="9"/>
        <w:rPr>
          <w:rStyle w:val="10"/>
          <w:rFonts w:hint="eastAsia"/>
        </w:rPr>
      </w:pPr>
    </w:p>
    <w:p w14:paraId="2A0F6676">
      <w:pPr>
        <w:spacing w:line="420" w:lineRule="exact"/>
        <w:ind w:firstLine="480"/>
        <w:jc w:val="center"/>
        <w:outlineLvl w:val="9"/>
        <w:rPr>
          <w:rStyle w:val="10"/>
          <w:rFonts w:hint="eastAsia"/>
        </w:rPr>
      </w:pPr>
    </w:p>
    <w:p w14:paraId="476693CE">
      <w:pPr>
        <w:spacing w:line="420" w:lineRule="exact"/>
        <w:ind w:firstLine="480"/>
        <w:jc w:val="center"/>
        <w:outlineLvl w:val="9"/>
        <w:rPr>
          <w:rStyle w:val="10"/>
          <w:rFonts w:hint="eastAsia"/>
        </w:rPr>
      </w:pPr>
    </w:p>
    <w:p w14:paraId="49095F37">
      <w:pPr>
        <w:spacing w:line="420" w:lineRule="exact"/>
        <w:ind w:firstLine="480"/>
        <w:jc w:val="center"/>
        <w:outlineLvl w:val="9"/>
        <w:rPr>
          <w:rStyle w:val="10"/>
          <w:rFonts w:hint="eastAsia"/>
        </w:rPr>
      </w:pPr>
    </w:p>
    <w:p w14:paraId="77779207">
      <w:pPr>
        <w:spacing w:line="420" w:lineRule="exact"/>
        <w:ind w:firstLine="480"/>
        <w:jc w:val="center"/>
        <w:outlineLvl w:val="9"/>
        <w:rPr>
          <w:rStyle w:val="10"/>
          <w:rFonts w:hint="eastAsia"/>
        </w:rPr>
      </w:pPr>
    </w:p>
    <w:p w14:paraId="5753FDF1">
      <w:pPr>
        <w:spacing w:line="420" w:lineRule="exact"/>
        <w:ind w:firstLine="480"/>
        <w:jc w:val="center"/>
        <w:outlineLvl w:val="9"/>
        <w:rPr>
          <w:rStyle w:val="10"/>
          <w:rFonts w:hint="eastAsia"/>
        </w:rPr>
      </w:pPr>
    </w:p>
    <w:p w14:paraId="5C48F1B2">
      <w:pPr>
        <w:spacing w:line="420" w:lineRule="exact"/>
        <w:ind w:firstLine="480"/>
        <w:jc w:val="center"/>
        <w:outlineLvl w:val="9"/>
        <w:rPr>
          <w:rStyle w:val="10"/>
          <w:rFonts w:hint="eastAsia"/>
        </w:rPr>
      </w:pPr>
    </w:p>
    <w:p w14:paraId="41A404A9">
      <w:pPr>
        <w:spacing w:line="420" w:lineRule="exact"/>
        <w:ind w:firstLine="480"/>
        <w:jc w:val="center"/>
        <w:outlineLvl w:val="9"/>
        <w:rPr>
          <w:rStyle w:val="10"/>
          <w:rFonts w:hint="eastAsia"/>
        </w:rPr>
      </w:pPr>
    </w:p>
    <w:p w14:paraId="09324A1F">
      <w:pPr>
        <w:spacing w:line="420" w:lineRule="exact"/>
        <w:ind w:firstLine="480"/>
        <w:jc w:val="center"/>
        <w:outlineLvl w:val="9"/>
        <w:rPr>
          <w:rStyle w:val="10"/>
          <w:rFonts w:hint="eastAsia"/>
        </w:rPr>
      </w:pPr>
    </w:p>
    <w:p w14:paraId="641916E9">
      <w:pPr>
        <w:spacing w:line="420" w:lineRule="exact"/>
        <w:ind w:firstLine="480"/>
        <w:jc w:val="center"/>
        <w:outlineLvl w:val="9"/>
        <w:rPr>
          <w:rStyle w:val="10"/>
          <w:rFonts w:hint="eastAsia"/>
        </w:rPr>
      </w:pPr>
    </w:p>
    <w:p w14:paraId="513BBF73">
      <w:pPr>
        <w:spacing w:line="420" w:lineRule="exact"/>
        <w:jc w:val="both"/>
        <w:outlineLvl w:val="9"/>
        <w:rPr>
          <w:rStyle w:val="10"/>
          <w:rFonts w:hint="eastAsia"/>
        </w:rPr>
      </w:pPr>
    </w:p>
    <w:p w14:paraId="6E4403A4">
      <w:pPr>
        <w:spacing w:line="420" w:lineRule="exact"/>
        <w:ind w:firstLine="480"/>
        <w:jc w:val="center"/>
        <w:outlineLvl w:val="9"/>
        <w:rPr>
          <w:rStyle w:val="10"/>
          <w:rFonts w:hint="eastAsia"/>
        </w:rPr>
      </w:pPr>
    </w:p>
    <w:p w14:paraId="054DD3A4">
      <w:pPr>
        <w:spacing w:line="420" w:lineRule="exact"/>
        <w:ind w:firstLine="480"/>
        <w:jc w:val="center"/>
        <w:outlineLvl w:val="9"/>
        <w:rPr>
          <w:rStyle w:val="10"/>
          <w:rFonts w:hint="eastAsia"/>
        </w:rPr>
      </w:pPr>
    </w:p>
    <w:p w14:paraId="15F8C12E">
      <w:pPr>
        <w:bidi w:val="0"/>
        <w:jc w:val="center"/>
        <w:rPr>
          <w:rFonts w:hint="eastAsia"/>
          <w:b/>
          <w:bCs/>
          <w:sz w:val="32"/>
          <w:szCs w:val="32"/>
          <w:lang w:eastAsia="zh-CN"/>
        </w:rPr>
      </w:pPr>
      <w:bookmarkStart w:id="2" w:name="_Toc8702"/>
      <w:bookmarkStart w:id="3" w:name="_Toc19789"/>
      <w:r>
        <w:rPr>
          <w:rFonts w:hint="eastAsia"/>
          <w:b/>
          <w:bCs/>
          <w:sz w:val="32"/>
          <w:szCs w:val="32"/>
          <w:lang w:eastAsia="zh-CN"/>
        </w:rPr>
        <w:t>（</w:t>
      </w:r>
      <w:r>
        <w:rPr>
          <w:rFonts w:hint="eastAsia"/>
          <w:b/>
          <w:bCs/>
          <w:sz w:val="32"/>
          <w:szCs w:val="32"/>
          <w:lang w:val="en-US" w:eastAsia="zh-CN"/>
        </w:rPr>
        <w:t>参考文本</w:t>
      </w:r>
      <w:r>
        <w:rPr>
          <w:rFonts w:hint="eastAsia"/>
          <w:b/>
          <w:bCs/>
          <w:sz w:val="32"/>
          <w:szCs w:val="32"/>
          <w:lang w:eastAsia="zh-CN"/>
        </w:rPr>
        <w:t>）</w:t>
      </w:r>
      <w:bookmarkEnd w:id="2"/>
      <w:bookmarkEnd w:id="3"/>
    </w:p>
    <w:p w14:paraId="39A2FC11">
      <w:pPr>
        <w:spacing w:line="420" w:lineRule="exact"/>
        <w:ind w:firstLine="480"/>
        <w:jc w:val="center"/>
        <w:outlineLvl w:val="9"/>
        <w:rPr>
          <w:rStyle w:val="10"/>
          <w:rFonts w:hint="eastAsia" w:eastAsia="宋体"/>
          <w:lang w:eastAsia="zh-CN"/>
        </w:rPr>
      </w:pPr>
    </w:p>
    <w:p w14:paraId="08B3CFC8">
      <w:pPr>
        <w:spacing w:line="420" w:lineRule="exact"/>
        <w:ind w:firstLine="480"/>
        <w:jc w:val="center"/>
        <w:outlineLvl w:val="9"/>
        <w:rPr>
          <w:rStyle w:val="10"/>
          <w:rFonts w:hint="eastAsia" w:eastAsia="宋体"/>
          <w:lang w:eastAsia="zh-CN"/>
        </w:rPr>
      </w:pPr>
    </w:p>
    <w:p w14:paraId="5995C213">
      <w:pPr>
        <w:bidi w:val="0"/>
        <w:jc w:val="center"/>
        <w:rPr>
          <w:rFonts w:hint="default" w:ascii="仿宋" w:hAnsi="仿宋" w:eastAsia="仿宋" w:cs="仿宋"/>
          <w:sz w:val="18"/>
          <w:szCs w:val="21"/>
          <w:highlight w:val="none"/>
          <w:lang w:val="en-US"/>
        </w:rPr>
      </w:pPr>
      <w:r>
        <w:rPr>
          <w:rStyle w:val="10"/>
          <w:rFonts w:hint="eastAsia"/>
        </w:rPr>
        <w:br w:type="page"/>
      </w:r>
      <w:bookmarkStart w:id="4" w:name="_Toc4679"/>
      <w:bookmarkStart w:id="5" w:name="_Toc423973075"/>
      <w:bookmarkStart w:id="6" w:name="_Toc29888"/>
      <w:bookmarkStart w:id="7" w:name="_Toc19199"/>
      <w:bookmarkStart w:id="8" w:name="_Toc19246"/>
      <w:bookmarkStart w:id="9" w:name="_Toc31520"/>
      <w:bookmarkStart w:id="10" w:name="_Toc26595"/>
      <w:bookmarkStart w:id="11" w:name="_Toc8333"/>
      <w:bookmarkStart w:id="12" w:name="_Toc389582037"/>
      <w:r>
        <w:rPr>
          <w:rFonts w:hint="eastAsia" w:ascii="仿宋" w:hAnsi="仿宋" w:cs="仿宋"/>
          <w:b/>
          <w:bCs/>
          <w:sz w:val="40"/>
          <w:szCs w:val="28"/>
          <w:highlight w:val="none"/>
          <w:lang w:eastAsia="zh-CN"/>
        </w:rPr>
        <w:t>服务项目</w:t>
      </w:r>
      <w:r>
        <w:rPr>
          <w:rFonts w:hint="eastAsia" w:ascii="仿宋" w:hAnsi="仿宋" w:cs="仿宋"/>
          <w:b/>
          <w:bCs/>
          <w:sz w:val="40"/>
          <w:szCs w:val="28"/>
          <w:highlight w:val="none"/>
          <w:lang w:val="en-US" w:eastAsia="zh-CN"/>
        </w:rPr>
        <w:t>合同</w:t>
      </w:r>
    </w:p>
    <w:p w14:paraId="0C223414">
      <w:pPr>
        <w:widowControl w:val="0"/>
        <w:spacing w:after="120"/>
        <w:jc w:val="both"/>
        <w:rPr>
          <w:rFonts w:hint="eastAsia" w:ascii="仿宋" w:hAnsi="仿宋" w:eastAsia="仿宋" w:cs="仿宋"/>
          <w:kern w:val="2"/>
          <w:sz w:val="21"/>
          <w:highlight w:val="none"/>
          <w:lang w:val="en-US" w:eastAsia="zh-CN" w:bidi="ar-SA"/>
        </w:rPr>
      </w:pPr>
    </w:p>
    <w:p w14:paraId="096D3621">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合同编号：</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single"/>
          <w:lang w:val="en-US" w:eastAsia="zh-CN"/>
        </w:rPr>
        <w:t xml:space="preserve">   </w:t>
      </w:r>
    </w:p>
    <w:p w14:paraId="74E6D94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kern w:val="0"/>
          <w:sz w:val="21"/>
          <w:szCs w:val="21"/>
          <w:highlight w:val="none"/>
          <w:lang w:val="en-US" w:eastAsia="zh-CN"/>
        </w:rPr>
      </w:pPr>
      <w:r>
        <w:rPr>
          <w:rFonts w:hint="eastAsia" w:ascii="宋体" w:hAnsi="宋体" w:eastAsia="宋体" w:cs="宋体"/>
          <w:color w:val="000000"/>
          <w:kern w:val="0"/>
          <w:sz w:val="21"/>
          <w:szCs w:val="21"/>
          <w:highlight w:val="none"/>
        </w:rPr>
        <w:t>甲方</w:t>
      </w:r>
      <w:r>
        <w:rPr>
          <w:rFonts w:hint="eastAsia" w:ascii="宋体" w:hAnsi="宋体" w:eastAsia="宋体" w:cs="宋体"/>
          <w:color w:val="000000"/>
          <w:kern w:val="0"/>
          <w:sz w:val="21"/>
          <w:szCs w:val="21"/>
          <w:highlight w:val="none"/>
          <w:lang w:eastAsia="zh-CN"/>
        </w:rPr>
        <w:t>（采购人）</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43EB0A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w:t>
      </w:r>
      <w:r>
        <w:rPr>
          <w:rFonts w:hint="eastAsia" w:ascii="宋体" w:hAnsi="宋体" w:eastAsia="宋体" w:cs="宋体"/>
          <w:color w:val="000000"/>
          <w:kern w:val="0"/>
          <w:sz w:val="21"/>
          <w:szCs w:val="21"/>
          <w:highlight w:val="none"/>
          <w:lang w:eastAsia="zh-CN"/>
        </w:rPr>
        <w:t>（供应商）</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282699E6">
      <w:pPr>
        <w:keepNext w:val="0"/>
        <w:keepLines w:val="0"/>
        <w:pageBreakBefore w:val="0"/>
        <w:widowControl w:val="0"/>
        <w:tabs>
          <w:tab w:val="left" w:pos="900"/>
        </w:tabs>
        <w:kinsoku/>
        <w:wordWrap/>
        <w:overflowPunct/>
        <w:topLinePunct w:val="0"/>
        <w:autoSpaceDE/>
        <w:autoSpaceDN/>
        <w:bidi w:val="0"/>
        <w:adjustRightInd/>
        <w:spacing w:line="360" w:lineRule="auto"/>
        <w:ind w:firstLine="472" w:firstLineChars="225"/>
        <w:textAlignment w:val="auto"/>
        <w:rPr>
          <w:rFonts w:hint="default" w:ascii="宋体" w:hAnsi="宋体" w:eastAsia="宋体" w:cs="宋体"/>
          <w:color w:val="000000"/>
          <w:kern w:val="0"/>
          <w:sz w:val="21"/>
          <w:szCs w:val="21"/>
          <w:highlight w:val="none"/>
          <w:lang w:val="en-US" w:eastAsia="zh-CN"/>
        </w:rPr>
      </w:pPr>
      <w:bookmarkStart w:id="13" w:name="_Toc24810"/>
      <w:bookmarkStart w:id="14" w:name="_Toc16824"/>
      <w:r>
        <w:rPr>
          <w:rFonts w:hint="eastAsia" w:ascii="宋体" w:hAnsi="宋体" w:eastAsia="宋体" w:cs="宋体"/>
          <w:color w:val="000000"/>
          <w:kern w:val="0"/>
          <w:sz w:val="21"/>
          <w:szCs w:val="21"/>
          <w:highlight w:val="none"/>
        </w:rPr>
        <w:t>为了保证本合同项目的顺利进行，根据《中华人民共和国</w:t>
      </w:r>
      <w:r>
        <w:rPr>
          <w:rFonts w:hint="eastAsia" w:ascii="宋体" w:hAnsi="宋体" w:eastAsia="宋体" w:cs="宋体"/>
          <w:color w:val="000000"/>
          <w:kern w:val="0"/>
          <w:sz w:val="21"/>
          <w:szCs w:val="21"/>
          <w:highlight w:val="none"/>
          <w:lang w:val="en-US" w:eastAsia="zh-CN"/>
        </w:rPr>
        <w:t>民法典</w:t>
      </w:r>
      <w:r>
        <w:rPr>
          <w:rFonts w:hint="eastAsia" w:ascii="宋体" w:hAnsi="宋体" w:eastAsia="宋体" w:cs="宋体"/>
          <w:color w:val="000000"/>
          <w:kern w:val="0"/>
          <w:sz w:val="21"/>
          <w:szCs w:val="21"/>
          <w:highlight w:val="none"/>
        </w:rPr>
        <w:t>》等相关法律、</w:t>
      </w:r>
      <w:r>
        <w:rPr>
          <w:rFonts w:hint="eastAsia" w:ascii="宋体" w:hAnsi="宋体" w:eastAsia="宋体" w:cs="宋体"/>
          <w:color w:val="000000"/>
          <w:kern w:val="0"/>
          <w:sz w:val="21"/>
          <w:szCs w:val="21"/>
          <w:highlight w:val="none"/>
          <w:lang w:val="en-US" w:eastAsia="zh-CN"/>
        </w:rPr>
        <w:t>法规的规定及甲方关于</w:t>
      </w:r>
      <w:r>
        <w:rPr>
          <w:rFonts w:hint="eastAsia" w:ascii="宋体" w:hAnsi="宋体" w:eastAsia="宋体" w:cs="宋体"/>
          <w:color w:val="000000"/>
          <w:kern w:val="0"/>
          <w:sz w:val="21"/>
          <w:szCs w:val="21"/>
          <w:highlight w:val="none"/>
          <w:u w:val="single"/>
          <w:lang w:val="en-US" w:eastAsia="zh-CN"/>
        </w:rPr>
        <w:t xml:space="preserve"> 陕西省知识产权纠纷快速处理创新机制建设项目 （项目名称）  </w:t>
      </w:r>
      <w:r>
        <w:rPr>
          <w:rFonts w:hint="eastAsia" w:ascii="宋体" w:hAnsi="宋体" w:eastAsia="宋体" w:cs="宋体"/>
          <w:color w:val="000000"/>
          <w:kern w:val="0"/>
          <w:sz w:val="21"/>
          <w:szCs w:val="21"/>
          <w:highlight w:val="none"/>
          <w:lang w:val="en-US" w:eastAsia="zh-CN"/>
        </w:rPr>
        <w:t>的磋商结果和磋商文件的要求，经甲乙双方协商一致，签订本合同，共同遵守。</w:t>
      </w:r>
    </w:p>
    <w:bookmarkEnd w:id="13"/>
    <w:bookmarkEnd w:id="14"/>
    <w:p w14:paraId="7CFFAE56">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一、项目概况：</w:t>
      </w:r>
    </w:p>
    <w:p w14:paraId="0A0422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1、项目名称：</w:t>
      </w:r>
      <w:r>
        <w:rPr>
          <w:rFonts w:hint="eastAsia" w:ascii="宋体" w:hAnsi="宋体" w:cs="宋体"/>
          <w:color w:val="000000"/>
          <w:kern w:val="0"/>
          <w:sz w:val="21"/>
          <w:szCs w:val="21"/>
          <w:highlight w:val="none"/>
          <w:u w:val="single"/>
          <w:lang w:val="en-US" w:eastAsia="zh-CN"/>
        </w:rPr>
        <w:t xml:space="preserve"> 陕西省知识产权纠纷快速处理创新机制建设项目 </w:t>
      </w:r>
      <w:r>
        <w:rPr>
          <w:rFonts w:hint="eastAsia" w:ascii="宋体" w:hAnsi="宋体" w:eastAsia="宋体" w:cs="宋体"/>
          <w:color w:val="000000"/>
          <w:kern w:val="0"/>
          <w:sz w:val="21"/>
          <w:szCs w:val="21"/>
          <w:highlight w:val="none"/>
          <w:lang w:val="en-US" w:eastAsia="zh-CN"/>
        </w:rPr>
        <w:t>；</w:t>
      </w:r>
    </w:p>
    <w:p w14:paraId="2212CDF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2、项目内容：</w:t>
      </w:r>
      <w:r>
        <w:rPr>
          <w:rFonts w:hint="eastAsia" w:ascii="宋体" w:hAnsi="宋体" w:cs="宋体"/>
          <w:color w:val="000000"/>
          <w:kern w:val="0"/>
          <w:sz w:val="21"/>
          <w:szCs w:val="21"/>
          <w:highlight w:val="none"/>
          <w:lang w:val="en-US" w:eastAsia="zh-CN"/>
        </w:rPr>
        <w:t>①</w:t>
      </w:r>
      <w:r>
        <w:rPr>
          <w:rFonts w:hint="eastAsia" w:ascii="宋体" w:hAnsi="宋体" w:eastAsia="宋体" w:cs="宋体"/>
          <w:color w:val="000000"/>
          <w:kern w:val="0"/>
          <w:sz w:val="21"/>
          <w:szCs w:val="21"/>
          <w:highlight w:val="none"/>
          <w:lang w:val="en-US" w:eastAsia="zh-CN"/>
        </w:rPr>
        <w:t>开展知识产权纠纷快速处理工作调研与分析</w:t>
      </w:r>
    </w:p>
    <w:p w14:paraId="3A7345F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调研我省知识产权协同保护相关机构、重点企业知识产权保护状况及具有先进经验的其他保护中心，对陕西省知识产权保护现存的主要问题进行梳理，参考先进经验做法制定相应的解决方案，对我省知识产权纠纷快速处理制度进行完善和优化。</w:t>
      </w:r>
    </w:p>
    <w:p w14:paraId="659EE09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根据我省企业知识产权保护状况，结合新能源产业、新一代信息技术产业、新材料产业、生物产业等重点产业的企业知识产权保护状况，建立知识产权保护重点企业名录，分析知识产权保护重点企业知识产权保护情况，形成重点企业保护状况分析报告。</w:t>
      </w:r>
    </w:p>
    <w:p w14:paraId="4C03C72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②</w:t>
      </w:r>
      <w:r>
        <w:rPr>
          <w:rFonts w:hint="eastAsia" w:ascii="宋体" w:hAnsi="宋体" w:eastAsia="宋体" w:cs="宋体"/>
          <w:color w:val="000000"/>
          <w:kern w:val="0"/>
          <w:sz w:val="21"/>
          <w:szCs w:val="21"/>
          <w:highlight w:val="none"/>
          <w:lang w:val="en-US" w:eastAsia="zh-CN"/>
        </w:rPr>
        <w:t>梳理我省知识产权纠纷快速处理相关制度或程序</w:t>
      </w:r>
    </w:p>
    <w:p w14:paraId="4D7131D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对陕西省维权援助工作程序、知识产权协同保护案件工作规范、展会知识产权保护等内容进行梳理，为有效提升知识产权案件快速处理能力奠定基础。</w:t>
      </w:r>
    </w:p>
    <w:p w14:paraId="7924A94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重点对知识产权侵权纠纷行政裁决案件快速处理、知识产权纠纷行政调解案件快速处理和知识产权纠纷案件诉前快速调解三种类型的知识产权纠纷案件，制定分级分类案件处理指引及重大案件的处理指引。</w:t>
      </w:r>
    </w:p>
    <w:p w14:paraId="5FF8BEE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③</w:t>
      </w:r>
      <w:r>
        <w:rPr>
          <w:rFonts w:hint="eastAsia" w:ascii="宋体" w:hAnsi="宋体" w:eastAsia="宋体" w:cs="宋体"/>
          <w:color w:val="000000"/>
          <w:kern w:val="0"/>
          <w:sz w:val="21"/>
          <w:szCs w:val="21"/>
          <w:highlight w:val="none"/>
          <w:lang w:val="en-US" w:eastAsia="zh-CN"/>
        </w:rPr>
        <w:t>根据我省目前知识产权纠纷处理工作的现状、问题提出相应的工作机制与政策建议，完成陕西省知识产权纠纷快速处理分析报告。</w:t>
      </w:r>
    </w:p>
    <w:p w14:paraId="7CE6483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3、项目地点：</w:t>
      </w:r>
      <w:r>
        <w:rPr>
          <w:rFonts w:hint="eastAsia" w:ascii="宋体" w:hAnsi="宋体" w:cs="宋体"/>
          <w:color w:val="000000"/>
          <w:kern w:val="0"/>
          <w:sz w:val="21"/>
          <w:szCs w:val="21"/>
          <w:highlight w:val="none"/>
          <w:u w:val="single"/>
          <w:lang w:val="en-US" w:eastAsia="zh-CN"/>
        </w:rPr>
        <w:t xml:space="preserve">   采购人指定地点         </w:t>
      </w:r>
      <w:r>
        <w:rPr>
          <w:rFonts w:hint="eastAsia" w:ascii="宋体" w:hAnsi="宋体" w:eastAsia="宋体" w:cs="宋体"/>
          <w:color w:val="000000"/>
          <w:kern w:val="0"/>
          <w:sz w:val="21"/>
          <w:szCs w:val="21"/>
          <w:highlight w:val="none"/>
          <w:lang w:val="en-US" w:eastAsia="zh-CN"/>
        </w:rPr>
        <w:t>；</w:t>
      </w:r>
    </w:p>
    <w:p w14:paraId="02137B7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4、服务期限：</w:t>
      </w:r>
      <w:r>
        <w:rPr>
          <w:rFonts w:hint="eastAsia" w:ascii="宋体" w:hAnsi="宋体" w:eastAsia="宋体" w:cs="宋体"/>
          <w:color w:val="000000"/>
          <w:kern w:val="0"/>
          <w:sz w:val="21"/>
          <w:szCs w:val="21"/>
          <w:highlight w:val="none"/>
          <w:u w:val="single"/>
          <w:lang w:val="en-US" w:eastAsia="zh-CN"/>
        </w:rPr>
        <w:t>2025年11月30日之前完成。</w:t>
      </w:r>
    </w:p>
    <w:p w14:paraId="6E94E715">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val="en-US" w:eastAsia="zh-CN"/>
        </w:rPr>
      </w:pPr>
      <w:bookmarkStart w:id="15" w:name="_Toc32760"/>
      <w:bookmarkStart w:id="16" w:name="_Toc2368"/>
      <w:r>
        <w:rPr>
          <w:rFonts w:hint="eastAsia" w:ascii="宋体" w:hAnsi="宋体" w:cs="宋体"/>
          <w:b/>
          <w:color w:val="000000"/>
          <w:kern w:val="0"/>
          <w:sz w:val="21"/>
          <w:szCs w:val="21"/>
          <w:highlight w:val="none"/>
          <w:lang w:val="en-US" w:eastAsia="zh-CN"/>
        </w:rPr>
        <w:t>二</w:t>
      </w:r>
      <w:r>
        <w:rPr>
          <w:rFonts w:hint="eastAsia" w:ascii="宋体" w:hAnsi="宋体" w:eastAsia="宋体" w:cs="宋体"/>
          <w:b/>
          <w:color w:val="000000"/>
          <w:kern w:val="0"/>
          <w:sz w:val="21"/>
          <w:szCs w:val="21"/>
          <w:highlight w:val="none"/>
          <w:lang w:val="en-US" w:eastAsia="zh-CN"/>
        </w:rPr>
        <w:t>.合同组成部分：</w:t>
      </w:r>
      <w:bookmarkEnd w:id="15"/>
      <w:bookmarkEnd w:id="16"/>
    </w:p>
    <w:p w14:paraId="5331690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（1）合同文本及合同补充文件（条款）；</w:t>
      </w:r>
    </w:p>
    <w:p w14:paraId="56B6C2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（2）国家和行业制定的相应的标准和规范； </w:t>
      </w:r>
    </w:p>
    <w:p w14:paraId="7D1213F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（3）磋商文件；</w:t>
      </w:r>
    </w:p>
    <w:p w14:paraId="19F5E4B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（4）成交单位的响应文件；</w:t>
      </w:r>
    </w:p>
    <w:p w14:paraId="1B686B4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（5）货物/服务清单等其他相关附件。</w:t>
      </w:r>
    </w:p>
    <w:p w14:paraId="67C448D7">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bookmarkStart w:id="17" w:name="_Toc2258"/>
      <w:bookmarkStart w:id="18" w:name="_Toc14579"/>
      <w:r>
        <w:rPr>
          <w:rFonts w:hint="eastAsia" w:ascii="宋体" w:hAnsi="宋体" w:cs="宋体"/>
          <w:b/>
          <w:color w:val="000000"/>
          <w:kern w:val="0"/>
          <w:sz w:val="21"/>
          <w:szCs w:val="21"/>
          <w:highlight w:val="none"/>
          <w:lang w:val="en-US" w:eastAsia="zh-CN"/>
        </w:rPr>
        <w:t>三、合同总价及付款：</w:t>
      </w:r>
    </w:p>
    <w:p w14:paraId="2964C96C">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1、合同总价（大写）：______________________（¥___________）；</w:t>
      </w:r>
    </w:p>
    <w:p w14:paraId="6F5A8FA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合同总价即成交价</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本条约定的费用为本项目全部价款，除此之外，甲方无需再向乙方支付任何费用，如产生其他费用均由乙方自行承担。合同价格为含税价，供应商提供服务发生的一切税（包括增值税）费等都已包含于合同价款中。</w:t>
      </w:r>
    </w:p>
    <w:p w14:paraId="69A441E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2、付款方式：①合同签订后支付总价款的80%，所有工作完成并验收合格支付合同总价款20%。</w:t>
      </w:r>
    </w:p>
    <w:p w14:paraId="58DBB65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②供应商应根据采购人需要提供等额正规发票给采购人； </w:t>
      </w:r>
    </w:p>
    <w:p w14:paraId="5BF17088">
      <w:pPr>
        <w:keepNext w:val="0"/>
        <w:keepLines w:val="0"/>
        <w:pageBreakBefore w:val="0"/>
        <w:widowControl w:val="0"/>
        <w:shd w:val="clea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③如因供应商责任而造成延期，每超过一天按合同总价款的0.1‰支付采购人误期赔偿金；</w:t>
      </w:r>
    </w:p>
    <w:p w14:paraId="1E88CB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④支付方式：银行转账。</w:t>
      </w:r>
    </w:p>
    <w:p w14:paraId="1A8AF22D">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四、服务要求</w:t>
      </w:r>
    </w:p>
    <w:p w14:paraId="564276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交付的服务内容与响应文件、竞争性磋商文件等所指明的，或者与本合同所指明的服务内容相一致。</w:t>
      </w:r>
    </w:p>
    <w:p w14:paraId="4CDC045F">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五、质量保证</w:t>
      </w:r>
    </w:p>
    <w:p w14:paraId="017A28F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质量标准：符合国家相关标准及</w:t>
      </w:r>
      <w:bookmarkStart w:id="31" w:name="_GoBack"/>
      <w:bookmarkEnd w:id="31"/>
      <w:r>
        <w:rPr>
          <w:rFonts w:hint="eastAsia" w:ascii="宋体" w:hAnsi="宋体" w:eastAsia="宋体" w:cs="宋体"/>
          <w:color w:val="000000"/>
          <w:kern w:val="0"/>
          <w:sz w:val="21"/>
          <w:szCs w:val="21"/>
          <w:highlight w:val="none"/>
          <w:lang w:val="en-US" w:eastAsia="zh-CN"/>
        </w:rPr>
        <w:t>采购人要求。</w:t>
      </w:r>
    </w:p>
    <w:p w14:paraId="681D02A5">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六、</w:t>
      </w:r>
      <w:r>
        <w:rPr>
          <w:rFonts w:hint="eastAsia" w:ascii="宋体" w:hAnsi="宋体" w:eastAsia="宋体" w:cs="宋体"/>
          <w:b/>
          <w:color w:val="000000"/>
          <w:kern w:val="0"/>
          <w:sz w:val="21"/>
          <w:szCs w:val="21"/>
          <w:highlight w:val="none"/>
        </w:rPr>
        <w:t>双方权利和义务</w:t>
      </w:r>
      <w:bookmarkEnd w:id="17"/>
      <w:bookmarkEnd w:id="18"/>
      <w:r>
        <w:rPr>
          <w:rFonts w:hint="eastAsia" w:ascii="宋体" w:hAnsi="宋体" w:eastAsia="宋体" w:cs="宋体"/>
          <w:b/>
          <w:color w:val="000000"/>
          <w:kern w:val="0"/>
          <w:sz w:val="21"/>
          <w:szCs w:val="21"/>
          <w:highlight w:val="none"/>
        </w:rPr>
        <w:tab/>
      </w:r>
    </w:p>
    <w:p w14:paraId="78EAD1FE">
      <w:pPr>
        <w:keepNext w:val="0"/>
        <w:keepLines w:val="0"/>
        <w:pageBreakBefore w:val="0"/>
        <w:widowControl w:val="0"/>
        <w:tabs>
          <w:tab w:val="left" w:pos="5865"/>
        </w:tabs>
        <w:kinsoku/>
        <w:wordWrap/>
        <w:overflowPunct/>
        <w:topLinePunct w:val="0"/>
        <w:bidi w:val="0"/>
        <w:spacing w:line="360" w:lineRule="auto"/>
        <w:ind w:firstLine="420" w:firstLineChars="200"/>
        <w:textAlignment w:val="auto"/>
        <w:rPr>
          <w:rFonts w:hint="eastAsia" w:ascii="宋体" w:hAnsi="宋体" w:eastAsia="宋体" w:cs="宋体"/>
          <w:b/>
          <w:color w:val="000000"/>
          <w:kern w:val="0"/>
          <w:sz w:val="21"/>
          <w:szCs w:val="21"/>
          <w:highlight w:val="none"/>
        </w:rPr>
      </w:pPr>
      <w:r>
        <w:rPr>
          <w:rFonts w:hint="eastAsia" w:ascii="宋体" w:hAnsi="宋体" w:cs="宋体"/>
          <w:color w:val="000000"/>
          <w:kern w:val="0"/>
          <w:sz w:val="21"/>
          <w:szCs w:val="21"/>
          <w:highlight w:val="none"/>
          <w:lang w:val="en-US" w:eastAsia="zh-CN"/>
        </w:rPr>
        <w:t>6</w:t>
      </w:r>
      <w:r>
        <w:rPr>
          <w:rFonts w:hint="eastAsia" w:ascii="宋体" w:hAnsi="宋体" w:eastAsia="宋体" w:cs="宋体"/>
          <w:color w:val="000000"/>
          <w:kern w:val="0"/>
          <w:sz w:val="21"/>
          <w:szCs w:val="21"/>
          <w:highlight w:val="none"/>
        </w:rPr>
        <w:t>.1</w:t>
      </w:r>
      <w:r>
        <w:rPr>
          <w:rFonts w:hint="eastAsia" w:ascii="宋体" w:hAnsi="宋体" w:eastAsia="宋体" w:cs="宋体"/>
          <w:b/>
          <w:color w:val="000000"/>
          <w:kern w:val="0"/>
          <w:sz w:val="21"/>
          <w:szCs w:val="21"/>
          <w:highlight w:val="none"/>
        </w:rPr>
        <w:t>甲方权利与义务：</w:t>
      </w:r>
    </w:p>
    <w:p w14:paraId="3D56BE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6.1.1</w:t>
      </w:r>
      <w:r>
        <w:rPr>
          <w:rFonts w:hint="eastAsia" w:ascii="宋体" w:hAnsi="宋体" w:eastAsia="宋体" w:cs="宋体"/>
          <w:color w:val="000000"/>
          <w:kern w:val="0"/>
          <w:sz w:val="21"/>
          <w:szCs w:val="21"/>
          <w:highlight w:val="none"/>
          <w:lang w:val="en-US" w:eastAsia="zh-CN"/>
        </w:rPr>
        <w:t>甲方有权对合同规定范围内乙方的服务行为进行监督和检查，拥有监管权。有权定期核对乙方提供服务所配备的人员数量。对甲方认为不合理的部分有权下达整改通知书，并要求乙方限期整改。</w:t>
      </w:r>
    </w:p>
    <w:p w14:paraId="3FA8E30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6.1.2</w:t>
      </w:r>
      <w:r>
        <w:rPr>
          <w:rFonts w:hint="eastAsia" w:ascii="宋体" w:hAnsi="宋体" w:eastAsia="宋体" w:cs="宋体"/>
          <w:color w:val="000000"/>
          <w:kern w:val="0"/>
          <w:sz w:val="21"/>
          <w:szCs w:val="21"/>
          <w:highlight w:val="none"/>
          <w:lang w:val="en-US" w:eastAsia="zh-CN"/>
        </w:rPr>
        <w:t>甲方有权对乙方提供的服务进行定期考评。当考评结果未达到标准时，甲方有权要求乙方做出整改；若乙方整改依旧无法通过考评，则甲方有权要求赔偿。</w:t>
      </w:r>
    </w:p>
    <w:p w14:paraId="5BA796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6.1.3</w:t>
      </w:r>
      <w:r>
        <w:rPr>
          <w:rFonts w:hint="eastAsia" w:ascii="宋体" w:hAnsi="宋体" w:eastAsia="宋体" w:cs="宋体"/>
          <w:color w:val="000000"/>
          <w:kern w:val="0"/>
          <w:sz w:val="21"/>
          <w:szCs w:val="21"/>
          <w:highlight w:val="none"/>
          <w:lang w:val="en-US" w:eastAsia="zh-CN"/>
        </w:rPr>
        <w:t>负责检查监督乙方管理工作的实施及制度的执行情况。</w:t>
      </w:r>
    </w:p>
    <w:p w14:paraId="29660F7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6.1.4</w:t>
      </w:r>
      <w:r>
        <w:rPr>
          <w:rFonts w:hint="eastAsia" w:ascii="宋体" w:hAnsi="宋体" w:eastAsia="宋体" w:cs="宋体"/>
          <w:color w:val="000000"/>
          <w:kern w:val="0"/>
          <w:sz w:val="21"/>
          <w:szCs w:val="21"/>
          <w:highlight w:val="none"/>
          <w:lang w:val="en-US" w:eastAsia="zh-CN"/>
        </w:rPr>
        <w:t>根据本合同规定，按时向乙方支付应付服务费用。</w:t>
      </w:r>
    </w:p>
    <w:p w14:paraId="2626B3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6.1.5</w:t>
      </w:r>
      <w:r>
        <w:rPr>
          <w:rFonts w:hint="eastAsia" w:ascii="宋体" w:hAnsi="宋体" w:eastAsia="宋体" w:cs="宋体"/>
          <w:color w:val="000000"/>
          <w:kern w:val="0"/>
          <w:sz w:val="21"/>
          <w:szCs w:val="21"/>
          <w:highlight w:val="none"/>
          <w:lang w:val="en-US" w:eastAsia="zh-CN"/>
        </w:rPr>
        <w:t>甲方应及时向乙方提供相关资料，协助乙方办理有关事宜。</w:t>
      </w:r>
    </w:p>
    <w:p w14:paraId="2227B0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6.1.6</w:t>
      </w:r>
      <w:r>
        <w:rPr>
          <w:rFonts w:hint="eastAsia" w:ascii="宋体" w:hAnsi="宋体" w:eastAsia="宋体" w:cs="宋体"/>
          <w:color w:val="000000"/>
          <w:kern w:val="0"/>
          <w:sz w:val="21"/>
          <w:szCs w:val="21"/>
          <w:highlight w:val="none"/>
          <w:lang w:val="en-US" w:eastAsia="zh-CN"/>
        </w:rPr>
        <w:t>对合同条款及所知悉的乙方商业秘密负有保密义务。</w:t>
      </w:r>
    </w:p>
    <w:p w14:paraId="0A1AF61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6.1.7</w:t>
      </w:r>
      <w:r>
        <w:rPr>
          <w:rFonts w:hint="eastAsia" w:ascii="宋体" w:hAnsi="宋体" w:eastAsia="宋体" w:cs="宋体"/>
          <w:color w:val="000000"/>
          <w:kern w:val="0"/>
          <w:sz w:val="21"/>
          <w:szCs w:val="21"/>
          <w:highlight w:val="none"/>
          <w:lang w:val="en-US" w:eastAsia="zh-CN"/>
        </w:rPr>
        <w:t>国家法律、法规所规定由甲方承担的其它责任。。</w:t>
      </w:r>
    </w:p>
    <w:p w14:paraId="620F2A28">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6</w:t>
      </w:r>
      <w:r>
        <w:rPr>
          <w:rFonts w:hint="eastAsia" w:ascii="宋体" w:hAnsi="宋体" w:eastAsia="宋体" w:cs="宋体"/>
          <w:b/>
          <w:color w:val="000000"/>
          <w:kern w:val="0"/>
          <w:sz w:val="21"/>
          <w:szCs w:val="21"/>
          <w:highlight w:val="none"/>
        </w:rPr>
        <w:t>.2 乙方权利与义务：</w:t>
      </w:r>
    </w:p>
    <w:p w14:paraId="047359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6.2.1</w:t>
      </w:r>
      <w:r>
        <w:rPr>
          <w:rFonts w:hint="eastAsia" w:ascii="宋体" w:hAnsi="宋体" w:eastAsia="宋体" w:cs="宋体"/>
          <w:color w:val="000000"/>
          <w:kern w:val="0"/>
          <w:sz w:val="21"/>
          <w:szCs w:val="21"/>
          <w:highlight w:val="none"/>
          <w:lang w:val="en-US" w:eastAsia="zh-CN"/>
        </w:rPr>
        <w:t>对本合同规定的委托服务范围内的项目享有管理权及服务义务。</w:t>
      </w:r>
    </w:p>
    <w:p w14:paraId="1B76707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6.2.2</w:t>
      </w:r>
      <w:r>
        <w:rPr>
          <w:rFonts w:hint="eastAsia" w:ascii="宋体" w:hAnsi="宋体" w:eastAsia="宋体" w:cs="宋体"/>
          <w:color w:val="000000"/>
          <w:kern w:val="0"/>
          <w:sz w:val="21"/>
          <w:szCs w:val="21"/>
          <w:highlight w:val="none"/>
          <w:lang w:val="en-US" w:eastAsia="zh-CN"/>
        </w:rPr>
        <w:t>根据本合同的规定向甲方收取相关服务费用，并有权在本项目管理范围内管理及合理使用。</w:t>
      </w:r>
    </w:p>
    <w:p w14:paraId="521779B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6.2.3</w:t>
      </w:r>
      <w:r>
        <w:rPr>
          <w:rFonts w:hint="eastAsia" w:ascii="宋体" w:hAnsi="宋体" w:eastAsia="宋体" w:cs="宋体"/>
          <w:color w:val="000000"/>
          <w:kern w:val="0"/>
          <w:sz w:val="21"/>
          <w:szCs w:val="21"/>
          <w:highlight w:val="none"/>
          <w:lang w:val="en-US" w:eastAsia="zh-CN"/>
        </w:rPr>
        <w:t>及时向甲方通告本项目服务范围内有关服务的重大事项，及时配合处理。</w:t>
      </w:r>
    </w:p>
    <w:p w14:paraId="50B6CA2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6.2.4</w:t>
      </w:r>
      <w:r>
        <w:rPr>
          <w:rFonts w:hint="eastAsia" w:ascii="宋体" w:hAnsi="宋体" w:eastAsia="宋体" w:cs="宋体"/>
          <w:color w:val="000000"/>
          <w:kern w:val="0"/>
          <w:sz w:val="21"/>
          <w:szCs w:val="21"/>
          <w:highlight w:val="none"/>
          <w:lang w:val="en-US" w:eastAsia="zh-CN"/>
        </w:rPr>
        <w:t>乙方应保护甲方提供的相关资料。未经甲方同意不得擅自修改、复制或向第三人转让或用于本合同外的项目，如发生以上情况，乙方应负法律责任，甲方有权向乙方提出索赔。</w:t>
      </w:r>
    </w:p>
    <w:p w14:paraId="2578F01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6.2.5</w:t>
      </w:r>
      <w:r>
        <w:rPr>
          <w:rFonts w:hint="eastAsia" w:ascii="宋体" w:hAnsi="宋体" w:eastAsia="宋体" w:cs="宋体"/>
          <w:color w:val="000000"/>
          <w:kern w:val="0"/>
          <w:sz w:val="21"/>
          <w:szCs w:val="21"/>
          <w:highlight w:val="none"/>
          <w:lang w:val="en-US" w:eastAsia="zh-CN"/>
        </w:rPr>
        <w:t>乙方在中途需更换所指派的项目负责人，应事先征得甲方同意。</w:t>
      </w:r>
    </w:p>
    <w:p w14:paraId="7B19EDB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6.2.6</w:t>
      </w:r>
      <w:r>
        <w:rPr>
          <w:rFonts w:hint="eastAsia" w:ascii="宋体" w:hAnsi="宋体" w:eastAsia="宋体" w:cs="宋体"/>
          <w:color w:val="000000"/>
          <w:kern w:val="0"/>
          <w:sz w:val="21"/>
          <w:szCs w:val="21"/>
          <w:highlight w:val="none"/>
          <w:lang w:val="en-US" w:eastAsia="zh-CN"/>
        </w:rPr>
        <w:t>接受项目行业管理部门及政府有关部门的指导，接受甲方的监督。</w:t>
      </w:r>
    </w:p>
    <w:p w14:paraId="0ED4CF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6.2.7</w:t>
      </w:r>
      <w:r>
        <w:rPr>
          <w:rFonts w:hint="eastAsia" w:ascii="宋体" w:hAnsi="宋体" w:eastAsia="宋体" w:cs="宋体"/>
          <w:color w:val="000000"/>
          <w:kern w:val="0"/>
          <w:sz w:val="21"/>
          <w:szCs w:val="21"/>
          <w:highlight w:val="none"/>
          <w:lang w:val="en-US" w:eastAsia="zh-CN"/>
        </w:rPr>
        <w:t>国家法律、法规所规定由乙方承担的其它责任。</w:t>
      </w:r>
    </w:p>
    <w:p w14:paraId="23E48087">
      <w:pPr>
        <w:keepNext w:val="0"/>
        <w:keepLines w:val="0"/>
        <w:pageBreakBefore w:val="0"/>
        <w:widowControl w:val="0"/>
        <w:numPr>
          <w:ilvl w:val="0"/>
          <w:numId w:val="0"/>
        </w:numPr>
        <w:kinsoku/>
        <w:wordWrap/>
        <w:overflowPunct/>
        <w:topLinePunct w:val="0"/>
        <w:bidi w:val="0"/>
        <w:snapToGrid w:val="0"/>
        <w:spacing w:line="360" w:lineRule="auto"/>
        <w:ind w:firstLine="422" w:firstLineChars="200"/>
        <w:textAlignment w:val="auto"/>
        <w:rPr>
          <w:rFonts w:hint="eastAsia" w:ascii="宋体" w:hAnsi="宋体" w:cs="宋体"/>
          <w:b/>
          <w:bCs/>
          <w:color w:val="000000"/>
          <w:kern w:val="0"/>
          <w:sz w:val="21"/>
          <w:szCs w:val="21"/>
          <w:highlight w:val="none"/>
          <w:lang w:val="en-US" w:eastAsia="zh-CN"/>
        </w:rPr>
      </w:pPr>
      <w:bookmarkStart w:id="19" w:name="_Toc23438"/>
      <w:bookmarkStart w:id="20" w:name="_Toc4212"/>
      <w:r>
        <w:rPr>
          <w:rFonts w:hint="eastAsia" w:ascii="宋体" w:hAnsi="宋体" w:cs="宋体"/>
          <w:b/>
          <w:bCs/>
          <w:color w:val="000000"/>
          <w:kern w:val="0"/>
          <w:sz w:val="21"/>
          <w:szCs w:val="21"/>
          <w:highlight w:val="none"/>
          <w:lang w:val="en-US" w:eastAsia="zh-CN"/>
        </w:rPr>
        <w:t>7.验收</w:t>
      </w:r>
    </w:p>
    <w:p w14:paraId="11DB0CD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7.1</w:t>
      </w:r>
      <w:r>
        <w:rPr>
          <w:rFonts w:hint="default" w:ascii="宋体" w:hAnsi="宋体" w:eastAsia="宋体" w:cs="宋体"/>
          <w:color w:val="000000"/>
          <w:kern w:val="0"/>
          <w:sz w:val="21"/>
          <w:szCs w:val="21"/>
          <w:highlight w:val="none"/>
          <w:lang w:val="en-US" w:eastAsia="zh-CN"/>
        </w:rPr>
        <w:t>按国家现行项目实施规范和合同规定的验收评定标准等要求进行验收。</w:t>
      </w:r>
    </w:p>
    <w:p w14:paraId="2D46A43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验收依据</w:t>
      </w:r>
    </w:p>
    <w:p w14:paraId="18D6756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1本项目竞争性磋商文件、响应文件:</w:t>
      </w:r>
    </w:p>
    <w:p w14:paraId="5FA2D05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2本合同及附件文本:</w:t>
      </w:r>
    </w:p>
    <w:p w14:paraId="7B2498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3合同签订时国家及行业现行的标准和技术规范。</w:t>
      </w:r>
    </w:p>
    <w:p w14:paraId="7C3A2DF6">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r>
        <w:rPr>
          <w:rFonts w:hint="eastAsia" w:ascii="宋体" w:hAnsi="宋体" w:cs="宋体"/>
          <w:b/>
          <w:bCs/>
          <w:color w:val="000000"/>
          <w:kern w:val="0"/>
          <w:sz w:val="21"/>
          <w:szCs w:val="21"/>
          <w:highlight w:val="none"/>
          <w:lang w:val="en-US" w:eastAsia="zh-CN"/>
        </w:rPr>
        <w:t>8</w:t>
      </w:r>
      <w:r>
        <w:rPr>
          <w:rFonts w:hint="eastAsia" w:ascii="宋体" w:hAnsi="宋体" w:eastAsia="宋体" w:cs="宋体"/>
          <w:b/>
          <w:bCs/>
          <w:color w:val="000000"/>
          <w:kern w:val="0"/>
          <w:sz w:val="21"/>
          <w:szCs w:val="21"/>
          <w:highlight w:val="none"/>
        </w:rPr>
        <w:t>.合同终止和违约责任</w:t>
      </w:r>
      <w:bookmarkEnd w:id="19"/>
      <w:bookmarkEnd w:id="20"/>
    </w:p>
    <w:p w14:paraId="66FE44C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在下述条件下，本合同书可提前终止：</w:t>
      </w:r>
    </w:p>
    <w:p w14:paraId="340ABA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.1 如果一方破产，或正在进行清算程序，或其财产的实质性部分被没收或扣押，则另一方可经书面通知该方而立即终止本合同，并有权要求其赔偿由此造成的损失；</w:t>
      </w:r>
    </w:p>
    <w:p w14:paraId="17F503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.2 如果一方的所有权、组织结构、控制与管理发生重大变化，而导致其不能履行本合同的，则另一方可经书面通知该方而立即终止本合同，并有权要求其赔偿由此造成的损失；</w:t>
      </w:r>
    </w:p>
    <w:p w14:paraId="2EB272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.3 除本合同另有约定外，如果一方违反本合同书任何约定并在收到另一方向其发出的书面通知后十五天内仍不纠正违约行为，则另一方可经书面通知该方而立即终止本合同，并有权按照</w:t>
      </w: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.4条的约定要求其承担违约责任，违约金不足以弥补损失的还应继续赔偿由此造成的损失。</w:t>
      </w:r>
    </w:p>
    <w:p w14:paraId="7DCA2CD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 如果本合同一方不按照合同约定履行义务，则应按照下述规定承担违约责任：</w:t>
      </w:r>
    </w:p>
    <w:p w14:paraId="5F5FFA9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w:t>
      </w:r>
    </w:p>
    <w:p w14:paraId="000549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.4.2 甲方应当根据本合同约定按时向乙方付款，无正当理由迟延付款的，每迟延支付一日，应支付迟延付款金额0.1‰的违约金。</w:t>
      </w:r>
    </w:p>
    <w:p w14:paraId="70EC63D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1" w:name="_Toc29778"/>
      <w:bookmarkStart w:id="22" w:name="_Toc27960"/>
      <w:r>
        <w:rPr>
          <w:rFonts w:hint="eastAsia" w:ascii="宋体" w:hAnsi="宋体" w:cs="宋体"/>
          <w:b/>
          <w:bCs/>
          <w:color w:val="000000"/>
          <w:kern w:val="0"/>
          <w:sz w:val="21"/>
          <w:szCs w:val="21"/>
          <w:highlight w:val="none"/>
          <w:lang w:val="en-US" w:eastAsia="zh-CN"/>
        </w:rPr>
        <w:t>9</w:t>
      </w:r>
      <w:r>
        <w:rPr>
          <w:rFonts w:hint="eastAsia" w:ascii="宋体" w:hAnsi="宋体" w:eastAsia="宋体" w:cs="宋体"/>
          <w:b/>
          <w:bCs/>
          <w:color w:val="000000"/>
          <w:kern w:val="0"/>
          <w:sz w:val="21"/>
          <w:szCs w:val="21"/>
          <w:highlight w:val="none"/>
        </w:rPr>
        <w:t>.不可抗力</w:t>
      </w:r>
      <w:bookmarkEnd w:id="21"/>
      <w:bookmarkEnd w:id="22"/>
    </w:p>
    <w:p w14:paraId="1E1518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.1 “不可抗力”是指本合同签订后不可预见并且其发生和后果是双方无法避免和克服的事件，该等事件在合同签署后发生，并造成一方不能履行其在合同书项下的全部或部分义务。该等事件包括地震、台风、洪水、火灾、战争、瘟疫、流行病、动乱、罢工以及法律规定为“不可抗力”的其他事件。</w:t>
      </w:r>
    </w:p>
    <w:p w14:paraId="773FAEE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.2 如一项不可抗力事件发生并因此影响任何一方履行其在本合同项下的义务，则该项义务的履行在不可抗力事件导致的延迟期内可暂时中止，且该等不履行不视为对合同的违反。受到不可抗力事件影响的一方应当立即以书面形式将该不可抗力事件的发生通知另一方，并在此后十五日内提供该不可抗力事件发生和持续时间的充分证据。</w:t>
      </w:r>
    </w:p>
    <w:p w14:paraId="10586DA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.3 发生不可抗力事件后，双方应相互协商以寻求公平的解决方法并应尽力将不可抗力所造成的影响减至最低。如果不可抗力的发生严重阻碍了合同的履行，且自不可抗力发生之日起三十日内双方仍无法找到公平的解决方法，则任何一方可提前终止本合同书。在此情况下，乙方应当退还甲方已经支付的款项（扣除乙方为本项目所已经实际支付的必要成本）。</w:t>
      </w:r>
    </w:p>
    <w:p w14:paraId="684A9AEF">
      <w:pPr>
        <w:keepNext w:val="0"/>
        <w:keepLines w:val="0"/>
        <w:pageBreakBefore w:val="0"/>
        <w:widowControl w:val="0"/>
        <w:kinsoku/>
        <w:wordWrap/>
        <w:overflowPunct/>
        <w:topLinePunct w:val="0"/>
        <w:autoSpaceDE w:val="0"/>
        <w:autoSpaceDN w:val="0"/>
        <w:bidi w:val="0"/>
        <w:adjustRightIn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3" w:name="_Toc12058"/>
      <w:bookmarkStart w:id="24" w:name="_Toc7221"/>
      <w:r>
        <w:rPr>
          <w:rFonts w:hint="eastAsia" w:ascii="宋体" w:hAnsi="宋体" w:cs="宋体"/>
          <w:b/>
          <w:bCs/>
          <w:color w:val="000000"/>
          <w:kern w:val="0"/>
          <w:sz w:val="21"/>
          <w:szCs w:val="21"/>
          <w:highlight w:val="none"/>
          <w:lang w:val="en-US" w:eastAsia="zh-CN"/>
        </w:rPr>
        <w:t>10</w:t>
      </w:r>
      <w:r>
        <w:rPr>
          <w:rFonts w:hint="eastAsia" w:ascii="宋体" w:hAnsi="宋体" w:eastAsia="宋体" w:cs="宋体"/>
          <w:b/>
          <w:bCs/>
          <w:color w:val="000000"/>
          <w:kern w:val="0"/>
          <w:sz w:val="21"/>
          <w:szCs w:val="21"/>
          <w:highlight w:val="none"/>
          <w:lang w:val="zh-CN"/>
        </w:rPr>
        <w:t>.知识产权、保密</w:t>
      </w:r>
      <w:bookmarkEnd w:id="23"/>
      <w:bookmarkEnd w:id="24"/>
    </w:p>
    <w:p w14:paraId="5A1C6AE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.1合同双方保证，一方向另一方提供的文件、资料不会侵犯任何第三方的知识产权或其他合法权益，若因此给另一方造成损失的，由提供方依法承担相应法律责任。</w:t>
      </w:r>
    </w:p>
    <w:p w14:paraId="37EA763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.2 甲方享有本合同项下全部事项内容完整的知识产权，未经甲方书面确认，乙方不得转让、许可或以其他方式提供给任何第三方使用；否则，甲方有权解除合同并依法追究乙方违约责任。</w:t>
      </w:r>
    </w:p>
    <w:p w14:paraId="337A6CD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.3本合同涉及的文件、资料内容属于甲方商业秘密，除为履行本合同所必须外，未经甲方授权乙方无权向第三方公开。</w:t>
      </w:r>
    </w:p>
    <w:p w14:paraId="46A0461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合同双方对因签署和履行本合同而获得的本合同各项条款、有关本合同的谈判、合同一方提供给对方的涉及提供方专属的或保密的信息和数据等属于商业秘密，仅在下列情况下，合同双方才可披露商业秘密条款信息：</w:t>
      </w:r>
    </w:p>
    <w:p w14:paraId="0A71C15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.4.1依法律法规的规定；</w:t>
      </w:r>
    </w:p>
    <w:p w14:paraId="049E1E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.4.2 依任何有管辖权的政府机关、</w:t>
      </w:r>
      <w:r>
        <w:rPr>
          <w:rFonts w:hint="eastAsia" w:ascii="宋体" w:hAnsi="宋体" w:eastAsia="宋体" w:cs="宋体"/>
          <w:color w:val="000000"/>
          <w:kern w:val="0"/>
          <w:sz w:val="21"/>
          <w:szCs w:val="21"/>
          <w:highlight w:val="none"/>
          <w:lang w:val="en-US" w:eastAsia="zh-CN"/>
        </w:rPr>
        <w:t>司法机关、</w:t>
      </w:r>
      <w:r>
        <w:rPr>
          <w:rFonts w:hint="eastAsia" w:ascii="宋体" w:hAnsi="宋体" w:eastAsia="宋体" w:cs="宋体"/>
          <w:color w:val="000000"/>
          <w:kern w:val="0"/>
          <w:sz w:val="21"/>
          <w:szCs w:val="21"/>
          <w:highlight w:val="none"/>
          <w:lang w:val="zh-CN" w:eastAsia="zh-CN"/>
        </w:rPr>
        <w:t>监管机构或自律组织的要求；</w:t>
      </w:r>
    </w:p>
    <w:p w14:paraId="06C28F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.4.3在收到对方披露的保密信息之时或之前已从对该保密信息无保密义务的第三方合法知悉该信息；</w:t>
      </w:r>
    </w:p>
    <w:p w14:paraId="39CDF7C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.4.4 非因乙方过错，而使信息已经公开；</w:t>
      </w:r>
    </w:p>
    <w:p w14:paraId="59EA0D6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.4.5合同双方事先达成书面认可；</w:t>
      </w:r>
    </w:p>
    <w:p w14:paraId="1A09701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.5本条款的使用不因本合同的终止而失效；自其中某项秘密信息依法被公开披露、丧失保密性之日起，本合同约定的保密义务对该信息不再适用。</w:t>
      </w:r>
    </w:p>
    <w:p w14:paraId="0FC3DC0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5" w:name="_Toc20922"/>
      <w:bookmarkStart w:id="26" w:name="_Toc26449"/>
      <w:r>
        <w:rPr>
          <w:rFonts w:hint="eastAsia" w:ascii="宋体" w:hAnsi="宋体" w:cs="宋体"/>
          <w:b/>
          <w:bCs/>
          <w:color w:val="000000"/>
          <w:kern w:val="0"/>
          <w:sz w:val="21"/>
          <w:szCs w:val="21"/>
          <w:highlight w:val="none"/>
          <w:lang w:val="en-US" w:eastAsia="zh-CN"/>
        </w:rPr>
        <w:t>11</w:t>
      </w:r>
      <w:r>
        <w:rPr>
          <w:rFonts w:hint="eastAsia" w:ascii="宋体" w:hAnsi="宋体" w:eastAsia="宋体" w:cs="宋体"/>
          <w:b/>
          <w:bCs/>
          <w:color w:val="000000"/>
          <w:kern w:val="0"/>
          <w:sz w:val="21"/>
          <w:szCs w:val="21"/>
          <w:highlight w:val="none"/>
        </w:rPr>
        <w:t>.争议解决</w:t>
      </w:r>
      <w:bookmarkEnd w:id="25"/>
      <w:bookmarkEnd w:id="26"/>
    </w:p>
    <w:p w14:paraId="3F58E28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11</w:t>
      </w:r>
      <w:r>
        <w:rPr>
          <w:rFonts w:hint="eastAsia" w:ascii="宋体" w:hAnsi="宋体" w:eastAsia="宋体" w:cs="宋体"/>
          <w:color w:val="000000"/>
          <w:kern w:val="0"/>
          <w:sz w:val="21"/>
          <w:szCs w:val="21"/>
          <w:highlight w:val="none"/>
          <w:lang w:val="en-US" w:eastAsia="zh-CN"/>
        </w:rPr>
        <w:t>.1 如果甲乙双方就本合同的履行发生任何争议，双方应首先通过友好协商解决该等争议。如果在协商开始的30日内双方无法解决争议，则提交给甲方所在地有管辖权的人民法院提起诉讼方式解决争议</w:t>
      </w:r>
      <w:r>
        <w:rPr>
          <w:rFonts w:hint="eastAsia" w:ascii="宋体" w:hAnsi="宋体" w:cs="宋体"/>
          <w:color w:val="000000"/>
          <w:kern w:val="0"/>
          <w:sz w:val="21"/>
          <w:szCs w:val="21"/>
          <w:highlight w:val="none"/>
          <w:lang w:val="en-US" w:eastAsia="zh-CN"/>
        </w:rPr>
        <w:t>。</w:t>
      </w:r>
      <w:r>
        <w:rPr>
          <w:rFonts w:hint="eastAsia" w:ascii="宋体" w:hAnsi="宋体" w:eastAsia="宋体" w:cs="宋体"/>
          <w:color w:val="000000"/>
          <w:kern w:val="0"/>
          <w:sz w:val="21"/>
          <w:szCs w:val="21"/>
          <w:highlight w:val="none"/>
          <w:lang w:val="en-US" w:eastAsia="zh-CN"/>
        </w:rPr>
        <w:t>违约方承担守约方的全部维权费用，包括但不限于保全担保费、公证费、公告费、审计费、鉴定费、律师费等。</w:t>
      </w:r>
    </w:p>
    <w:p w14:paraId="0BCF6FB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7" w:name="_Toc2658"/>
      <w:bookmarkStart w:id="28" w:name="_Toc17905"/>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2</w:t>
      </w:r>
      <w:r>
        <w:rPr>
          <w:rFonts w:hint="eastAsia" w:ascii="宋体" w:hAnsi="宋体" w:eastAsia="宋体" w:cs="宋体"/>
          <w:b/>
          <w:color w:val="000000"/>
          <w:kern w:val="0"/>
          <w:sz w:val="21"/>
          <w:szCs w:val="21"/>
          <w:highlight w:val="none"/>
        </w:rPr>
        <w:t>.通知</w:t>
      </w:r>
      <w:bookmarkEnd w:id="27"/>
      <w:bookmarkEnd w:id="28"/>
    </w:p>
    <w:p w14:paraId="031A0F4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.1本合同任何一方给另一方的通知都应以书面或电传、电报、传真的形式发送，而另一方应以书面形式确认并发送到对方明确的地址。</w:t>
      </w:r>
    </w:p>
    <w:p w14:paraId="4D74F18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9" w:name="_Toc20904"/>
      <w:bookmarkStart w:id="30" w:name="_Toc29310"/>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3</w:t>
      </w:r>
      <w:r>
        <w:rPr>
          <w:rFonts w:hint="eastAsia" w:ascii="宋体" w:hAnsi="宋体" w:eastAsia="宋体" w:cs="宋体"/>
          <w:b/>
          <w:color w:val="000000"/>
          <w:kern w:val="0"/>
          <w:sz w:val="21"/>
          <w:szCs w:val="21"/>
          <w:highlight w:val="none"/>
        </w:rPr>
        <w:t>.合同生效及其它</w:t>
      </w:r>
      <w:bookmarkEnd w:id="29"/>
      <w:bookmarkEnd w:id="30"/>
    </w:p>
    <w:p w14:paraId="12AF94B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.1 双方本着善意和合作的目的，同意就本项目组织中发生的不可预见的变化进行友好协商，并签署书面确认，以修正并取代本合同的约定。如没有签署书面确认，双方以本合同为准。</w:t>
      </w:r>
    </w:p>
    <w:p w14:paraId="6D6B2BE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.2本合同一式</w:t>
      </w:r>
      <w:r>
        <w:rPr>
          <w:rFonts w:hint="eastAsia" w:ascii="宋体" w:hAnsi="宋体" w:eastAsia="宋体" w:cs="宋体"/>
          <w:color w:val="000000"/>
          <w:kern w:val="0"/>
          <w:sz w:val="21"/>
          <w:szCs w:val="21"/>
          <w:highlight w:val="none"/>
          <w:u w:val="single"/>
          <w:lang w:val="en-US" w:eastAsia="zh-CN"/>
        </w:rPr>
        <w:t xml:space="preserve"> 肆 </w:t>
      </w:r>
      <w:r>
        <w:rPr>
          <w:rFonts w:hint="eastAsia" w:ascii="宋体" w:hAnsi="宋体" w:eastAsia="宋体" w:cs="宋体"/>
          <w:color w:val="000000"/>
          <w:kern w:val="0"/>
          <w:sz w:val="21"/>
          <w:szCs w:val="21"/>
          <w:highlight w:val="none"/>
          <w:lang w:val="en-US" w:eastAsia="zh-CN"/>
        </w:rPr>
        <w:t>份，甲乙双方各执</w:t>
      </w:r>
      <w:r>
        <w:rPr>
          <w:rFonts w:hint="eastAsia" w:ascii="宋体" w:hAnsi="宋体" w:eastAsia="宋体" w:cs="宋体"/>
          <w:color w:val="000000"/>
          <w:kern w:val="0"/>
          <w:sz w:val="21"/>
          <w:szCs w:val="21"/>
          <w:highlight w:val="none"/>
          <w:u w:val="single"/>
          <w:lang w:val="en-US" w:eastAsia="zh-CN"/>
        </w:rPr>
        <w:t xml:space="preserve"> 贰 </w:t>
      </w:r>
      <w:r>
        <w:rPr>
          <w:rFonts w:hint="eastAsia" w:ascii="宋体" w:hAnsi="宋体" w:eastAsia="宋体" w:cs="宋体"/>
          <w:color w:val="000000"/>
          <w:kern w:val="0"/>
          <w:sz w:val="21"/>
          <w:szCs w:val="21"/>
          <w:highlight w:val="none"/>
          <w:u w:val="none"/>
          <w:lang w:val="en-US" w:eastAsia="zh-CN"/>
        </w:rPr>
        <w:t>份，</w:t>
      </w:r>
      <w:r>
        <w:rPr>
          <w:rFonts w:hint="eastAsia" w:ascii="宋体" w:hAnsi="宋体" w:eastAsia="宋体" w:cs="宋体"/>
          <w:color w:val="000000"/>
          <w:kern w:val="0"/>
          <w:sz w:val="21"/>
          <w:szCs w:val="21"/>
          <w:highlight w:val="none"/>
          <w:lang w:val="en-US" w:eastAsia="zh-CN"/>
        </w:rPr>
        <w:t>经双方签字盖章后即发生法律效力，且均具有同等法律效力。</w:t>
      </w:r>
    </w:p>
    <w:p w14:paraId="3C8605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.3签订时间</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none"/>
          <w:lang w:val="en-US" w:eastAsia="zh-CN"/>
        </w:rPr>
        <w:t>。</w:t>
      </w:r>
    </w:p>
    <w:tbl>
      <w:tblPr>
        <w:tblStyle w:val="7"/>
        <w:tblpPr w:leftFromText="180" w:rightFromText="180" w:vertAnchor="text" w:horzAnchor="page" w:tblpX="1607" w:tblpY="584"/>
        <w:tblOverlap w:val="never"/>
        <w:tblW w:w="9347" w:type="dxa"/>
        <w:tblInd w:w="0" w:type="dxa"/>
        <w:tblLayout w:type="fixed"/>
        <w:tblCellMar>
          <w:top w:w="0" w:type="dxa"/>
          <w:left w:w="108" w:type="dxa"/>
          <w:bottom w:w="0" w:type="dxa"/>
          <w:right w:w="108" w:type="dxa"/>
        </w:tblCellMar>
      </w:tblPr>
      <w:tblGrid>
        <w:gridCol w:w="4812"/>
        <w:gridCol w:w="4535"/>
      </w:tblGrid>
      <w:tr w14:paraId="3471A26F">
        <w:tblPrEx>
          <w:tblCellMar>
            <w:top w:w="0" w:type="dxa"/>
            <w:left w:w="108" w:type="dxa"/>
            <w:bottom w:w="0" w:type="dxa"/>
            <w:right w:w="108" w:type="dxa"/>
          </w:tblCellMar>
        </w:tblPrEx>
        <w:trPr>
          <w:trHeight w:val="968" w:hRule="atLeast"/>
        </w:trPr>
        <w:tc>
          <w:tcPr>
            <w:tcW w:w="4812" w:type="dxa"/>
            <w:noWrap w:val="0"/>
            <w:vAlign w:val="top"/>
          </w:tcPr>
          <w:p w14:paraId="0B8406A2">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甲方</w:t>
            </w:r>
            <w:r>
              <w:rPr>
                <w:rFonts w:hint="eastAsia" w:ascii="宋体" w:hAnsi="宋体" w:eastAsia="宋体" w:cs="宋体"/>
                <w:color w:val="000000"/>
                <w:kern w:val="0"/>
                <w:sz w:val="21"/>
                <w:szCs w:val="21"/>
                <w:highlight w:val="none"/>
              </w:rPr>
              <w:t>：</w:t>
            </w:r>
          </w:p>
          <w:p w14:paraId="07AF3C6E">
            <w:pPr>
              <w:bidi w:val="0"/>
              <w:spacing w:line="360" w:lineRule="auto"/>
              <w:rPr>
                <w:rFonts w:hint="eastAsia" w:ascii="宋体" w:hAnsi="宋体" w:eastAsia="宋体" w:cs="宋体"/>
                <w:color w:val="000000"/>
                <w:kern w:val="0"/>
                <w:sz w:val="21"/>
                <w:szCs w:val="21"/>
                <w:highlight w:val="none"/>
              </w:rPr>
            </w:pPr>
          </w:p>
        </w:tc>
        <w:tc>
          <w:tcPr>
            <w:tcW w:w="4535" w:type="dxa"/>
            <w:noWrap w:val="0"/>
            <w:vAlign w:val="top"/>
          </w:tcPr>
          <w:p w14:paraId="3251BF97">
            <w:pPr>
              <w:bidi w:val="0"/>
              <w:spacing w:line="360" w:lineRule="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eastAsia="zh-CN"/>
              </w:rPr>
              <w:t>乙方</w:t>
            </w:r>
            <w:r>
              <w:rPr>
                <w:rFonts w:hint="eastAsia" w:ascii="宋体" w:hAnsi="宋体" w:eastAsia="宋体" w:cs="宋体"/>
                <w:color w:val="000000"/>
                <w:kern w:val="0"/>
                <w:sz w:val="21"/>
                <w:szCs w:val="21"/>
                <w:highlight w:val="none"/>
              </w:rPr>
              <w:t>：</w:t>
            </w:r>
          </w:p>
        </w:tc>
      </w:tr>
      <w:tr w14:paraId="5B4B4A7C">
        <w:tblPrEx>
          <w:tblCellMar>
            <w:top w:w="0" w:type="dxa"/>
            <w:left w:w="108" w:type="dxa"/>
            <w:bottom w:w="0" w:type="dxa"/>
            <w:right w:w="108" w:type="dxa"/>
          </w:tblCellMar>
        </w:tblPrEx>
        <w:trPr>
          <w:trHeight w:val="729" w:hRule="atLeast"/>
        </w:trPr>
        <w:tc>
          <w:tcPr>
            <w:tcW w:w="4812" w:type="dxa"/>
            <w:noWrap w:val="0"/>
            <w:vAlign w:val="top"/>
          </w:tcPr>
          <w:p w14:paraId="7D72D7A9">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c>
          <w:tcPr>
            <w:tcW w:w="4535" w:type="dxa"/>
            <w:noWrap w:val="0"/>
            <w:vAlign w:val="top"/>
          </w:tcPr>
          <w:p w14:paraId="1681AD6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r>
      <w:tr w14:paraId="653002B7">
        <w:tblPrEx>
          <w:tblCellMar>
            <w:top w:w="0" w:type="dxa"/>
            <w:left w:w="108" w:type="dxa"/>
            <w:bottom w:w="0" w:type="dxa"/>
            <w:right w:w="108" w:type="dxa"/>
          </w:tblCellMar>
        </w:tblPrEx>
        <w:trPr>
          <w:trHeight w:val="729" w:hRule="atLeast"/>
        </w:trPr>
        <w:tc>
          <w:tcPr>
            <w:tcW w:w="4812" w:type="dxa"/>
            <w:noWrap w:val="0"/>
            <w:vAlign w:val="top"/>
          </w:tcPr>
          <w:p w14:paraId="38CF11A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c>
          <w:tcPr>
            <w:tcW w:w="4535" w:type="dxa"/>
            <w:noWrap w:val="0"/>
            <w:vAlign w:val="top"/>
          </w:tcPr>
          <w:p w14:paraId="4F882606">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r>
      <w:tr w14:paraId="5DED6F00">
        <w:tblPrEx>
          <w:tblCellMar>
            <w:top w:w="0" w:type="dxa"/>
            <w:left w:w="108" w:type="dxa"/>
            <w:bottom w:w="0" w:type="dxa"/>
            <w:right w:w="108" w:type="dxa"/>
          </w:tblCellMar>
        </w:tblPrEx>
        <w:trPr>
          <w:trHeight w:val="836" w:hRule="atLeast"/>
        </w:trPr>
        <w:tc>
          <w:tcPr>
            <w:tcW w:w="4812" w:type="dxa"/>
            <w:noWrap w:val="0"/>
            <w:vAlign w:val="top"/>
          </w:tcPr>
          <w:p w14:paraId="079FD02A">
            <w:pPr>
              <w:bidi w:val="0"/>
              <w:spacing w:line="360" w:lineRule="auto"/>
              <w:rPr>
                <w:rFonts w:hint="eastAsia" w:ascii="宋体" w:hAnsi="宋体" w:eastAsia="宋体" w:cs="宋体"/>
                <w:color w:val="000000"/>
                <w:kern w:val="0"/>
                <w:sz w:val="21"/>
                <w:szCs w:val="21"/>
                <w:highlight w:val="none"/>
              </w:rPr>
            </w:pPr>
          </w:p>
          <w:p w14:paraId="5B999BCA">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c>
          <w:tcPr>
            <w:tcW w:w="4535" w:type="dxa"/>
            <w:noWrap w:val="0"/>
            <w:vAlign w:val="top"/>
          </w:tcPr>
          <w:p w14:paraId="4FA8C4C6">
            <w:pPr>
              <w:bidi w:val="0"/>
              <w:spacing w:line="360" w:lineRule="auto"/>
              <w:rPr>
                <w:rFonts w:hint="eastAsia" w:ascii="宋体" w:hAnsi="宋体" w:eastAsia="宋体" w:cs="宋体"/>
                <w:color w:val="000000"/>
                <w:kern w:val="0"/>
                <w:sz w:val="21"/>
                <w:szCs w:val="21"/>
                <w:highlight w:val="none"/>
              </w:rPr>
            </w:pPr>
          </w:p>
          <w:p w14:paraId="3E6A89E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r>
      <w:tr w14:paraId="18EB24DA">
        <w:tblPrEx>
          <w:tblCellMar>
            <w:top w:w="0" w:type="dxa"/>
            <w:left w:w="108" w:type="dxa"/>
            <w:bottom w:w="0" w:type="dxa"/>
            <w:right w:w="108" w:type="dxa"/>
          </w:tblCellMar>
        </w:tblPrEx>
        <w:trPr>
          <w:trHeight w:val="637" w:hRule="atLeast"/>
        </w:trPr>
        <w:tc>
          <w:tcPr>
            <w:tcW w:w="4812" w:type="dxa"/>
            <w:noWrap w:val="0"/>
            <w:vAlign w:val="top"/>
          </w:tcPr>
          <w:p w14:paraId="18056CA7">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c>
          <w:tcPr>
            <w:tcW w:w="4535" w:type="dxa"/>
            <w:noWrap w:val="0"/>
            <w:vAlign w:val="top"/>
          </w:tcPr>
          <w:p w14:paraId="3833D3EF">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r>
      <w:tr w14:paraId="3DD78072">
        <w:tblPrEx>
          <w:tblCellMar>
            <w:top w:w="0" w:type="dxa"/>
            <w:left w:w="108" w:type="dxa"/>
            <w:bottom w:w="0" w:type="dxa"/>
            <w:right w:w="108" w:type="dxa"/>
          </w:tblCellMar>
        </w:tblPrEx>
        <w:trPr>
          <w:trHeight w:val="614" w:hRule="atLeast"/>
        </w:trPr>
        <w:tc>
          <w:tcPr>
            <w:tcW w:w="4812" w:type="dxa"/>
            <w:noWrap w:val="0"/>
            <w:vAlign w:val="top"/>
          </w:tcPr>
          <w:p w14:paraId="4F5B6D8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c>
          <w:tcPr>
            <w:tcW w:w="4535" w:type="dxa"/>
            <w:noWrap w:val="0"/>
            <w:vAlign w:val="top"/>
          </w:tcPr>
          <w:p w14:paraId="15D78A2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r>
      <w:tr w14:paraId="41ECC1FB">
        <w:tblPrEx>
          <w:tblCellMar>
            <w:top w:w="0" w:type="dxa"/>
            <w:left w:w="108" w:type="dxa"/>
            <w:bottom w:w="0" w:type="dxa"/>
            <w:right w:w="108" w:type="dxa"/>
          </w:tblCellMar>
        </w:tblPrEx>
        <w:trPr>
          <w:trHeight w:val="694" w:hRule="atLeast"/>
        </w:trPr>
        <w:tc>
          <w:tcPr>
            <w:tcW w:w="4812" w:type="dxa"/>
            <w:noWrap w:val="0"/>
            <w:vAlign w:val="top"/>
          </w:tcPr>
          <w:p w14:paraId="1D53A954">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c>
          <w:tcPr>
            <w:tcW w:w="4535" w:type="dxa"/>
            <w:noWrap w:val="0"/>
            <w:vAlign w:val="top"/>
          </w:tcPr>
          <w:p w14:paraId="6C987F3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r>
      <w:bookmarkEnd w:id="4"/>
      <w:bookmarkEnd w:id="5"/>
      <w:bookmarkEnd w:id="6"/>
      <w:bookmarkEnd w:id="7"/>
      <w:bookmarkEnd w:id="8"/>
      <w:bookmarkEnd w:id="9"/>
      <w:bookmarkEnd w:id="10"/>
      <w:bookmarkEnd w:id="11"/>
      <w:bookmarkEnd w:id="12"/>
    </w:tbl>
    <w:p w14:paraId="6B66C6C0"/>
    <w:p w14:paraId="569738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032B7EB2"/>
    <w:rsid w:val="0C804B19"/>
    <w:rsid w:val="2A3D421A"/>
    <w:rsid w:val="360A7FBE"/>
    <w:rsid w:val="42E36709"/>
    <w:rsid w:val="5EE373AA"/>
    <w:rsid w:val="60FC004A"/>
    <w:rsid w:val="734603C0"/>
    <w:rsid w:val="734834A1"/>
    <w:rsid w:val="79C45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0"/>
    <w:qFormat/>
    <w:uiPriority w:val="0"/>
    <w:pPr>
      <w:keepNext/>
      <w:jc w:val="center"/>
      <w:outlineLvl w:val="0"/>
    </w:pPr>
    <w:rPr>
      <w:kern w:val="0"/>
      <w:sz w:val="28"/>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widowControl/>
      <w:ind w:firstLine="420"/>
      <w:jc w:val="left"/>
    </w:pPr>
    <w:rPr>
      <w:kern w:val="0"/>
      <w:sz w:val="20"/>
    </w:rPr>
  </w:style>
  <w:style w:type="paragraph" w:styleId="5">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6">
    <w:name w:val="Normal (Web)"/>
    <w:basedOn w:val="1"/>
    <w:uiPriority w:val="0"/>
    <w:rPr>
      <w:sz w:val="24"/>
    </w:rPr>
  </w:style>
  <w:style w:type="paragraph" w:customStyle="1" w:styleId="9">
    <w:name w:val="正文缩进1"/>
    <w:basedOn w:val="1"/>
    <w:qFormat/>
    <w:uiPriority w:val="0"/>
    <w:pPr>
      <w:ind w:firstLine="420" w:firstLineChars="200"/>
    </w:pPr>
  </w:style>
  <w:style w:type="character" w:customStyle="1" w:styleId="10">
    <w:name w:val="标题 1 Char"/>
    <w:link w:val="2"/>
    <w:qFormat/>
    <w:uiPriority w:val="0"/>
    <w:rPr>
      <w:kern w:val="0"/>
      <w:sz w:val="28"/>
    </w:rPr>
  </w:style>
  <w:style w:type="paragraph" w:customStyle="1" w:styleId="11">
    <w:name w:val="_Style 3"/>
    <w:qFormat/>
    <w:uiPriority w:val="1"/>
    <w:pPr>
      <w:widowControl w:val="0"/>
      <w:jc w:val="both"/>
    </w:pPr>
    <w:rPr>
      <w:rFonts w:ascii="Calibri" w:hAnsi="Calibri" w:eastAsia="宋体" w:cs="Times New Roman"/>
      <w:kern w:val="2"/>
      <w:sz w:val="21"/>
      <w:szCs w:val="22"/>
      <w:lang w:val="en-US" w:eastAsia="zh-CN" w:bidi="ar-SA"/>
    </w:rPr>
  </w:style>
  <w:style w:type="paragraph" w:styleId="12">
    <w:name w:val="List Paragraph"/>
    <w:basedOn w:val="1"/>
    <w:qFormat/>
    <w:uiPriority w:val="34"/>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3274</Words>
  <Characters>3482</Characters>
  <Lines>0</Lines>
  <Paragraphs>0</Paragraphs>
  <TotalTime>2</TotalTime>
  <ScaleCrop>false</ScaleCrop>
  <LinksUpToDate>false</LinksUpToDate>
  <CharactersWithSpaces>3663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2024-09-04T10:32:00Z</dcterms:created>
  <dc:creator>Administrator</dc:creator>
  <cp:lastModifiedBy>向阳</cp:lastModifiedBy>
  <dcterms:modified xsi:type="dcterms:W3CDTF">2025-09-05T07:05:12Z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6EF1FCFEBC8E402DB5E6AFED769F6990_13</vt:lpwstr>
  </property>
  <property fmtid="{D5CDD505-2E9C-101B-9397-08002B2CF9AE}" pid="4" name="KSOTemplateDocerSaveRecord">
    <vt:lpwstr>eyJoZGlkIjoiNzk1ZTU4YjNjOGI3MzhhYTkxZmI3NzRmY2VhYmU5MTIiLCJ1c2VySWQiOiI5MDUwMzI5NTYifQ==</vt:lpwstr>
  </property>
</Properties>
</file>