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版本号：SXXZ-CS-202508001.1B120250919001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陕西省知识产权纠纷快速处理创新机制建设项目(二次)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SXXZ-CS-202508001.1B1</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陕西省知识产权纠纷快速处理创新机制建设项目(二次)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SXXZ-CS-202508001.1B1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陕西省知识产权纠纷快速处理创新机制建设项目(二次)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知识产权数量的快速增长，知识产权纠纷呈现复杂化、高频化趋势，传统的纠纷处理机制在响应速度、协同效率和专业支撑等方面难以适应新时代知识产权保护需求。为了提高知识产权纠纷处理速度和质量，优化处理流程，以“快速响应、高效协同、专业支撑”为目标，通过构建知识产权纠纷快速处理创新机制，优化全流程处理链条，提升纠纷处理效率和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2、信誉：投标人不得列入“中国执行信息公开网”网站被列为失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代理服务费收费标准：参照国家发展计划委员会计价格[2002]1980号文件、国家发展改革委员会办公厅颁发的《关于招标代理服务收费有关问题的通知》（发改办价格[2003]857号）的标准收取，最低收取8000元整。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地址：陕西省西安市市本级陕西省西安市曲江新区翠华路275号电信科学技术第四研究所院内30栋1层101室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知识产权数量的快速增长，知识产权纠纷呈现复杂化、高频化趋势，传统的纠纷处理机制在响应速度、协同效率和专业支撑等方面难以适应新时代知识产权保护需求。为了提高知识产权纠纷处理速度和质量，优化处理流程，以“快速响应、高效协同、专业支撑”为目标，通过构建知识产权纠纷快速处理创新机制，优化全流程处理链条，提升纠纷处理效率和质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陕西省知识产权纠纷快速处理创新机制建设项目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标的名称：陕西省知识产权纠纷快速处理创新机制建设项目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1.</w:t>
            </w:r>
            <w:r>
              <w:rPr>
                <w:rFonts w:ascii="仿宋_GB2312" w:hAnsi="仿宋_GB2312" w:cs="仿宋_GB2312" w:eastAsia="仿宋_GB2312"/>
              </w:rPr>
              <w:t>开展知识产权纠纷快速处理工作调研与分析</w:t>
            </w:r>
          </w:p>
          <w:p>
            <w:pPr>
              <w:pStyle w:val="null3"/>
            </w:pPr>
            <w:r>
              <w:rPr>
                <w:rFonts w:ascii="仿宋_GB2312" w:hAnsi="仿宋_GB2312" w:cs="仿宋_GB2312" w:eastAsia="仿宋_GB2312"/>
              </w:rPr>
              <w:t>调研我省知识产权协同保护相关机构、重点企业知识产权保护状况及具有先进经验的其他保护中心，对陕西省知识产权保护现存的主要问题进行梳理，参考先进经验做法制定相应的解决方案，对我省知识产权纠纷快速处理制度进行完善和优化。</w:t>
            </w:r>
          </w:p>
          <w:p>
            <w:pPr>
              <w:pStyle w:val="null3"/>
            </w:pPr>
            <w:r>
              <w:rPr>
                <w:rFonts w:ascii="仿宋_GB2312" w:hAnsi="仿宋_GB2312" w:cs="仿宋_GB2312" w:eastAsia="仿宋_GB2312"/>
              </w:rPr>
              <w:t>根据我省企业知识产权保护状况，结合新能源产业、新一代信息技术产业、新材料产业、生物产业等重点产业的企业知识产权保护状况，建立知识产权保护重点企业名录，分析知识产权保护重点企业知识产权保护情况，形成重点企业保护状况分析报告。</w:t>
            </w:r>
          </w:p>
          <w:p>
            <w:pPr>
              <w:pStyle w:val="null3"/>
            </w:pPr>
            <w:r>
              <w:rPr>
                <w:rFonts w:ascii="仿宋_GB2312" w:hAnsi="仿宋_GB2312" w:cs="仿宋_GB2312" w:eastAsia="仿宋_GB2312"/>
              </w:rPr>
              <w:t>2.</w:t>
            </w:r>
            <w:r>
              <w:rPr>
                <w:rFonts w:ascii="仿宋_GB2312" w:hAnsi="仿宋_GB2312" w:cs="仿宋_GB2312" w:eastAsia="仿宋_GB2312"/>
              </w:rPr>
              <w:t>梳理我省知识产权纠纷快速处理相关制度或程序</w:t>
            </w:r>
          </w:p>
          <w:p>
            <w:pPr>
              <w:pStyle w:val="null3"/>
            </w:pPr>
            <w:r>
              <w:rPr>
                <w:rFonts w:ascii="仿宋_GB2312" w:hAnsi="仿宋_GB2312" w:cs="仿宋_GB2312" w:eastAsia="仿宋_GB2312"/>
              </w:rPr>
              <w:t>对陕西省维权援助工作程序、知识产权协同保护案件工作规范、展会知识产权保护等内容进行梳理，为有效提升知识产权案件快速处理能力奠定基础。</w:t>
            </w:r>
          </w:p>
          <w:p>
            <w:pPr>
              <w:pStyle w:val="null3"/>
            </w:pPr>
            <w:r>
              <w:rPr>
                <w:rFonts w:ascii="仿宋_GB2312" w:hAnsi="仿宋_GB2312" w:cs="仿宋_GB2312" w:eastAsia="仿宋_GB2312"/>
              </w:rPr>
              <w:t>重点对知识产权侵权纠纷行政裁决案件快速处理、知识产权纠纷行政调解案件快速处理和知识产权纠纷案件诉前快速调解三种类型的知识产权纠纷案件，制定分级分类案件处理指引及重大案件的处理指引。</w:t>
            </w:r>
          </w:p>
          <w:p>
            <w:pPr>
              <w:pStyle w:val="null3"/>
            </w:pPr>
            <w:r>
              <w:rPr>
                <w:rFonts w:ascii="仿宋_GB2312" w:hAnsi="仿宋_GB2312" w:cs="仿宋_GB2312" w:eastAsia="仿宋_GB2312"/>
              </w:rPr>
              <w:t>3.</w:t>
            </w:r>
            <w:r>
              <w:rPr>
                <w:rFonts w:ascii="仿宋_GB2312" w:hAnsi="仿宋_GB2312" w:cs="仿宋_GB2312" w:eastAsia="仿宋_GB2312"/>
              </w:rPr>
              <w:t>根据我省目前知识产权纠纷处理工作的现状、问题提出相应的工作机制与政策建议，完成陕西省知识产权纠纷快速处理分析报告。</w:t>
            </w:r>
          </w:p>
          <w:p>
            <w:pPr>
              <w:pStyle w:val="null3"/>
            </w:pPr>
            <w:r>
              <w:rPr>
                <w:rFonts w:ascii="仿宋_GB2312" w:hAnsi="仿宋_GB2312" w:cs="仿宋_GB2312" w:eastAsia="仿宋_GB2312"/>
              </w:rPr>
              <w:t>（二）预期成果</w:t>
            </w:r>
          </w:p>
          <w:p>
            <w:pPr>
              <w:pStyle w:val="null3"/>
            </w:pPr>
            <w:r>
              <w:rPr>
                <w:rFonts w:ascii="仿宋_GB2312" w:hAnsi="仿宋_GB2312" w:cs="仿宋_GB2312" w:eastAsia="仿宋_GB2312"/>
              </w:rPr>
              <w:t>制定并完善《知识产权维权援助工作程序》《展会知识产权保护规范》《知识产权纠纷快速处理协同保护工作规程》等规范性文件。建立新能源产业、新一代信息技术产业、新材料产业、生物产业知识产权保护重点企业名录，分析企业知识产权保护情况，形成《陕西省重点企业知识产权保护状况分析报告》。</w:t>
            </w:r>
          </w:p>
          <w:p>
            <w:pPr>
              <w:pStyle w:val="null3"/>
            </w:pPr>
            <w:r>
              <w:rPr>
                <w:rFonts w:ascii="仿宋_GB2312" w:hAnsi="仿宋_GB2312" w:cs="仿宋_GB2312" w:eastAsia="仿宋_GB2312"/>
              </w:rPr>
              <w:t>整合相关部门知识产权保护类政策文件、制度规范、业务指南、办案指引等信息资料编写《知识产权纠纷快速处理协同保护资料汇编》。</w:t>
            </w:r>
          </w:p>
          <w:p>
            <w:pPr>
              <w:pStyle w:val="null3"/>
            </w:pPr>
            <w:r>
              <w:rPr>
                <w:rFonts w:ascii="仿宋_GB2312" w:hAnsi="仿宋_GB2312" w:cs="仿宋_GB2312" w:eastAsia="仿宋_GB2312"/>
              </w:rPr>
              <w:t>根据实地调研与意见收集，完成《陕西省知识产权纠纷快速处理工作问题研究及分析报告》。</w:t>
            </w:r>
          </w:p>
          <w:p>
            <w:pPr>
              <w:pStyle w:val="null3"/>
            </w:pPr>
            <w:r>
              <w:rPr>
                <w:rFonts w:ascii="仿宋_GB2312" w:hAnsi="仿宋_GB2312" w:cs="仿宋_GB2312" w:eastAsia="仿宋_GB2312"/>
              </w:rPr>
              <w:t>（三）项目要求</w:t>
            </w:r>
          </w:p>
          <w:p>
            <w:pPr>
              <w:pStyle w:val="null3"/>
            </w:pPr>
            <w:r>
              <w:rPr>
                <w:rFonts w:ascii="仿宋_GB2312" w:hAnsi="仿宋_GB2312" w:cs="仿宋_GB2312" w:eastAsia="仿宋_GB2312"/>
              </w:rPr>
              <w:t>1.</w:t>
            </w:r>
            <w:r>
              <w:rPr>
                <w:rFonts w:ascii="仿宋_GB2312" w:hAnsi="仿宋_GB2312" w:cs="仿宋_GB2312" w:eastAsia="仿宋_GB2312"/>
              </w:rPr>
              <w:t>质量要求</w:t>
            </w:r>
          </w:p>
          <w:p>
            <w:pPr>
              <w:pStyle w:val="null3"/>
            </w:pPr>
            <w:r>
              <w:rPr>
                <w:rFonts w:ascii="仿宋_GB2312" w:hAnsi="仿宋_GB2312" w:cs="仿宋_GB2312" w:eastAsia="仿宋_GB2312"/>
              </w:rPr>
              <w:t>严格按照国家法律法规或技术标准的规定要求，专业、全面、深入开展相关工作。</w:t>
            </w:r>
          </w:p>
          <w:p>
            <w:pPr>
              <w:pStyle w:val="null3"/>
            </w:pPr>
            <w:r>
              <w:rPr>
                <w:rFonts w:ascii="仿宋_GB2312" w:hAnsi="仿宋_GB2312" w:cs="仿宋_GB2312" w:eastAsia="仿宋_GB2312"/>
              </w:rPr>
              <w:t>2.</w:t>
            </w:r>
            <w:r>
              <w:rPr>
                <w:rFonts w:ascii="仿宋_GB2312" w:hAnsi="仿宋_GB2312" w:cs="仿宋_GB2312" w:eastAsia="仿宋_GB2312"/>
              </w:rPr>
              <w:t>安全要求</w:t>
            </w:r>
          </w:p>
          <w:p>
            <w:pPr>
              <w:pStyle w:val="null3"/>
            </w:pPr>
            <w:r>
              <w:rPr>
                <w:rFonts w:ascii="仿宋_GB2312" w:hAnsi="仿宋_GB2312" w:cs="仿宋_GB2312" w:eastAsia="仿宋_GB2312"/>
              </w:rPr>
              <w:t>项目所涉相关信息需严格保密。</w:t>
            </w:r>
          </w:p>
          <w:p>
            <w:pPr>
              <w:pStyle w:val="null3"/>
            </w:pPr>
            <w:r>
              <w:rPr>
                <w:rFonts w:ascii="仿宋_GB2312" w:hAnsi="仿宋_GB2312" w:cs="仿宋_GB2312" w:eastAsia="仿宋_GB2312"/>
              </w:rPr>
              <w:t>3.</w:t>
            </w:r>
            <w:r>
              <w:rPr>
                <w:rFonts w:ascii="仿宋_GB2312" w:hAnsi="仿宋_GB2312" w:cs="仿宋_GB2312" w:eastAsia="仿宋_GB2312"/>
              </w:rPr>
              <w:t>时限要求</w:t>
            </w:r>
          </w:p>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r>
              <w:rPr>
                <w:rFonts w:ascii="仿宋_GB2312" w:hAnsi="仿宋_GB2312" w:cs="仿宋_GB2312" w:eastAsia="仿宋_GB2312"/>
                <w:sz w:val="21"/>
              </w:rPr>
              <w:t>30</w:t>
            </w:r>
            <w:r>
              <w:rPr>
                <w:rFonts w:ascii="仿宋_GB2312" w:hAnsi="仿宋_GB2312" w:cs="仿宋_GB2312" w:eastAsia="仿宋_GB2312"/>
                <w:sz w:val="21"/>
              </w:rPr>
              <w:t>日之前完成。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2025年11月30日之前完成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3、未按合同要求进行项目的实施或实施不能满足技术要求，采购人有权终止合同和对中标供应商违约行为进行追究，同时按政府采购法的有关规定进行相应的处罚。 4、在执行本合同中发生的或与本合同有关的争端，双方应通过友好协商解决，经协商在 7 天内不能达成协议时，则采取向甲方所在地有管辖权的人民法院提起诉讼方式解决争议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甲方的权利和义务 1、甲方有权对合同规定范围内乙方的服务行为进行监督和检查，拥有监管权。有权定期核对乙方提供服务所配备的人员数量。对甲方认为不合理的部分有权下达整改通知书，并要求乙方限期整改。 2、甲方有权对乙方提供的服务进行定期考评。当考评结果未达到标准时，甲方有权要求乙方做出整改；若乙方整改依旧无法通过考评，则甲方有权要求赔偿。 3、负责检查监督乙方管理工作的实施及制度的执行情况。 4、根据本合同规定，按时向乙方支付应付服务费用。 5、甲方应及时向乙方提供相关资料，协助乙方办理有关事宜。 6、对合同条款及所知悉的乙方商业秘密负有保密义务。 7、国家法律、法规所规定由甲方承担的其它责任。 乙方的权利和义务 1、对本合同规定的委托服务范围内的项目享有管理权及服务义务。 2、根据本合同的规定向甲方收取相关服务费用，并有权在本项目管理范围内管理及合理使用。 3、及时向甲方通告本项目服务范围内有关服务的重大事项，及时配合处理。 4、乙方应保护甲方提供的相关资料。未经甲方同意不得擅自修改、复制或向第三人转让或用于本合同外的项目，如发生以上情况，乙方应负法律责任，甲方有权向乙方提出索赔。 5、乙方在中途需更换所指派的项目负责人，应事先征得甲方同意。 6、接受项目行业管理部门及政府有关部门的指导，接受甲方的监督。 7、国家法律、法规所规定由乙方承担的其它责任。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合法注册的法人或其他组织的营业执照等证明文件，自然人的身份证明。（2）具有良好的商业信誉和健全的财务会计制度的证明材料（须提供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)。（3）社会保障资金缴纳证明：提供已缴纳的本年度任意一个月份的缴税凭证，依法不需要缴纳社会保障资金的单位应提供相关证明材料。 （4）税收缴纳证明：提供已缴纳的本年度任意一个月份的社保缴费凭据或社保机构开具的社会保险参保缴费情况证明。依法免税的供应商应提供相关文件证明。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供应商关系承诺书.docx 响应文件封面 项目负责人简历表.docx 残疾人福利性单位声明函 服务方案 标的清单 供应商资格证明文件.docx 响应函 拟派人员一览表.docx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根据供应商对本项目的理解及分析程度进行赋分，内容包含但不限于项目背景、项目需求、工作目标解读等进行综合评审。 针对本项目服务内容理解全面、需求分析明确，能够紧扣项目实际情况分析，关键内容把握得当，计11.1-20分； 针对本项目理解单一、需求分析含糊，描述较详细，关键内容可行性不足，计5.1-11分； 针对本项目理解需求分析有偏差、关键内容阐述不明确，不利于项目实施，计0.1-5分； 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围绕本项目工作主题，对本项目的各项服务内容提供具体详细服务方案。 服务方案主题明确，可操作性强，实施步骤清晰、合理；计11.1-20分； 服务方案总体内容比较单一，实施步骤基本合理，计5.1-11分； 服务方案总体思路有偏差，未能紧扣本项目主题开展实施，实施步骤涵盖内容不全面，计0.1-5分； 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供应商结合本项目实际情况制定合理、可行、完整的总体进度计划及保障措施。 进度计划及保障措施内容完整且时效性强，能够切合本项目实际情况对进度关键节点的控制和保障措施详细描述，完全满足采购要求，计5.1-7分； 进度计划及保障措施内容单一，基本可行，计2.6-5分； 进度计划及保障措施有偏差，不利于项目实施，计0.1-2.5分；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制度完善，措施合理可行，把控严格计5.1-8分； 制度较完整，措施基本可行计3.1-5分； 保密制度和措施简单计0.1-3分；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供应商结合本项目实际情况提供全面、合理、可行性强的服务承诺。 服务承诺详细完善、内容丰富、合理化建议可行性强，计6.1-10分； 服务承诺内容单一，基本可行，计3.1-6分； 服务承诺有偏差，不利于项目实施，计0.1-3分；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供应商针对本项目服务内容设置专一对接工作小组，明确对接人员及人员工作安排。内容包含但不限于岗位配置方案、岗位职责、人员管理方案等。 项目团队成员配备齐全，组织架构完整，职责划分明确，拟派人数为10人（含）以上的，计6.1-10分； 项目团队成员配备较合理，组织架构较完整，职责划分较为明确，拟派人数为5-9人的，计3.1-6分； 项目团队成员配备单一，组织架构不够完整，责任分工不明确，计0.1-3分；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对开展本项目工作的重点和难点理解充分，切合研究背景及情况，并对关键性技术问题提出建议合理，有详细的研究重点、难点及分项对策具体且完全满足项目总体要求。 重点、难点分析清晰合理，重点把控准确，难点解决思路明确，解决计划可行性强，计6.1-9分； 重点、难点分析清晰，重点明确，难点解决思路一般，解决计划有可行性，计3.1-6分； 重点、难点分析模糊，重点把控一般，难点解决思路模糊，解决计划可行性一般，计0.1-3分；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供应商提供自2022年01月01日至今类似项目业绩，每提供一个得2分，最高得6分。 注：须提供合同复印件，加盖供应商公章，复印件不得漏页、遮挡、涂改。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