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版本号：SXXS-CS-202509001.1B120250924001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海外知识产权诉讼相关数据库采购项目(二次)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SXXS-CS-202509001.1B1</w:t>
      </w:r>
      <w:r>
        <w:br/>
      </w:r>
      <w:r>
        <w:br/>
      </w:r>
      <w:r>
        <w:br/>
      </w:r>
    </w:p>
    <w:p>
      <w:pPr>
        <w:pStyle w:val="null3"/>
        <w:jc w:val="center"/>
        <w:outlineLvl w:val="2"/>
      </w:pPr>
      <w:r>
        <w:rPr>
          <w:rFonts w:ascii="仿宋_GB2312" w:hAnsi="仿宋_GB2312" w:cs="仿宋_GB2312" w:eastAsia="仿宋_GB2312"/>
          <w:sz w:val="28"/>
          <w:b/>
        </w:rPr>
        <w:t>陕西省知识产权保护中心</w:t>
      </w:r>
    </w:p>
    <w:p>
      <w:pPr>
        <w:pStyle w:val="null3"/>
        <w:jc w:val="center"/>
        <w:outlineLvl w:val="2"/>
      </w:pPr>
      <w:r>
        <w:rPr>
          <w:rFonts w:ascii="仿宋_GB2312" w:hAnsi="仿宋_GB2312" w:cs="仿宋_GB2312" w:eastAsia="仿宋_GB2312"/>
          <w:sz w:val="28"/>
          <w:b/>
        </w:rPr>
        <w:t>陕西晓筑项目管理有限公司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陕西晓筑项目管理有限公司</w:t>
      </w:r>
      <w:r>
        <w:rPr>
          <w:rFonts w:ascii="仿宋_GB2312" w:hAnsi="仿宋_GB2312" w:cs="仿宋_GB2312" w:eastAsia="仿宋_GB2312"/>
        </w:rPr>
        <w:t>（以下简称“代理机构”）受</w:t>
      </w:r>
      <w:r>
        <w:rPr>
          <w:rFonts w:ascii="仿宋_GB2312" w:hAnsi="仿宋_GB2312" w:cs="仿宋_GB2312" w:eastAsia="仿宋_GB2312"/>
        </w:rPr>
        <w:t>陕西省知识产权保护中心</w:t>
      </w:r>
      <w:r>
        <w:rPr>
          <w:rFonts w:ascii="仿宋_GB2312" w:hAnsi="仿宋_GB2312" w:cs="仿宋_GB2312" w:eastAsia="仿宋_GB2312"/>
        </w:rPr>
        <w:t>委托，拟对</w:t>
      </w:r>
      <w:r>
        <w:rPr>
          <w:rFonts w:ascii="仿宋_GB2312" w:hAnsi="仿宋_GB2312" w:cs="仿宋_GB2312" w:eastAsia="仿宋_GB2312"/>
        </w:rPr>
        <w:t>海外知识产权诉讼相关数据库采购项目(二次)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SXXS-CS-202509001.1B1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海外知识产权诉讼相关数据库采购项目(二次)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海外知识产权纠纷应对指导地方分中心管理办法》工作要求，作为地方分中心需收集所在地区企业遭遇的海外知识产权纠纷信息和典型案例，并对陕西企业海外纠纷提供服务指导。需购买海外知识产权诉讼相关专业数据库进行案件检索与追踪</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身份证或法定代表人授权书及授权代表身份证：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或劳动合同）。</w:t>
      </w:r>
    </w:p>
    <w:p>
      <w:pPr>
        <w:pStyle w:val="null3"/>
      </w:pPr>
      <w:r>
        <w:rPr>
          <w:rFonts w:ascii="仿宋_GB2312" w:hAnsi="仿宋_GB2312" w:cs="仿宋_GB2312" w:eastAsia="仿宋_GB2312"/>
        </w:rPr>
        <w:t>2、信誉：投标人不得列入“中国执行信息公开网”网站被列为失 信被执行人、“信用中国”网站重大税收违法失信主体及“中国政府采购网”（http://www.ccgp.gov.cn/）政府采购严重违法失信行为记录名单。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陕西省知识产权保护中心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西安市未央区沣东自贸新天地2A座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訾老师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029-85719688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陕西晓筑项目管理有限公司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陕西省西安市市本级陕西省西安市曲江新区翠华路275号电信科学技术第四研究所院内30栋1层101室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029-89549424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计划委员会计价格[2002]1980号文件、国家发展改革委员会办公厅颁发的《关于招标代理服务收费有关问题的通知》（发改办价格[2003]857号）的标准收取，本项目最低收费8000.00元，不足捌仟按捌仟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陕西省知识产权保护中心</w:t>
      </w:r>
      <w:r>
        <w:rPr>
          <w:rFonts w:ascii="仿宋_GB2312" w:hAnsi="仿宋_GB2312" w:cs="仿宋_GB2312" w:eastAsia="仿宋_GB2312"/>
        </w:rPr>
        <w:t>和</w:t>
      </w:r>
      <w:r>
        <w:rPr>
          <w:rFonts w:ascii="仿宋_GB2312" w:hAnsi="仿宋_GB2312" w:cs="仿宋_GB2312" w:eastAsia="仿宋_GB2312"/>
        </w:rPr>
        <w:t>陕西晓筑项目管理有限公司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陕西省知识产权保护中心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陕西晓筑项目管理有限公司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陕西省知识产权保护中心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陕西晓筑项目管理有限公司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陕西晓筑项目管理有限公司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陕西晓筑项目管理有限公司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陕西晓筑项目管理有限公司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联系人：刘帅</w:t>
      </w:r>
    </w:p>
    <w:p>
      <w:pPr>
        <w:pStyle w:val="null3"/>
      </w:pPr>
      <w:r>
        <w:rPr>
          <w:rFonts w:ascii="仿宋_GB2312" w:hAnsi="仿宋_GB2312" w:cs="仿宋_GB2312" w:eastAsia="仿宋_GB2312"/>
        </w:rPr>
        <w:t>联系电话：029-89549424</w:t>
      </w:r>
    </w:p>
    <w:p>
      <w:pPr>
        <w:pStyle w:val="null3"/>
      </w:pPr>
      <w:r>
        <w:rPr>
          <w:rFonts w:ascii="仿宋_GB2312" w:hAnsi="仿宋_GB2312" w:cs="仿宋_GB2312" w:eastAsia="仿宋_GB2312"/>
        </w:rPr>
        <w:t>地址：陕西省西安市曲江新区275号电信科学技术第四研究所内30栋1层101 室</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18"/>
        </w:rPr>
        <w:t>根据《海外知识产权纠纷应对指导地方分中心管理办法》工作要求，作为地方分中心需收集所在地区企业遭遇的海外知识产权纠纷信息和典型案例，并对陕西企业海外纠纷提供服务指导。需购买海外知识产权诉讼相关专业数据库进行案件检索与追踪</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海外知识产权诉讼相关数据库采购项目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标的名称：海外知识产权诉讼相关数据库采购项目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21"/>
              </w:rPr>
              <w:t>（一）项目内容</w:t>
            </w:r>
          </w:p>
          <w:p>
            <w:pPr>
              <w:pStyle w:val="null3"/>
              <w:ind w:firstLine="640"/>
              <w:jc w:val="both"/>
            </w:pPr>
            <w:r>
              <w:rPr>
                <w:rFonts w:ascii="仿宋_GB2312" w:hAnsi="仿宋_GB2312" w:cs="仿宋_GB2312" w:eastAsia="仿宋_GB2312"/>
                <w:sz w:val="21"/>
              </w:rPr>
              <w:t>根据《海外知识产权纠纷应对指导地方分中心管理办法》工作要求，作为地方分中心需收集所在地区企业遭遇的海外知识产权纠纷信息和典型案例，并对陕西企业海外纠纷提供服务指导。</w:t>
            </w:r>
            <w:r>
              <w:rPr>
                <w:rFonts w:ascii="仿宋_GB2312" w:hAnsi="仿宋_GB2312" w:cs="仿宋_GB2312" w:eastAsia="仿宋_GB2312"/>
                <w:sz w:val="21"/>
              </w:rPr>
              <w:t>需购买海外知识产权诉讼相关专业数据库进行案件检索与追踪。</w:t>
            </w:r>
          </w:p>
          <w:p>
            <w:pPr>
              <w:pStyle w:val="null3"/>
              <w:ind w:firstLine="640"/>
              <w:jc w:val="both"/>
            </w:pPr>
            <w:r>
              <w:rPr>
                <w:rFonts w:ascii="仿宋_GB2312" w:hAnsi="仿宋_GB2312" w:cs="仿宋_GB2312" w:eastAsia="仿宋_GB2312"/>
                <w:sz w:val="21"/>
              </w:rPr>
              <w:t>（二）预期成果</w:t>
            </w:r>
          </w:p>
          <w:p>
            <w:pPr>
              <w:pStyle w:val="null3"/>
              <w:ind w:firstLine="640"/>
              <w:jc w:val="both"/>
            </w:pPr>
            <w:r>
              <w:rPr>
                <w:rFonts w:ascii="仿宋_GB2312" w:hAnsi="仿宋_GB2312" w:cs="仿宋_GB2312" w:eastAsia="仿宋_GB2312"/>
                <w:sz w:val="21"/>
              </w:rPr>
              <w:t>购买海外知识产权诉讼相关数据库需要提供海外主要国家</w:t>
            </w:r>
            <w:r>
              <w:rPr>
                <w:rFonts w:ascii="仿宋_GB2312" w:hAnsi="仿宋_GB2312" w:cs="仿宋_GB2312" w:eastAsia="仿宋_GB2312"/>
                <w:sz w:val="21"/>
              </w:rPr>
              <w:t>或地区</w:t>
            </w:r>
            <w:r>
              <w:rPr>
                <w:rFonts w:ascii="仿宋_GB2312" w:hAnsi="仿宋_GB2312" w:cs="仿宋_GB2312" w:eastAsia="仿宋_GB2312"/>
                <w:sz w:val="21"/>
              </w:rPr>
              <w:t>知识产权</w:t>
            </w:r>
            <w:r>
              <w:rPr>
                <w:rFonts w:ascii="仿宋_GB2312" w:hAnsi="仿宋_GB2312" w:cs="仿宋_GB2312" w:eastAsia="仿宋_GB2312"/>
                <w:sz w:val="21"/>
              </w:rPr>
              <w:t>诉讼</w:t>
            </w:r>
            <w:r>
              <w:rPr>
                <w:rFonts w:ascii="仿宋_GB2312" w:hAnsi="仿宋_GB2312" w:cs="仿宋_GB2312" w:eastAsia="仿宋_GB2312"/>
                <w:sz w:val="21"/>
              </w:rPr>
              <w:t>案件在线检索账号。可根据公司名称、专利号等进行快速检索，确保海外知识产权诉讼信息的及时性和准确性。以上账号用以监测陕西企业</w:t>
            </w:r>
            <w:r>
              <w:rPr>
                <w:rFonts w:ascii="仿宋_GB2312" w:hAnsi="仿宋_GB2312" w:cs="仿宋_GB2312" w:eastAsia="仿宋_GB2312"/>
                <w:sz w:val="21"/>
              </w:rPr>
              <w:t>海外知识产权诉讼</w:t>
            </w:r>
            <w:r>
              <w:rPr>
                <w:rFonts w:ascii="仿宋_GB2312" w:hAnsi="仿宋_GB2312" w:cs="仿宋_GB2312" w:eastAsia="仿宋_GB2312"/>
                <w:sz w:val="21"/>
              </w:rPr>
              <w:t>情况，为后续开展海外知识产权纠纷应对指导工作奠定基础。</w:t>
            </w:r>
          </w:p>
          <w:p>
            <w:pPr>
              <w:pStyle w:val="null3"/>
              <w:ind w:firstLine="640"/>
              <w:jc w:val="both"/>
            </w:pPr>
            <w:r>
              <w:rPr>
                <w:rFonts w:ascii="仿宋_GB2312" w:hAnsi="仿宋_GB2312" w:cs="仿宋_GB2312" w:eastAsia="仿宋_GB2312"/>
                <w:sz w:val="21"/>
              </w:rPr>
              <w:t>（三）项目要求</w:t>
            </w:r>
          </w:p>
          <w:p>
            <w:pPr>
              <w:pStyle w:val="null3"/>
              <w:ind w:firstLine="640"/>
              <w:jc w:val="both"/>
            </w:pPr>
            <w:r>
              <w:rPr>
                <w:rFonts w:ascii="仿宋_GB2312" w:hAnsi="仿宋_GB2312" w:cs="仿宋_GB2312" w:eastAsia="仿宋_GB2312"/>
                <w:sz w:val="21"/>
              </w:rPr>
              <w:t>1.质量要求</w:t>
            </w:r>
          </w:p>
          <w:p>
            <w:pPr>
              <w:pStyle w:val="null3"/>
              <w:ind w:firstLine="640"/>
              <w:jc w:val="both"/>
            </w:pPr>
            <w:r>
              <w:rPr>
                <w:rFonts w:ascii="仿宋_GB2312" w:hAnsi="仿宋_GB2312" w:cs="仿宋_GB2312" w:eastAsia="仿宋_GB2312"/>
                <w:sz w:val="21"/>
              </w:rPr>
              <w:t>严格按照国家法律法规或技术标准的规定要求，专业、全面、深入开展相关工作。</w:t>
            </w:r>
          </w:p>
          <w:p>
            <w:pPr>
              <w:pStyle w:val="null3"/>
              <w:ind w:firstLine="640"/>
              <w:jc w:val="both"/>
            </w:pPr>
            <w:r>
              <w:rPr>
                <w:rFonts w:ascii="仿宋_GB2312" w:hAnsi="仿宋_GB2312" w:cs="仿宋_GB2312" w:eastAsia="仿宋_GB2312"/>
                <w:sz w:val="21"/>
              </w:rPr>
              <w:t>2.安全要求</w:t>
            </w:r>
          </w:p>
          <w:p>
            <w:pPr>
              <w:pStyle w:val="null3"/>
              <w:ind w:firstLine="640"/>
              <w:jc w:val="both"/>
            </w:pPr>
            <w:r>
              <w:rPr>
                <w:rFonts w:ascii="仿宋_GB2312" w:hAnsi="仿宋_GB2312" w:cs="仿宋_GB2312" w:eastAsia="仿宋_GB2312"/>
                <w:sz w:val="21"/>
              </w:rPr>
              <w:t>项目所涉相关信息需严格保密。</w:t>
            </w:r>
          </w:p>
          <w:p>
            <w:pPr>
              <w:pStyle w:val="null3"/>
              <w:ind w:firstLine="640"/>
              <w:jc w:val="both"/>
            </w:pPr>
            <w:r>
              <w:rPr>
                <w:rFonts w:ascii="仿宋_GB2312" w:hAnsi="仿宋_GB2312" w:cs="仿宋_GB2312" w:eastAsia="仿宋_GB2312"/>
                <w:sz w:val="21"/>
              </w:rPr>
              <w:t>3.账号服务期限</w:t>
            </w:r>
          </w:p>
          <w:p>
            <w:pPr>
              <w:pStyle w:val="null3"/>
              <w:ind w:firstLine="640"/>
              <w:jc w:val="both"/>
            </w:pPr>
            <w:r>
              <w:rPr>
                <w:rFonts w:ascii="仿宋_GB2312" w:hAnsi="仿宋_GB2312" w:cs="仿宋_GB2312" w:eastAsia="仿宋_GB2312"/>
                <w:sz w:val="21"/>
              </w:rPr>
              <w:t>自账号购买之日起</w:t>
            </w:r>
            <w:r>
              <w:rPr>
                <w:rFonts w:ascii="仿宋_GB2312" w:hAnsi="仿宋_GB2312" w:cs="仿宋_GB2312" w:eastAsia="仿宋_GB2312"/>
                <w:sz w:val="21"/>
              </w:rPr>
              <w:t>1年的服务使用。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有完善的项目管理团队，整个项目的实施组织机构、人员安排有具体方案，配置齐全、分工合理、责任明确，项目实施人员具备工作经验等。</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有完备的设施设备，满足本项目要求。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详见采购需求及采购文件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服务期限为自账号购买之日起1年的服务使用</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交付的服务内容与响应文件、竞争性磋商文件等所指明的，或者与本合同所指明的服务内容相一致。</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合同签订后账号交付使用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 2、乙方未按合同要求提供产品及服务，质量不能满足采购要求，乙方必须无条件更换，否则，甲方会同鉴证方有权终止合同，并对乙方的违约行为进行追究，同时按《政府采购法》和陕西省政府采购供应商管理办法进行相应的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供应商需在项目电子化交易系统中按要求填写《投标函》完成承诺并进行电子签章。（1）投标人合法注册的法人或其他组织的营业执照等证明文件，自然人的身份证明. （2）具有良好的商业信誉和健全的财务会计制度的证明材料（须提供 2023 年度或 2024年度经第三方审计的财务报告，至少包括三表一注，即资产负债表、利润表、现金流量表及其附注 (成立时间至提交投标文件截止时间不足一年的可提供成立后任意时段的资产负债表) ；或其磋商响应文件递交截止时间前三个月内基本存款账户开户银行出具的资信证明及开户银行许可证 (或开户行出具的基本户证明材料)；或信用担保机构出具的投标担保函 (复印件或扫描件加盖申请人公章)。(以上三种形式的资料提供任何一种即可) )。（3）社会保障资金缴纳证明：提供截止至磋商时间前六个月内任一个月份的社会保障资金缴存单据或社保机构开具的社会保险参保缴费情况证明，依法不需要缴纳社会保障资金的单位应提供相关证明材料。 （4）税收缴纳证明：提供截止至磋商时间前六个月内任一个月份的纳税证明或完税证明，纳税证明或完税证明上应有代收机构或税务机关的公章或业务专用章。依法免税的供应商应提供相关文件证明。 （5）无重大违法记录声明：参加政府采购活动前三年内在经营活动中没有重大违法记录的书面声明。 （6）书面声明：具有履行本合同所必需的设备和专业技术能力的书面声明.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供应商关系承诺书.docx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法人身份证或法定代表人授权书及授权代表身份证</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或劳动合同）。</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投标人不得列入“中国执行信息公开网”网站被列为失 信被执行人、“信用中国”网站重大税收违法失信主体及“中国政府采购网”（http://www.ccgp.gov.cn/）政府采购严重违法失信行为记录名单。</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响应文件签字、盖章是否满足磋商文件要求。</w:t>
            </w:r>
          </w:p>
        </w:tc>
        <w:tc>
          <w:tcPr>
            <w:tcW w:type="dxa" w:w="1661"/>
          </w:tcPr>
          <w:p>
            <w:pPr>
              <w:pStyle w:val="null3"/>
            </w:pPr>
            <w:r>
              <w:rPr>
                <w:rFonts w:ascii="仿宋_GB2312" w:hAnsi="仿宋_GB2312" w:cs="仿宋_GB2312" w:eastAsia="仿宋_GB2312"/>
              </w:rPr>
              <w:t>响应文件封面 服务内容及服务邀请应答表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响应文件有效期是否满足磋商文件要求。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供应商提供对数据库的订购、开通、维护、及时更新等服务方案；服务内容是否能够充分考虑到使用性质与特点，详细叙述方案且合理性可行性好，具有可操作性的，优得10-15分；良好得5-10分，未提供不得分。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针对本项目提供质量控制方案，内容包含：①项目实施规范；②项目质量管理能力；③人员管理措施。 优得6-9分；良好得3-6分，未提供不得分。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实施计划</w:t>
            </w:r>
          </w:p>
        </w:tc>
        <w:tc>
          <w:tcPr>
            <w:tcW w:type="dxa" w:w="2492"/>
          </w:tcPr>
          <w:p>
            <w:pPr>
              <w:pStyle w:val="null3"/>
            </w:pPr>
            <w:r>
              <w:rPr>
                <w:rFonts w:ascii="仿宋_GB2312" w:hAnsi="仿宋_GB2312" w:cs="仿宋_GB2312" w:eastAsia="仿宋_GB2312"/>
              </w:rPr>
              <w:t>针对本项目提供实施计划方案，内容包含：①实施计划方案；②进度控制措施；③管理组织措施，优得6-9分；良好得3-6分，未提供不得分。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供应商提供专业服务团队。拟投入本项目主要人员需具有丰富的相关领域工作经验等相关专业学历证书或职称证书的。人员专业、人员分工合理、职责明确，计6-8分；人员分工较合理、职责较明确，计3-6分；人员不合理、职责不明确，计1-3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拟派人员一览表.docx</w:t>
            </w:r>
          </w:p>
          <w:p>
            <w:pPr>
              <w:pStyle w:val="null3"/>
            </w:pPr>
            <w:r>
              <w:rPr>
                <w:rFonts w:ascii="仿宋_GB2312" w:hAnsi="仿宋_GB2312" w:cs="仿宋_GB2312" w:eastAsia="仿宋_GB2312"/>
              </w:rPr>
              <w:t>项目负责人简历表.docx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提供售后服务方案，内容包含：①售后服务机构（地点、人员）；②售后服务承诺；③故障处理计划（包括具体的售后服务内容、响应方式、响应时间、故障服务管理、问题管理等）；④应急处理方案（响应速度及时，响应规模和质量）。优得4-8分；良好得1-4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针对本项目有具体的培训方案，内容包含： ①培训时间、培训人数、培训人员、培训方式，②培训内容应包括所提供产品的原理和技术性能、操作维护方法、安装调试、排除故障等各个方面。 优得3-6分；良好得1-3分，未提供不得分。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根据各供应商的响应文件中提出创新、创优等合理化建议等相关内容按差别计分，优得[4-5]分，良得[2-4），一般得[1-2）分。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供应商能够完成本项目工作的服务承诺，包括不限于优惠承诺、无条件修改调整方案承诺、服务保证承诺、工作效率承诺等，服务承诺内容详尽、描述清晰；评标委员会自主赋分1-10分。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供应商提供近三年（2022年1月至今，以合同签订时间为准）的同类型服务采购类似业绩，每提供一个计5分，满分10分。（须在竞争性磋商响应文件格式中提供合同的复印件加盖公章，否则不计分。）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对符合《政府采购促进中小企业发展管理办法》（财库〔2020〕46号）规定的小微企业报价给予10%的扣除，用扣除后的价格参加评审。</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详见附件：供应商关系承诺书.docx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详见附件：项目负责人简历表.docx</w:t>
      </w:r>
    </w:p>
    <w:p>
      <w:pPr>
        <w:pStyle w:val="null3"/>
        <w:ind w:firstLine="960"/>
      </w:pPr>
      <w:r>
        <w:rPr>
          <w:rFonts w:ascii="仿宋_GB2312" w:hAnsi="仿宋_GB2312" w:cs="仿宋_GB2312" w:eastAsia="仿宋_GB2312"/>
        </w:rPr>
        <w:t>详见附件：拟派人员一览表.docx</w:t>
      </w:r>
    </w:p>
    <w:p>
      <w:pPr>
        <w:pStyle w:val="null3"/>
        <w:ind w:firstLine="960"/>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详见附件：海外知识产权诉讼相关数据库合同范本.docx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