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版本号：RH采字【20250902】-R号20250926001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磁刺激细胞成像系统采购项目(二次)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RH采字【20250902】-R号</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磁刺激细胞成像系统采购项目(二次)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RH采字【20250902】-R号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磁刺激细胞成像系统采购项目(二次)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西北大学磁刺激细胞成像系统采购项目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2024年度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3、有依法缴纳税收的良好记录：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rFonts w:ascii="仿宋_GB2312" w:hAnsi="仿宋_GB2312" w:cs="仿宋_GB2312" w:eastAsia="仿宋_GB2312"/>
        </w:rPr>
        <w:t>4、有依法缴纳社会保障资金的良好记录：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9、进口产品授权书：如为进口产品，供应商须提供所投产品的授权证明文件（证明文件能显示产品制造商对所投产品的授权链条完整有效）。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太白北路229号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石雨鑫、张丰利、刘菲、王倩倩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15091632950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开户名称：瑞恒项目管理有限公司</w:t>
            </w:r>
          </w:p>
          <w:p>
            <w:pPr>
              <w:pStyle w:val="null3"/>
            </w:pPr>
            <w:r>
              <w:rPr>
                <w:rFonts w:ascii="仿宋_GB2312" w:hAnsi="仿宋_GB2312" w:cs="仿宋_GB2312" w:eastAsia="仿宋_GB2312"/>
              </w:rPr>
              <w:t>开户银行：工行西安城南科技支行</w:t>
            </w:r>
          </w:p>
          <w:p>
            <w:pPr>
              <w:pStyle w:val="null3"/>
            </w:pPr>
            <w:r>
              <w:rPr>
                <w:rFonts w:ascii="仿宋_GB2312" w:hAnsi="仿宋_GB2312" w:cs="仿宋_GB2312" w:eastAsia="仿宋_GB2312"/>
              </w:rPr>
              <w:t>银行账号：3700024819200044620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说明：成交供应商于合同签订前缴纳，缴纳金额为合同金额的5%。 缴纳方式：银行转账、支票/汇票/本票、保函/保险；履约保证金汇款账户： 户 名：西北大学 开户银行：交通银行太白路支行 账 号：611301015018001145006 履约保证金缴纳后，可持银行回执到西北大学换取收据。退还方式：待验收合格后凭收据和验收单复印件无息退还。如遇下列情况之一者，合同履约保证金不予退还，作为对采购人的赔偿：（1）合同签订后不能按合同时限要求供货或安装调试的；（2）所供设备与合同不符或验收不合格的；（3）不能按合同履约的。</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采购代理服务收费管理暂行办法的通知》（计价格[2002]1980号）及《国家发展改革委办公厅关于招标代理服务收费有关问题的通知》（发改办价格[2003]857号）规定的收费标准下浮20%收取。户名：瑞恒项目管理有限公司 开户行：工行西安城南科技支行 账号：3700024819200044620。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西北大学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瑞恒项目管理有限公司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联系人：石雨鑫、张丰利、刘菲、王倩倩</w:t>
      </w:r>
    </w:p>
    <w:p>
      <w:pPr>
        <w:pStyle w:val="null3"/>
      </w:pPr>
      <w:r>
        <w:rPr>
          <w:rFonts w:ascii="仿宋_GB2312" w:hAnsi="仿宋_GB2312" w:cs="仿宋_GB2312" w:eastAsia="仿宋_GB2312"/>
        </w:rPr>
        <w:t>联系电话：15091632950</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西北大学磁刺激细胞成像系统采购项目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磁刺激细胞成像系统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标的名称：磁刺激细胞成像系统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1.成像系统</w:t>
            </w:r>
          </w:p>
          <w:p>
            <w:pPr>
              <w:pStyle w:val="null3"/>
              <w:jc w:val="left"/>
            </w:pPr>
            <w:r>
              <w:rPr>
                <w:rFonts w:ascii="仿宋_GB2312" w:hAnsi="仿宋_GB2312" w:cs="仿宋_GB2312" w:eastAsia="仿宋_GB2312"/>
                <w:sz w:val="24"/>
              </w:rPr>
              <w:t>1.1.成像方式：采用针孔转盘成像；</w:t>
            </w:r>
          </w:p>
          <w:p>
            <w:pPr>
              <w:pStyle w:val="null3"/>
              <w:jc w:val="left"/>
            </w:pPr>
            <w:r>
              <w:rPr>
                <w:rFonts w:ascii="仿宋_GB2312" w:hAnsi="仿宋_GB2312" w:cs="仿宋_GB2312" w:eastAsia="仿宋_GB2312"/>
                <w:sz w:val="24"/>
              </w:rPr>
              <w:t>1.2.成像视野：FOV≥20mm</w:t>
            </w:r>
          </w:p>
          <w:p>
            <w:pPr>
              <w:pStyle w:val="null3"/>
              <w:jc w:val="left"/>
            </w:pPr>
            <w:r>
              <w:rPr>
                <w:rFonts w:ascii="仿宋_GB2312" w:hAnsi="仿宋_GB2312" w:cs="仿宋_GB2312" w:eastAsia="仿宋_GB2312"/>
                <w:sz w:val="24"/>
                <w:b/>
              </w:rPr>
              <w:t>1.3成像分辨率：≤250nm</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提供佐证材料（不限于产品彩页、官网截图、第三方检测报告等）</w:t>
            </w:r>
          </w:p>
          <w:p>
            <w:pPr>
              <w:pStyle w:val="null3"/>
              <w:jc w:val="left"/>
            </w:pPr>
            <w:r>
              <w:rPr>
                <w:rFonts w:ascii="仿宋_GB2312" w:hAnsi="仿宋_GB2312" w:cs="仿宋_GB2312" w:eastAsia="仿宋_GB2312"/>
                <w:sz w:val="24"/>
              </w:rPr>
              <w:t>1.4扫描模式：具备共聚焦和宽场两种模式</w:t>
            </w:r>
            <w:r>
              <w:rPr>
                <w:rFonts w:ascii="仿宋_GB2312" w:hAnsi="仿宋_GB2312" w:cs="仿宋_GB2312" w:eastAsia="仿宋_GB2312"/>
                <w:sz w:val="24"/>
              </w:rPr>
              <w:t>，</w:t>
            </w:r>
            <w:r>
              <w:rPr>
                <w:rFonts w:ascii="仿宋_GB2312" w:hAnsi="仿宋_GB2312" w:cs="仿宋_GB2312" w:eastAsia="仿宋_GB2312"/>
                <w:sz w:val="24"/>
              </w:rPr>
              <w:t>需</w:t>
            </w:r>
            <w:r>
              <w:rPr>
                <w:rFonts w:ascii="仿宋_GB2312" w:hAnsi="仿宋_GB2312" w:cs="仿宋_GB2312" w:eastAsia="仿宋_GB2312"/>
                <w:sz w:val="24"/>
              </w:rPr>
              <w:t>提供佐证材料（不限于产品彩页、官网截图、第三方检测报告等）</w:t>
            </w:r>
          </w:p>
          <w:p>
            <w:pPr>
              <w:pStyle w:val="null3"/>
              <w:jc w:val="both"/>
            </w:pPr>
            <w:r>
              <w:rPr>
                <w:rFonts w:ascii="仿宋_GB2312" w:hAnsi="仿宋_GB2312" w:cs="仿宋_GB2312" w:eastAsia="仿宋_GB2312"/>
                <w:sz w:val="24"/>
              </w:rPr>
              <w:t>1.5针孔转盘最高转速：≥15000rpm</w:t>
            </w:r>
            <w:r>
              <w:rPr>
                <w:rFonts w:ascii="仿宋_GB2312" w:hAnsi="仿宋_GB2312" w:cs="仿宋_GB2312" w:eastAsia="仿宋_GB2312"/>
                <w:sz w:val="24"/>
              </w:rPr>
              <w:t>，</w:t>
            </w:r>
            <w:r>
              <w:rPr>
                <w:rFonts w:ascii="仿宋_GB2312" w:hAnsi="仿宋_GB2312" w:cs="仿宋_GB2312" w:eastAsia="仿宋_GB2312"/>
                <w:sz w:val="24"/>
              </w:rPr>
              <w:t>需</w:t>
            </w:r>
            <w:r>
              <w:rPr>
                <w:rFonts w:ascii="仿宋_GB2312" w:hAnsi="仿宋_GB2312" w:cs="仿宋_GB2312" w:eastAsia="仿宋_GB2312"/>
                <w:sz w:val="24"/>
              </w:rPr>
              <w:t>提供佐证材料（不限于产品彩页、官网截图、第三方检测报告等）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rPr>
              <w:t>2.高灵敏背照式制冷型sCMOS相机</w:t>
            </w:r>
          </w:p>
          <w:p>
            <w:pPr>
              <w:pStyle w:val="null3"/>
              <w:jc w:val="left"/>
            </w:pPr>
            <w:r>
              <w:rPr>
                <w:rFonts w:ascii="仿宋_GB2312" w:hAnsi="仿宋_GB2312" w:cs="仿宋_GB2312" w:eastAsia="仿宋_GB2312"/>
                <w:sz w:val="24"/>
                <w:b/>
              </w:rPr>
              <w:t>2.1 sCMOS芯片：尺寸：≥18mm，光电转换效率：≥95%；</w:t>
            </w:r>
            <w:r>
              <w:rPr>
                <w:rFonts w:ascii="仿宋_GB2312" w:hAnsi="仿宋_GB2312" w:cs="仿宋_GB2312" w:eastAsia="仿宋_GB2312"/>
                <w:sz w:val="24"/>
                <w:b/>
              </w:rPr>
              <w:t>需</w:t>
            </w:r>
            <w:r>
              <w:rPr>
                <w:rFonts w:ascii="仿宋_GB2312" w:hAnsi="仿宋_GB2312" w:cs="仿宋_GB2312" w:eastAsia="仿宋_GB2312"/>
                <w:sz w:val="24"/>
                <w:b/>
              </w:rPr>
              <w:t>提供佐证材料（不限于产品彩页、官网截图、第三方检测报告等）</w:t>
            </w:r>
          </w:p>
          <w:p>
            <w:pPr>
              <w:pStyle w:val="null3"/>
              <w:jc w:val="left"/>
            </w:pPr>
            <w:r>
              <w:rPr>
                <w:rFonts w:ascii="仿宋_GB2312" w:hAnsi="仿宋_GB2312" w:cs="仿宋_GB2312" w:eastAsia="仿宋_GB2312"/>
                <w:sz w:val="24"/>
              </w:rPr>
              <w:t>2.2分辨率：≥2048x2048 像元尺寸：≥6.5μm</w:t>
            </w:r>
          </w:p>
          <w:p>
            <w:pPr>
              <w:pStyle w:val="null3"/>
              <w:jc w:val="both"/>
            </w:pPr>
            <w:r>
              <w:rPr>
                <w:rFonts w:ascii="仿宋_GB2312" w:hAnsi="仿宋_GB2312" w:cs="仿宋_GB2312" w:eastAsia="仿宋_GB2312"/>
                <w:sz w:val="24"/>
              </w:rPr>
              <w:t>2.3帧频：≥40帧/秒</w:t>
            </w:r>
            <w:r>
              <w:rPr>
                <w:rFonts w:ascii="仿宋_GB2312" w:hAnsi="仿宋_GB2312" w:cs="仿宋_GB2312" w:eastAsia="仿宋_GB2312"/>
                <w:sz w:val="24"/>
              </w:rPr>
              <w:t>@</w:t>
            </w:r>
            <w:r>
              <w:rPr>
                <w:rFonts w:ascii="仿宋_GB2312" w:hAnsi="仿宋_GB2312" w:cs="仿宋_GB2312" w:eastAsia="仿宋_GB2312"/>
                <w:sz w:val="24"/>
              </w:rPr>
              <w:t>2048x2048pixels</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rPr>
              <w:t>3.高功率四色激光器及激光耦合系统</w:t>
            </w:r>
            <w:r>
              <w:rPr>
                <w:rFonts w:ascii="仿宋_GB2312" w:hAnsi="仿宋_GB2312" w:cs="仿宋_GB2312" w:eastAsia="仿宋_GB2312"/>
                <w:sz w:val="24"/>
              </w:rPr>
              <w:t>，</w:t>
            </w:r>
            <w:r>
              <w:rPr>
                <w:rFonts w:ascii="仿宋_GB2312" w:hAnsi="仿宋_GB2312" w:cs="仿宋_GB2312" w:eastAsia="仿宋_GB2312"/>
                <w:sz w:val="24"/>
              </w:rPr>
              <w:t>需</w:t>
            </w:r>
            <w:r>
              <w:rPr>
                <w:rFonts w:ascii="仿宋_GB2312" w:hAnsi="仿宋_GB2312" w:cs="仿宋_GB2312" w:eastAsia="仿宋_GB2312"/>
                <w:sz w:val="24"/>
              </w:rPr>
              <w:t>提供佐证材料（不限于产品彩页、官网截图、第三方检测报告等）</w:t>
            </w:r>
          </w:p>
          <w:p>
            <w:pPr>
              <w:pStyle w:val="null3"/>
              <w:jc w:val="left"/>
            </w:pPr>
            <w:r>
              <w:rPr>
                <w:rFonts w:ascii="仿宋_GB2312" w:hAnsi="仿宋_GB2312" w:cs="仿宋_GB2312" w:eastAsia="仿宋_GB2312"/>
                <w:sz w:val="24"/>
              </w:rPr>
              <w:t>波长：</w:t>
            </w:r>
            <w:r>
              <w:rPr>
                <w:rFonts w:ascii="仿宋_GB2312" w:hAnsi="仿宋_GB2312" w:cs="仿宋_GB2312" w:eastAsia="仿宋_GB2312"/>
                <w:sz w:val="24"/>
              </w:rPr>
              <w:t>405±5nm，光束出口功率：≥300mW</w:t>
            </w:r>
          </w:p>
          <w:p>
            <w:pPr>
              <w:pStyle w:val="null3"/>
              <w:jc w:val="left"/>
            </w:pPr>
            <w:r>
              <w:rPr>
                <w:rFonts w:ascii="仿宋_GB2312" w:hAnsi="仿宋_GB2312" w:cs="仿宋_GB2312" w:eastAsia="仿宋_GB2312"/>
                <w:sz w:val="24"/>
              </w:rPr>
              <w:t>波长：</w:t>
            </w:r>
            <w:r>
              <w:rPr>
                <w:rFonts w:ascii="仿宋_GB2312" w:hAnsi="仿宋_GB2312" w:cs="仿宋_GB2312" w:eastAsia="仿宋_GB2312"/>
                <w:sz w:val="24"/>
              </w:rPr>
              <w:t>470±5nm，光束出口功率：≥500mW</w:t>
            </w:r>
          </w:p>
          <w:p>
            <w:pPr>
              <w:pStyle w:val="null3"/>
              <w:jc w:val="left"/>
            </w:pPr>
            <w:r>
              <w:rPr>
                <w:rFonts w:ascii="仿宋_GB2312" w:hAnsi="仿宋_GB2312" w:cs="仿宋_GB2312" w:eastAsia="仿宋_GB2312"/>
                <w:sz w:val="24"/>
              </w:rPr>
              <w:t>波长：</w:t>
            </w:r>
            <w:r>
              <w:rPr>
                <w:rFonts w:ascii="仿宋_GB2312" w:hAnsi="仿宋_GB2312" w:cs="仿宋_GB2312" w:eastAsia="仿宋_GB2312"/>
                <w:sz w:val="24"/>
              </w:rPr>
              <w:t>555±5nm，光束出口功率：≥500mW</w:t>
            </w:r>
          </w:p>
          <w:p>
            <w:pPr>
              <w:pStyle w:val="null3"/>
              <w:jc w:val="both"/>
            </w:pPr>
            <w:r>
              <w:rPr>
                <w:rFonts w:ascii="仿宋_GB2312" w:hAnsi="仿宋_GB2312" w:cs="仿宋_GB2312" w:eastAsia="仿宋_GB2312"/>
                <w:sz w:val="24"/>
              </w:rPr>
              <w:t>波长：</w:t>
            </w:r>
            <w:r>
              <w:rPr>
                <w:rFonts w:ascii="仿宋_GB2312" w:hAnsi="仿宋_GB2312" w:cs="仿宋_GB2312" w:eastAsia="仿宋_GB2312"/>
                <w:sz w:val="24"/>
              </w:rPr>
              <w:t>640±5nm，光束出口功率：≥300mW</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rPr>
              <w:t>4.光学系统：无限远光学系统，齐焦距离≥45mm</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rPr>
              <w:t>5.机身成像端口：≥2个，电动切换，侧端口100%分光且成像视野≥25mm</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rPr>
              <w:t>6.聚光系统：7孔电动聚光器转盘，聚光镜数值孔径≥0.5且工作距离≥25mm</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.物镜转盘：≥6孔位电动物镜转盘，带编码器，带防水槽，具有实时焦点跟踪(PFS)系统</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.荧光系统：≥6孔位电动转盘带激发光杂光光陷阱，配置4色带通型滤组</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.LED荧光光源：包含385/475/550/621nm四个单色LED光源；可以单色开关也支持同时打开，使用寿命≥20000小时</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.高精度扫描载物台： XY行程≤110mm×75mm，重复精度≤1μm，步进精度≤0.02μm，最大速度25mm/s</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.物镜5颗要求</w:t>
            </w:r>
          </w:p>
          <w:p>
            <w:pPr>
              <w:pStyle w:val="null3"/>
              <w:jc w:val="left"/>
            </w:pPr>
            <w:r>
              <w:rPr>
                <w:rFonts w:ascii="仿宋_GB2312" w:hAnsi="仿宋_GB2312" w:cs="仿宋_GB2312" w:eastAsia="仿宋_GB2312"/>
                <w:sz w:val="24"/>
              </w:rPr>
              <w:t xml:space="preserve">11.1 </w:t>
            </w:r>
            <w:r>
              <w:rPr>
                <w:rFonts w:ascii="仿宋_GB2312" w:hAnsi="仿宋_GB2312" w:cs="仿宋_GB2312" w:eastAsia="仿宋_GB2312"/>
                <w:sz w:val="24"/>
              </w:rPr>
              <w:t>10X（NA≥0.45, WD≥4.0 mm）专用平场复消色差物镜</w:t>
            </w:r>
          </w:p>
          <w:p>
            <w:pPr>
              <w:pStyle w:val="null3"/>
              <w:jc w:val="left"/>
            </w:pPr>
            <w:r>
              <w:rPr>
                <w:rFonts w:ascii="仿宋_GB2312" w:hAnsi="仿宋_GB2312" w:cs="仿宋_GB2312" w:eastAsia="仿宋_GB2312"/>
                <w:sz w:val="24"/>
              </w:rPr>
              <w:t xml:space="preserve">11.2 </w:t>
            </w:r>
            <w:r>
              <w:rPr>
                <w:rFonts w:ascii="仿宋_GB2312" w:hAnsi="仿宋_GB2312" w:cs="仿宋_GB2312" w:eastAsia="仿宋_GB2312"/>
                <w:sz w:val="24"/>
              </w:rPr>
              <w:t>20X（NA≥0.80,WD≥0.80 mm）专用平场复消色差物镜；</w:t>
            </w:r>
          </w:p>
          <w:p>
            <w:pPr>
              <w:pStyle w:val="null3"/>
              <w:jc w:val="left"/>
            </w:pPr>
            <w:r>
              <w:rPr>
                <w:rFonts w:ascii="仿宋_GB2312" w:hAnsi="仿宋_GB2312" w:cs="仿宋_GB2312" w:eastAsia="仿宋_GB2312"/>
                <w:sz w:val="24"/>
              </w:rPr>
              <w:t xml:space="preserve">11.3 </w:t>
            </w:r>
            <w:r>
              <w:rPr>
                <w:rFonts w:ascii="仿宋_GB2312" w:hAnsi="仿宋_GB2312" w:cs="仿宋_GB2312" w:eastAsia="仿宋_GB2312"/>
                <w:sz w:val="24"/>
              </w:rPr>
              <w:t>40X（NA≥0.95,WD≥0.21 mm）专用平场复消色差物镜；</w:t>
            </w:r>
          </w:p>
          <w:p>
            <w:pPr>
              <w:pStyle w:val="null3"/>
              <w:jc w:val="left"/>
            </w:pPr>
            <w:r>
              <w:rPr>
                <w:rFonts w:ascii="仿宋_GB2312" w:hAnsi="仿宋_GB2312" w:cs="仿宋_GB2312" w:eastAsia="仿宋_GB2312"/>
                <w:sz w:val="24"/>
              </w:rPr>
              <w:t xml:space="preserve">11.4 </w:t>
            </w:r>
            <w:r>
              <w:rPr>
                <w:rFonts w:ascii="仿宋_GB2312" w:hAnsi="仿宋_GB2312" w:cs="仿宋_GB2312" w:eastAsia="仿宋_GB2312"/>
                <w:sz w:val="24"/>
              </w:rPr>
              <w:t>60X（NA≥0.95,WD≥0.20 mm）专用平场复消色差物镜</w:t>
            </w:r>
          </w:p>
          <w:p>
            <w:pPr>
              <w:pStyle w:val="null3"/>
              <w:jc w:val="both"/>
            </w:pPr>
            <w:r>
              <w:rPr>
                <w:rFonts w:ascii="仿宋_GB2312" w:hAnsi="仿宋_GB2312" w:cs="仿宋_GB2312" w:eastAsia="仿宋_GB2312"/>
                <w:sz w:val="24"/>
              </w:rPr>
              <w:t xml:space="preserve">11.5 </w:t>
            </w:r>
            <w:r>
              <w:rPr>
                <w:rFonts w:ascii="仿宋_GB2312" w:hAnsi="仿宋_GB2312" w:cs="仿宋_GB2312" w:eastAsia="仿宋_GB2312"/>
                <w:sz w:val="24"/>
              </w:rPr>
              <w:t>100X（NA≥1.3,WD≥0.16mm）专用平场半复消色差物镜</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.拍摄和图像分析软件主要功能</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.1控制显微镜所有电动部件，识别所有编码部件，控制相机、光源和活细胞系统</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.2高级拍摄功能：可满足多通道大范围图像拼接扫描，Z轴3D多色成像，时间序列及多点拍摄等复杂的高级拍摄功能</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.3支持6维度图像拍摄和自由组合，既：X/Y/Z空间三位，时间，多波长和多点（含多点图像拼接），实现多维度的随意组合</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.磁刺激系统</w:t>
            </w:r>
          </w:p>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.1 频率 100kHz</w:t>
            </w:r>
            <w:r>
              <w:rPr>
                <w:rFonts w:ascii="仿宋_GB2312" w:hAnsi="仿宋_GB2312" w:cs="仿宋_GB2312" w:eastAsia="仿宋_GB2312"/>
                <w:sz w:val="24"/>
              </w:rPr>
              <w:t>~</w:t>
            </w:r>
            <w:r>
              <w:rPr>
                <w:rFonts w:ascii="仿宋_GB2312" w:hAnsi="仿宋_GB2312" w:cs="仿宋_GB2312" w:eastAsia="仿宋_GB2312"/>
                <w:sz w:val="24"/>
              </w:rPr>
              <w:t>300kHz （步进 50kHz)</w:t>
            </w:r>
          </w:p>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.2 磁路磁通密度 B=40mT=0.04T=400Gs</w:t>
            </w:r>
          </w:p>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.3空气气隙的磁导率=4Π×10</w:t>
            </w:r>
            <w:r>
              <w:rPr>
                <w:rFonts w:ascii="仿宋_GB2312" w:hAnsi="仿宋_GB2312" w:cs="仿宋_GB2312" w:eastAsia="仿宋_GB2312"/>
                <w:sz w:val="24"/>
                <w:vertAlign w:val="superscript"/>
              </w:rPr>
              <w:t>-7</w:t>
            </w:r>
            <w:r>
              <w:rPr>
                <w:rFonts w:ascii="仿宋_GB2312" w:hAnsi="仿宋_GB2312" w:cs="仿宋_GB2312" w:eastAsia="仿宋_GB2312"/>
                <w:sz w:val="24"/>
              </w:rPr>
              <w:t>，气隙长度</w:t>
            </w:r>
            <w:r>
              <w:rPr>
                <w:rFonts w:ascii="仿宋_GB2312" w:hAnsi="仿宋_GB2312" w:cs="仿宋_GB2312" w:eastAsia="仿宋_GB2312"/>
                <w:sz w:val="24"/>
              </w:rPr>
              <w:t>= 18mm=0.018m</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.4线圈组长≤25cm，宽≤15cm，能够置入共聚焦显微镜载物台中</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outlineLvl w:val="3"/>
            </w:pPr>
            <w:r>
              <w:rPr>
                <w:rFonts w:ascii="仿宋_GB2312" w:hAnsi="仿宋_GB2312" w:cs="仿宋_GB2312" w:eastAsia="仿宋_GB2312"/>
                <w:sz w:val="24"/>
                <w:b/>
              </w:rPr>
              <w:t>备注：</w:t>
            </w:r>
          </w:p>
          <w:p>
            <w:pPr>
              <w:pStyle w:val="null3"/>
              <w:jc w:val="both"/>
              <w:outlineLvl w:val="3"/>
            </w:pPr>
            <w:r>
              <w:rPr>
                <w:rFonts w:ascii="仿宋_GB2312" w:hAnsi="仿宋_GB2312" w:cs="仿宋_GB2312" w:eastAsia="仿宋_GB2312"/>
                <w:sz w:val="24"/>
                <w:b/>
              </w:rPr>
              <w:t>1、以上所有技术指标必须满足要求没有负偏离，否则按无效文件处理；</w:t>
            </w:r>
          </w:p>
          <w:p>
            <w:pPr>
              <w:pStyle w:val="null3"/>
              <w:jc w:val="both"/>
            </w:pPr>
            <w:r>
              <w:rPr>
                <w:rFonts w:ascii="仿宋_GB2312" w:hAnsi="仿宋_GB2312" w:cs="仿宋_GB2312" w:eastAsia="仿宋_GB2312"/>
                <w:sz w:val="24"/>
                <w:b/>
              </w:rPr>
              <w:t>2、要求提供佐证材料的必须提供，否则视为负偏离，按无效文件处理。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自合同签订之日起90天内到货，5天内安装调试并交付使用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西北大学化学与材料科学学院附楼329室</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①国产设备：合同生效后，乙方开具合同金额等额银行保函，甲方收到银行保函正本后预付合同货款，待货物到达指定地点，安装调试验收合格后，甲方退还银行保函正本。②进口设备：合同生效后，由甲方通过进出口业务代理公司向乙方开出100%信用证，待货物到货、安装调试、并经学校组织验收合格后，由甲方通知进出口业务代理公司向乙方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1、质保期：自学校验收合格之日起1年。 2、即时响应（包括电话响应）；电话响应无法解决时，12小时内到达现场。修复时间48小时内；如48小时内无法修复，应提供相应解决方案。</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【一】采购标的需实现的功能或者目标：用于磁性纳米颗粒介导的磁调控，从分子相互作用，细胞功能和命运，到重大疾病治疗。 【二】售后服务标准要求：①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 ②设备到货后，供应商负责安装和调试。设备安装调试期间，由供应商工程师在现场为采购人操作人员进行培训，受培训人数不限，培训内容包括但不限于：设备原理、结构、操作、日常维护及保养等，保证采购人操作人员熟悉掌握设备相关知识。设备使用一段时间后，供应商按采购人要求组织工程师，提供不少于3天的高阶应用培训。不定期提供设备使用方面的技术咨询与支持。以上要求所产生的费用由供应商承担。 【三】供应商所提供的产品型号、产地等重要信息，需要与仪器机身保持一致。因供应商原因（有且不限于型号有误、出具的净重、参数等证明有误、保税区内税号问题等）造成进口货物无法正常报关产生的一切后果及费用由供应商自行承担。最终无法清关的，供应商须重新发运外贸合同中约定的货物。 【四】其他：①为顺利推进政府采购电子化交易平台应用工作，供应商需要在线提交所有通过电子化交易平台实施的政府采购项目的响应文件，同时，线下提交纸质响应文件正本壹份、副本贰份。②纸质响应文件正、副本分别胶装，标明供应商名称密封递交，递交截止时间同在线递交电子响应文件截止时间一致，递交地址：陕西省西安市曲江新区雁翔路3269号旺座曲江D座30层3001号（纸质响应文件可邮寄，邮件发出时间应在递交电子响应文件截止时间之前，邮寄地址：陕西省西安市曲江新区雁翔路3269号旺座曲江D座30层3001号，联系人：王工，联系电话：15091632950）。③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经审计的2024年度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提供合格的法定代表人授权书（附法定代表人、被授权人身份证复印件）或法定代表人身份证明（法定代表人直接参加的）。</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进口产品授权书</w:t>
            </w:r>
          </w:p>
        </w:tc>
        <w:tc>
          <w:tcPr>
            <w:tcW w:type="dxa" w:w="3322"/>
          </w:tcPr>
          <w:p>
            <w:pPr>
              <w:pStyle w:val="null3"/>
            </w:pPr>
            <w:r>
              <w:rPr>
                <w:rFonts w:ascii="仿宋_GB2312" w:hAnsi="仿宋_GB2312" w:cs="仿宋_GB2312" w:eastAsia="仿宋_GB2312"/>
              </w:rPr>
              <w:t>如为进口产品，供应商须提供所投产品的授权证明文件（证明文件能显示产品制造商对所投产品的授权链条完整有效）。</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供应商名称与营业执照一致（合格）供应商名称与营业执照不一致（不合格）</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响应文件按采购文件要求的数量、计量单位、报价货币及签字盖章</w:t>
            </w:r>
          </w:p>
        </w:tc>
        <w:tc>
          <w:tcPr>
            <w:tcW w:type="dxa" w:w="3322"/>
          </w:tcPr>
          <w:p>
            <w:pPr>
              <w:pStyle w:val="null3"/>
            </w:pPr>
            <w:r>
              <w:rPr>
                <w:rFonts w:ascii="仿宋_GB2312" w:hAnsi="仿宋_GB2312" w:cs="仿宋_GB2312" w:eastAsia="仿宋_GB2312"/>
              </w:rPr>
              <w:t>响应文件按采购文件要求的数量、计量单位、报价货币及签字盖章（合格）响应文件未按采购文件要求的数量、计量单位、报价货币及签字盖章（不合格）</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响应有效期满足采购文件要求</w:t>
            </w:r>
          </w:p>
        </w:tc>
        <w:tc>
          <w:tcPr>
            <w:tcW w:type="dxa" w:w="3322"/>
          </w:tcPr>
          <w:p>
            <w:pPr>
              <w:pStyle w:val="null3"/>
            </w:pPr>
            <w:r>
              <w:rPr>
                <w:rFonts w:ascii="仿宋_GB2312" w:hAnsi="仿宋_GB2312" w:cs="仿宋_GB2312" w:eastAsia="仿宋_GB2312"/>
              </w:rPr>
              <w:t>响应有效期满足采购文件要求（合格）响应有效期不满足采购文件要求（不合格）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技术、商务响应满足实质性要求</w:t>
            </w:r>
          </w:p>
        </w:tc>
        <w:tc>
          <w:tcPr>
            <w:tcW w:type="dxa" w:w="3322"/>
          </w:tcPr>
          <w:p>
            <w:pPr>
              <w:pStyle w:val="null3"/>
            </w:pPr>
            <w:r>
              <w:rPr>
                <w:rFonts w:ascii="仿宋_GB2312" w:hAnsi="仿宋_GB2312" w:cs="仿宋_GB2312" w:eastAsia="仿宋_GB2312"/>
              </w:rPr>
              <w:t>技术响应满足第三章3.3技术要求，商务响应满足第三章3.4商务要求（合格），任意一条不满足（不合格）</w:t>
            </w:r>
          </w:p>
        </w:tc>
        <w:tc>
          <w:tcPr>
            <w:tcW w:type="dxa" w:w="1661"/>
          </w:tcPr>
          <w:p>
            <w:pPr>
              <w:pStyle w:val="null3"/>
            </w:pPr>
            <w:r>
              <w:rPr>
                <w:rFonts w:ascii="仿宋_GB2312" w:hAnsi="仿宋_GB2312" w:cs="仿宋_GB2312" w:eastAsia="仿宋_GB2312"/>
              </w:rPr>
              <w:t>商务应答表 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符合法律、法规和采购文件中规定的其他实质性要求</w:t>
            </w:r>
          </w:p>
        </w:tc>
        <w:tc>
          <w:tcPr>
            <w:tcW w:type="dxa" w:w="3322"/>
          </w:tcPr>
          <w:p>
            <w:pPr>
              <w:pStyle w:val="null3"/>
            </w:pPr>
            <w:r>
              <w:rPr>
                <w:rFonts w:ascii="仿宋_GB2312" w:hAnsi="仿宋_GB2312" w:cs="仿宋_GB2312" w:eastAsia="仿宋_GB2312"/>
              </w:rPr>
              <w:t>符合法律、法规和采购文件中规定的其他实质性要求（合格）不符合法律、法规和采购文件中规定的其他实质性要求（不合格）</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详见附件：产品技术参数表.docx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