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14748">
      <w:pPr>
        <w:pStyle w:val="2"/>
        <w:keepNext w:val="0"/>
        <w:keepLines w:val="0"/>
        <w:rPr>
          <w:rFonts w:ascii="黑体" w:hAnsi="黑体" w:eastAsia="黑体" w:cs="黑体"/>
          <w:b/>
          <w:bCs/>
          <w:color w:val="000000" w:themeColor="text1"/>
          <w:sz w:val="32"/>
          <w:szCs w:val="32"/>
          <w:highlight w:val="none"/>
          <w14:textFill>
            <w14:solidFill>
              <w14:schemeClr w14:val="tx1"/>
            </w14:solidFill>
          </w14:textFill>
        </w:rPr>
      </w:pPr>
      <w:bookmarkStart w:id="265" w:name="_GoBack"/>
      <w:r>
        <w:rPr>
          <w:rFonts w:hint="eastAsia" w:ascii="黑体" w:hAnsi="黑体" w:eastAsia="黑体" w:cs="黑体"/>
          <w:b/>
          <w:bCs/>
          <w:color w:val="000000" w:themeColor="text1"/>
          <w:sz w:val="32"/>
          <w:szCs w:val="32"/>
          <w:highlight w:val="none"/>
          <w14:textFill>
            <w14:solidFill>
              <w14:schemeClr w14:val="tx1"/>
            </w14:solidFill>
          </w14:textFill>
        </w:rPr>
        <w:t>政府采购合同格式</w:t>
      </w:r>
    </w:p>
    <w:bookmarkEnd w:id="265"/>
    <w:p w14:paraId="6CA10141">
      <w:pPr>
        <w:spacing w:line="360" w:lineRule="auto"/>
        <w:ind w:firstLine="481"/>
        <w:jc w:val="left"/>
        <w:outlineLvl w:val="9"/>
        <w:rPr>
          <w:rFonts w:ascii="黑体" w:hAnsi="??" w:eastAsia="黑体" w:cs="??"/>
          <w:b/>
          <w:color w:val="auto"/>
          <w:sz w:val="24"/>
          <w:highlight w:val="none"/>
          <w:u w:val="single"/>
        </w:rPr>
      </w:pPr>
      <w:bookmarkStart w:id="0" w:name="_Toc24356"/>
      <w:bookmarkStart w:id="1" w:name="_Toc32018"/>
      <w:bookmarkStart w:id="2" w:name="_Toc5163"/>
      <w:r>
        <w:rPr>
          <w:rFonts w:hint="eastAsia" w:ascii="黑体" w:hAnsi="??" w:eastAsia="黑体" w:cs="??"/>
          <w:b/>
          <w:color w:val="auto"/>
          <w:sz w:val="24"/>
          <w:highlight w:val="none"/>
          <w:u w:val="single"/>
        </w:rPr>
        <w:t>注：本合同仅为合同的参考文本，合同签订双方可根据项目的具体要求进行修订。</w:t>
      </w:r>
      <w:bookmarkEnd w:id="0"/>
      <w:bookmarkEnd w:id="1"/>
      <w:bookmarkEnd w:id="2"/>
    </w:p>
    <w:p w14:paraId="1F1E9B5A">
      <w:pPr>
        <w:spacing w:line="360" w:lineRule="auto"/>
        <w:ind w:firstLine="481"/>
        <w:jc w:val="left"/>
        <w:outlineLvl w:val="9"/>
        <w:rPr>
          <w:rFonts w:ascii="黑体" w:hAnsi="??" w:eastAsia="黑体" w:cs="??"/>
          <w:b/>
          <w:color w:val="auto"/>
          <w:sz w:val="24"/>
          <w:highlight w:val="none"/>
        </w:rPr>
      </w:pPr>
    </w:p>
    <w:p w14:paraId="707338B0">
      <w:pPr>
        <w:spacing w:line="360" w:lineRule="auto"/>
        <w:jc w:val="center"/>
        <w:outlineLvl w:val="1"/>
        <w:rPr>
          <w:rFonts w:ascii="黑体" w:hAnsi="??" w:eastAsia="黑体" w:cs="??"/>
          <w:b/>
          <w:bCs/>
          <w:sz w:val="24"/>
          <w:highlight w:val="none"/>
        </w:rPr>
      </w:pPr>
      <w:bookmarkStart w:id="3" w:name="_Toc484353362"/>
      <w:bookmarkStart w:id="4" w:name="_Toc15273"/>
      <w:bookmarkStart w:id="5" w:name="_Toc24759"/>
      <w:bookmarkStart w:id="6" w:name="_Toc24645"/>
      <w:bookmarkStart w:id="7" w:name="_Toc11721"/>
      <w:bookmarkStart w:id="8" w:name="_Toc17018"/>
      <w:bookmarkStart w:id="9" w:name="_Toc483349426"/>
      <w:bookmarkStart w:id="10" w:name="_Toc25256"/>
      <w:r>
        <w:rPr>
          <w:rFonts w:hint="eastAsia" w:ascii="黑体" w:hAnsi="黑体" w:eastAsia="黑体" w:cs="黑体"/>
          <w:b/>
          <w:bCs/>
          <w:sz w:val="32"/>
          <w:szCs w:val="32"/>
          <w:highlight w:val="none"/>
          <w:lang w:eastAsia="zh-CN"/>
        </w:rPr>
        <w:t>一、</w:t>
      </w:r>
      <w:r>
        <w:rPr>
          <w:rFonts w:hint="eastAsia" w:ascii="黑体" w:hAnsi="黑体" w:eastAsia="黑体" w:cs="黑体"/>
          <w:b/>
          <w:bCs/>
          <w:sz w:val="32"/>
          <w:szCs w:val="32"/>
          <w:highlight w:val="none"/>
        </w:rPr>
        <w:t>政府采购合同</w:t>
      </w:r>
      <w:bookmarkEnd w:id="3"/>
      <w:bookmarkEnd w:id="4"/>
      <w:bookmarkEnd w:id="5"/>
      <w:bookmarkEnd w:id="6"/>
      <w:bookmarkEnd w:id="7"/>
      <w:bookmarkEnd w:id="8"/>
      <w:bookmarkEnd w:id="9"/>
      <w:bookmarkEnd w:id="10"/>
    </w:p>
    <w:p w14:paraId="7059A772">
      <w:pPr>
        <w:spacing w:line="360" w:lineRule="auto"/>
        <w:ind w:firstLine="480" w:firstLineChars="200"/>
        <w:outlineLvl w:val="9"/>
        <w:rPr>
          <w:rFonts w:hint="eastAsia" w:ascii="宋体" w:hAnsi="宋体" w:cs="宋体"/>
          <w:sz w:val="24"/>
          <w:highlight w:val="none"/>
        </w:rPr>
      </w:pPr>
      <w:r>
        <w:rPr>
          <w:rFonts w:hint="eastAsia" w:ascii="宋体" w:hAnsi="宋体" w:cs="宋体"/>
          <w:sz w:val="24"/>
          <w:highlight w:val="none"/>
          <w:u w:val="single"/>
          <w:lang w:val="zh-CN"/>
        </w:rPr>
        <w:t xml:space="preserve">        </w:t>
      </w:r>
      <w:r>
        <w:rPr>
          <w:rFonts w:hint="eastAsia" w:ascii="宋体" w:hAnsi="宋体" w:cs="宋体"/>
          <w:sz w:val="24"/>
          <w:highlight w:val="none"/>
          <w:lang w:val="zh-CN"/>
        </w:rPr>
        <w:t>年</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月</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日</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cs="宋体"/>
          <w:sz w:val="24"/>
          <w:highlight w:val="none"/>
          <w:u w:val="single"/>
          <w:lang w:val="en-US" w:eastAsia="zh-CN"/>
        </w:rPr>
        <w:t>采购人）</w:t>
      </w:r>
      <w:r>
        <w:rPr>
          <w:rFonts w:hint="eastAsia" w:ascii="宋体" w:hAnsi="宋体" w:cs="宋体"/>
          <w:sz w:val="24"/>
          <w:szCs w:val="24"/>
          <w:highlight w:val="none"/>
        </w:rPr>
        <w:t>（以下简称“甲方”）</w:t>
      </w:r>
      <w:r>
        <w:rPr>
          <w:rFonts w:hint="eastAsia" w:ascii="宋体" w:hAnsi="宋体" w:cs="宋体"/>
          <w:sz w:val="24"/>
          <w:highlight w:val="none"/>
        </w:rPr>
        <w:t>以</w:t>
      </w:r>
      <w:r>
        <w:rPr>
          <w:rFonts w:hint="eastAsia" w:ascii="宋体" w:hAnsi="宋体" w:cs="宋体"/>
          <w:sz w:val="24"/>
          <w:highlight w:val="none"/>
          <w:lang w:eastAsia="zh-CN"/>
        </w:rPr>
        <w:t>单一来源采购</w:t>
      </w:r>
      <w:r>
        <w:rPr>
          <w:rFonts w:hint="eastAsia" w:ascii="宋体" w:hAnsi="宋体" w:cs="宋体"/>
          <w:sz w:val="24"/>
          <w:highlight w:val="none"/>
        </w:rPr>
        <w:t>方式对“</w:t>
      </w:r>
      <w:r>
        <w:rPr>
          <w:rFonts w:hint="eastAsia" w:ascii="宋体" w:hAnsi="宋体" w:cs="宋体"/>
          <w:sz w:val="24"/>
          <w:highlight w:val="none"/>
          <w:lang w:eastAsia="zh-CN"/>
        </w:rPr>
        <w:t>（</w:t>
      </w:r>
      <w:r>
        <w:rPr>
          <w:rFonts w:hint="eastAsia" w:ascii="宋体" w:hAnsi="宋体" w:cs="宋体"/>
          <w:sz w:val="24"/>
          <w:highlight w:val="none"/>
          <w:lang w:val="en-US" w:eastAsia="zh-CN"/>
        </w:rPr>
        <w:t>项目名称）</w:t>
      </w:r>
      <w:r>
        <w:rPr>
          <w:rFonts w:hint="eastAsia" w:ascii="宋体" w:hAnsi="宋体" w:cs="宋体"/>
          <w:sz w:val="24"/>
          <w:highlight w:val="none"/>
        </w:rPr>
        <w:t>”</w:t>
      </w:r>
      <w:r>
        <w:rPr>
          <w:rFonts w:hint="eastAsia" w:ascii="宋体" w:hAnsi="宋体" w:cs="宋体"/>
          <w:sz w:val="24"/>
          <w:szCs w:val="24"/>
          <w:highlight w:val="none"/>
        </w:rPr>
        <w:t>（项目编号：</w:t>
      </w:r>
      <w:r>
        <w:rPr>
          <w:rFonts w:hint="eastAsia" w:ascii="宋体" w:hAnsi="宋体" w:cs="宋体"/>
          <w:sz w:val="24"/>
          <w:szCs w:val="24"/>
          <w:highlight w:val="none"/>
          <w:lang w:eastAsia="zh-CN"/>
        </w:rPr>
        <w:t>（</w:t>
      </w:r>
      <w:r>
        <w:rPr>
          <w:rFonts w:hint="eastAsia" w:ascii="宋体" w:hAnsi="宋体" w:cs="宋体"/>
          <w:sz w:val="24"/>
          <w:szCs w:val="24"/>
          <w:highlight w:val="none"/>
          <w:u w:val="single"/>
          <w:lang w:val="en-US" w:eastAsia="zh-CN"/>
        </w:rPr>
        <w:t>项目编号）</w:t>
      </w:r>
      <w:r>
        <w:rPr>
          <w:rFonts w:hint="eastAsia" w:ascii="宋体" w:hAnsi="宋体" w:cs="宋体"/>
          <w:sz w:val="24"/>
          <w:szCs w:val="24"/>
          <w:highlight w:val="none"/>
        </w:rPr>
        <w:t>）</w:t>
      </w:r>
      <w:r>
        <w:rPr>
          <w:rFonts w:hint="eastAsia" w:ascii="宋体" w:hAnsi="宋体" w:cs="宋体"/>
          <w:sz w:val="24"/>
          <w:highlight w:val="none"/>
        </w:rPr>
        <w:t>进行了</w:t>
      </w:r>
      <w:r>
        <w:rPr>
          <w:rFonts w:hint="eastAsia" w:ascii="宋体" w:hAnsi="宋体" w:cs="宋体"/>
          <w:sz w:val="24"/>
          <w:highlight w:val="none"/>
          <w:lang w:eastAsia="zh-CN"/>
        </w:rPr>
        <w:t>采购</w:t>
      </w:r>
      <w:r>
        <w:rPr>
          <w:rFonts w:hint="eastAsia" w:ascii="宋体" w:hAnsi="宋体" w:cs="宋体"/>
          <w:sz w:val="24"/>
          <w:highlight w:val="none"/>
        </w:rPr>
        <w:t>。经</w:t>
      </w:r>
      <w:r>
        <w:rPr>
          <w:rFonts w:hint="eastAsia" w:ascii="宋体" w:hAnsi="宋体" w:cs="宋体"/>
          <w:sz w:val="24"/>
          <w:highlight w:val="none"/>
          <w:lang w:eastAsia="zh-CN"/>
        </w:rPr>
        <w:t>采购小组</w:t>
      </w:r>
      <w:r>
        <w:rPr>
          <w:rFonts w:hint="eastAsia" w:ascii="宋体" w:hAnsi="宋体" w:cs="宋体"/>
          <w:sz w:val="24"/>
          <w:highlight w:val="none"/>
        </w:rPr>
        <w:t>评定，</w:t>
      </w:r>
      <w:r>
        <w:rPr>
          <w:rFonts w:hint="eastAsia" w:ascii="宋体" w:hAnsi="宋体" w:cs="宋体"/>
          <w:sz w:val="24"/>
          <w:highlight w:val="none"/>
          <w:u w:val="single"/>
        </w:rPr>
        <w:t>（</w:t>
      </w:r>
      <w:r>
        <w:rPr>
          <w:rFonts w:hint="eastAsia" w:ascii="宋体" w:hAnsi="宋体" w:cs="宋体"/>
          <w:sz w:val="24"/>
          <w:highlight w:val="none"/>
          <w:u w:val="single"/>
          <w:lang w:eastAsia="zh-CN"/>
        </w:rPr>
        <w:t>成交</w:t>
      </w:r>
      <w:r>
        <w:rPr>
          <w:rFonts w:hint="eastAsia" w:ascii="宋体" w:hAnsi="宋体" w:cs="宋体"/>
          <w:sz w:val="24"/>
          <w:highlight w:val="none"/>
          <w:u w:val="single"/>
        </w:rPr>
        <w:t>供应商名称）</w:t>
      </w:r>
      <w:r>
        <w:rPr>
          <w:rFonts w:hint="eastAsia" w:ascii="宋体" w:hAnsi="宋体" w:cs="宋体"/>
          <w:sz w:val="24"/>
          <w:szCs w:val="24"/>
          <w:highlight w:val="none"/>
        </w:rPr>
        <w:t>（以下简称“乙方”）</w:t>
      </w:r>
      <w:r>
        <w:rPr>
          <w:rFonts w:hint="eastAsia" w:ascii="宋体" w:hAnsi="宋体" w:cs="宋体"/>
          <w:sz w:val="24"/>
          <w:highlight w:val="none"/>
        </w:rPr>
        <w:t>为该项目</w:t>
      </w:r>
      <w:r>
        <w:rPr>
          <w:rFonts w:hint="eastAsia" w:ascii="宋体" w:hAnsi="宋体" w:cs="宋体"/>
          <w:sz w:val="24"/>
          <w:highlight w:val="none"/>
          <w:lang w:eastAsia="zh-CN"/>
        </w:rPr>
        <w:t>成交</w:t>
      </w:r>
      <w:r>
        <w:rPr>
          <w:rFonts w:hint="eastAsia" w:ascii="宋体" w:hAnsi="宋体" w:cs="宋体"/>
          <w:sz w:val="24"/>
          <w:highlight w:val="none"/>
        </w:rPr>
        <w:t>供应商。现于</w:t>
      </w:r>
      <w:r>
        <w:rPr>
          <w:rFonts w:hint="eastAsia" w:ascii="宋体" w:hAnsi="宋体" w:cs="宋体"/>
          <w:sz w:val="24"/>
          <w:highlight w:val="none"/>
          <w:lang w:eastAsia="zh-CN"/>
        </w:rPr>
        <w:t>成交</w:t>
      </w:r>
      <w:r>
        <w:rPr>
          <w:rFonts w:hint="eastAsia" w:ascii="宋体" w:hAnsi="宋体" w:cs="宋体"/>
          <w:sz w:val="24"/>
          <w:highlight w:val="none"/>
        </w:rPr>
        <w:t>通知书发出之日起三十日内，按照</w:t>
      </w:r>
      <w:r>
        <w:rPr>
          <w:rFonts w:hint="eastAsia" w:ascii="宋体" w:hAnsi="宋体" w:cs="宋体"/>
          <w:sz w:val="24"/>
          <w:highlight w:val="none"/>
          <w:lang w:eastAsia="zh-CN"/>
        </w:rPr>
        <w:t>采购</w:t>
      </w:r>
      <w:r>
        <w:rPr>
          <w:rFonts w:hint="eastAsia" w:ascii="宋体" w:hAnsi="宋体" w:cs="宋体"/>
          <w:sz w:val="24"/>
          <w:highlight w:val="none"/>
        </w:rPr>
        <w:t>文件确定的事项签订本合同。</w:t>
      </w:r>
    </w:p>
    <w:p w14:paraId="2C7F92C3">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highlight w:val="none"/>
          <w:lang w:val="zh-CN"/>
        </w:rPr>
        <w:t>根据《中华人民共和国</w:t>
      </w:r>
      <w:r>
        <w:rPr>
          <w:rFonts w:hint="eastAsia" w:ascii="宋体" w:hAnsi="宋体" w:cs="宋体"/>
          <w:sz w:val="24"/>
          <w:highlight w:val="none"/>
          <w:lang w:val="en-US" w:eastAsia="zh-CN"/>
        </w:rPr>
        <w:t>民法典</w:t>
      </w:r>
      <w:r>
        <w:rPr>
          <w:rFonts w:hint="eastAsia" w:ascii="宋体" w:hAnsi="宋体" w:cs="宋体"/>
          <w:sz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highlight w:val="none"/>
        </w:rPr>
        <w:t>条款，以兹共同遵守、全面履行。</w:t>
      </w:r>
    </w:p>
    <w:p w14:paraId="4AE5538C">
      <w:pPr>
        <w:spacing w:line="360" w:lineRule="auto"/>
        <w:ind w:firstLine="482" w:firstLineChars="200"/>
        <w:outlineLvl w:val="9"/>
        <w:rPr>
          <w:rFonts w:hint="eastAsia" w:ascii="宋体" w:hAnsi="宋体" w:cs="宋体"/>
          <w:sz w:val="24"/>
          <w:szCs w:val="24"/>
          <w:highlight w:val="none"/>
        </w:rPr>
      </w:pPr>
      <w:bookmarkStart w:id="11" w:name="_Toc9470"/>
      <w:bookmarkStart w:id="12" w:name="_Toc15367"/>
      <w:bookmarkStart w:id="13" w:name="_Toc28855"/>
      <w:bookmarkStart w:id="14" w:name="_Toc26482"/>
      <w:bookmarkStart w:id="15" w:name="_Toc22967"/>
      <w:bookmarkStart w:id="16" w:name="_Toc19273"/>
      <w:bookmarkStart w:id="17" w:name="_Toc20421"/>
      <w:bookmarkStart w:id="18" w:name="_Toc331685783"/>
      <w:r>
        <w:rPr>
          <w:rFonts w:hint="eastAsia" w:ascii="宋体" w:hAnsi="宋体" w:cs="宋体"/>
          <w:b/>
          <w:sz w:val="24"/>
          <w:szCs w:val="24"/>
          <w:highlight w:val="none"/>
        </w:rPr>
        <w:t>1.1合同组成部分</w:t>
      </w:r>
      <w:bookmarkEnd w:id="11"/>
      <w:bookmarkEnd w:id="12"/>
      <w:bookmarkEnd w:id="13"/>
      <w:bookmarkEnd w:id="14"/>
      <w:bookmarkEnd w:id="15"/>
      <w:bookmarkEnd w:id="16"/>
      <w:bookmarkEnd w:id="17"/>
    </w:p>
    <w:p w14:paraId="583D8833">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2E8E7115">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1.1.1本合同及其补充合同、变更协议；</w:t>
      </w:r>
    </w:p>
    <w:p w14:paraId="415728BB">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1.1.2</w:t>
      </w:r>
      <w:r>
        <w:rPr>
          <w:rFonts w:hint="eastAsia" w:ascii="宋体" w:hAnsi="宋体" w:cs="宋体"/>
          <w:sz w:val="24"/>
          <w:szCs w:val="24"/>
          <w:highlight w:val="none"/>
          <w:lang w:eastAsia="zh-CN"/>
        </w:rPr>
        <w:t>成交</w:t>
      </w:r>
      <w:r>
        <w:rPr>
          <w:rFonts w:hint="eastAsia" w:ascii="宋体" w:hAnsi="宋体" w:cs="宋体"/>
          <w:sz w:val="24"/>
          <w:szCs w:val="24"/>
          <w:highlight w:val="none"/>
        </w:rPr>
        <w:t>通知书；</w:t>
      </w:r>
    </w:p>
    <w:p w14:paraId="2075E370">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1.1.3</w:t>
      </w:r>
      <w:r>
        <w:rPr>
          <w:rFonts w:hint="eastAsia" w:ascii="宋体" w:hAnsi="宋体" w:cs="宋体"/>
          <w:sz w:val="24"/>
          <w:szCs w:val="24"/>
          <w:highlight w:val="none"/>
          <w:lang w:eastAsia="zh-CN"/>
        </w:rPr>
        <w:t>响应</w:t>
      </w:r>
      <w:r>
        <w:rPr>
          <w:rFonts w:hint="eastAsia" w:ascii="宋体" w:hAnsi="宋体" w:cs="宋体"/>
          <w:sz w:val="24"/>
          <w:szCs w:val="24"/>
          <w:highlight w:val="none"/>
        </w:rPr>
        <w:t>文件（含澄清或者说明文件）；</w:t>
      </w:r>
    </w:p>
    <w:p w14:paraId="4FB90061">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1.1.4</w:t>
      </w:r>
      <w:r>
        <w:rPr>
          <w:rFonts w:hint="eastAsia" w:ascii="宋体" w:hAnsi="宋体" w:cs="宋体"/>
          <w:sz w:val="24"/>
          <w:szCs w:val="24"/>
          <w:highlight w:val="none"/>
          <w:lang w:eastAsia="zh-CN"/>
        </w:rPr>
        <w:t>单一来源采购</w:t>
      </w:r>
      <w:r>
        <w:rPr>
          <w:rFonts w:hint="eastAsia" w:ascii="宋体" w:hAnsi="宋体" w:cs="宋体"/>
          <w:sz w:val="24"/>
          <w:szCs w:val="24"/>
          <w:highlight w:val="none"/>
        </w:rPr>
        <w:t>文件（含澄清或者修改文件）；</w:t>
      </w:r>
    </w:p>
    <w:p w14:paraId="3B3F0DB7">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1.1.5其他相关采购文件。</w:t>
      </w:r>
    </w:p>
    <w:p w14:paraId="6DB2F760">
      <w:pPr>
        <w:spacing w:line="360" w:lineRule="auto"/>
        <w:ind w:firstLine="482" w:firstLineChars="200"/>
        <w:outlineLvl w:val="9"/>
        <w:rPr>
          <w:rFonts w:hint="eastAsia" w:ascii="宋体" w:hAnsi="宋体" w:cs="宋体"/>
          <w:b/>
          <w:sz w:val="24"/>
          <w:szCs w:val="24"/>
          <w:highlight w:val="none"/>
        </w:rPr>
      </w:pPr>
      <w:bookmarkStart w:id="19" w:name="_Toc22185"/>
      <w:bookmarkStart w:id="20" w:name="_Toc6773"/>
      <w:bookmarkStart w:id="21" w:name="_Toc6311"/>
      <w:bookmarkStart w:id="22" w:name="_Toc2918"/>
      <w:bookmarkStart w:id="23" w:name="_Toc18585"/>
      <w:bookmarkStart w:id="24" w:name="_Toc16407"/>
      <w:r>
        <w:rPr>
          <w:rFonts w:hint="eastAsia" w:ascii="宋体" w:hAnsi="宋体" w:cs="宋体"/>
          <w:b/>
          <w:sz w:val="24"/>
          <w:szCs w:val="24"/>
          <w:highlight w:val="none"/>
        </w:rPr>
        <w:t>1.2标的</w:t>
      </w:r>
      <w:bookmarkEnd w:id="19"/>
      <w:bookmarkEnd w:id="20"/>
      <w:bookmarkEnd w:id="21"/>
      <w:bookmarkEnd w:id="22"/>
      <w:bookmarkEnd w:id="23"/>
      <w:bookmarkEnd w:id="24"/>
    </w:p>
    <w:p w14:paraId="69F31443">
      <w:pPr>
        <w:spacing w:line="360" w:lineRule="auto"/>
        <w:ind w:firstLine="480" w:firstLineChars="200"/>
        <w:outlineLvl w:val="9"/>
        <w:rPr>
          <w:rFonts w:hint="eastAsia" w:ascii="宋体" w:hAnsi="宋体" w:cs="宋体"/>
          <w:sz w:val="24"/>
          <w:szCs w:val="24"/>
          <w:highlight w:val="none"/>
          <w:u w:val="single"/>
        </w:rPr>
      </w:pPr>
      <w:r>
        <w:rPr>
          <w:rFonts w:hint="eastAsia" w:ascii="宋体" w:hAnsi="宋体" w:cs="宋体"/>
          <w:sz w:val="24"/>
          <w:szCs w:val="24"/>
          <w:highlight w:val="none"/>
        </w:rPr>
        <w:t>1.2.1标的名称：</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w:t>
      </w:r>
    </w:p>
    <w:p w14:paraId="47DF19F1">
      <w:pPr>
        <w:spacing w:line="360" w:lineRule="auto"/>
        <w:ind w:firstLine="480" w:firstLineChars="200"/>
        <w:outlineLvl w:val="9"/>
        <w:rPr>
          <w:rFonts w:hint="eastAsia" w:ascii="宋体" w:hAnsi="宋体" w:cs="宋体"/>
          <w:sz w:val="24"/>
          <w:szCs w:val="24"/>
          <w:highlight w:val="none"/>
          <w:u w:val="single"/>
        </w:rPr>
      </w:pPr>
      <w:r>
        <w:rPr>
          <w:rFonts w:hint="eastAsia" w:ascii="宋体" w:hAnsi="宋体" w:cs="宋体"/>
          <w:sz w:val="24"/>
          <w:szCs w:val="24"/>
          <w:highlight w:val="none"/>
        </w:rPr>
        <w:t>1.2.2标的数量：</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w:t>
      </w:r>
    </w:p>
    <w:p w14:paraId="115C6B42">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1.2.3标的质量：</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w:t>
      </w:r>
    </w:p>
    <w:p w14:paraId="18C0E94F">
      <w:pPr>
        <w:spacing w:line="360" w:lineRule="auto"/>
        <w:ind w:firstLine="482" w:firstLineChars="200"/>
        <w:outlineLvl w:val="9"/>
        <w:rPr>
          <w:rFonts w:hint="eastAsia" w:ascii="宋体" w:hAnsi="宋体" w:cs="宋体"/>
          <w:b/>
          <w:sz w:val="24"/>
          <w:szCs w:val="24"/>
          <w:highlight w:val="none"/>
        </w:rPr>
      </w:pPr>
      <w:bookmarkStart w:id="25" w:name="_Toc13918"/>
      <w:bookmarkStart w:id="26" w:name="_Toc21782"/>
      <w:bookmarkStart w:id="27" w:name="_Toc4929"/>
      <w:bookmarkStart w:id="28" w:name="_Toc1386"/>
      <w:bookmarkStart w:id="29" w:name="_Toc6409"/>
      <w:bookmarkStart w:id="30" w:name="_Toc5635"/>
      <w:bookmarkStart w:id="31" w:name="_Toc21124"/>
      <w:r>
        <w:rPr>
          <w:rFonts w:hint="eastAsia" w:ascii="宋体" w:hAnsi="宋体" w:cs="宋体"/>
          <w:b/>
          <w:sz w:val="24"/>
          <w:szCs w:val="24"/>
          <w:highlight w:val="none"/>
        </w:rPr>
        <w:t>1.3价款</w:t>
      </w:r>
      <w:bookmarkEnd w:id="25"/>
      <w:bookmarkEnd w:id="26"/>
      <w:bookmarkEnd w:id="27"/>
      <w:bookmarkEnd w:id="28"/>
      <w:bookmarkEnd w:id="29"/>
      <w:bookmarkEnd w:id="30"/>
      <w:bookmarkEnd w:id="31"/>
    </w:p>
    <w:p w14:paraId="6D1D5286">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本合同总价为：￥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元人民币）。</w:t>
      </w:r>
    </w:p>
    <w:p w14:paraId="29AA56FE">
      <w:pPr>
        <w:spacing w:line="360" w:lineRule="auto"/>
        <w:ind w:firstLine="480" w:firstLineChars="200"/>
        <w:outlineLvl w:val="9"/>
        <w:rPr>
          <w:rFonts w:hint="eastAsia" w:ascii="宋体" w:hAnsi="宋体" w:cs="宋体"/>
          <w:sz w:val="24"/>
          <w:szCs w:val="24"/>
          <w:highlight w:val="none"/>
          <w:u w:val="single"/>
        </w:rPr>
      </w:pPr>
      <w:r>
        <w:rPr>
          <w:rFonts w:hint="eastAsia" w:ascii="宋体" w:hAnsi="宋体" w:cs="宋体"/>
          <w:sz w:val="24"/>
          <w:szCs w:val="24"/>
          <w:highlight w:val="none"/>
        </w:rPr>
        <w:t>分项价格：</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285C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7F79A93E">
            <w:pPr>
              <w:pStyle w:val="5"/>
              <w:spacing w:line="360" w:lineRule="auto"/>
              <w:jc w:val="center"/>
              <w:outlineLvl w:val="9"/>
              <w:rPr>
                <w:rFonts w:hint="eastAsia" w:hAnsi="宋体" w:cs="宋体"/>
                <w:sz w:val="24"/>
                <w:szCs w:val="24"/>
                <w:highlight w:val="none"/>
              </w:rPr>
            </w:pPr>
            <w:r>
              <w:rPr>
                <w:rFonts w:hint="eastAsia" w:hAnsi="宋体" w:cs="宋体"/>
                <w:sz w:val="24"/>
                <w:szCs w:val="24"/>
                <w:highlight w:val="none"/>
              </w:rPr>
              <w:t>序号</w:t>
            </w:r>
          </w:p>
        </w:tc>
        <w:tc>
          <w:tcPr>
            <w:tcW w:w="3402" w:type="dxa"/>
            <w:noWrap w:val="0"/>
            <w:vAlign w:val="center"/>
          </w:tcPr>
          <w:p w14:paraId="5A2E8555">
            <w:pPr>
              <w:pStyle w:val="5"/>
              <w:spacing w:line="360" w:lineRule="auto"/>
              <w:ind w:firstLine="200"/>
              <w:jc w:val="center"/>
              <w:outlineLvl w:val="9"/>
              <w:rPr>
                <w:rFonts w:hint="eastAsia" w:hAnsi="宋体" w:cs="宋体"/>
                <w:sz w:val="24"/>
                <w:szCs w:val="24"/>
                <w:highlight w:val="none"/>
              </w:rPr>
            </w:pPr>
            <w:r>
              <w:rPr>
                <w:rFonts w:hint="eastAsia" w:hAnsi="宋体" w:cs="宋体"/>
                <w:sz w:val="24"/>
                <w:szCs w:val="24"/>
                <w:highlight w:val="none"/>
              </w:rPr>
              <w:t>分项名称</w:t>
            </w:r>
          </w:p>
        </w:tc>
        <w:tc>
          <w:tcPr>
            <w:tcW w:w="2552" w:type="dxa"/>
            <w:noWrap w:val="0"/>
            <w:vAlign w:val="center"/>
          </w:tcPr>
          <w:p w14:paraId="4B44BA10">
            <w:pPr>
              <w:pStyle w:val="5"/>
              <w:spacing w:line="360" w:lineRule="auto"/>
              <w:jc w:val="center"/>
              <w:outlineLvl w:val="9"/>
              <w:rPr>
                <w:rFonts w:hint="eastAsia" w:hAnsi="宋体" w:cs="宋体"/>
                <w:sz w:val="24"/>
                <w:szCs w:val="24"/>
                <w:highlight w:val="none"/>
              </w:rPr>
            </w:pPr>
            <w:r>
              <w:rPr>
                <w:rFonts w:hint="eastAsia" w:hAnsi="宋体" w:cs="宋体"/>
                <w:sz w:val="24"/>
                <w:szCs w:val="24"/>
                <w:highlight w:val="none"/>
              </w:rPr>
              <w:t>分项价格</w:t>
            </w:r>
          </w:p>
        </w:tc>
      </w:tr>
      <w:tr w14:paraId="303D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11D63AB5">
            <w:pPr>
              <w:pStyle w:val="5"/>
              <w:spacing w:line="360" w:lineRule="auto"/>
              <w:ind w:firstLine="200"/>
              <w:jc w:val="center"/>
              <w:outlineLvl w:val="9"/>
              <w:rPr>
                <w:rFonts w:hint="eastAsia" w:hAnsi="宋体" w:cs="宋体"/>
                <w:sz w:val="24"/>
                <w:szCs w:val="24"/>
                <w:highlight w:val="none"/>
              </w:rPr>
            </w:pPr>
          </w:p>
        </w:tc>
        <w:tc>
          <w:tcPr>
            <w:tcW w:w="3402" w:type="dxa"/>
            <w:noWrap w:val="0"/>
            <w:vAlign w:val="center"/>
          </w:tcPr>
          <w:p w14:paraId="04CA5482">
            <w:pPr>
              <w:pStyle w:val="5"/>
              <w:spacing w:line="360" w:lineRule="auto"/>
              <w:ind w:firstLine="200"/>
              <w:jc w:val="center"/>
              <w:outlineLvl w:val="9"/>
              <w:rPr>
                <w:rFonts w:hint="eastAsia" w:hAnsi="宋体" w:cs="宋体"/>
                <w:sz w:val="24"/>
                <w:szCs w:val="24"/>
                <w:highlight w:val="none"/>
              </w:rPr>
            </w:pPr>
          </w:p>
        </w:tc>
        <w:tc>
          <w:tcPr>
            <w:tcW w:w="2552" w:type="dxa"/>
            <w:noWrap w:val="0"/>
            <w:vAlign w:val="center"/>
          </w:tcPr>
          <w:p w14:paraId="124297EC">
            <w:pPr>
              <w:pStyle w:val="5"/>
              <w:spacing w:line="360" w:lineRule="auto"/>
              <w:ind w:firstLine="200"/>
              <w:jc w:val="center"/>
              <w:outlineLvl w:val="9"/>
              <w:rPr>
                <w:rFonts w:hint="eastAsia" w:hAnsi="宋体" w:cs="宋体"/>
                <w:sz w:val="24"/>
                <w:szCs w:val="24"/>
                <w:highlight w:val="none"/>
              </w:rPr>
            </w:pPr>
          </w:p>
        </w:tc>
      </w:tr>
      <w:tr w14:paraId="7A9C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5495AABD">
            <w:pPr>
              <w:pStyle w:val="5"/>
              <w:spacing w:line="360" w:lineRule="auto"/>
              <w:ind w:firstLine="200"/>
              <w:jc w:val="center"/>
              <w:outlineLvl w:val="9"/>
              <w:rPr>
                <w:rFonts w:hint="eastAsia" w:hAnsi="宋体" w:cs="宋体"/>
                <w:sz w:val="24"/>
                <w:szCs w:val="24"/>
                <w:highlight w:val="none"/>
              </w:rPr>
            </w:pPr>
          </w:p>
        </w:tc>
        <w:tc>
          <w:tcPr>
            <w:tcW w:w="3402" w:type="dxa"/>
            <w:noWrap w:val="0"/>
            <w:vAlign w:val="center"/>
          </w:tcPr>
          <w:p w14:paraId="0EFF05E3">
            <w:pPr>
              <w:pStyle w:val="5"/>
              <w:spacing w:line="360" w:lineRule="auto"/>
              <w:ind w:firstLine="200"/>
              <w:jc w:val="center"/>
              <w:outlineLvl w:val="9"/>
              <w:rPr>
                <w:rFonts w:hint="eastAsia" w:hAnsi="宋体" w:cs="宋体"/>
                <w:sz w:val="24"/>
                <w:szCs w:val="24"/>
                <w:highlight w:val="none"/>
              </w:rPr>
            </w:pPr>
          </w:p>
        </w:tc>
        <w:tc>
          <w:tcPr>
            <w:tcW w:w="2552" w:type="dxa"/>
            <w:noWrap w:val="0"/>
            <w:vAlign w:val="center"/>
          </w:tcPr>
          <w:p w14:paraId="7D1B2A39">
            <w:pPr>
              <w:pStyle w:val="5"/>
              <w:spacing w:line="360" w:lineRule="auto"/>
              <w:ind w:firstLine="200"/>
              <w:jc w:val="center"/>
              <w:outlineLvl w:val="9"/>
              <w:rPr>
                <w:rFonts w:hint="eastAsia" w:hAnsi="宋体" w:cs="宋体"/>
                <w:sz w:val="24"/>
                <w:szCs w:val="24"/>
                <w:highlight w:val="none"/>
              </w:rPr>
            </w:pPr>
          </w:p>
        </w:tc>
      </w:tr>
      <w:tr w14:paraId="458B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754B82B1">
            <w:pPr>
              <w:pStyle w:val="5"/>
              <w:spacing w:line="360" w:lineRule="auto"/>
              <w:ind w:firstLine="200"/>
              <w:jc w:val="center"/>
              <w:outlineLvl w:val="9"/>
              <w:rPr>
                <w:rFonts w:hint="eastAsia" w:hAnsi="宋体" w:cs="宋体"/>
                <w:sz w:val="24"/>
                <w:szCs w:val="24"/>
                <w:highlight w:val="none"/>
              </w:rPr>
            </w:pPr>
          </w:p>
        </w:tc>
        <w:tc>
          <w:tcPr>
            <w:tcW w:w="3402" w:type="dxa"/>
            <w:noWrap w:val="0"/>
            <w:vAlign w:val="center"/>
          </w:tcPr>
          <w:p w14:paraId="1FC2D404">
            <w:pPr>
              <w:pStyle w:val="5"/>
              <w:spacing w:line="360" w:lineRule="auto"/>
              <w:ind w:firstLine="200"/>
              <w:jc w:val="center"/>
              <w:outlineLvl w:val="9"/>
              <w:rPr>
                <w:rFonts w:hint="eastAsia" w:hAnsi="宋体" w:cs="宋体"/>
                <w:sz w:val="24"/>
                <w:szCs w:val="24"/>
                <w:highlight w:val="none"/>
              </w:rPr>
            </w:pPr>
          </w:p>
        </w:tc>
        <w:tc>
          <w:tcPr>
            <w:tcW w:w="2552" w:type="dxa"/>
            <w:noWrap w:val="0"/>
            <w:vAlign w:val="center"/>
          </w:tcPr>
          <w:p w14:paraId="5DBA3538">
            <w:pPr>
              <w:pStyle w:val="5"/>
              <w:spacing w:line="360" w:lineRule="auto"/>
              <w:ind w:firstLine="200"/>
              <w:jc w:val="center"/>
              <w:outlineLvl w:val="9"/>
              <w:rPr>
                <w:rFonts w:hint="eastAsia" w:hAnsi="宋体" w:cs="宋体"/>
                <w:sz w:val="24"/>
                <w:szCs w:val="24"/>
                <w:highlight w:val="none"/>
              </w:rPr>
            </w:pPr>
          </w:p>
        </w:tc>
      </w:tr>
      <w:tr w14:paraId="3441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01D71005">
            <w:pPr>
              <w:pStyle w:val="5"/>
              <w:spacing w:line="360" w:lineRule="auto"/>
              <w:ind w:firstLine="200"/>
              <w:jc w:val="center"/>
              <w:outlineLvl w:val="9"/>
              <w:rPr>
                <w:rFonts w:hint="eastAsia" w:hAnsi="宋体" w:cs="宋体"/>
                <w:sz w:val="24"/>
                <w:szCs w:val="24"/>
                <w:highlight w:val="none"/>
              </w:rPr>
            </w:pPr>
          </w:p>
        </w:tc>
        <w:tc>
          <w:tcPr>
            <w:tcW w:w="3402" w:type="dxa"/>
            <w:noWrap w:val="0"/>
            <w:vAlign w:val="center"/>
          </w:tcPr>
          <w:p w14:paraId="03884226">
            <w:pPr>
              <w:pStyle w:val="5"/>
              <w:spacing w:line="360" w:lineRule="auto"/>
              <w:ind w:firstLine="200"/>
              <w:jc w:val="center"/>
              <w:outlineLvl w:val="9"/>
              <w:rPr>
                <w:rFonts w:hint="eastAsia" w:hAnsi="宋体" w:cs="宋体"/>
                <w:sz w:val="24"/>
                <w:szCs w:val="24"/>
                <w:highlight w:val="none"/>
              </w:rPr>
            </w:pPr>
          </w:p>
        </w:tc>
        <w:tc>
          <w:tcPr>
            <w:tcW w:w="2552" w:type="dxa"/>
            <w:noWrap w:val="0"/>
            <w:vAlign w:val="center"/>
          </w:tcPr>
          <w:p w14:paraId="5EB53883">
            <w:pPr>
              <w:pStyle w:val="5"/>
              <w:spacing w:line="360" w:lineRule="auto"/>
              <w:ind w:firstLine="200"/>
              <w:jc w:val="center"/>
              <w:outlineLvl w:val="9"/>
              <w:rPr>
                <w:rFonts w:hint="eastAsia" w:hAnsi="宋体" w:cs="宋体"/>
                <w:sz w:val="24"/>
                <w:szCs w:val="24"/>
                <w:highlight w:val="none"/>
              </w:rPr>
            </w:pPr>
          </w:p>
        </w:tc>
      </w:tr>
      <w:tr w14:paraId="1C5A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noWrap w:val="0"/>
            <w:vAlign w:val="center"/>
          </w:tcPr>
          <w:p w14:paraId="57F7C6DD">
            <w:pPr>
              <w:pStyle w:val="5"/>
              <w:spacing w:line="360" w:lineRule="auto"/>
              <w:ind w:firstLine="200"/>
              <w:jc w:val="center"/>
              <w:outlineLvl w:val="9"/>
              <w:rPr>
                <w:rFonts w:hint="eastAsia" w:hAnsi="宋体" w:cs="宋体"/>
                <w:sz w:val="24"/>
                <w:szCs w:val="24"/>
                <w:highlight w:val="none"/>
              </w:rPr>
            </w:pPr>
            <w:r>
              <w:rPr>
                <w:rFonts w:hint="eastAsia" w:hAnsi="宋体" w:cs="宋体"/>
                <w:sz w:val="24"/>
                <w:szCs w:val="24"/>
                <w:highlight w:val="none"/>
              </w:rPr>
              <w:t>总价</w:t>
            </w:r>
          </w:p>
        </w:tc>
        <w:tc>
          <w:tcPr>
            <w:tcW w:w="2552" w:type="dxa"/>
            <w:noWrap w:val="0"/>
            <w:vAlign w:val="center"/>
          </w:tcPr>
          <w:p w14:paraId="5908C5EA">
            <w:pPr>
              <w:pStyle w:val="5"/>
              <w:spacing w:line="360" w:lineRule="auto"/>
              <w:ind w:firstLine="200"/>
              <w:jc w:val="center"/>
              <w:outlineLvl w:val="9"/>
              <w:rPr>
                <w:rFonts w:hint="eastAsia" w:hAnsi="宋体" w:cs="宋体"/>
                <w:sz w:val="24"/>
                <w:szCs w:val="24"/>
                <w:highlight w:val="none"/>
              </w:rPr>
            </w:pPr>
          </w:p>
        </w:tc>
      </w:tr>
    </w:tbl>
    <w:p w14:paraId="5D7050D6">
      <w:pPr>
        <w:spacing w:line="360" w:lineRule="auto"/>
        <w:ind w:firstLine="482" w:firstLineChars="200"/>
        <w:outlineLvl w:val="9"/>
        <w:rPr>
          <w:rFonts w:hint="eastAsia" w:ascii="宋体" w:hAnsi="宋体" w:cs="宋体"/>
          <w:b/>
          <w:sz w:val="24"/>
          <w:szCs w:val="24"/>
          <w:highlight w:val="none"/>
        </w:rPr>
      </w:pPr>
      <w:bookmarkStart w:id="32" w:name="_Toc30158"/>
      <w:bookmarkStart w:id="33" w:name="_Toc3654"/>
      <w:bookmarkStart w:id="34" w:name="_Toc13113"/>
      <w:bookmarkStart w:id="35" w:name="_Toc14993"/>
      <w:bookmarkStart w:id="36" w:name="_Toc30506"/>
      <w:bookmarkStart w:id="37" w:name="_Toc26916"/>
      <w:bookmarkStart w:id="38" w:name="_Toc15617"/>
      <w:r>
        <w:rPr>
          <w:rFonts w:hint="eastAsia" w:ascii="宋体" w:hAnsi="宋体" w:cs="宋体"/>
          <w:b/>
          <w:sz w:val="24"/>
          <w:szCs w:val="24"/>
          <w:highlight w:val="none"/>
        </w:rPr>
        <w:t>1.4付款方式和发票开具方式</w:t>
      </w:r>
      <w:bookmarkEnd w:id="32"/>
      <w:bookmarkEnd w:id="33"/>
      <w:bookmarkEnd w:id="34"/>
      <w:bookmarkEnd w:id="35"/>
      <w:bookmarkEnd w:id="36"/>
      <w:bookmarkEnd w:id="37"/>
      <w:bookmarkEnd w:id="38"/>
    </w:p>
    <w:p w14:paraId="3A7BFA5A">
      <w:pPr>
        <w:spacing w:line="360" w:lineRule="auto"/>
        <w:ind w:firstLine="480" w:firstLineChars="200"/>
        <w:outlineLvl w:val="9"/>
        <w:rPr>
          <w:rFonts w:hint="eastAsia" w:ascii="宋体" w:hAnsi="宋体" w:cs="宋体"/>
          <w:b w:val="0"/>
          <w:bCs/>
          <w:sz w:val="24"/>
          <w:szCs w:val="24"/>
          <w:highlight w:val="none"/>
        </w:rPr>
      </w:pPr>
      <w:r>
        <w:rPr>
          <w:rFonts w:hint="eastAsia" w:ascii="宋体" w:hAnsi="宋体" w:cs="宋体"/>
          <w:b w:val="0"/>
          <w:bCs/>
          <w:sz w:val="24"/>
          <w:szCs w:val="24"/>
          <w:highlight w:val="none"/>
          <w:lang w:val="en-US" w:eastAsia="zh-CN"/>
        </w:rPr>
        <w:t>1.4.1达到付款条件起30日内，支付合同总金额的100.00%。</w:t>
      </w:r>
      <w:r>
        <w:rPr>
          <w:rFonts w:hint="eastAsia" w:ascii="宋体" w:hAnsi="宋体" w:cs="宋体"/>
          <w:b w:val="0"/>
          <w:bCs/>
          <w:sz w:val="24"/>
          <w:szCs w:val="24"/>
          <w:highlight w:val="none"/>
        </w:rPr>
        <w:t>；</w:t>
      </w:r>
    </w:p>
    <w:p w14:paraId="21971512">
      <w:pPr>
        <w:spacing w:line="360" w:lineRule="auto"/>
        <w:ind w:firstLine="480" w:firstLineChars="200"/>
        <w:outlineLvl w:val="9"/>
        <w:rPr>
          <w:rFonts w:hint="eastAsia" w:ascii="宋体" w:hAnsi="宋体" w:cs="宋体"/>
          <w:b w:val="0"/>
          <w:bCs/>
          <w:sz w:val="24"/>
          <w:szCs w:val="24"/>
          <w:highlight w:val="none"/>
        </w:rPr>
      </w:pPr>
      <w:r>
        <w:rPr>
          <w:rFonts w:hint="eastAsia" w:ascii="宋体" w:hAnsi="宋体" w:cs="宋体"/>
          <w:b w:val="0"/>
          <w:bCs/>
          <w:sz w:val="24"/>
          <w:szCs w:val="24"/>
          <w:highlight w:val="none"/>
          <w:lang w:val="en-US" w:eastAsia="zh-CN"/>
        </w:rPr>
        <w:t>1.4.2</w:t>
      </w:r>
      <w:r>
        <w:rPr>
          <w:rFonts w:hint="eastAsia" w:ascii="宋体" w:hAnsi="宋体" w:cs="宋体"/>
          <w:b w:val="0"/>
          <w:bCs/>
          <w:sz w:val="24"/>
          <w:szCs w:val="24"/>
          <w:highlight w:val="none"/>
        </w:rPr>
        <w:t>供应商承诺在采购人办理以上各期付款的支付手续前，为采购人出具等额的符合国家规定的发票；</w:t>
      </w:r>
    </w:p>
    <w:p w14:paraId="5F5BD4E0">
      <w:pPr>
        <w:spacing w:line="360" w:lineRule="auto"/>
        <w:ind w:firstLine="480" w:firstLineChars="200"/>
        <w:outlineLvl w:val="9"/>
        <w:rPr>
          <w:rFonts w:hint="eastAsia" w:ascii="宋体" w:hAnsi="宋体" w:cs="宋体"/>
          <w:b/>
          <w:sz w:val="24"/>
          <w:szCs w:val="24"/>
          <w:highlight w:val="none"/>
        </w:rPr>
      </w:pPr>
      <w:r>
        <w:rPr>
          <w:rFonts w:hint="eastAsia" w:ascii="宋体" w:hAnsi="宋体" w:cs="宋体"/>
          <w:b w:val="0"/>
          <w:bCs/>
          <w:sz w:val="24"/>
          <w:szCs w:val="24"/>
          <w:highlight w:val="none"/>
          <w:lang w:val="en-US" w:eastAsia="zh-CN"/>
        </w:rPr>
        <w:t>1.4.3</w:t>
      </w:r>
      <w:r>
        <w:rPr>
          <w:rFonts w:hint="eastAsia" w:ascii="宋体" w:hAnsi="宋体" w:cs="宋体"/>
          <w:b w:val="0"/>
          <w:bCs/>
          <w:sz w:val="24"/>
          <w:szCs w:val="24"/>
          <w:highlight w:val="none"/>
        </w:rPr>
        <w:t>上述时间不包括采购人正常办理支付报批手续的时间。</w:t>
      </w:r>
    </w:p>
    <w:p w14:paraId="2E78BB8F">
      <w:pPr>
        <w:spacing w:line="360" w:lineRule="auto"/>
        <w:ind w:firstLine="482" w:firstLineChars="200"/>
        <w:outlineLvl w:val="9"/>
        <w:rPr>
          <w:rFonts w:hint="eastAsia" w:ascii="宋体" w:hAnsi="宋体" w:cs="宋体"/>
          <w:b/>
          <w:sz w:val="24"/>
          <w:szCs w:val="24"/>
          <w:highlight w:val="none"/>
        </w:rPr>
      </w:pPr>
      <w:bookmarkStart w:id="39" w:name="_Toc19039"/>
      <w:bookmarkStart w:id="40" w:name="_Toc4760"/>
      <w:bookmarkStart w:id="41" w:name="_Toc8772"/>
      <w:bookmarkStart w:id="42" w:name="_Toc31421"/>
      <w:bookmarkStart w:id="43" w:name="_Toc3625"/>
      <w:bookmarkStart w:id="44" w:name="_Toc17784"/>
      <w:bookmarkStart w:id="45" w:name="_Toc11108"/>
      <w:r>
        <w:rPr>
          <w:rFonts w:hint="eastAsia" w:ascii="宋体" w:hAnsi="宋体" w:cs="宋体"/>
          <w:b/>
          <w:sz w:val="24"/>
          <w:szCs w:val="24"/>
          <w:highlight w:val="none"/>
        </w:rPr>
        <w:t>1.5履行期限、地点和方式</w:t>
      </w:r>
      <w:bookmarkEnd w:id="39"/>
      <w:bookmarkEnd w:id="40"/>
      <w:bookmarkEnd w:id="41"/>
      <w:bookmarkEnd w:id="42"/>
      <w:bookmarkEnd w:id="43"/>
      <w:bookmarkEnd w:id="44"/>
      <w:bookmarkEnd w:id="45"/>
    </w:p>
    <w:p w14:paraId="06556A10">
      <w:pPr>
        <w:spacing w:line="360" w:lineRule="auto"/>
        <w:ind w:firstLine="480" w:firstLineChars="200"/>
        <w:outlineLvl w:val="9"/>
        <w:rPr>
          <w:rFonts w:hint="eastAsia" w:ascii="宋体" w:hAnsi="宋体" w:cs="宋体"/>
          <w:sz w:val="24"/>
          <w:highlight w:val="none"/>
          <w:u w:val="single"/>
        </w:rPr>
      </w:pPr>
      <w:bookmarkStart w:id="46" w:name="_Toc15869"/>
      <w:bookmarkStart w:id="47" w:name="_Toc5698"/>
      <w:bookmarkStart w:id="48" w:name="_Toc3079"/>
      <w:bookmarkStart w:id="49" w:name="_Toc2375"/>
      <w:bookmarkStart w:id="50" w:name="_Toc8586"/>
      <w:bookmarkStart w:id="51" w:name="_Toc24662"/>
      <w:bookmarkStart w:id="52" w:name="_Toc3232"/>
      <w:r>
        <w:rPr>
          <w:rFonts w:hint="eastAsia" w:ascii="宋体" w:hAnsi="宋体" w:cs="宋体"/>
          <w:sz w:val="24"/>
          <w:highlight w:val="none"/>
        </w:rPr>
        <w:t>1.5.1</w:t>
      </w:r>
      <w:r>
        <w:rPr>
          <w:rFonts w:hint="eastAsia" w:ascii="宋体" w:hAnsi="宋体" w:cs="宋体"/>
          <w:sz w:val="24"/>
          <w:highlight w:val="none"/>
          <w:lang w:val="en-US" w:eastAsia="zh-CN"/>
        </w:rPr>
        <w:t>服务</w:t>
      </w:r>
      <w:r>
        <w:rPr>
          <w:rFonts w:hint="eastAsia" w:ascii="宋体" w:hAnsi="宋体" w:cs="宋体"/>
          <w:sz w:val="24"/>
          <w:highlight w:val="none"/>
          <w:lang w:eastAsia="zh-CN"/>
        </w:rPr>
        <w:t>期</w:t>
      </w:r>
      <w:r>
        <w:rPr>
          <w:rFonts w:hint="eastAsia" w:ascii="宋体" w:hAnsi="宋体" w:cs="宋体"/>
          <w:sz w:val="24"/>
          <w:highlight w:val="none"/>
        </w:rPr>
        <w:t>：</w:t>
      </w:r>
      <w:r>
        <w:rPr>
          <w:rFonts w:hint="eastAsia" w:ascii="宋体" w:hAnsi="宋体" w:cs="宋体"/>
          <w:sz w:val="24"/>
          <w:highlight w:val="none"/>
          <w:lang w:val="en-US" w:eastAsia="zh-CN"/>
        </w:rPr>
        <w:t>自合同签订之日起3天。</w:t>
      </w:r>
      <w:r>
        <w:rPr>
          <w:rFonts w:hint="eastAsia" w:ascii="宋体" w:hAnsi="宋体" w:cs="宋体"/>
          <w:sz w:val="24"/>
          <w:highlight w:val="none"/>
        </w:rPr>
        <w:t>；</w:t>
      </w:r>
    </w:p>
    <w:p w14:paraId="0FC4455C">
      <w:pPr>
        <w:spacing w:line="360" w:lineRule="auto"/>
        <w:ind w:firstLine="480" w:firstLineChars="200"/>
        <w:outlineLvl w:val="9"/>
        <w:rPr>
          <w:rFonts w:hint="eastAsia" w:ascii="宋体" w:hAnsi="宋体" w:cs="宋体"/>
          <w:sz w:val="24"/>
          <w:highlight w:val="none"/>
        </w:rPr>
      </w:pPr>
      <w:r>
        <w:rPr>
          <w:rFonts w:hint="eastAsia" w:ascii="宋体" w:hAnsi="宋体" w:cs="宋体"/>
          <w:sz w:val="24"/>
          <w:highlight w:val="none"/>
        </w:rPr>
        <w:t>1.5.2</w:t>
      </w:r>
      <w:r>
        <w:rPr>
          <w:rFonts w:hint="eastAsia" w:ascii="宋体" w:hAnsi="宋体" w:cs="宋体"/>
          <w:sz w:val="24"/>
          <w:highlight w:val="none"/>
          <w:lang w:val="en-US" w:eastAsia="zh-CN"/>
        </w:rPr>
        <w:t>服务</w:t>
      </w:r>
      <w:r>
        <w:rPr>
          <w:rFonts w:hint="eastAsia" w:ascii="宋体" w:hAnsi="宋体" w:cs="宋体"/>
          <w:sz w:val="24"/>
          <w:highlight w:val="none"/>
        </w:rPr>
        <w:t>地点：采购人指定地点。</w:t>
      </w:r>
    </w:p>
    <w:p w14:paraId="1332E4E0">
      <w:pPr>
        <w:spacing w:line="360" w:lineRule="auto"/>
        <w:ind w:firstLine="482" w:firstLineChars="200"/>
        <w:outlineLvl w:val="9"/>
        <w:rPr>
          <w:rFonts w:hint="eastAsia" w:ascii="宋体" w:hAnsi="宋体" w:cs="宋体"/>
          <w:sz w:val="24"/>
          <w:szCs w:val="24"/>
          <w:highlight w:val="none"/>
          <w:u w:val="single"/>
        </w:rPr>
      </w:pPr>
      <w:r>
        <w:rPr>
          <w:rFonts w:hint="eastAsia" w:ascii="宋体" w:hAnsi="宋体" w:cs="宋体"/>
          <w:b/>
          <w:sz w:val="24"/>
          <w:szCs w:val="24"/>
          <w:highlight w:val="none"/>
        </w:rPr>
        <w:t>1.6违约责任</w:t>
      </w:r>
      <w:bookmarkEnd w:id="46"/>
      <w:bookmarkEnd w:id="47"/>
      <w:bookmarkEnd w:id="48"/>
      <w:bookmarkEnd w:id="49"/>
      <w:bookmarkEnd w:id="50"/>
      <w:bookmarkEnd w:id="51"/>
      <w:bookmarkEnd w:id="52"/>
    </w:p>
    <w:p w14:paraId="2C083817">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1.6.1除不可抗力外，如果乙方没有按照本合同约定的期限、地点和方式履行，那么甲方可要求乙方支付违约金，违约金按每迟延履行一日的应提供而未提供服务价格的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%；迟延履行的违约金计算数额达到前述最高限额之日起，甲方有权在要求乙方支付违约金的同时，书面通知乙方解除本合同；</w:t>
      </w:r>
    </w:p>
    <w:p w14:paraId="4FC4C8C9">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1.6.2除不可抗力外，如果甲方没有按照本合同约定的付款方式付款，那么乙方可要求甲方支付违约金，违约金按每迟延付款一日的应付而未付款的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%；迟延付款的违约金计算数额达到前述最高限额之日起，乙方有权在要求甲方支付违约金的同时，书面通知甲方解除本合同；</w:t>
      </w:r>
    </w:p>
    <w:p w14:paraId="503C5314">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6433F21F">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2F9C1F3D">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2FD1768">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1.6.6如果出现政府采购监督管理部门在处理投诉事项期间，书面通知甲方暂停采购活动的情形，或者询问或质疑事项可能影响中标结果的，导致甲方中止履行合同的情形，均不视为甲方违约。</w:t>
      </w:r>
    </w:p>
    <w:p w14:paraId="2A072670">
      <w:pPr>
        <w:spacing w:line="360" w:lineRule="auto"/>
        <w:ind w:firstLine="482" w:firstLineChars="200"/>
        <w:outlineLvl w:val="9"/>
        <w:rPr>
          <w:rFonts w:hint="eastAsia" w:ascii="宋体" w:hAnsi="宋体" w:cs="宋体"/>
          <w:b/>
          <w:sz w:val="24"/>
          <w:szCs w:val="24"/>
          <w:highlight w:val="none"/>
        </w:rPr>
      </w:pPr>
      <w:bookmarkStart w:id="53" w:name="_Toc9497"/>
      <w:bookmarkStart w:id="54" w:name="_Toc30329"/>
      <w:bookmarkStart w:id="55" w:name="_Toc26807"/>
      <w:bookmarkStart w:id="56" w:name="_Toc32454"/>
      <w:bookmarkStart w:id="57" w:name="_Toc18683"/>
      <w:bookmarkStart w:id="58" w:name="_Toc14686"/>
      <w:bookmarkStart w:id="59" w:name="_Toc29170"/>
      <w:r>
        <w:rPr>
          <w:rFonts w:hint="eastAsia" w:ascii="宋体" w:hAnsi="宋体" w:cs="宋体"/>
          <w:b/>
          <w:sz w:val="24"/>
          <w:szCs w:val="24"/>
          <w:highlight w:val="none"/>
        </w:rPr>
        <w:t>1.7合同争议的解决</w:t>
      </w:r>
      <w:bookmarkEnd w:id="53"/>
      <w:bookmarkEnd w:id="54"/>
      <w:bookmarkEnd w:id="55"/>
      <w:bookmarkEnd w:id="56"/>
      <w:bookmarkEnd w:id="57"/>
      <w:bookmarkEnd w:id="58"/>
      <w:bookmarkEnd w:id="59"/>
    </w:p>
    <w:p w14:paraId="3DBDA7FC">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本合同履行过程中发生的任何争议，双方当事人均可通过和解或者调解解决；不愿和解、调解或者和解、调解不成的，可以选择下列第</w:t>
      </w:r>
      <w:r>
        <w:rPr>
          <w:rFonts w:hint="eastAsia" w:ascii="宋体" w:hAnsi="宋体" w:cs="宋体"/>
          <w:sz w:val="24"/>
          <w:szCs w:val="24"/>
          <w:highlight w:val="none"/>
          <w:u w:val="single"/>
        </w:rPr>
        <w:t>1.7.2款</w:t>
      </w:r>
      <w:r>
        <w:rPr>
          <w:rFonts w:hint="eastAsia" w:ascii="宋体" w:hAnsi="宋体" w:cs="宋体"/>
          <w:sz w:val="24"/>
          <w:szCs w:val="24"/>
          <w:highlight w:val="none"/>
        </w:rPr>
        <w:t>方式解决：</w:t>
      </w:r>
    </w:p>
    <w:p w14:paraId="7B480C4F">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1.7.1将争议提交</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仲裁委员会依申请仲裁时其现行有效的仲裁规则裁决；</w:t>
      </w:r>
    </w:p>
    <w:p w14:paraId="78ADD2CC">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1.7.2向</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人民法院起诉。</w:t>
      </w:r>
    </w:p>
    <w:p w14:paraId="0AA890F9">
      <w:pPr>
        <w:spacing w:line="360" w:lineRule="auto"/>
        <w:ind w:firstLine="482" w:firstLineChars="200"/>
        <w:outlineLvl w:val="9"/>
        <w:rPr>
          <w:rFonts w:hint="eastAsia" w:ascii="宋体" w:hAnsi="宋体" w:cs="宋体"/>
          <w:b/>
          <w:sz w:val="24"/>
          <w:szCs w:val="24"/>
          <w:highlight w:val="none"/>
        </w:rPr>
      </w:pPr>
      <w:bookmarkStart w:id="60" w:name="_Toc12273"/>
      <w:bookmarkStart w:id="61" w:name="_Toc23784"/>
      <w:bookmarkStart w:id="62" w:name="_Toc58"/>
      <w:bookmarkStart w:id="63" w:name="_Toc26227"/>
      <w:bookmarkStart w:id="64" w:name="_Toc15827"/>
      <w:bookmarkStart w:id="65" w:name="_Toc16417"/>
      <w:bookmarkStart w:id="66" w:name="_Toc15436"/>
      <w:r>
        <w:rPr>
          <w:rFonts w:hint="eastAsia" w:ascii="宋体" w:hAnsi="宋体" w:cs="宋体"/>
          <w:b/>
          <w:sz w:val="24"/>
          <w:szCs w:val="24"/>
          <w:highlight w:val="none"/>
        </w:rPr>
        <w:t>1.8合同生效</w:t>
      </w:r>
      <w:bookmarkEnd w:id="60"/>
      <w:bookmarkEnd w:id="61"/>
      <w:bookmarkEnd w:id="62"/>
      <w:bookmarkEnd w:id="63"/>
      <w:bookmarkEnd w:id="64"/>
      <w:bookmarkEnd w:id="65"/>
      <w:bookmarkEnd w:id="66"/>
    </w:p>
    <w:p w14:paraId="41245EAD">
      <w:pPr>
        <w:spacing w:line="360" w:lineRule="auto"/>
        <w:ind w:firstLine="480" w:firstLineChars="200"/>
        <w:outlineLvl w:val="9"/>
        <w:rPr>
          <w:rFonts w:hint="eastAsia" w:ascii="宋体" w:hAnsi="宋体" w:cs="宋体"/>
          <w:b/>
          <w:sz w:val="24"/>
          <w:szCs w:val="24"/>
          <w:highlight w:val="none"/>
        </w:rPr>
      </w:pPr>
      <w:r>
        <w:rPr>
          <w:rFonts w:hint="eastAsia" w:ascii="宋体" w:hAnsi="宋体" w:cs="宋体"/>
          <w:sz w:val="24"/>
          <w:szCs w:val="24"/>
          <w:highlight w:val="none"/>
        </w:rPr>
        <w:t>本合同自双方当事人盖章或者签字时生效。</w:t>
      </w:r>
    </w:p>
    <w:p w14:paraId="5FD4DBDE">
      <w:pPr>
        <w:spacing w:line="360" w:lineRule="auto"/>
        <w:ind w:firstLine="480" w:firstLineChars="200"/>
        <w:outlineLvl w:val="9"/>
        <w:rPr>
          <w:rFonts w:hint="eastAsia" w:ascii="宋体" w:hAnsi="宋体" w:cs="宋体"/>
          <w:sz w:val="24"/>
          <w:szCs w:val="24"/>
          <w:highlight w:val="none"/>
          <w:lang w:val="zh-CN"/>
        </w:rPr>
      </w:pPr>
    </w:p>
    <w:p w14:paraId="24782EAE">
      <w:pPr>
        <w:spacing w:line="360" w:lineRule="auto"/>
        <w:ind w:firstLine="482" w:firstLineChars="200"/>
        <w:outlineLvl w:val="9"/>
        <w:rPr>
          <w:rFonts w:hint="eastAsia" w:ascii="宋体" w:hAnsi="宋体" w:cs="宋体"/>
          <w:b/>
          <w:bCs/>
          <w:sz w:val="24"/>
          <w:szCs w:val="24"/>
          <w:highlight w:val="none"/>
          <w:lang w:val="zh-CN"/>
        </w:rPr>
      </w:pPr>
      <w:r>
        <w:rPr>
          <w:rFonts w:hint="eastAsia" w:ascii="宋体" w:hAnsi="宋体" w:cs="宋体"/>
          <w:b/>
          <w:bCs/>
          <w:sz w:val="24"/>
          <w:szCs w:val="24"/>
          <w:highlight w:val="none"/>
          <w:lang w:val="zh-CN"/>
        </w:rPr>
        <w:t>甲方：                                   乙方：</w:t>
      </w:r>
    </w:p>
    <w:p w14:paraId="62EB4B24">
      <w:pPr>
        <w:spacing w:line="360" w:lineRule="auto"/>
        <w:ind w:firstLine="480" w:firstLineChars="200"/>
        <w:outlineLvl w:val="9"/>
        <w:rPr>
          <w:rFonts w:hint="eastAsia" w:ascii="宋体" w:hAnsi="宋体" w:cs="宋体"/>
          <w:sz w:val="24"/>
          <w:szCs w:val="24"/>
          <w:highlight w:val="none"/>
          <w:lang w:val="zh-CN"/>
        </w:rPr>
      </w:pPr>
      <w:r>
        <w:rPr>
          <w:rFonts w:hint="eastAsia" w:ascii="宋体" w:hAnsi="宋体" w:cs="宋体"/>
          <w:sz w:val="24"/>
          <w:szCs w:val="24"/>
          <w:highlight w:val="none"/>
          <w:lang w:val="zh-CN"/>
        </w:rPr>
        <w:t>统一社会信用代码：                       统一社会信用代码或身份证号码：</w:t>
      </w:r>
    </w:p>
    <w:p w14:paraId="6403B935">
      <w:pPr>
        <w:spacing w:line="360" w:lineRule="auto"/>
        <w:ind w:firstLine="480" w:firstLineChars="200"/>
        <w:outlineLvl w:val="9"/>
        <w:rPr>
          <w:rFonts w:hint="eastAsia" w:ascii="宋体" w:hAnsi="宋体" w:cs="宋体"/>
          <w:sz w:val="24"/>
          <w:szCs w:val="24"/>
          <w:highlight w:val="none"/>
          <w:lang w:val="zh-CN"/>
        </w:rPr>
      </w:pPr>
      <w:r>
        <w:rPr>
          <w:rFonts w:hint="eastAsia" w:ascii="宋体" w:hAnsi="宋体" w:cs="宋体"/>
          <w:sz w:val="24"/>
          <w:szCs w:val="24"/>
          <w:highlight w:val="none"/>
          <w:lang w:val="zh-CN"/>
        </w:rPr>
        <w:t>住所：                                   住所：</w:t>
      </w:r>
    </w:p>
    <w:p w14:paraId="1335AA10">
      <w:pPr>
        <w:spacing w:line="360" w:lineRule="auto"/>
        <w:ind w:firstLine="480" w:firstLineChars="200"/>
        <w:outlineLvl w:val="9"/>
        <w:rPr>
          <w:rFonts w:hint="eastAsia" w:ascii="宋体" w:hAnsi="宋体" w:cs="宋体"/>
          <w:sz w:val="24"/>
          <w:szCs w:val="24"/>
          <w:highlight w:val="none"/>
          <w:lang w:val="zh-CN"/>
        </w:rPr>
      </w:pPr>
      <w:r>
        <w:rPr>
          <w:rFonts w:hint="eastAsia" w:ascii="宋体" w:hAnsi="宋体" w:cs="宋体"/>
          <w:sz w:val="24"/>
          <w:szCs w:val="24"/>
          <w:highlight w:val="none"/>
          <w:lang w:val="zh-CN"/>
        </w:rPr>
        <w:t>法定代表人或                             法定代表人</w:t>
      </w:r>
    </w:p>
    <w:p w14:paraId="4ADA74C2">
      <w:pPr>
        <w:spacing w:line="360" w:lineRule="auto"/>
        <w:ind w:firstLine="480" w:firstLineChars="200"/>
        <w:outlineLvl w:val="9"/>
        <w:rPr>
          <w:rFonts w:hint="eastAsia" w:ascii="宋体" w:hAnsi="宋体" w:cs="宋体"/>
          <w:sz w:val="24"/>
          <w:szCs w:val="24"/>
          <w:highlight w:val="none"/>
          <w:lang w:val="zh-CN"/>
        </w:rPr>
      </w:pPr>
      <w:r>
        <w:rPr>
          <w:rFonts w:hint="eastAsia" w:ascii="宋体" w:hAnsi="宋体" w:cs="宋体"/>
          <w:sz w:val="24"/>
          <w:szCs w:val="24"/>
          <w:highlight w:val="none"/>
          <w:lang w:val="zh-CN"/>
        </w:rPr>
        <w:t>授权代表（签字）：                       或授权代表（签字）:</w:t>
      </w:r>
    </w:p>
    <w:p w14:paraId="1A34A6D1">
      <w:pPr>
        <w:spacing w:line="360" w:lineRule="auto"/>
        <w:ind w:firstLine="480" w:firstLineChars="200"/>
        <w:outlineLvl w:val="9"/>
        <w:rPr>
          <w:rFonts w:hint="eastAsia" w:ascii="宋体" w:hAnsi="宋体" w:cs="宋体"/>
          <w:sz w:val="24"/>
          <w:szCs w:val="24"/>
          <w:highlight w:val="none"/>
          <w:lang w:val="zh-CN"/>
        </w:rPr>
      </w:pPr>
      <w:r>
        <w:rPr>
          <w:rFonts w:hint="eastAsia" w:ascii="宋体" w:hAnsi="宋体" w:cs="宋体"/>
          <w:sz w:val="24"/>
          <w:szCs w:val="24"/>
          <w:highlight w:val="none"/>
          <w:lang w:val="zh-CN"/>
        </w:rPr>
        <w:t>联系人：                                 联系人：</w:t>
      </w:r>
    </w:p>
    <w:p w14:paraId="5F3BE782">
      <w:pPr>
        <w:spacing w:line="360" w:lineRule="auto"/>
        <w:ind w:firstLine="480" w:firstLineChars="200"/>
        <w:outlineLvl w:val="9"/>
        <w:rPr>
          <w:rFonts w:hint="eastAsia" w:ascii="宋体" w:hAnsi="宋体" w:cs="宋体"/>
          <w:sz w:val="24"/>
          <w:szCs w:val="24"/>
          <w:highlight w:val="none"/>
          <w:lang w:val="zh-CN"/>
        </w:rPr>
      </w:pPr>
      <w:r>
        <w:rPr>
          <w:rFonts w:hint="eastAsia" w:ascii="宋体" w:hAnsi="宋体" w:cs="宋体"/>
          <w:sz w:val="24"/>
          <w:szCs w:val="24"/>
          <w:highlight w:val="none"/>
          <w:lang w:val="zh-CN"/>
        </w:rPr>
        <w:t>约定送达地址：                           约定送达地址：</w:t>
      </w:r>
    </w:p>
    <w:p w14:paraId="571266AD">
      <w:pPr>
        <w:spacing w:line="360" w:lineRule="auto"/>
        <w:ind w:firstLine="480" w:firstLineChars="200"/>
        <w:outlineLvl w:val="9"/>
        <w:rPr>
          <w:rFonts w:hint="eastAsia" w:ascii="宋体" w:hAnsi="宋体" w:cs="宋体"/>
          <w:sz w:val="24"/>
          <w:szCs w:val="24"/>
          <w:highlight w:val="none"/>
          <w:lang w:val="zh-CN"/>
        </w:rPr>
      </w:pPr>
      <w:r>
        <w:rPr>
          <w:rFonts w:hint="eastAsia" w:ascii="宋体" w:hAnsi="宋体" w:cs="宋体"/>
          <w:sz w:val="24"/>
          <w:szCs w:val="24"/>
          <w:highlight w:val="none"/>
          <w:lang w:val="zh-CN"/>
        </w:rPr>
        <w:t>邮政编码：                               邮政编码：</w:t>
      </w:r>
    </w:p>
    <w:p w14:paraId="650017CA">
      <w:pPr>
        <w:spacing w:line="360" w:lineRule="auto"/>
        <w:ind w:firstLine="480" w:firstLineChars="200"/>
        <w:outlineLvl w:val="9"/>
        <w:rPr>
          <w:rFonts w:hint="eastAsia" w:ascii="宋体" w:hAnsi="宋体" w:cs="宋体"/>
          <w:sz w:val="24"/>
          <w:szCs w:val="24"/>
          <w:highlight w:val="none"/>
          <w:lang w:val="zh-CN"/>
        </w:rPr>
      </w:pPr>
      <w:r>
        <w:rPr>
          <w:rFonts w:hint="eastAsia" w:ascii="宋体" w:hAnsi="宋体" w:cs="宋体"/>
          <w:sz w:val="24"/>
          <w:szCs w:val="24"/>
          <w:highlight w:val="none"/>
          <w:lang w:val="zh-CN"/>
        </w:rPr>
        <w:t>电话:                                    电话:</w:t>
      </w:r>
    </w:p>
    <w:p w14:paraId="74AFA2E8">
      <w:pPr>
        <w:spacing w:line="360" w:lineRule="auto"/>
        <w:ind w:firstLine="480" w:firstLineChars="200"/>
        <w:outlineLvl w:val="9"/>
        <w:rPr>
          <w:rFonts w:hint="eastAsia" w:ascii="宋体" w:hAnsi="宋体" w:cs="宋体"/>
          <w:sz w:val="24"/>
          <w:szCs w:val="24"/>
          <w:highlight w:val="none"/>
          <w:lang w:val="zh-CN"/>
        </w:rPr>
      </w:pPr>
      <w:r>
        <w:rPr>
          <w:rFonts w:hint="eastAsia" w:ascii="宋体" w:hAnsi="宋体" w:cs="宋体"/>
          <w:sz w:val="24"/>
          <w:szCs w:val="24"/>
          <w:highlight w:val="none"/>
          <w:lang w:val="zh-CN"/>
        </w:rPr>
        <w:t>传真:                                    传真:</w:t>
      </w:r>
    </w:p>
    <w:p w14:paraId="63B08BA4">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lang w:val="zh-CN"/>
        </w:rPr>
        <w:t>电子邮箱：                               电子邮箱：</w:t>
      </w:r>
    </w:p>
    <w:p w14:paraId="1BAAD762">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开户银行：                               开户银行：</w:t>
      </w:r>
    </w:p>
    <w:p w14:paraId="3A95C8D1">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开户名称：                               开户名称：</w:t>
      </w:r>
    </w:p>
    <w:p w14:paraId="0836B5A5">
      <w:pPr>
        <w:spacing w:line="360" w:lineRule="auto"/>
        <w:ind w:firstLine="480" w:firstLineChars="200"/>
        <w:outlineLvl w:val="9"/>
        <w:rPr>
          <w:rFonts w:hint="eastAsia" w:ascii="黑体" w:hAnsi="黑体" w:eastAsia="黑体" w:cs="黑体"/>
          <w:sz w:val="32"/>
          <w:szCs w:val="32"/>
          <w:highlight w:val="none"/>
        </w:rPr>
      </w:pPr>
      <w:r>
        <w:rPr>
          <w:rFonts w:hint="eastAsia" w:ascii="宋体" w:hAnsi="宋体" w:cs="宋体"/>
          <w:sz w:val="24"/>
          <w:szCs w:val="24"/>
          <w:highlight w:val="none"/>
        </w:rPr>
        <w:t>开户账号：</w:t>
      </w:r>
      <w:r>
        <w:rPr>
          <w:rFonts w:hint="eastAsia" w:ascii="宋体" w:hAnsi="宋体" w:cs="宋体"/>
          <w:sz w:val="24"/>
          <w:szCs w:val="24"/>
          <w:highlight w:val="none"/>
          <w:lang w:val="zh-CN"/>
        </w:rPr>
        <w:t xml:space="preserve">                               </w:t>
      </w:r>
      <w:r>
        <w:rPr>
          <w:rFonts w:hint="eastAsia" w:ascii="宋体" w:hAnsi="宋体" w:cs="宋体"/>
          <w:sz w:val="24"/>
          <w:szCs w:val="24"/>
          <w:highlight w:val="none"/>
        </w:rPr>
        <w:t>开户账号：</w:t>
      </w:r>
    </w:p>
    <w:p w14:paraId="60765638">
      <w:pPr>
        <w:spacing w:line="360" w:lineRule="auto"/>
        <w:ind w:firstLine="640" w:firstLineChars="200"/>
        <w:outlineLvl w:val="9"/>
        <w:rPr>
          <w:rFonts w:hint="eastAsia" w:ascii="宋体" w:hAnsi="宋体" w:cs="宋体"/>
          <w:sz w:val="24"/>
          <w:szCs w:val="24"/>
          <w:highlight w:val="none"/>
        </w:rPr>
      </w:pPr>
      <w:bookmarkStart w:id="67" w:name="_Toc3483"/>
      <w:r>
        <w:rPr>
          <w:rFonts w:hint="eastAsia" w:ascii="黑体" w:hAnsi="黑体" w:eastAsia="黑体" w:cs="黑体"/>
          <w:sz w:val="32"/>
          <w:szCs w:val="32"/>
          <w:highlight w:val="none"/>
        </w:rPr>
        <w:br w:type="page"/>
      </w:r>
      <w:bookmarkEnd w:id="18"/>
      <w:bookmarkEnd w:id="67"/>
      <w:bookmarkStart w:id="68" w:name="_Ref467378121"/>
      <w:bookmarkStart w:id="69" w:name="_Toc259093683"/>
      <w:bookmarkStart w:id="70" w:name="_Toc487900364"/>
      <w:bookmarkStart w:id="71" w:name="_Toc279701254"/>
    </w:p>
    <w:bookmarkEnd w:id="68"/>
    <w:bookmarkEnd w:id="69"/>
    <w:bookmarkEnd w:id="70"/>
    <w:bookmarkEnd w:id="71"/>
    <w:p w14:paraId="611F4362">
      <w:pPr>
        <w:spacing w:line="360" w:lineRule="auto"/>
        <w:jc w:val="center"/>
        <w:outlineLvl w:val="1"/>
        <w:rPr>
          <w:rFonts w:hint="eastAsia" w:ascii="黑体" w:hAnsi="黑体" w:eastAsia="黑体" w:cs="黑体"/>
          <w:sz w:val="32"/>
          <w:szCs w:val="32"/>
          <w:highlight w:val="none"/>
        </w:rPr>
      </w:pPr>
      <w:bookmarkStart w:id="72" w:name="_Toc10619"/>
      <w:bookmarkStart w:id="73" w:name="_Toc11838"/>
      <w:bookmarkStart w:id="74" w:name="_Toc23165"/>
      <w:bookmarkStart w:id="75" w:name="_Toc16795"/>
      <w:bookmarkStart w:id="76" w:name="_Toc1437"/>
      <w:r>
        <w:rPr>
          <w:rFonts w:hint="eastAsia" w:ascii="黑体" w:hAnsi="黑体" w:eastAsia="黑体" w:cs="黑体"/>
          <w:b/>
          <w:bCs/>
          <w:sz w:val="32"/>
          <w:szCs w:val="32"/>
          <w:highlight w:val="none"/>
        </w:rPr>
        <w:t>二、合同一般条款</w:t>
      </w:r>
      <w:bookmarkEnd w:id="72"/>
      <w:bookmarkEnd w:id="73"/>
      <w:bookmarkEnd w:id="74"/>
      <w:bookmarkEnd w:id="75"/>
      <w:bookmarkEnd w:id="76"/>
    </w:p>
    <w:p w14:paraId="7C7C2398">
      <w:pPr>
        <w:spacing w:line="360" w:lineRule="auto"/>
        <w:ind w:firstLine="482" w:firstLineChars="200"/>
        <w:outlineLvl w:val="9"/>
        <w:rPr>
          <w:rFonts w:hint="eastAsia" w:ascii="宋体" w:hAnsi="宋体" w:cs="宋体"/>
          <w:b/>
          <w:sz w:val="24"/>
          <w:szCs w:val="24"/>
          <w:highlight w:val="none"/>
        </w:rPr>
      </w:pPr>
      <w:bookmarkStart w:id="77" w:name="_Toc19680"/>
      <w:bookmarkStart w:id="78" w:name="_Ref467379205"/>
      <w:bookmarkStart w:id="79" w:name="_Ref467379094"/>
      <w:bookmarkStart w:id="80" w:name="_Toc25079"/>
      <w:bookmarkStart w:id="81" w:name="_Toc31297"/>
      <w:bookmarkStart w:id="82" w:name="_Ref467378404"/>
      <w:bookmarkStart w:id="83" w:name="_Ref467379225"/>
      <w:bookmarkStart w:id="84" w:name="_Toc487900349"/>
      <w:bookmarkStart w:id="85" w:name="_Toc279701240"/>
      <w:bookmarkStart w:id="86" w:name="_Ref467378499"/>
      <w:bookmarkStart w:id="87" w:name="_Ref467379195"/>
      <w:bookmarkStart w:id="88" w:name="_Toc22731"/>
      <w:bookmarkStart w:id="89" w:name="_Ref467379109"/>
      <w:bookmarkStart w:id="90" w:name="_Toc14021"/>
      <w:bookmarkStart w:id="91" w:name="_Ref467378463"/>
      <w:bookmarkStart w:id="92" w:name="_Ref467379101"/>
      <w:bookmarkStart w:id="93" w:name="_Ref467379214"/>
      <w:bookmarkStart w:id="94" w:name="_Toc26002"/>
      <w:bookmarkStart w:id="95" w:name="_Toc16972"/>
      <w:bookmarkStart w:id="96" w:name="_Toc5228"/>
      <w:bookmarkStart w:id="97" w:name="_Toc259093669"/>
      <w:r>
        <w:rPr>
          <w:rFonts w:hint="eastAsia" w:ascii="宋体" w:hAnsi="宋体" w:cs="宋体"/>
          <w:b/>
          <w:sz w:val="24"/>
          <w:szCs w:val="24"/>
          <w:highlight w:val="none"/>
        </w:rPr>
        <w:t>2.1定义</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8A7D45A">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本合同中的下列词语应按以下内容进行解释：</w:t>
      </w:r>
    </w:p>
    <w:p w14:paraId="7E5A0503">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2.1.1“合同”系指采购人和</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供应商签订的载明双方当事人所达成的协议，并包括所有的附件、附录和构成合同的其他文件。</w:t>
      </w:r>
    </w:p>
    <w:p w14:paraId="1BBEC75D">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2.1.2“合同价”系指根据合同约定，</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供应商在完全履行合同义务后，采购人应支付给</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供应商的价格。</w:t>
      </w:r>
    </w:p>
    <w:p w14:paraId="53664472">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2.1.3“服务”系指</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供应商根据合同约定应向采购人履行的除货物和工程以外的其他政府采购对象，包括采购人自身需要的服务和向社会公众提供的公共服务。</w:t>
      </w:r>
    </w:p>
    <w:p w14:paraId="01DD63D4">
      <w:pPr>
        <w:spacing w:line="360" w:lineRule="auto"/>
        <w:ind w:firstLine="480" w:firstLineChars="200"/>
        <w:outlineLvl w:val="9"/>
        <w:rPr>
          <w:rFonts w:hint="eastAsia" w:ascii="宋体" w:hAnsi="宋体" w:cs="宋体"/>
          <w:sz w:val="24"/>
          <w:szCs w:val="24"/>
          <w:highlight w:val="none"/>
        </w:rPr>
      </w:pPr>
      <w:bookmarkStart w:id="98" w:name="_Ref467378840"/>
      <w:r>
        <w:rPr>
          <w:rFonts w:hint="eastAsia" w:ascii="宋体" w:hAnsi="宋体" w:cs="宋体"/>
          <w:sz w:val="24"/>
          <w:szCs w:val="24"/>
          <w:highlight w:val="none"/>
        </w:rPr>
        <w:t>2.1.4“甲方”系指与</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供应商签署合同的采购人</w:t>
      </w:r>
      <w:bookmarkEnd w:id="98"/>
      <w:r>
        <w:rPr>
          <w:rFonts w:hint="eastAsia" w:ascii="宋体" w:hAnsi="宋体" w:cs="宋体"/>
          <w:sz w:val="24"/>
          <w:szCs w:val="24"/>
          <w:highlight w:val="none"/>
        </w:rPr>
        <w:t>；采购人委托采购代理机构代表其与乙方签订合同的，采购人的授权委托书作为合同附件。</w:t>
      </w:r>
    </w:p>
    <w:p w14:paraId="6AFDD5B0">
      <w:pPr>
        <w:spacing w:line="360" w:lineRule="auto"/>
        <w:ind w:firstLine="480" w:firstLineChars="200"/>
        <w:outlineLvl w:val="9"/>
        <w:rPr>
          <w:rFonts w:hint="eastAsia" w:ascii="宋体" w:hAnsi="宋体" w:cs="宋体"/>
          <w:sz w:val="24"/>
          <w:szCs w:val="24"/>
          <w:highlight w:val="none"/>
        </w:rPr>
      </w:pPr>
      <w:bookmarkStart w:id="99" w:name="_Ref467379400"/>
      <w:r>
        <w:rPr>
          <w:rFonts w:hint="eastAsia" w:ascii="宋体" w:hAnsi="宋体" w:cs="宋体"/>
          <w:sz w:val="24"/>
          <w:szCs w:val="24"/>
          <w:highlight w:val="none"/>
        </w:rPr>
        <w:t>2.1.5“乙方”系指根据合同约定提供服务的</w:t>
      </w:r>
      <w:r>
        <w:rPr>
          <w:rFonts w:hint="eastAsia" w:ascii="宋体" w:hAnsi="宋体" w:cs="宋体"/>
          <w:sz w:val="24"/>
          <w:szCs w:val="24"/>
          <w:highlight w:val="none"/>
          <w:lang w:val="en-US" w:eastAsia="zh-CN"/>
        </w:rPr>
        <w:t>成交</w:t>
      </w:r>
      <w:r>
        <w:rPr>
          <w:rFonts w:hint="eastAsia" w:ascii="宋体" w:hAnsi="宋体" w:cs="宋体"/>
          <w:sz w:val="24"/>
          <w:szCs w:val="24"/>
          <w:highlight w:val="none"/>
        </w:rPr>
        <w:t>供应商</w:t>
      </w:r>
      <w:bookmarkEnd w:id="99"/>
      <w:r>
        <w:rPr>
          <w:rFonts w:hint="eastAsia" w:ascii="宋体" w:hAnsi="宋体" w:cs="宋体"/>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609639D3">
      <w:pPr>
        <w:spacing w:line="360" w:lineRule="auto"/>
        <w:ind w:firstLine="480" w:firstLineChars="200"/>
        <w:outlineLvl w:val="9"/>
        <w:rPr>
          <w:rFonts w:hint="eastAsia" w:ascii="宋体" w:hAnsi="宋体" w:cs="宋体"/>
          <w:sz w:val="24"/>
          <w:szCs w:val="24"/>
          <w:highlight w:val="none"/>
        </w:rPr>
      </w:pPr>
      <w:bookmarkStart w:id="100" w:name="_Ref467379436"/>
      <w:r>
        <w:rPr>
          <w:rFonts w:hint="eastAsia" w:ascii="宋体" w:hAnsi="宋体" w:cs="宋体"/>
          <w:sz w:val="24"/>
          <w:szCs w:val="24"/>
          <w:highlight w:val="none"/>
        </w:rPr>
        <w:t>2.1.6“现场”系指合同约定提供服务的地点。</w:t>
      </w:r>
      <w:bookmarkEnd w:id="100"/>
    </w:p>
    <w:p w14:paraId="2A1940A2">
      <w:pPr>
        <w:spacing w:line="360" w:lineRule="auto"/>
        <w:ind w:firstLine="482" w:firstLineChars="200"/>
        <w:outlineLvl w:val="9"/>
        <w:rPr>
          <w:rFonts w:hint="eastAsia" w:ascii="宋体" w:hAnsi="宋体" w:cs="宋体"/>
          <w:b/>
          <w:sz w:val="24"/>
          <w:szCs w:val="24"/>
          <w:highlight w:val="none"/>
        </w:rPr>
      </w:pPr>
      <w:bookmarkStart w:id="101" w:name="_Toc487900350"/>
      <w:bookmarkStart w:id="102" w:name="_Toc22410"/>
      <w:bookmarkStart w:id="103" w:name="_Toc259093670"/>
      <w:bookmarkStart w:id="104" w:name="_Toc23289"/>
      <w:bookmarkStart w:id="105" w:name="_Toc3565"/>
      <w:bookmarkStart w:id="106" w:name="_Toc3769"/>
      <w:bookmarkStart w:id="107" w:name="_Toc279701241"/>
      <w:bookmarkStart w:id="108" w:name="_Toc16752"/>
      <w:bookmarkStart w:id="109" w:name="_Toc4531"/>
      <w:bookmarkStart w:id="110" w:name="_Toc31402"/>
      <w:bookmarkStart w:id="111" w:name="_Toc19539"/>
      <w:r>
        <w:rPr>
          <w:rFonts w:hint="eastAsia" w:ascii="宋体" w:hAnsi="宋体" w:cs="宋体"/>
          <w:b/>
          <w:sz w:val="24"/>
          <w:szCs w:val="24"/>
          <w:highlight w:val="none"/>
        </w:rPr>
        <w:t>2.2技术规范</w:t>
      </w:r>
      <w:bookmarkEnd w:id="101"/>
      <w:bookmarkEnd w:id="102"/>
      <w:bookmarkEnd w:id="103"/>
      <w:bookmarkEnd w:id="104"/>
      <w:bookmarkEnd w:id="105"/>
      <w:bookmarkEnd w:id="106"/>
      <w:bookmarkEnd w:id="107"/>
      <w:bookmarkEnd w:id="108"/>
      <w:bookmarkEnd w:id="109"/>
      <w:bookmarkEnd w:id="110"/>
      <w:bookmarkEnd w:id="111"/>
    </w:p>
    <w:p w14:paraId="69B0D7D1">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0ECE3787">
      <w:pPr>
        <w:spacing w:line="360" w:lineRule="auto"/>
        <w:ind w:firstLine="482" w:firstLineChars="200"/>
        <w:outlineLvl w:val="9"/>
        <w:rPr>
          <w:rFonts w:hint="eastAsia" w:ascii="宋体" w:hAnsi="宋体" w:cs="宋体"/>
          <w:b/>
          <w:sz w:val="24"/>
          <w:szCs w:val="24"/>
          <w:highlight w:val="none"/>
        </w:rPr>
      </w:pPr>
      <w:bookmarkStart w:id="112" w:name="_Toc15220"/>
      <w:bookmarkStart w:id="113" w:name="_Toc279701242"/>
      <w:bookmarkStart w:id="114" w:name="_Toc32669"/>
      <w:bookmarkStart w:id="115" w:name="_Toc259093671"/>
      <w:bookmarkStart w:id="116" w:name="_Toc27945"/>
      <w:bookmarkStart w:id="117" w:name="_Toc4133"/>
      <w:bookmarkStart w:id="118" w:name="_Toc487900351"/>
      <w:bookmarkStart w:id="119" w:name="_Toc9161"/>
      <w:bookmarkStart w:id="120" w:name="_Toc31298"/>
      <w:bookmarkStart w:id="121" w:name="_Toc13673"/>
      <w:bookmarkStart w:id="122" w:name="_Toc12412"/>
      <w:r>
        <w:rPr>
          <w:rFonts w:hint="eastAsia" w:ascii="宋体" w:hAnsi="宋体" w:cs="宋体"/>
          <w:b/>
          <w:sz w:val="24"/>
          <w:szCs w:val="24"/>
          <w:highlight w:val="none"/>
        </w:rPr>
        <w:t>2.3知识产权</w:t>
      </w:r>
      <w:bookmarkEnd w:id="112"/>
      <w:bookmarkEnd w:id="113"/>
      <w:bookmarkEnd w:id="114"/>
      <w:bookmarkEnd w:id="115"/>
      <w:bookmarkEnd w:id="116"/>
      <w:bookmarkEnd w:id="117"/>
      <w:bookmarkEnd w:id="118"/>
      <w:bookmarkEnd w:id="119"/>
      <w:bookmarkEnd w:id="120"/>
      <w:bookmarkEnd w:id="121"/>
      <w:bookmarkEnd w:id="122"/>
    </w:p>
    <w:p w14:paraId="59B6EEF9">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3F79BB3D">
      <w:pPr>
        <w:spacing w:line="360" w:lineRule="auto"/>
        <w:ind w:firstLine="482" w:firstLineChars="200"/>
        <w:outlineLvl w:val="9"/>
        <w:rPr>
          <w:rFonts w:hint="eastAsia" w:ascii="宋体" w:hAnsi="宋体" w:cs="宋体"/>
          <w:b/>
          <w:sz w:val="24"/>
          <w:szCs w:val="24"/>
          <w:highlight w:val="none"/>
        </w:rPr>
      </w:pPr>
      <w:r>
        <w:rPr>
          <w:rFonts w:hint="eastAsia" w:ascii="宋体" w:hAnsi="宋体" w:cs="宋体"/>
          <w:b/>
          <w:sz w:val="24"/>
          <w:szCs w:val="24"/>
          <w:highlight w:val="none"/>
        </w:rPr>
        <w:t>2.4履约检查和问题反馈</w:t>
      </w:r>
    </w:p>
    <w:p w14:paraId="02A70F0A">
      <w:pPr>
        <w:spacing w:line="360" w:lineRule="auto"/>
        <w:ind w:firstLine="480" w:firstLineChars="200"/>
        <w:outlineLvl w:val="9"/>
        <w:rPr>
          <w:rFonts w:hint="eastAsia" w:ascii="宋体" w:hAnsi="宋体" w:cs="宋体"/>
          <w:sz w:val="24"/>
          <w:szCs w:val="24"/>
          <w:highlight w:val="none"/>
        </w:rPr>
      </w:pPr>
      <w:bookmarkStart w:id="123" w:name="_Ref467379657"/>
      <w:r>
        <w:rPr>
          <w:rFonts w:hint="eastAsia" w:ascii="宋体" w:hAnsi="宋体" w:cs="宋体"/>
          <w:sz w:val="24"/>
          <w:szCs w:val="24"/>
          <w:highlight w:val="none"/>
        </w:rPr>
        <w:t>2.4.1</w:t>
      </w:r>
      <w:bookmarkEnd w:id="123"/>
      <w:bookmarkStart w:id="124" w:name="_Toc186431854"/>
      <w:bookmarkStart w:id="125" w:name="_Toc259093676"/>
      <w:bookmarkStart w:id="126" w:name="_Toc279701247"/>
      <w:bookmarkStart w:id="127" w:name="_Ref467379793"/>
      <w:bookmarkStart w:id="128" w:name="_Toc487900357"/>
      <w:bookmarkStart w:id="129" w:name="_Ref467379807"/>
      <w:r>
        <w:rPr>
          <w:rFonts w:hint="eastAsia" w:ascii="宋体" w:hAnsi="宋体" w:cs="宋体"/>
          <w:sz w:val="24"/>
          <w:szCs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14:paraId="1E742BF5">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2.4.2合同履行期间，甲方有权将履行过程中出现的问题反馈给乙方，双方当事人应以书面形式约定需要完善和改进的内容</w:t>
      </w:r>
      <w:bookmarkEnd w:id="124"/>
      <w:bookmarkStart w:id="130" w:name="_Toc186431855"/>
      <w:r>
        <w:rPr>
          <w:rFonts w:hint="eastAsia" w:ascii="宋体" w:hAnsi="宋体" w:cs="宋体"/>
          <w:sz w:val="24"/>
          <w:szCs w:val="24"/>
          <w:highlight w:val="none"/>
        </w:rPr>
        <w:t>。</w:t>
      </w:r>
    </w:p>
    <w:bookmarkEnd w:id="130"/>
    <w:p w14:paraId="7C6612F9">
      <w:pPr>
        <w:spacing w:line="360" w:lineRule="auto"/>
        <w:ind w:firstLine="482" w:firstLineChars="200"/>
        <w:outlineLvl w:val="9"/>
        <w:rPr>
          <w:rFonts w:hint="eastAsia" w:ascii="宋体" w:hAnsi="宋体" w:cs="宋体"/>
          <w:b/>
          <w:sz w:val="24"/>
          <w:szCs w:val="24"/>
          <w:highlight w:val="none"/>
        </w:rPr>
      </w:pPr>
      <w:bookmarkStart w:id="131" w:name="_Toc26555"/>
      <w:bookmarkStart w:id="132" w:name="_Toc7472"/>
      <w:bookmarkStart w:id="133" w:name="_Toc7860"/>
      <w:bookmarkStart w:id="134" w:name="_Toc32670"/>
      <w:bookmarkStart w:id="135" w:name="_Toc13247"/>
      <w:bookmarkStart w:id="136" w:name="_Toc31233"/>
      <w:bookmarkStart w:id="137" w:name="_Toc22011"/>
      <w:bookmarkStart w:id="138" w:name="_Toc15447"/>
      <w:r>
        <w:rPr>
          <w:rFonts w:hint="eastAsia" w:ascii="宋体" w:hAnsi="宋体" w:cs="宋体"/>
          <w:b/>
          <w:sz w:val="24"/>
          <w:szCs w:val="24"/>
          <w:highlight w:val="none"/>
        </w:rPr>
        <w:t>2.5结算方式和付款条件</w:t>
      </w:r>
      <w:bookmarkEnd w:id="125"/>
      <w:bookmarkEnd w:id="126"/>
      <w:bookmarkEnd w:id="127"/>
      <w:bookmarkEnd w:id="128"/>
      <w:bookmarkEnd w:id="129"/>
      <w:bookmarkEnd w:id="131"/>
      <w:bookmarkEnd w:id="132"/>
      <w:bookmarkEnd w:id="133"/>
      <w:bookmarkEnd w:id="134"/>
      <w:bookmarkEnd w:id="135"/>
      <w:bookmarkEnd w:id="136"/>
      <w:bookmarkEnd w:id="137"/>
      <w:bookmarkEnd w:id="138"/>
    </w:p>
    <w:p w14:paraId="49ED2245">
      <w:pPr>
        <w:spacing w:line="360" w:lineRule="auto"/>
        <w:ind w:firstLine="482" w:firstLineChars="200"/>
        <w:outlineLvl w:val="9"/>
        <w:rPr>
          <w:rFonts w:hint="eastAsia" w:ascii="宋体" w:hAnsi="宋体" w:cs="宋体"/>
          <w:b/>
          <w:sz w:val="24"/>
          <w:szCs w:val="24"/>
          <w:highlight w:val="none"/>
        </w:rPr>
      </w:pPr>
      <w:bookmarkStart w:id="139" w:name="_Ref467379863"/>
      <w:bookmarkStart w:id="140" w:name="_Toc279701248"/>
      <w:bookmarkStart w:id="141" w:name="_Toc487900358"/>
      <w:bookmarkStart w:id="142" w:name="_Ref467379923"/>
      <w:bookmarkStart w:id="143" w:name="_Ref467379852"/>
      <w:bookmarkStart w:id="144" w:name="_Toc259093677"/>
      <w:bookmarkStart w:id="145" w:name="_Toc16163"/>
      <w:bookmarkStart w:id="146" w:name="_Toc9974"/>
      <w:bookmarkStart w:id="147" w:name="_Toc18990"/>
      <w:bookmarkStart w:id="148" w:name="_Toc30507"/>
      <w:bookmarkStart w:id="149" w:name="_Toc13154"/>
      <w:bookmarkStart w:id="150" w:name="_Toc13467"/>
      <w:bookmarkStart w:id="151" w:name="_Toc24255"/>
      <w:bookmarkStart w:id="152" w:name="_Toc3886"/>
      <w:r>
        <w:rPr>
          <w:rFonts w:hint="eastAsia" w:ascii="宋体" w:hAnsi="宋体" w:cs="宋体"/>
          <w:b/>
          <w:sz w:val="24"/>
          <w:szCs w:val="24"/>
          <w:highlight w:val="none"/>
        </w:rPr>
        <w:t>（1）达到付款条件起30日内，支付合同总金额的</w:t>
      </w:r>
      <w:r>
        <w:rPr>
          <w:rFonts w:hint="eastAsia" w:ascii="宋体" w:hAnsi="宋体" w:cs="宋体"/>
          <w:b/>
          <w:sz w:val="24"/>
          <w:szCs w:val="24"/>
          <w:highlight w:val="none"/>
          <w:lang w:val="en-US" w:eastAsia="zh-CN"/>
        </w:rPr>
        <w:t>100</w:t>
      </w:r>
      <w:r>
        <w:rPr>
          <w:rFonts w:hint="eastAsia" w:ascii="宋体" w:hAnsi="宋体" w:cs="宋体"/>
          <w:b/>
          <w:sz w:val="24"/>
          <w:szCs w:val="24"/>
          <w:highlight w:val="none"/>
        </w:rPr>
        <w:t>.00%。；</w:t>
      </w:r>
    </w:p>
    <w:p w14:paraId="5709B6FA">
      <w:pPr>
        <w:spacing w:line="360" w:lineRule="auto"/>
        <w:ind w:firstLine="482" w:firstLineChars="200"/>
        <w:outlineLvl w:val="9"/>
        <w:rPr>
          <w:rFonts w:hint="eastAsia" w:ascii="宋体" w:hAnsi="宋体" w:cs="宋体"/>
          <w:b/>
          <w:sz w:val="24"/>
          <w:szCs w:val="24"/>
          <w:highlight w:val="none"/>
        </w:rPr>
      </w:pPr>
      <w:r>
        <w:rPr>
          <w:rFonts w:hint="eastAsia" w:ascii="宋体" w:hAnsi="宋体" w:cs="宋体"/>
          <w:b/>
          <w:sz w:val="24"/>
          <w:szCs w:val="24"/>
          <w:highlight w:val="none"/>
        </w:rPr>
        <w:t>（2）供应商承诺在采购人办理以上各期付款的支付手续前，为采购人出具等额的符合国家规定的发票；</w:t>
      </w:r>
    </w:p>
    <w:p w14:paraId="2CFB3AA3">
      <w:pPr>
        <w:spacing w:line="360" w:lineRule="auto"/>
        <w:ind w:firstLine="482" w:firstLineChars="200"/>
        <w:outlineLvl w:val="9"/>
        <w:rPr>
          <w:rFonts w:hint="eastAsia" w:ascii="宋体" w:hAnsi="宋体" w:cs="宋体"/>
          <w:b/>
          <w:sz w:val="24"/>
          <w:szCs w:val="24"/>
          <w:highlight w:val="none"/>
        </w:rPr>
      </w:pPr>
      <w:r>
        <w:rPr>
          <w:rFonts w:hint="eastAsia" w:ascii="宋体" w:hAnsi="宋体" w:cs="宋体"/>
          <w:b/>
          <w:sz w:val="24"/>
          <w:szCs w:val="24"/>
          <w:highlight w:val="none"/>
        </w:rPr>
        <w:t>（3）上述时间不包括采购人正常办理支付报批手续的时间。</w:t>
      </w:r>
    </w:p>
    <w:p w14:paraId="69A956BE">
      <w:pPr>
        <w:spacing w:line="360" w:lineRule="auto"/>
        <w:ind w:firstLine="482" w:firstLineChars="200"/>
        <w:outlineLvl w:val="9"/>
        <w:rPr>
          <w:rFonts w:hint="eastAsia" w:ascii="宋体" w:hAnsi="宋体" w:cs="宋体"/>
          <w:b/>
          <w:sz w:val="24"/>
          <w:szCs w:val="24"/>
          <w:highlight w:val="none"/>
        </w:rPr>
      </w:pPr>
      <w:r>
        <w:rPr>
          <w:rFonts w:hint="eastAsia" w:ascii="宋体" w:hAnsi="宋体" w:cs="宋体"/>
          <w:b/>
          <w:sz w:val="24"/>
          <w:szCs w:val="24"/>
          <w:highlight w:val="none"/>
        </w:rPr>
        <w:t>2.6技术资料</w:t>
      </w:r>
      <w:bookmarkEnd w:id="139"/>
      <w:bookmarkEnd w:id="140"/>
      <w:bookmarkEnd w:id="141"/>
      <w:bookmarkEnd w:id="142"/>
      <w:bookmarkEnd w:id="143"/>
      <w:bookmarkEnd w:id="144"/>
      <w:r>
        <w:rPr>
          <w:rFonts w:hint="eastAsia" w:ascii="宋体" w:hAnsi="宋体" w:cs="宋体"/>
          <w:b/>
          <w:sz w:val="24"/>
          <w:szCs w:val="24"/>
          <w:highlight w:val="none"/>
        </w:rPr>
        <w:t>和保密义务</w:t>
      </w:r>
      <w:bookmarkEnd w:id="145"/>
      <w:bookmarkEnd w:id="146"/>
      <w:bookmarkEnd w:id="147"/>
      <w:bookmarkEnd w:id="148"/>
      <w:bookmarkEnd w:id="149"/>
      <w:bookmarkEnd w:id="150"/>
      <w:bookmarkEnd w:id="151"/>
      <w:bookmarkEnd w:id="152"/>
    </w:p>
    <w:p w14:paraId="7D05E5FE">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2.6.1乙方有权依据合同约定和项目需要，向甲方了解有关情况，调阅有关资料等，甲方应予积极配合；</w:t>
      </w:r>
    </w:p>
    <w:p w14:paraId="45107292">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2.6.2乙方有义务妥善保管和保护由甲方提供的前款信息和资料等；</w:t>
      </w:r>
    </w:p>
    <w:p w14:paraId="6DFF5EE2">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4FBE6832">
      <w:pPr>
        <w:spacing w:line="360" w:lineRule="auto"/>
        <w:ind w:firstLine="482" w:firstLineChars="200"/>
        <w:outlineLvl w:val="9"/>
        <w:rPr>
          <w:rFonts w:hint="eastAsia" w:ascii="宋体" w:hAnsi="宋体" w:cs="宋体"/>
          <w:b/>
          <w:sz w:val="24"/>
          <w:szCs w:val="24"/>
          <w:highlight w:val="none"/>
        </w:rPr>
      </w:pPr>
      <w:bookmarkStart w:id="153" w:name="_Toc30781"/>
      <w:bookmarkStart w:id="154" w:name="_Toc31682"/>
      <w:bookmarkStart w:id="155" w:name="_Toc19069"/>
      <w:bookmarkStart w:id="156" w:name="_Toc23788"/>
      <w:bookmarkStart w:id="157" w:name="_Toc279701252"/>
      <w:bookmarkStart w:id="158" w:name="_Toc259093681"/>
      <w:bookmarkStart w:id="159" w:name="_Toc487900362"/>
      <w:r>
        <w:rPr>
          <w:rFonts w:hint="eastAsia" w:ascii="宋体" w:hAnsi="宋体" w:cs="宋体"/>
          <w:b/>
          <w:sz w:val="24"/>
          <w:szCs w:val="24"/>
          <w:highlight w:val="none"/>
        </w:rPr>
        <w:t>2.7质量保证</w:t>
      </w:r>
      <w:bookmarkEnd w:id="153"/>
      <w:bookmarkEnd w:id="154"/>
      <w:bookmarkEnd w:id="155"/>
      <w:bookmarkEnd w:id="156"/>
    </w:p>
    <w:p w14:paraId="3428B69B">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2.7.1乙方应建立和完善履行合同的内部质量保证体系，并提供相关内部规章制度给甲方，以便甲方进行监督检查；</w:t>
      </w:r>
    </w:p>
    <w:p w14:paraId="4A1DB1B8">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2.7.2乙方应保证履行合同的人员数量和素质、软件和硬件设备的配置、场地、环境和设施等满足全面履行合同的要求，并应接受甲方的监督检查。</w:t>
      </w:r>
    </w:p>
    <w:p w14:paraId="399B4ADA">
      <w:pPr>
        <w:spacing w:line="360" w:lineRule="auto"/>
        <w:ind w:firstLine="482" w:firstLineChars="200"/>
        <w:outlineLvl w:val="9"/>
        <w:rPr>
          <w:rFonts w:hint="eastAsia" w:ascii="宋体" w:hAnsi="宋体" w:cs="宋体"/>
          <w:b/>
          <w:sz w:val="24"/>
          <w:szCs w:val="24"/>
          <w:highlight w:val="none"/>
        </w:rPr>
      </w:pPr>
      <w:bookmarkStart w:id="160" w:name="_Toc13743"/>
      <w:bookmarkStart w:id="161" w:name="_Toc22267"/>
      <w:bookmarkStart w:id="162" w:name="_Toc4333"/>
      <w:bookmarkStart w:id="163" w:name="_Toc6644"/>
      <w:r>
        <w:rPr>
          <w:rFonts w:hint="eastAsia" w:ascii="宋体" w:hAnsi="宋体" w:cs="宋体"/>
          <w:b/>
          <w:sz w:val="24"/>
          <w:szCs w:val="24"/>
          <w:highlight w:val="none"/>
        </w:rPr>
        <w:t>2.8延迟</w:t>
      </w:r>
      <w:bookmarkEnd w:id="157"/>
      <w:bookmarkEnd w:id="158"/>
      <w:bookmarkEnd w:id="159"/>
      <w:r>
        <w:rPr>
          <w:rFonts w:hint="eastAsia" w:ascii="宋体" w:hAnsi="宋体" w:cs="宋体"/>
          <w:b/>
          <w:sz w:val="24"/>
          <w:szCs w:val="24"/>
          <w:highlight w:val="none"/>
        </w:rPr>
        <w:t>履行</w:t>
      </w:r>
      <w:bookmarkEnd w:id="160"/>
      <w:bookmarkEnd w:id="161"/>
      <w:bookmarkEnd w:id="162"/>
      <w:bookmarkEnd w:id="163"/>
    </w:p>
    <w:p w14:paraId="18C53DC4">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254FC74D">
      <w:pPr>
        <w:spacing w:line="360" w:lineRule="auto"/>
        <w:ind w:firstLine="482" w:firstLineChars="200"/>
        <w:outlineLvl w:val="9"/>
        <w:rPr>
          <w:rFonts w:hint="eastAsia" w:ascii="宋体" w:hAnsi="宋体" w:cs="宋体"/>
          <w:b/>
          <w:sz w:val="24"/>
          <w:szCs w:val="24"/>
          <w:highlight w:val="none"/>
        </w:rPr>
      </w:pPr>
      <w:bookmarkStart w:id="164" w:name="_Toc7134"/>
      <w:bookmarkStart w:id="165" w:name="_Toc10611"/>
      <w:bookmarkStart w:id="166" w:name="_Toc9519"/>
      <w:bookmarkStart w:id="167" w:name="_Toc4141"/>
      <w:r>
        <w:rPr>
          <w:rFonts w:hint="eastAsia" w:ascii="宋体" w:hAnsi="宋体" w:cs="宋体"/>
          <w:b/>
          <w:sz w:val="24"/>
          <w:szCs w:val="24"/>
          <w:highlight w:val="none"/>
        </w:rPr>
        <w:t>2.9合同变更</w:t>
      </w:r>
      <w:bookmarkEnd w:id="164"/>
      <w:bookmarkEnd w:id="165"/>
      <w:bookmarkEnd w:id="166"/>
      <w:bookmarkEnd w:id="167"/>
    </w:p>
    <w:p w14:paraId="73C69EF6">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2.9.1双方当事人协商一致，可以签订书面补充合同的形式变更合同，但不得违背采购文件确定的事项，且如果系追加与合同标的相同的服务的，那么所有补充合同的采购金额不得超过原合同价的10%；</w:t>
      </w:r>
    </w:p>
    <w:p w14:paraId="020B75BC">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2.9.2合同继续履行将损害国家利益和社会公共利益的，双方当事人应当以书面形式变更合同。有过错的一方应当承担赔偿责任，双方当事人都有过错的，各自承担相应的责任。</w:t>
      </w:r>
      <w:bookmarkStart w:id="168" w:name="_Toc279701259"/>
      <w:bookmarkStart w:id="169" w:name="_Toc259093688"/>
      <w:bookmarkStart w:id="170" w:name="_Toc487900369"/>
    </w:p>
    <w:p w14:paraId="32DB2038">
      <w:pPr>
        <w:spacing w:line="360" w:lineRule="auto"/>
        <w:ind w:firstLine="482" w:firstLineChars="200"/>
        <w:outlineLvl w:val="9"/>
        <w:rPr>
          <w:rFonts w:hint="eastAsia" w:ascii="宋体" w:hAnsi="宋体" w:cs="宋体"/>
          <w:b/>
          <w:sz w:val="24"/>
          <w:szCs w:val="24"/>
          <w:highlight w:val="none"/>
        </w:rPr>
      </w:pPr>
      <w:bookmarkStart w:id="171" w:name="_Toc13465"/>
      <w:bookmarkStart w:id="172" w:name="_Toc42"/>
      <w:bookmarkStart w:id="173" w:name="_Toc26689"/>
      <w:bookmarkStart w:id="174" w:name="_Toc10663"/>
      <w:bookmarkStart w:id="175" w:name="_Toc21830"/>
      <w:bookmarkStart w:id="176" w:name="_Toc458"/>
      <w:bookmarkStart w:id="177" w:name="_Toc23368"/>
      <w:bookmarkStart w:id="178" w:name="_Toc27031"/>
      <w:r>
        <w:rPr>
          <w:rFonts w:hint="eastAsia" w:ascii="宋体" w:hAnsi="宋体" w:cs="宋体"/>
          <w:b/>
          <w:sz w:val="24"/>
          <w:szCs w:val="24"/>
          <w:highlight w:val="none"/>
        </w:rPr>
        <w:t>2.10合同转让</w:t>
      </w:r>
      <w:bookmarkEnd w:id="168"/>
      <w:bookmarkEnd w:id="169"/>
      <w:bookmarkEnd w:id="170"/>
      <w:r>
        <w:rPr>
          <w:rFonts w:hint="eastAsia" w:ascii="宋体" w:hAnsi="宋体" w:cs="宋体"/>
          <w:b/>
          <w:sz w:val="24"/>
          <w:szCs w:val="24"/>
          <w:highlight w:val="none"/>
        </w:rPr>
        <w:t>和分包</w:t>
      </w:r>
      <w:bookmarkEnd w:id="171"/>
      <w:bookmarkEnd w:id="172"/>
      <w:bookmarkEnd w:id="173"/>
      <w:bookmarkEnd w:id="174"/>
      <w:bookmarkEnd w:id="175"/>
      <w:bookmarkEnd w:id="176"/>
      <w:bookmarkEnd w:id="177"/>
      <w:bookmarkEnd w:id="178"/>
    </w:p>
    <w:p w14:paraId="521E6AB2">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172DC27B">
      <w:pPr>
        <w:spacing w:line="360" w:lineRule="auto"/>
        <w:ind w:firstLine="482" w:firstLineChars="200"/>
        <w:outlineLvl w:val="9"/>
        <w:rPr>
          <w:rFonts w:hint="eastAsia" w:ascii="宋体" w:hAnsi="宋体" w:cs="宋体"/>
          <w:b/>
          <w:sz w:val="24"/>
          <w:szCs w:val="24"/>
          <w:highlight w:val="none"/>
        </w:rPr>
      </w:pPr>
      <w:bookmarkStart w:id="179" w:name="_Toc13058"/>
      <w:bookmarkStart w:id="180" w:name="_Toc32389"/>
      <w:bookmarkStart w:id="181" w:name="_Toc26633"/>
      <w:bookmarkStart w:id="182" w:name="_Toc14371"/>
      <w:bookmarkStart w:id="183" w:name="_Toc25571"/>
      <w:bookmarkStart w:id="184" w:name="_Toc24901"/>
      <w:bookmarkStart w:id="185" w:name="_Toc32494"/>
      <w:bookmarkStart w:id="186" w:name="_Toc4720"/>
      <w:r>
        <w:rPr>
          <w:rFonts w:hint="eastAsia" w:ascii="宋体" w:hAnsi="宋体" w:cs="宋体"/>
          <w:b/>
          <w:sz w:val="24"/>
          <w:szCs w:val="24"/>
          <w:highlight w:val="none"/>
        </w:rPr>
        <w:t>2.11不可抗力</w:t>
      </w:r>
      <w:bookmarkEnd w:id="179"/>
      <w:bookmarkEnd w:id="180"/>
      <w:bookmarkEnd w:id="181"/>
      <w:bookmarkEnd w:id="182"/>
      <w:bookmarkEnd w:id="183"/>
      <w:bookmarkEnd w:id="184"/>
      <w:bookmarkEnd w:id="185"/>
      <w:bookmarkEnd w:id="186"/>
    </w:p>
    <w:p w14:paraId="2762E4A3">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2.11.1如果任何一方遭遇法律规定的不可抗力，致使合同履行受阻时，履行合同的期限应予延长，延长的期限应相当于不可抗力所影响的时间；</w:t>
      </w:r>
    </w:p>
    <w:p w14:paraId="2991C471">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2.11.2因不可抗力致使不能实现合同目的的，当事人可以解除合同；</w:t>
      </w:r>
    </w:p>
    <w:p w14:paraId="23A0C82E">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2.11.3因不可抗力致使合同有变更必要的，双方当事人应在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内以书面形式变更合同；</w:t>
      </w:r>
    </w:p>
    <w:p w14:paraId="1C0CDDD0">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2.11.4受不可抗力影响的一方在不可抗力发生后，应在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内以书面形式通知对方当事人，并在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内，将有关部门出具的证明文件送达对方当事人。</w:t>
      </w:r>
    </w:p>
    <w:p w14:paraId="59743882">
      <w:pPr>
        <w:spacing w:line="360" w:lineRule="auto"/>
        <w:ind w:firstLine="482" w:firstLineChars="200"/>
        <w:outlineLvl w:val="9"/>
        <w:rPr>
          <w:rFonts w:hint="eastAsia" w:ascii="宋体" w:hAnsi="宋体" w:cs="宋体"/>
          <w:b/>
          <w:sz w:val="24"/>
          <w:szCs w:val="24"/>
          <w:highlight w:val="none"/>
        </w:rPr>
      </w:pPr>
      <w:bookmarkStart w:id="187" w:name="_Toc24226"/>
      <w:bookmarkStart w:id="188" w:name="_Toc7854"/>
      <w:bookmarkStart w:id="189" w:name="_Toc3638"/>
      <w:bookmarkStart w:id="190" w:name="_Toc24465"/>
      <w:bookmarkStart w:id="191" w:name="_Toc25783"/>
      <w:bookmarkStart w:id="192" w:name="_Toc23854"/>
      <w:bookmarkStart w:id="193" w:name="_Toc279701255"/>
      <w:bookmarkStart w:id="194" w:name="_Toc14115"/>
      <w:bookmarkStart w:id="195" w:name="_Toc7143"/>
      <w:bookmarkStart w:id="196" w:name="_Toc259093684"/>
      <w:bookmarkStart w:id="197" w:name="_Toc487900365"/>
      <w:r>
        <w:rPr>
          <w:rFonts w:hint="eastAsia" w:ascii="宋体" w:hAnsi="宋体" w:cs="宋体"/>
          <w:b/>
          <w:sz w:val="24"/>
          <w:szCs w:val="24"/>
          <w:highlight w:val="none"/>
        </w:rPr>
        <w:t>2.12税费</w:t>
      </w:r>
      <w:bookmarkEnd w:id="187"/>
      <w:bookmarkEnd w:id="188"/>
      <w:bookmarkEnd w:id="189"/>
      <w:bookmarkEnd w:id="190"/>
      <w:bookmarkEnd w:id="191"/>
      <w:bookmarkEnd w:id="192"/>
      <w:bookmarkEnd w:id="193"/>
      <w:bookmarkEnd w:id="194"/>
      <w:bookmarkEnd w:id="195"/>
      <w:bookmarkEnd w:id="196"/>
      <w:bookmarkEnd w:id="197"/>
    </w:p>
    <w:p w14:paraId="021319D7">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与合同有关的一切税费，均按照中华人民共和国法律的相关规定缴纳。</w:t>
      </w:r>
    </w:p>
    <w:p w14:paraId="021D5DF8">
      <w:pPr>
        <w:spacing w:line="360" w:lineRule="auto"/>
        <w:ind w:firstLine="482" w:firstLineChars="200"/>
        <w:outlineLvl w:val="9"/>
        <w:rPr>
          <w:rFonts w:hint="eastAsia" w:ascii="宋体" w:hAnsi="宋体" w:cs="宋体"/>
          <w:b/>
          <w:sz w:val="24"/>
          <w:szCs w:val="24"/>
          <w:highlight w:val="none"/>
        </w:rPr>
      </w:pPr>
      <w:bookmarkStart w:id="198" w:name="_Toc9444"/>
      <w:bookmarkStart w:id="199" w:name="_Toc12334"/>
      <w:bookmarkStart w:id="200" w:name="_Toc14814"/>
      <w:bookmarkStart w:id="201" w:name="_Toc30105"/>
      <w:bookmarkStart w:id="202" w:name="_Toc25525"/>
      <w:bookmarkStart w:id="203" w:name="_Toc26883"/>
      <w:bookmarkStart w:id="204" w:name="_Toc279701258"/>
      <w:bookmarkStart w:id="205" w:name="_Toc259093687"/>
      <w:bookmarkStart w:id="206" w:name="_Toc487900368"/>
      <w:bookmarkStart w:id="207" w:name="_Toc24592"/>
      <w:bookmarkStart w:id="208" w:name="_Toc7315"/>
      <w:r>
        <w:rPr>
          <w:rFonts w:hint="eastAsia" w:ascii="宋体" w:hAnsi="宋体" w:cs="宋体"/>
          <w:b/>
          <w:sz w:val="24"/>
          <w:szCs w:val="24"/>
          <w:highlight w:val="none"/>
        </w:rPr>
        <w:t>2.13乙方破产</w:t>
      </w:r>
      <w:bookmarkEnd w:id="198"/>
      <w:bookmarkEnd w:id="199"/>
      <w:bookmarkEnd w:id="200"/>
      <w:bookmarkEnd w:id="201"/>
      <w:bookmarkEnd w:id="202"/>
      <w:bookmarkEnd w:id="203"/>
      <w:bookmarkEnd w:id="204"/>
      <w:bookmarkEnd w:id="205"/>
      <w:bookmarkEnd w:id="206"/>
      <w:bookmarkEnd w:id="207"/>
      <w:bookmarkEnd w:id="208"/>
    </w:p>
    <w:p w14:paraId="25C2C0DE">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2F1E772E">
      <w:pPr>
        <w:spacing w:line="360" w:lineRule="auto"/>
        <w:ind w:firstLine="482" w:firstLineChars="200"/>
        <w:outlineLvl w:val="9"/>
        <w:rPr>
          <w:rFonts w:hint="eastAsia" w:ascii="宋体" w:hAnsi="宋体" w:cs="宋体"/>
          <w:b/>
          <w:sz w:val="24"/>
          <w:szCs w:val="24"/>
          <w:highlight w:val="none"/>
        </w:rPr>
      </w:pPr>
      <w:bookmarkStart w:id="209" w:name="_Toc2016"/>
      <w:bookmarkStart w:id="210" w:name="_Toc18535"/>
      <w:bookmarkStart w:id="211" w:name="_Toc23323"/>
      <w:bookmarkStart w:id="212" w:name="_Toc31935"/>
      <w:bookmarkStart w:id="213" w:name="_Toc1123"/>
      <w:bookmarkStart w:id="214" w:name="_Toc27457"/>
      <w:r>
        <w:rPr>
          <w:rFonts w:hint="eastAsia" w:ascii="宋体" w:hAnsi="宋体" w:cs="宋体"/>
          <w:b/>
          <w:sz w:val="24"/>
          <w:szCs w:val="24"/>
          <w:highlight w:val="none"/>
        </w:rPr>
        <w:t>2.14合同中止、终止</w:t>
      </w:r>
      <w:bookmarkEnd w:id="209"/>
      <w:bookmarkEnd w:id="210"/>
      <w:bookmarkEnd w:id="211"/>
      <w:bookmarkEnd w:id="212"/>
      <w:bookmarkEnd w:id="213"/>
      <w:bookmarkEnd w:id="214"/>
    </w:p>
    <w:p w14:paraId="7738C3B6">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2.14.1双方当事人不得擅自中止或者终止合同；</w:t>
      </w:r>
    </w:p>
    <w:p w14:paraId="3A429164">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2.14.2合同继续履行将损害国家利益和社会公共利益的，双方当事人应当中止或者终止合同。有过错的一方应当承担赔偿责任，双方当事人都有过错的，各自承担相应的责任。</w:t>
      </w:r>
    </w:p>
    <w:p w14:paraId="1125074D">
      <w:pPr>
        <w:spacing w:line="360" w:lineRule="auto"/>
        <w:ind w:firstLine="482" w:firstLineChars="200"/>
        <w:outlineLvl w:val="9"/>
        <w:rPr>
          <w:rFonts w:hint="eastAsia" w:ascii="宋体" w:hAnsi="宋体" w:cs="宋体"/>
          <w:b/>
          <w:sz w:val="24"/>
          <w:szCs w:val="24"/>
          <w:highlight w:val="none"/>
        </w:rPr>
      </w:pPr>
      <w:bookmarkStart w:id="215" w:name="_Toc32237"/>
      <w:bookmarkStart w:id="216" w:name="_Toc14525"/>
      <w:bookmarkStart w:id="217" w:name="_Toc23234"/>
      <w:bookmarkStart w:id="218" w:name="_Toc17363"/>
      <w:bookmarkStart w:id="219" w:name="_Toc9000"/>
      <w:bookmarkStart w:id="220" w:name="_Toc1969"/>
      <w:r>
        <w:rPr>
          <w:rFonts w:hint="eastAsia" w:ascii="宋体" w:hAnsi="宋体" w:cs="宋体"/>
          <w:b/>
          <w:sz w:val="24"/>
          <w:szCs w:val="24"/>
          <w:highlight w:val="none"/>
        </w:rPr>
        <w:t>2.15检验和验收</w:t>
      </w:r>
      <w:bookmarkEnd w:id="215"/>
      <w:bookmarkEnd w:id="216"/>
      <w:bookmarkEnd w:id="217"/>
      <w:bookmarkEnd w:id="218"/>
      <w:bookmarkEnd w:id="219"/>
      <w:bookmarkEnd w:id="220"/>
    </w:p>
    <w:p w14:paraId="442C9A4F">
      <w:pPr>
        <w:tabs>
          <w:tab w:val="left" w:pos="360"/>
          <w:tab w:val="left" w:pos="540"/>
          <w:tab w:val="left" w:pos="1080"/>
        </w:tabs>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2.15.1乙方按照</w:t>
      </w:r>
      <w:r>
        <w:rPr>
          <w:rFonts w:hint="eastAsia" w:ascii="宋体" w:hAnsi="宋体" w:cs="宋体"/>
          <w:sz w:val="24"/>
          <w:szCs w:val="24"/>
          <w:highlight w:val="none"/>
          <w:lang w:val="en-US" w:eastAsia="zh-CN"/>
        </w:rPr>
        <w:t>采购</w:t>
      </w:r>
      <w:r>
        <w:rPr>
          <w:rFonts w:hint="eastAsia" w:ascii="宋体" w:hAnsi="宋体" w:cs="宋体"/>
          <w:sz w:val="24"/>
          <w:szCs w:val="24"/>
          <w:highlight w:val="none"/>
        </w:rPr>
        <w:t>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的约定，定期提交服务报告，甲方按照</w:t>
      </w:r>
      <w:r>
        <w:rPr>
          <w:rFonts w:hint="eastAsia" w:ascii="宋体" w:hAnsi="宋体" w:cs="宋体"/>
          <w:sz w:val="24"/>
          <w:szCs w:val="24"/>
          <w:highlight w:val="none"/>
          <w:lang w:val="en-US" w:eastAsia="zh-CN"/>
        </w:rPr>
        <w:t>采购</w:t>
      </w:r>
      <w:r>
        <w:rPr>
          <w:rFonts w:hint="eastAsia" w:ascii="宋体" w:hAnsi="宋体" w:cs="宋体"/>
          <w:sz w:val="24"/>
          <w:szCs w:val="24"/>
          <w:highlight w:val="none"/>
        </w:rPr>
        <w:t>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的约定进行定期验收；</w:t>
      </w:r>
    </w:p>
    <w:p w14:paraId="69492F9F">
      <w:pPr>
        <w:tabs>
          <w:tab w:val="left" w:pos="360"/>
          <w:tab w:val="left" w:pos="540"/>
          <w:tab w:val="left" w:pos="1080"/>
        </w:tabs>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30DC1261">
      <w:pPr>
        <w:tabs>
          <w:tab w:val="left" w:pos="360"/>
          <w:tab w:val="left" w:pos="540"/>
          <w:tab w:val="left" w:pos="1080"/>
        </w:tabs>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2.15.3检验和验收标准、程序等具体内容以及前述验收书的效力详见</w:t>
      </w:r>
      <w:r>
        <w:rPr>
          <w:rFonts w:hint="eastAsia" w:ascii="宋体" w:hAnsi="宋体" w:cs="宋体"/>
          <w:b/>
          <w:i/>
          <w:sz w:val="24"/>
          <w:szCs w:val="24"/>
          <w:highlight w:val="none"/>
          <w:u w:val="single"/>
          <w:lang w:val="en-US" w:eastAsia="zh-CN"/>
        </w:rPr>
        <w:t>采购</w:t>
      </w:r>
      <w:r>
        <w:rPr>
          <w:rFonts w:hint="eastAsia" w:ascii="宋体" w:hAnsi="宋体" w:cs="宋体"/>
          <w:b/>
          <w:i/>
          <w:sz w:val="24"/>
          <w:szCs w:val="24"/>
          <w:highlight w:val="none"/>
          <w:u w:val="single"/>
        </w:rPr>
        <w:t>文件用户需求书</w:t>
      </w:r>
      <w:r>
        <w:rPr>
          <w:rFonts w:hint="eastAsia" w:ascii="宋体" w:hAnsi="宋体" w:cs="宋体"/>
          <w:i/>
          <w:sz w:val="24"/>
          <w:szCs w:val="24"/>
          <w:highlight w:val="none"/>
        </w:rPr>
        <w:t>。</w:t>
      </w:r>
    </w:p>
    <w:p w14:paraId="16683058">
      <w:pPr>
        <w:spacing w:line="360" w:lineRule="auto"/>
        <w:ind w:firstLine="482" w:firstLineChars="200"/>
        <w:outlineLvl w:val="9"/>
        <w:rPr>
          <w:rFonts w:hint="eastAsia" w:ascii="宋体" w:hAnsi="宋体" w:cs="宋体"/>
          <w:b/>
          <w:sz w:val="24"/>
          <w:szCs w:val="24"/>
          <w:highlight w:val="none"/>
        </w:rPr>
      </w:pPr>
      <w:bookmarkStart w:id="221" w:name="_Toc487900371"/>
      <w:bookmarkStart w:id="222" w:name="_Toc279701261"/>
      <w:bookmarkStart w:id="223" w:name="_Toc259093690"/>
      <w:bookmarkStart w:id="224" w:name="_Toc25198"/>
      <w:bookmarkStart w:id="225" w:name="_Toc13424"/>
      <w:bookmarkStart w:id="226" w:name="_Toc2308"/>
      <w:bookmarkStart w:id="227" w:name="_Toc9808"/>
      <w:bookmarkStart w:id="228" w:name="_Toc31892"/>
      <w:bookmarkStart w:id="229" w:name="_Toc20675"/>
      <w:bookmarkStart w:id="230" w:name="_Toc12666"/>
      <w:bookmarkStart w:id="231" w:name="_Toc7598"/>
      <w:r>
        <w:rPr>
          <w:rFonts w:hint="eastAsia" w:ascii="宋体" w:hAnsi="宋体" w:cs="宋体"/>
          <w:b/>
          <w:sz w:val="24"/>
          <w:szCs w:val="24"/>
          <w:highlight w:val="none"/>
        </w:rPr>
        <w:t>2.16通知</w:t>
      </w:r>
      <w:bookmarkEnd w:id="221"/>
      <w:bookmarkEnd w:id="222"/>
      <w:bookmarkEnd w:id="223"/>
      <w:r>
        <w:rPr>
          <w:rFonts w:hint="eastAsia" w:ascii="宋体" w:hAnsi="宋体" w:cs="宋体"/>
          <w:b/>
          <w:sz w:val="24"/>
          <w:szCs w:val="24"/>
          <w:highlight w:val="none"/>
        </w:rPr>
        <w:t>和送达</w:t>
      </w:r>
      <w:bookmarkEnd w:id="224"/>
      <w:bookmarkEnd w:id="225"/>
      <w:bookmarkEnd w:id="226"/>
      <w:bookmarkEnd w:id="227"/>
      <w:bookmarkEnd w:id="228"/>
      <w:bookmarkEnd w:id="229"/>
      <w:bookmarkEnd w:id="230"/>
      <w:bookmarkEnd w:id="231"/>
    </w:p>
    <w:p w14:paraId="334E5BB9">
      <w:pPr>
        <w:spacing w:line="360" w:lineRule="auto"/>
        <w:ind w:firstLine="480" w:firstLineChars="200"/>
        <w:outlineLvl w:val="9"/>
        <w:rPr>
          <w:rFonts w:hint="eastAsia" w:ascii="宋体" w:hAnsi="宋体" w:cs="宋体"/>
          <w:sz w:val="24"/>
          <w:szCs w:val="24"/>
          <w:highlight w:val="none"/>
        </w:rPr>
      </w:pPr>
      <w:bookmarkStart w:id="232" w:name="_Toc7073"/>
      <w:bookmarkStart w:id="233" w:name="_Toc29220"/>
      <w:bookmarkStart w:id="234" w:name="_Toc487900372"/>
      <w:bookmarkStart w:id="235" w:name="_Toc279701262"/>
      <w:bookmarkStart w:id="236" w:name="_Toc259093691"/>
      <w:r>
        <w:rPr>
          <w:rFonts w:hint="eastAsia" w:ascii="宋体" w:hAnsi="宋体" w:cs="宋体"/>
          <w:sz w:val="24"/>
          <w:szCs w:val="24"/>
          <w:highlight w:val="none"/>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个工作日内书面通知对方当事人，在对方当事人收到有关变更通知之前，变更前的约定送达方式或者地址仍视为有效。</w:t>
      </w:r>
      <w:bookmarkEnd w:id="232"/>
      <w:bookmarkEnd w:id="233"/>
    </w:p>
    <w:p w14:paraId="3BE73F5E">
      <w:pPr>
        <w:spacing w:line="360" w:lineRule="auto"/>
        <w:ind w:firstLine="480" w:firstLineChars="200"/>
        <w:outlineLvl w:val="9"/>
        <w:rPr>
          <w:rFonts w:hint="eastAsia" w:ascii="宋体" w:hAnsi="宋体" w:cs="宋体"/>
          <w:sz w:val="24"/>
          <w:szCs w:val="24"/>
          <w:highlight w:val="none"/>
        </w:rPr>
      </w:pPr>
      <w:bookmarkStart w:id="237" w:name="_Toc27674"/>
      <w:bookmarkStart w:id="238" w:name="_Toc18401"/>
      <w:r>
        <w:rPr>
          <w:rFonts w:hint="eastAsia" w:ascii="宋体" w:hAnsi="宋体" w:cs="宋体"/>
          <w:sz w:val="24"/>
          <w:szCs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37"/>
      <w:bookmarkEnd w:id="238"/>
    </w:p>
    <w:bookmarkEnd w:id="234"/>
    <w:bookmarkEnd w:id="235"/>
    <w:bookmarkEnd w:id="236"/>
    <w:p w14:paraId="4730C5F7">
      <w:pPr>
        <w:spacing w:line="360" w:lineRule="auto"/>
        <w:ind w:firstLine="482" w:firstLineChars="200"/>
        <w:outlineLvl w:val="9"/>
        <w:rPr>
          <w:rFonts w:hint="eastAsia" w:ascii="宋体" w:hAnsi="宋体" w:cs="宋体"/>
          <w:b/>
          <w:sz w:val="24"/>
          <w:szCs w:val="24"/>
          <w:highlight w:val="none"/>
        </w:rPr>
      </w:pPr>
      <w:bookmarkStart w:id="239" w:name="_Toc15816"/>
      <w:bookmarkStart w:id="240" w:name="_Toc20808"/>
      <w:bookmarkStart w:id="241" w:name="_Toc30955"/>
      <w:bookmarkStart w:id="242" w:name="_Toc5063"/>
      <w:bookmarkStart w:id="243" w:name="_Toc279701263"/>
      <w:bookmarkStart w:id="244" w:name="_Toc27644"/>
      <w:bookmarkStart w:id="245" w:name="_Toc259093692"/>
      <w:bookmarkStart w:id="246" w:name="_Toc25494"/>
      <w:bookmarkStart w:id="247" w:name="_Toc28906"/>
      <w:bookmarkStart w:id="248" w:name="_Toc487900373"/>
      <w:bookmarkStart w:id="249" w:name="_Toc12254"/>
      <w:r>
        <w:rPr>
          <w:rFonts w:hint="eastAsia" w:ascii="宋体" w:hAnsi="宋体" w:cs="宋体"/>
          <w:b/>
          <w:sz w:val="24"/>
          <w:szCs w:val="24"/>
          <w:highlight w:val="none"/>
        </w:rPr>
        <w:t>2.17合同使用的文字和适用的法律</w:t>
      </w:r>
      <w:bookmarkEnd w:id="239"/>
      <w:bookmarkEnd w:id="240"/>
      <w:bookmarkEnd w:id="241"/>
      <w:bookmarkEnd w:id="242"/>
      <w:bookmarkEnd w:id="243"/>
      <w:bookmarkEnd w:id="244"/>
      <w:bookmarkEnd w:id="245"/>
      <w:bookmarkEnd w:id="246"/>
      <w:bookmarkEnd w:id="247"/>
      <w:bookmarkEnd w:id="248"/>
      <w:bookmarkEnd w:id="249"/>
    </w:p>
    <w:p w14:paraId="04405A01">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2.17.1合同使用汉语书就、变更和解释；</w:t>
      </w:r>
    </w:p>
    <w:p w14:paraId="33B054F3">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2.17.2合同适用中华人民共和国法律。</w:t>
      </w:r>
    </w:p>
    <w:p w14:paraId="7FE629D8">
      <w:pPr>
        <w:spacing w:line="360" w:lineRule="auto"/>
        <w:ind w:firstLine="482" w:firstLineChars="200"/>
        <w:outlineLvl w:val="9"/>
        <w:rPr>
          <w:rFonts w:hint="eastAsia" w:ascii="宋体" w:hAnsi="宋体" w:cs="宋体"/>
          <w:b/>
          <w:sz w:val="24"/>
          <w:szCs w:val="24"/>
          <w:highlight w:val="none"/>
        </w:rPr>
      </w:pPr>
      <w:bookmarkStart w:id="250" w:name="_Toc27127"/>
      <w:bookmarkStart w:id="251" w:name="_Toc5699"/>
      <w:bookmarkStart w:id="252" w:name="_Toc1492"/>
      <w:bookmarkStart w:id="253" w:name="_Toc22266"/>
      <w:bookmarkStart w:id="254" w:name="_Toc27403"/>
      <w:bookmarkStart w:id="255" w:name="_Toc259093693"/>
      <w:bookmarkStart w:id="256" w:name="_Toc25512"/>
      <w:bookmarkStart w:id="257" w:name="_Toc24121"/>
      <w:bookmarkStart w:id="258" w:name="_Toc30096"/>
      <w:bookmarkStart w:id="259" w:name="_Toc279701264"/>
      <w:bookmarkStart w:id="260" w:name="_Toc487900374"/>
      <w:r>
        <w:rPr>
          <w:rFonts w:hint="eastAsia" w:ascii="宋体" w:hAnsi="宋体" w:cs="宋体"/>
          <w:b/>
          <w:sz w:val="24"/>
          <w:szCs w:val="24"/>
          <w:highlight w:val="none"/>
        </w:rPr>
        <w:t>2.18履约保证金</w:t>
      </w:r>
      <w:bookmarkEnd w:id="250"/>
      <w:bookmarkEnd w:id="251"/>
      <w:bookmarkEnd w:id="252"/>
      <w:bookmarkEnd w:id="253"/>
      <w:bookmarkEnd w:id="254"/>
      <w:bookmarkEnd w:id="255"/>
      <w:bookmarkEnd w:id="256"/>
      <w:bookmarkEnd w:id="257"/>
      <w:bookmarkEnd w:id="258"/>
      <w:bookmarkEnd w:id="259"/>
    </w:p>
    <w:p w14:paraId="1862A5AA">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2.18.1本项目不提交履约保证金。</w:t>
      </w:r>
    </w:p>
    <w:bookmarkEnd w:id="260"/>
    <w:p w14:paraId="02E039AF">
      <w:pPr>
        <w:spacing w:line="360" w:lineRule="auto"/>
        <w:ind w:firstLine="482" w:firstLineChars="200"/>
        <w:outlineLvl w:val="9"/>
        <w:rPr>
          <w:rFonts w:hint="eastAsia" w:ascii="宋体" w:hAnsi="宋体" w:cs="宋体"/>
          <w:b/>
          <w:sz w:val="24"/>
          <w:szCs w:val="24"/>
          <w:highlight w:val="none"/>
        </w:rPr>
      </w:pPr>
      <w:r>
        <w:rPr>
          <w:rFonts w:hint="eastAsia" w:ascii="宋体" w:hAnsi="宋体" w:cs="宋体"/>
          <w:b/>
          <w:sz w:val="24"/>
          <w:szCs w:val="24"/>
          <w:highlight w:val="none"/>
        </w:rPr>
        <w:t>2.19合同份数</w:t>
      </w:r>
    </w:p>
    <w:p w14:paraId="7FF1B851">
      <w:p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合同份数按</w:t>
      </w:r>
      <w:r>
        <w:rPr>
          <w:rFonts w:hint="eastAsia" w:ascii="宋体" w:hAnsi="宋体" w:cs="宋体"/>
          <w:b/>
          <w:bCs/>
          <w:color w:val="auto"/>
          <w:sz w:val="24"/>
          <w:szCs w:val="24"/>
          <w:highlight w:val="none"/>
        </w:rPr>
        <w:t>合同专用条款</w:t>
      </w:r>
      <w:r>
        <w:rPr>
          <w:rFonts w:hint="eastAsia" w:ascii="宋体" w:hAnsi="宋体" w:cs="宋体"/>
          <w:color w:val="auto"/>
          <w:sz w:val="24"/>
          <w:szCs w:val="24"/>
          <w:highlight w:val="none"/>
        </w:rPr>
        <w:t>规定，每份均具有同等法律效力。</w:t>
      </w:r>
    </w:p>
    <w:p w14:paraId="3C996F32">
      <w:pPr>
        <w:rPr>
          <w:rFonts w:hint="eastAsia" w:ascii="黑体" w:hAnsi="黑体" w:eastAsia="黑体" w:cs="黑体"/>
          <w:b/>
          <w:bCs/>
          <w:kern w:val="2"/>
          <w:sz w:val="32"/>
          <w:szCs w:val="32"/>
          <w:highlight w:val="none"/>
        </w:rPr>
      </w:pPr>
      <w:bookmarkStart w:id="261" w:name="_Toc27975"/>
      <w:bookmarkStart w:id="262" w:name="_Toc5599"/>
      <w:bookmarkStart w:id="263" w:name="_Toc331685784"/>
      <w:r>
        <w:rPr>
          <w:rFonts w:hint="eastAsia" w:ascii="黑体" w:hAnsi="黑体" w:eastAsia="黑体" w:cs="黑体"/>
          <w:b/>
          <w:bCs/>
          <w:kern w:val="2"/>
          <w:sz w:val="32"/>
          <w:szCs w:val="32"/>
          <w:highlight w:val="none"/>
        </w:rPr>
        <w:br w:type="page"/>
      </w:r>
    </w:p>
    <w:p w14:paraId="1C3F8DFF">
      <w:pPr>
        <w:pStyle w:val="6"/>
        <w:spacing w:line="360" w:lineRule="auto"/>
        <w:ind w:firstLine="0"/>
        <w:jc w:val="center"/>
        <w:outlineLvl w:val="1"/>
        <w:rPr>
          <w:rFonts w:hint="eastAsia" w:hAnsi="宋体" w:cs="宋体"/>
          <w:b/>
          <w:szCs w:val="24"/>
          <w:highlight w:val="none"/>
        </w:rPr>
      </w:pPr>
      <w:bookmarkStart w:id="264" w:name="_Toc12118"/>
      <w:r>
        <w:rPr>
          <w:rFonts w:hint="eastAsia" w:ascii="黑体" w:hAnsi="黑体" w:eastAsia="黑体" w:cs="黑体"/>
          <w:b/>
          <w:bCs/>
          <w:kern w:val="2"/>
          <w:sz w:val="32"/>
          <w:szCs w:val="32"/>
          <w:highlight w:val="none"/>
        </w:rPr>
        <w:t>三、合同专用条款</w:t>
      </w:r>
      <w:bookmarkEnd w:id="261"/>
      <w:bookmarkEnd w:id="262"/>
      <w:bookmarkEnd w:id="263"/>
      <w:bookmarkEnd w:id="264"/>
    </w:p>
    <w:p w14:paraId="00A8F2B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557D2F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2CB82924">
            <w:pPr>
              <w:spacing w:line="360" w:lineRule="auto"/>
              <w:jc w:val="center"/>
              <w:rPr>
                <w:rFonts w:hint="eastAsia" w:ascii="宋体" w:hAnsi="宋体" w:cs="宋体"/>
                <w:b/>
                <w:sz w:val="24"/>
                <w:szCs w:val="24"/>
                <w:highlight w:val="none"/>
              </w:rPr>
            </w:pPr>
            <w:r>
              <w:rPr>
                <w:rFonts w:hint="eastAsia" w:ascii="宋体" w:hAnsi="宋体" w:cs="宋体"/>
                <w:b/>
                <w:sz w:val="24"/>
                <w:szCs w:val="24"/>
                <w:highlight w:val="none"/>
              </w:rPr>
              <w:t>条款号</w:t>
            </w:r>
          </w:p>
        </w:tc>
        <w:tc>
          <w:tcPr>
            <w:tcW w:w="7633" w:type="dxa"/>
            <w:vAlign w:val="center"/>
          </w:tcPr>
          <w:p w14:paraId="482DF8BB">
            <w:pPr>
              <w:spacing w:line="360" w:lineRule="auto"/>
              <w:jc w:val="center"/>
              <w:rPr>
                <w:rFonts w:hint="eastAsia" w:ascii="宋体" w:hAnsi="宋体" w:cs="宋体"/>
                <w:b/>
                <w:sz w:val="24"/>
                <w:szCs w:val="24"/>
                <w:highlight w:val="none"/>
              </w:rPr>
            </w:pPr>
            <w:r>
              <w:rPr>
                <w:rFonts w:hint="eastAsia" w:ascii="宋体" w:hAnsi="宋体" w:cs="宋体"/>
                <w:b/>
                <w:sz w:val="24"/>
                <w:szCs w:val="24"/>
                <w:highlight w:val="none"/>
              </w:rPr>
              <w:t>约定内容</w:t>
            </w:r>
          </w:p>
        </w:tc>
      </w:tr>
      <w:tr w14:paraId="3B00B8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75947F99">
            <w:pPr>
              <w:spacing w:line="360" w:lineRule="auto"/>
              <w:rPr>
                <w:rFonts w:hint="eastAsia" w:ascii="宋体" w:hAnsi="宋体" w:cs="宋体"/>
                <w:sz w:val="24"/>
                <w:szCs w:val="24"/>
                <w:highlight w:val="none"/>
              </w:rPr>
            </w:pPr>
          </w:p>
        </w:tc>
        <w:tc>
          <w:tcPr>
            <w:tcW w:w="7633" w:type="dxa"/>
            <w:vAlign w:val="center"/>
          </w:tcPr>
          <w:p w14:paraId="0FDE9F93">
            <w:pPr>
              <w:spacing w:line="360" w:lineRule="auto"/>
              <w:rPr>
                <w:rFonts w:hint="eastAsia" w:ascii="宋体" w:hAnsi="宋体" w:cs="宋体"/>
                <w:sz w:val="24"/>
                <w:szCs w:val="24"/>
                <w:highlight w:val="none"/>
              </w:rPr>
            </w:pPr>
          </w:p>
        </w:tc>
      </w:tr>
      <w:tr w14:paraId="21BAF1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37E4F19B">
            <w:pPr>
              <w:spacing w:line="360" w:lineRule="auto"/>
              <w:rPr>
                <w:rFonts w:hint="eastAsia" w:ascii="宋体" w:hAnsi="宋体" w:cs="宋体"/>
                <w:sz w:val="24"/>
                <w:szCs w:val="24"/>
                <w:highlight w:val="none"/>
              </w:rPr>
            </w:pPr>
          </w:p>
        </w:tc>
        <w:tc>
          <w:tcPr>
            <w:tcW w:w="7633" w:type="dxa"/>
            <w:vAlign w:val="center"/>
          </w:tcPr>
          <w:p w14:paraId="37570764">
            <w:pPr>
              <w:spacing w:line="360" w:lineRule="auto"/>
              <w:rPr>
                <w:rFonts w:hint="eastAsia" w:ascii="宋体" w:hAnsi="宋体" w:cs="宋体"/>
                <w:sz w:val="24"/>
                <w:szCs w:val="24"/>
                <w:highlight w:val="none"/>
              </w:rPr>
            </w:pPr>
          </w:p>
        </w:tc>
      </w:tr>
      <w:tr w14:paraId="018E57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63F2D55F">
            <w:pPr>
              <w:spacing w:line="360" w:lineRule="auto"/>
              <w:rPr>
                <w:rFonts w:hint="eastAsia" w:ascii="宋体" w:hAnsi="宋体" w:cs="宋体"/>
                <w:sz w:val="24"/>
                <w:szCs w:val="24"/>
                <w:highlight w:val="none"/>
              </w:rPr>
            </w:pPr>
          </w:p>
        </w:tc>
        <w:tc>
          <w:tcPr>
            <w:tcW w:w="7633" w:type="dxa"/>
            <w:vAlign w:val="center"/>
          </w:tcPr>
          <w:p w14:paraId="720E19E3">
            <w:pPr>
              <w:spacing w:line="360" w:lineRule="auto"/>
              <w:rPr>
                <w:rFonts w:hint="eastAsia" w:ascii="宋体" w:hAnsi="宋体" w:cs="宋体"/>
                <w:sz w:val="24"/>
                <w:szCs w:val="24"/>
                <w:highlight w:val="none"/>
              </w:rPr>
            </w:pPr>
          </w:p>
        </w:tc>
      </w:tr>
      <w:tr w14:paraId="1DA040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731C5A07">
            <w:pPr>
              <w:spacing w:line="360" w:lineRule="auto"/>
              <w:rPr>
                <w:rFonts w:hint="eastAsia" w:ascii="宋体" w:hAnsi="宋体" w:cs="宋体"/>
                <w:sz w:val="24"/>
                <w:szCs w:val="24"/>
                <w:highlight w:val="none"/>
              </w:rPr>
            </w:pPr>
          </w:p>
        </w:tc>
        <w:tc>
          <w:tcPr>
            <w:tcW w:w="7633" w:type="dxa"/>
            <w:vAlign w:val="center"/>
          </w:tcPr>
          <w:p w14:paraId="46628DAF">
            <w:pPr>
              <w:spacing w:line="360" w:lineRule="auto"/>
              <w:rPr>
                <w:rFonts w:hint="eastAsia" w:ascii="宋体" w:hAnsi="宋体" w:cs="宋体"/>
                <w:sz w:val="24"/>
                <w:szCs w:val="24"/>
                <w:highlight w:val="none"/>
              </w:rPr>
            </w:pPr>
          </w:p>
        </w:tc>
      </w:tr>
      <w:tr w14:paraId="3A0305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0FCEEB4">
            <w:pPr>
              <w:spacing w:line="360" w:lineRule="auto"/>
              <w:rPr>
                <w:rFonts w:hint="eastAsia" w:ascii="宋体" w:hAnsi="宋体" w:cs="宋体"/>
                <w:sz w:val="24"/>
                <w:szCs w:val="24"/>
                <w:highlight w:val="none"/>
              </w:rPr>
            </w:pPr>
          </w:p>
        </w:tc>
        <w:tc>
          <w:tcPr>
            <w:tcW w:w="7633" w:type="dxa"/>
            <w:vAlign w:val="center"/>
          </w:tcPr>
          <w:p w14:paraId="1CEAB171">
            <w:pPr>
              <w:spacing w:line="360" w:lineRule="auto"/>
              <w:rPr>
                <w:rFonts w:hint="eastAsia" w:ascii="宋体" w:hAnsi="宋体" w:cs="宋体"/>
                <w:sz w:val="24"/>
                <w:szCs w:val="24"/>
                <w:highlight w:val="none"/>
                <w:u w:val="single"/>
              </w:rPr>
            </w:pPr>
          </w:p>
        </w:tc>
      </w:tr>
      <w:tr w14:paraId="3499E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7ABD758">
            <w:pPr>
              <w:spacing w:line="360" w:lineRule="auto"/>
              <w:rPr>
                <w:rFonts w:hint="eastAsia" w:ascii="宋体" w:hAnsi="宋体" w:cs="宋体"/>
                <w:sz w:val="24"/>
                <w:szCs w:val="24"/>
                <w:highlight w:val="none"/>
              </w:rPr>
            </w:pPr>
          </w:p>
        </w:tc>
        <w:tc>
          <w:tcPr>
            <w:tcW w:w="7633" w:type="dxa"/>
            <w:vAlign w:val="center"/>
          </w:tcPr>
          <w:p w14:paraId="6A9DE00D">
            <w:pPr>
              <w:spacing w:line="360" w:lineRule="auto"/>
              <w:rPr>
                <w:rFonts w:hint="eastAsia" w:ascii="宋体" w:hAnsi="宋体" w:cs="宋体"/>
                <w:sz w:val="24"/>
                <w:szCs w:val="24"/>
                <w:highlight w:val="none"/>
              </w:rPr>
            </w:pPr>
          </w:p>
        </w:tc>
      </w:tr>
      <w:tr w14:paraId="53B0D9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28C87F42">
            <w:pPr>
              <w:spacing w:line="360" w:lineRule="auto"/>
              <w:rPr>
                <w:rFonts w:hint="eastAsia" w:ascii="宋体" w:hAnsi="宋体" w:cs="宋体"/>
                <w:sz w:val="24"/>
                <w:szCs w:val="24"/>
                <w:highlight w:val="none"/>
              </w:rPr>
            </w:pPr>
          </w:p>
        </w:tc>
        <w:tc>
          <w:tcPr>
            <w:tcW w:w="7633" w:type="dxa"/>
            <w:vAlign w:val="center"/>
          </w:tcPr>
          <w:p w14:paraId="261CDB80">
            <w:pPr>
              <w:spacing w:line="360" w:lineRule="auto"/>
              <w:rPr>
                <w:rFonts w:hint="eastAsia" w:ascii="宋体" w:hAnsi="宋体" w:cs="宋体"/>
                <w:sz w:val="24"/>
                <w:szCs w:val="24"/>
                <w:highlight w:val="none"/>
                <w:u w:val="single"/>
              </w:rPr>
            </w:pPr>
          </w:p>
        </w:tc>
      </w:tr>
      <w:tr w14:paraId="18BB3A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13DD40F">
            <w:pPr>
              <w:spacing w:line="360" w:lineRule="auto"/>
              <w:rPr>
                <w:rFonts w:hint="eastAsia" w:ascii="宋体" w:hAnsi="宋体" w:cs="宋体"/>
                <w:sz w:val="24"/>
                <w:szCs w:val="24"/>
                <w:highlight w:val="none"/>
              </w:rPr>
            </w:pPr>
          </w:p>
        </w:tc>
        <w:tc>
          <w:tcPr>
            <w:tcW w:w="7633" w:type="dxa"/>
            <w:vAlign w:val="center"/>
          </w:tcPr>
          <w:p w14:paraId="47F245D4">
            <w:pPr>
              <w:spacing w:line="360" w:lineRule="auto"/>
              <w:rPr>
                <w:rFonts w:hint="eastAsia" w:ascii="宋体" w:hAnsi="宋体" w:cs="宋体"/>
                <w:sz w:val="24"/>
                <w:szCs w:val="24"/>
                <w:highlight w:val="none"/>
              </w:rPr>
            </w:pPr>
          </w:p>
        </w:tc>
      </w:tr>
      <w:tr w14:paraId="5ECCBA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5A4921A">
            <w:pPr>
              <w:spacing w:line="360" w:lineRule="auto"/>
              <w:rPr>
                <w:rFonts w:hint="eastAsia" w:ascii="宋体" w:hAnsi="宋体" w:cs="宋体"/>
                <w:sz w:val="24"/>
                <w:szCs w:val="24"/>
                <w:highlight w:val="none"/>
              </w:rPr>
            </w:pPr>
          </w:p>
        </w:tc>
        <w:tc>
          <w:tcPr>
            <w:tcW w:w="7633" w:type="dxa"/>
            <w:vAlign w:val="center"/>
          </w:tcPr>
          <w:p w14:paraId="73FF8908">
            <w:pPr>
              <w:spacing w:line="360" w:lineRule="auto"/>
              <w:rPr>
                <w:rFonts w:hint="eastAsia" w:ascii="宋体" w:hAnsi="宋体" w:cs="宋体"/>
                <w:sz w:val="24"/>
                <w:szCs w:val="24"/>
                <w:highlight w:val="none"/>
              </w:rPr>
            </w:pPr>
          </w:p>
        </w:tc>
      </w:tr>
      <w:tr w14:paraId="19467E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7D8395C8">
            <w:pPr>
              <w:spacing w:line="360" w:lineRule="auto"/>
              <w:rPr>
                <w:rFonts w:hint="eastAsia" w:ascii="宋体" w:hAnsi="宋体" w:cs="宋体"/>
                <w:sz w:val="24"/>
                <w:szCs w:val="24"/>
                <w:highlight w:val="none"/>
              </w:rPr>
            </w:pPr>
          </w:p>
        </w:tc>
        <w:tc>
          <w:tcPr>
            <w:tcW w:w="7633" w:type="dxa"/>
            <w:vAlign w:val="center"/>
          </w:tcPr>
          <w:p w14:paraId="3586BF52">
            <w:pPr>
              <w:spacing w:line="360" w:lineRule="auto"/>
              <w:rPr>
                <w:rFonts w:hint="eastAsia" w:ascii="宋体" w:hAnsi="宋体" w:cs="宋体"/>
                <w:sz w:val="24"/>
                <w:szCs w:val="24"/>
                <w:highlight w:val="none"/>
              </w:rPr>
            </w:pPr>
          </w:p>
        </w:tc>
      </w:tr>
      <w:tr w14:paraId="6C4395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1D5205EA">
            <w:pPr>
              <w:spacing w:line="360" w:lineRule="auto"/>
              <w:rPr>
                <w:rFonts w:hint="eastAsia"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10A109B2">
            <w:pPr>
              <w:spacing w:line="360" w:lineRule="auto"/>
              <w:rPr>
                <w:rFonts w:hint="eastAsia" w:ascii="宋体" w:hAnsi="宋体" w:cs="宋体"/>
                <w:sz w:val="24"/>
                <w:szCs w:val="24"/>
                <w:highlight w:val="none"/>
              </w:rPr>
            </w:pPr>
          </w:p>
        </w:tc>
      </w:tr>
      <w:tr w14:paraId="01A4B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4F6D564B">
            <w:pPr>
              <w:spacing w:line="360" w:lineRule="auto"/>
              <w:rPr>
                <w:rFonts w:hint="eastAsia"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4ECD1FF9">
            <w:pPr>
              <w:spacing w:line="360" w:lineRule="auto"/>
              <w:rPr>
                <w:rFonts w:hint="eastAsia" w:ascii="宋体" w:hAnsi="宋体" w:cs="宋体"/>
                <w:sz w:val="24"/>
                <w:szCs w:val="24"/>
                <w:highlight w:val="none"/>
              </w:rPr>
            </w:pPr>
          </w:p>
        </w:tc>
      </w:tr>
    </w:tbl>
    <w:p w14:paraId="54BC1DFD">
      <w:pPr>
        <w:spacing w:after="156" w:line="560" w:lineRule="exact"/>
        <w:ind w:firstLine="480"/>
        <w:rPr>
          <w:rFonts w:hint="eastAsia"/>
          <w:highlight w:val="none"/>
        </w:rPr>
      </w:pPr>
      <w:r>
        <w:rPr>
          <w:rFonts w:hint="eastAsia"/>
          <w:highlight w:val="none"/>
        </w:rPr>
        <w:t>注：最终以</w:t>
      </w:r>
      <w:r>
        <w:rPr>
          <w:rFonts w:hint="eastAsia"/>
          <w:highlight w:val="none"/>
          <w:lang w:val="en-US" w:eastAsia="zh-CN"/>
        </w:rPr>
        <w:t>成交</w:t>
      </w:r>
      <w:r>
        <w:rPr>
          <w:rFonts w:hint="eastAsia"/>
          <w:highlight w:val="none"/>
        </w:rPr>
        <w:t>供应商</w:t>
      </w:r>
      <w:r>
        <w:rPr>
          <w:rFonts w:hint="eastAsia"/>
          <w:highlight w:val="none"/>
          <w:lang w:val="en-US" w:eastAsia="zh-CN"/>
        </w:rPr>
        <w:t>响应</w:t>
      </w:r>
      <w:r>
        <w:rPr>
          <w:rFonts w:hint="eastAsia"/>
          <w:highlight w:val="none"/>
        </w:rPr>
        <w:t>文件响应条款为准修订。</w:t>
      </w:r>
    </w:p>
    <w:p w14:paraId="388858DF">
      <w:pPr>
        <w:spacing w:after="156" w:line="560" w:lineRule="exact"/>
        <w:ind w:firstLine="480"/>
        <w:rPr>
          <w:rFonts w:hint="eastAsia"/>
          <w:highlight w:val="none"/>
        </w:rPr>
      </w:pPr>
      <w:r>
        <w:rPr>
          <w:rFonts w:hint="eastAsia"/>
          <w:highlight w:val="none"/>
        </w:rPr>
        <w:br w:type="page"/>
      </w:r>
    </w:p>
    <w:p w14:paraId="3913904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90681C"/>
    <w:rsid w:val="5B906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20" w:after="120" w:line="360" w:lineRule="auto"/>
      <w:jc w:val="center"/>
      <w:outlineLvl w:val="0"/>
    </w:pPr>
    <w:rPr>
      <w:kern w:val="44"/>
      <w:sz w:val="30"/>
      <w:szCs w:val="4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纯文本1"/>
    <w:basedOn w:val="1"/>
    <w:qFormat/>
    <w:uiPriority w:val="0"/>
    <w:rPr>
      <w:rFonts w:ascii="宋体" w:hAnsi="Courier New" w:eastAsia="宋体" w:cs="Times New Roman"/>
      <w:szCs w:val="22"/>
    </w:rPr>
  </w:style>
  <w:style w:type="paragraph" w:customStyle="1" w:styleId="6">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2025-08-28T10:03:00Z</dcterms:created>
  <dc:creator>WPS_1535262074</dc:creator>
  <cp:lastModifiedBy>WPS_1535262074</cp:lastModifiedBy>
  <dcterms:modified xsi:type="dcterms:W3CDTF">2025-08-28T10:07:47Z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0C951B0FD78F40CD9E46BBAB3134ADEB_11</vt:lpwstr>
  </property>
  <property fmtid="{D5CDD505-2E9C-101B-9397-08002B2CF9AE}" pid="4" name="KSOTemplateDocerSaveRecord">
    <vt:lpwstr>eyJoZGlkIjoiNTE3ZWFlYjkwNzU3MDliOWZjMWI0OGFhODgxOGM0MWEiLCJ1c2VySWQiOiIzOTc5NDM0NjgifQ==</vt:lpwstr>
  </property>
</Properties>
</file>