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版本号：DQB-2025055-US-120250908001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陕西省司法厅第七届香港法律服务论坛项目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DQB-2025055-US-1</w:t>
      </w:r>
      <w:r>
        <w:br/>
      </w:r>
      <w:r>
        <w:br/>
      </w:r>
      <w:r>
        <w:br/>
      </w:r>
    </w:p>
    <w:p>
      <w:pPr>
        <w:pStyle w:val="null3"/>
        <w:jc w:val="center"/>
        <w:outlineLvl w:val="5"/>
      </w:pPr>
      <w:r>
        <w:rPr>
          <w:rFonts w:ascii="仿宋_GB2312" w:hAnsi="仿宋_GB2312" w:cs="仿宋_GB2312" w:eastAsia="仿宋_GB2312"/>
          <w:sz w:val="15"/>
          <w:b/>
        </w:rPr>
        <w:t>省司法厅机关</w:t>
      </w:r>
    </w:p>
    <w:p>
      <w:pPr>
        <w:pStyle w:val="null3"/>
        <w:jc w:val="center"/>
        <w:outlineLvl w:val="5"/>
      </w:pPr>
      <w:r>
        <w:rPr>
          <w:rFonts w:ascii="仿宋_GB2312" w:hAnsi="仿宋_GB2312" w:cs="仿宋_GB2312" w:eastAsia="仿宋_GB2312"/>
          <w:sz w:val="15"/>
          <w:b/>
        </w:rPr>
        <w:t>陕西德勤招标有限公司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陕西省司法厅第七届香港法律服务论坛项目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DQB-2025055-US-1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陕西省司法厅第七届香港法律服务论坛项目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陕西省司法厅第七届香港法律服务论坛项目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采购包1（陕西省司法厅第七届香港法律服务论坛项目）：属于专门面向中小企业采购。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w:t>
      </w:r>
    </w:p>
    <w:p>
      <w:pPr>
        <w:pStyle w:val="null3"/>
      </w:pPr>
      <w:r>
        <w:rPr>
          <w:rFonts w:ascii="仿宋_GB2312" w:hAnsi="仿宋_GB2312" w:cs="仿宋_GB2312" w:eastAsia="仿宋_GB2312"/>
        </w:rPr>
        <w:t>2、财务状况报告：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9、本项目不接受联合体投标，不允许分包：投标供应商应提供《非联合体不分包投标声明》，视为独立投标，不分包。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李浩，李维婧，姜仕路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代理服务费收费标准：定额收取人民币3000元。</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详见技术要求或合同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本项目为陕西省司法厅第七届香港法律服务论坛项目。主要筹备论坛餐饮及住宿方案，此次论坛规模香港代表118人，内地住会代表140人，内地走会代表560人，工作人员64人。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香港法律服务论坛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住宿业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标的名称：香港法律服务论坛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一、项目概况及总体要求</w:t>
            </w:r>
          </w:p>
          <w:p>
            <w:pPr>
              <w:pStyle w:val="null3"/>
            </w:pPr>
            <w:r>
              <w:rPr>
                <w:rFonts w:ascii="仿宋_GB2312" w:hAnsi="仿宋_GB2312" w:cs="仿宋_GB2312" w:eastAsia="仿宋_GB2312"/>
              </w:rPr>
              <w:t>本项目为陕西省司法厅第七届香港法律服务论坛项目。主要根据《陕西陕西省司法厅财务工作制度》筹备论坛餐饮及住宿方案，此次论坛规模为</w:t>
            </w:r>
            <w:r>
              <w:rPr>
                <w:rFonts w:ascii="仿宋_GB2312" w:hAnsi="仿宋_GB2312" w:cs="仿宋_GB2312" w:eastAsia="仿宋_GB2312"/>
              </w:rPr>
              <w:t>800人左右，其中香港代表118人，内地住会代表140人，内地走会代表56</w:t>
            </w:r>
            <w:r>
              <w:rPr>
                <w:rFonts w:ascii="仿宋_GB2312" w:hAnsi="仿宋_GB2312" w:cs="仿宋_GB2312" w:eastAsia="仿宋_GB2312"/>
              </w:rPr>
              <w:t>0人，工作人员64人。项目订立合同和结算时应以采购方实际情况为准，据实结算。</w:t>
            </w:r>
          </w:p>
          <w:p>
            <w:pPr>
              <w:pStyle w:val="null3"/>
            </w:pPr>
            <w:r>
              <w:rPr>
                <w:rFonts w:ascii="仿宋_GB2312" w:hAnsi="仿宋_GB2312" w:cs="仿宋_GB2312" w:eastAsia="仿宋_GB2312"/>
              </w:rPr>
              <w:t>本项目所属行业为</w:t>
            </w:r>
            <w:r>
              <w:rPr>
                <w:rFonts w:ascii="仿宋_GB2312" w:hAnsi="仿宋_GB2312" w:cs="仿宋_GB2312" w:eastAsia="仿宋_GB2312"/>
              </w:rPr>
              <w:t>住宿业。</w:t>
            </w:r>
            <w:r>
              <w:rPr>
                <w:rFonts w:ascii="仿宋_GB2312" w:hAnsi="仿宋_GB2312" w:cs="仿宋_GB2312" w:eastAsia="仿宋_GB2312"/>
              </w:rPr>
              <w:t>（从业人员</w:t>
            </w:r>
            <w:r>
              <w:rPr>
                <w:rFonts w:ascii="仿宋_GB2312" w:hAnsi="仿宋_GB2312" w:cs="仿宋_GB2312" w:eastAsia="仿宋_GB2312"/>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服务内容与要求</w:t>
            </w:r>
          </w:p>
          <w:p>
            <w:pPr>
              <w:pStyle w:val="null3"/>
            </w:pPr>
            <w:r>
              <w:rPr>
                <w:rFonts w:ascii="仿宋_GB2312" w:hAnsi="仿宋_GB2312" w:cs="仿宋_GB2312" w:eastAsia="仿宋_GB2312"/>
              </w:rPr>
              <w:t>1.餐饮</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餐饮服务包括提供用餐（包括早、午、晚餐）、用餐区域、食品安全管理、餐具设备管理等服务</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严格食品安全管理，餐饮服务人员应着装整齐，按时上岗，并持有健康合格证上岗。</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卫生清洁，桌面干净，地面整洁，无污渍、墙面无塔灰、玻璃无污渍，空气清新，并做好环境消杀。</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杯具、餐具干净无污渍，做好消毒，符合餐饮卫生标准。</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会议餐饮设施设备完好无损，总数与台账数量符合一致，且能保证正常运转。</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就餐区内专人负责现场的秩序维护、人员引导和员工工作状况、物品摆放等的巡检。认真检查待供应食品，发现有腐败变质或者其他异常的，应当撤回并立即上报。引导就餐人员安全用餐、文明用餐、营养用餐。</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）应当建立食品安全和生产安全事故处理机制，完善事故的处置预案。</w:t>
            </w:r>
          </w:p>
          <w:p>
            <w:pPr>
              <w:pStyle w:val="null3"/>
            </w:pPr>
            <w:r>
              <w:rPr>
                <w:rFonts w:ascii="仿宋_GB2312" w:hAnsi="仿宋_GB2312" w:cs="仿宋_GB2312" w:eastAsia="仿宋_GB2312"/>
              </w:rPr>
              <w:t>2.住宿</w:t>
            </w:r>
          </w:p>
          <w:p>
            <w:pPr>
              <w:pStyle w:val="null3"/>
            </w:pPr>
            <w:r>
              <w:rPr>
                <w:rFonts w:ascii="仿宋_GB2312" w:hAnsi="仿宋_GB2312" w:cs="仿宋_GB2312" w:eastAsia="仿宋_GB2312"/>
              </w:rPr>
              <w:t>（</w:t>
            </w:r>
            <w:r>
              <w:rPr>
                <w:rFonts w:ascii="仿宋_GB2312" w:hAnsi="仿宋_GB2312" w:cs="仿宋_GB2312" w:eastAsia="仿宋_GB2312"/>
              </w:rPr>
              <w:t>1）负责场所内所有床位及所属空间（包括后勤人员住宿房间和指定区域）的清扫保洁工作，负责楼层床品发放管理工作。</w:t>
            </w:r>
          </w:p>
          <w:p>
            <w:pPr>
              <w:pStyle w:val="null3"/>
            </w:pPr>
            <w:r>
              <w:rPr>
                <w:rFonts w:ascii="仿宋_GB2312" w:hAnsi="仿宋_GB2312" w:cs="仿宋_GB2312" w:eastAsia="仿宋_GB2312"/>
              </w:rPr>
              <w:t>（</w:t>
            </w:r>
            <w:r>
              <w:rPr>
                <w:rFonts w:ascii="仿宋_GB2312" w:hAnsi="仿宋_GB2312" w:cs="仿宋_GB2312" w:eastAsia="仿宋_GB2312"/>
              </w:rPr>
              <w:t>2）负责人员的接待、入住、退房等事宜的办理。</w:t>
            </w:r>
          </w:p>
          <w:p>
            <w:pPr>
              <w:pStyle w:val="null3"/>
            </w:pPr>
            <w:r>
              <w:rPr>
                <w:rFonts w:ascii="仿宋_GB2312" w:hAnsi="仿宋_GB2312" w:cs="仿宋_GB2312" w:eastAsia="仿宋_GB2312"/>
              </w:rPr>
              <w:t>（</w:t>
            </w:r>
            <w:r>
              <w:rPr>
                <w:rFonts w:ascii="仿宋_GB2312" w:hAnsi="仿宋_GB2312" w:cs="仿宋_GB2312" w:eastAsia="仿宋_GB2312"/>
              </w:rPr>
              <w:t>3）负责所有住宿区域布草、日常清洁等相关物资管理。</w:t>
            </w:r>
          </w:p>
          <w:p>
            <w:pPr>
              <w:pStyle w:val="null3"/>
            </w:pPr>
            <w:r>
              <w:rPr>
                <w:rFonts w:ascii="仿宋_GB2312" w:hAnsi="仿宋_GB2312" w:cs="仿宋_GB2312" w:eastAsia="仿宋_GB2312"/>
              </w:rPr>
              <w:t>（</w:t>
            </w:r>
            <w:r>
              <w:rPr>
                <w:rFonts w:ascii="仿宋_GB2312" w:hAnsi="仿宋_GB2312" w:cs="仿宋_GB2312" w:eastAsia="仿宋_GB2312"/>
              </w:rPr>
              <w:t>4）负责场所内所有床位的客房卫生，公共区域卫生每日早晚各清扫消毒1次，每天更换一次住宿房间布草（特殊情况除外）；负责按时完成指定办公室和专用区域的卫生清洁。</w:t>
            </w:r>
          </w:p>
          <w:p>
            <w:pPr>
              <w:pStyle w:val="null3"/>
            </w:pPr>
            <w:r>
              <w:rPr>
                <w:rFonts w:ascii="仿宋_GB2312" w:hAnsi="仿宋_GB2312" w:cs="仿宋_GB2312" w:eastAsia="仿宋_GB2312"/>
              </w:rPr>
              <w:t>（</w:t>
            </w:r>
            <w:r>
              <w:rPr>
                <w:rFonts w:ascii="仿宋_GB2312" w:hAnsi="仿宋_GB2312" w:cs="仿宋_GB2312" w:eastAsia="仿宋_GB2312"/>
              </w:rPr>
              <w:t>5）按规定对所有服务区域进行消杀。客房重复使用的公共用品用具需“一客一用一消毒”。</w:t>
            </w:r>
          </w:p>
          <w:p>
            <w:pPr>
              <w:pStyle w:val="null3"/>
            </w:pPr>
            <w:r>
              <w:rPr>
                <w:rFonts w:ascii="仿宋_GB2312" w:hAnsi="仿宋_GB2312" w:cs="仿宋_GB2312" w:eastAsia="仿宋_GB2312"/>
              </w:rPr>
              <w:t>（</w:t>
            </w:r>
            <w:r>
              <w:rPr>
                <w:rFonts w:ascii="仿宋_GB2312" w:hAnsi="仿宋_GB2312" w:cs="仿宋_GB2312" w:eastAsia="仿宋_GB2312"/>
              </w:rPr>
              <w:t>6）住宿房间内被褥干净整洁，无破损。物品摆放齐全规范，窗台、玻璃、桌椅、电视等物品无灰尘、无污渍。</w:t>
            </w:r>
          </w:p>
          <w:p>
            <w:pPr>
              <w:pStyle w:val="null3"/>
            </w:pPr>
            <w:r>
              <w:rPr>
                <w:rFonts w:ascii="仿宋_GB2312" w:hAnsi="仿宋_GB2312" w:cs="仿宋_GB2312" w:eastAsia="仿宋_GB2312"/>
              </w:rPr>
              <w:t>（</w:t>
            </w:r>
            <w:r>
              <w:rPr>
                <w:rFonts w:ascii="仿宋_GB2312" w:hAnsi="仿宋_GB2312" w:cs="仿宋_GB2312" w:eastAsia="仿宋_GB2312"/>
              </w:rPr>
              <w:t>7）客房地面、墙面、墙角与门窗干净光亮，无灰尘；卫生间马桶清洗干净无污渍，手纸日产日清；洗漱台无灰尘、无积水；卫生间镜面、玻璃隔断无水渍；淋浴头上墙。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项目完成，满足服务要求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需要在线提交所有通过电子化交易平台实施的政府采购项目的响应文件，同时，线下提交纸质响应文件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 二、供应商的报价是供应商响应本项目要求的全部工作内容的价格体现，包括供应商完成本项目所需的直接费、间接费、利润、税金及其他相关的一切费用。包括但不限于：人工费、设备费、管理费、验收费、酒店住宿费、餐饮费、采购代理服务费、利润和税金等全部费用。在提供服务的过程中的任何遗漏，均由成交供应商免费提供，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分项报价表 中小企业声明函 商务应答表 供应商应提交的相关资格证明材料 报价表 非联合体不分包响应声明 控股管理关系 法定代表人授权书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(1)响应报价符合唯一性要求： (2)开标一览表填写符合要求； (3)计量单位、报价货币均符合采购文件要求； (4)未超出采购预算或采购文件规定的最高限价。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 xml:space="preserve"> 响应文件语言及有效期符合采购文件要求。</w:t>
            </w:r>
          </w:p>
        </w:tc>
        <w:tc>
          <w:tcPr>
            <w:tcW w:type="dxa" w:w="1661"/>
          </w:tcPr>
          <w:p>
            <w:pPr>
              <w:pStyle w:val="null3"/>
            </w:pPr>
            <w:r>
              <w:rPr>
                <w:rFonts w:ascii="仿宋_GB2312" w:hAnsi="仿宋_GB2312" w:cs="仿宋_GB2312" w:eastAsia="仿宋_GB2312"/>
              </w:rPr>
              <w:t>服务内容及服务邀请应答表 分项报价表 中小企业声明函 商务应答表 供应商应提交的相关资格证明材料 报价表 非联合体不分包响应声明 控股管理关系 法定代表人授权书 响应文件封面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