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30" w:beforeLines="150" w:after="420" w:afterLines="100" w:line="240" w:lineRule="auto"/>
        <w:ind w:firstLine="2624" w:firstLineChars="594"/>
        <w:outlineLvl w:val="0"/>
        <w:rPr>
          <w:rFonts w:ascii="仿宋" w:hAnsi="仿宋" w:eastAsia="仿宋"/>
          <w:b/>
          <w:color w:val="auto"/>
          <w:sz w:val="44"/>
          <w:szCs w:val="44"/>
          <w:highlight w:val="none"/>
        </w:rPr>
      </w:pPr>
      <w:r>
        <w:rPr>
          <w:rFonts w:hint="eastAsia" w:ascii="仿宋" w:hAnsi="仿宋" w:eastAsia="仿宋"/>
          <w:b/>
          <w:color w:val="auto"/>
          <w:sz w:val="44"/>
          <w:szCs w:val="44"/>
          <w:highlight w:val="none"/>
        </w:rPr>
        <w:t>竞争性磋商公告</w:t>
      </w:r>
    </w:p>
    <w:p>
      <w:pPr>
        <w:spacing w:line="240" w:lineRule="auto"/>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重大林业有害生物检疫防控项目——美国白蛾性诱捕器采购</w:t>
      </w:r>
      <w:r>
        <w:rPr>
          <w:rFonts w:hint="eastAsia" w:ascii="仿宋" w:hAnsi="仿宋" w:eastAsia="仿宋" w:cs="仿宋"/>
          <w:b/>
          <w:color w:val="auto"/>
          <w:sz w:val="28"/>
          <w:szCs w:val="28"/>
          <w:highlight w:val="none"/>
        </w:rPr>
        <w:t>潜在的供应商可在陕西省西安市经济技术开发区凤城二路蓝海风中心写字楼7层</w:t>
      </w:r>
      <w:bookmarkStart w:id="0" w:name="_GoBack"/>
      <w:bookmarkEnd w:id="0"/>
      <w:r>
        <w:rPr>
          <w:rFonts w:hint="eastAsia" w:ascii="仿宋" w:hAnsi="仿宋" w:eastAsia="仿宋" w:cs="仿宋"/>
          <w:b/>
          <w:color w:val="auto"/>
          <w:sz w:val="28"/>
          <w:szCs w:val="28"/>
          <w:highlight w:val="none"/>
        </w:rPr>
        <w:t>获取采购文件，并于20</w:t>
      </w:r>
      <w:r>
        <w:rPr>
          <w:rFonts w:hint="eastAsia" w:ascii="仿宋" w:hAnsi="仿宋" w:eastAsia="仿宋" w:cs="仿宋"/>
          <w:b/>
          <w:color w:val="auto"/>
          <w:sz w:val="28"/>
          <w:szCs w:val="28"/>
          <w:highlight w:val="none"/>
          <w:lang w:val="en-US" w:eastAsia="zh-CN"/>
        </w:rPr>
        <w:t>24年3月18日</w:t>
      </w:r>
      <w:r>
        <w:rPr>
          <w:rFonts w:hint="eastAsia" w:ascii="仿宋" w:hAnsi="仿宋" w:eastAsia="仿宋" w:cs="仿宋"/>
          <w:b/>
          <w:color w:val="auto"/>
          <w:sz w:val="28"/>
          <w:szCs w:val="28"/>
          <w:highlight w:val="none"/>
        </w:rPr>
        <w:t xml:space="preserve"> </w:t>
      </w:r>
      <w:r>
        <w:rPr>
          <w:rFonts w:hint="eastAsia" w:ascii="仿宋" w:hAnsi="仿宋" w:eastAsia="仿宋" w:cs="仿宋"/>
          <w:b/>
          <w:color w:val="auto"/>
          <w:sz w:val="28"/>
          <w:szCs w:val="28"/>
          <w:highlight w:val="none"/>
          <w:lang w:val="en-US" w:eastAsia="zh-CN"/>
        </w:rPr>
        <w:t>09</w:t>
      </w:r>
      <w:r>
        <w:rPr>
          <w:rFonts w:hint="eastAsia" w:ascii="仿宋" w:hAnsi="仿宋" w:eastAsia="仿宋" w:cs="仿宋"/>
          <w:b/>
          <w:color w:val="auto"/>
          <w:sz w:val="28"/>
          <w:szCs w:val="28"/>
          <w:highlight w:val="none"/>
        </w:rPr>
        <w:t>:30:00前递交响应文件。</w:t>
      </w:r>
    </w:p>
    <w:p>
      <w:pPr>
        <w:spacing w:line="240" w:lineRule="auto"/>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一、项目基本情况：</w:t>
      </w:r>
    </w:p>
    <w:p>
      <w:pPr>
        <w:spacing w:line="240" w:lineRule="auto"/>
        <w:ind w:firstLine="560" w:firstLineChars="200"/>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rPr>
        <w:t>1、项目编号：</w:t>
      </w:r>
      <w:r>
        <w:rPr>
          <w:rFonts w:hint="eastAsia" w:ascii="仿宋" w:hAnsi="仿宋" w:eastAsia="仿宋" w:cs="仿宋"/>
          <w:bCs/>
          <w:color w:val="auto"/>
          <w:sz w:val="28"/>
          <w:szCs w:val="28"/>
          <w:highlight w:val="none"/>
          <w:lang w:eastAsia="zh-CN"/>
        </w:rPr>
        <w:t>HWZBDL-2024-005</w:t>
      </w:r>
    </w:p>
    <w:p>
      <w:pPr>
        <w:spacing w:line="240" w:lineRule="auto"/>
        <w:ind w:firstLine="560" w:firstLineChars="200"/>
        <w:rPr>
          <w:rFonts w:hint="eastAsia" w:ascii="仿宋" w:hAnsi="仿宋" w:eastAsia="仿宋" w:cs="仿宋"/>
          <w:bCs/>
          <w:color w:val="auto"/>
          <w:spacing w:val="-20"/>
          <w:sz w:val="28"/>
          <w:szCs w:val="28"/>
          <w:highlight w:val="none"/>
          <w:lang w:eastAsia="zh-CN"/>
        </w:rPr>
      </w:pPr>
      <w:r>
        <w:rPr>
          <w:rFonts w:hint="eastAsia" w:ascii="仿宋" w:hAnsi="仿宋" w:eastAsia="仿宋" w:cs="仿宋"/>
          <w:bCs/>
          <w:color w:val="auto"/>
          <w:sz w:val="28"/>
          <w:szCs w:val="28"/>
          <w:highlight w:val="none"/>
        </w:rPr>
        <w:t>2、项目名称：</w:t>
      </w:r>
      <w:r>
        <w:rPr>
          <w:rFonts w:hint="eastAsia" w:ascii="仿宋" w:hAnsi="仿宋" w:eastAsia="仿宋" w:cs="仿宋"/>
          <w:bCs/>
          <w:color w:val="auto"/>
          <w:spacing w:val="-20"/>
          <w:sz w:val="28"/>
          <w:szCs w:val="28"/>
          <w:highlight w:val="none"/>
          <w:lang w:eastAsia="zh-CN"/>
        </w:rPr>
        <w:t>重大林业有害生物检疫防控项目——美国白蛾性诱捕器采购</w:t>
      </w:r>
    </w:p>
    <w:p>
      <w:pPr>
        <w:spacing w:line="240" w:lineRule="auto"/>
        <w:ind w:firstLine="560" w:firstLineChars="200"/>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rPr>
        <w:t>3、预算金额：</w:t>
      </w:r>
      <w:r>
        <w:rPr>
          <w:rFonts w:hint="eastAsia" w:ascii="仿宋" w:hAnsi="仿宋" w:eastAsia="仿宋" w:cs="仿宋"/>
          <w:bCs/>
          <w:color w:val="auto"/>
          <w:sz w:val="28"/>
          <w:szCs w:val="28"/>
          <w:highlight w:val="none"/>
          <w:lang w:val="en-US" w:eastAsia="zh-CN"/>
        </w:rPr>
        <w:t>360,000.00</w:t>
      </w:r>
      <w:r>
        <w:rPr>
          <w:rFonts w:hint="eastAsia" w:ascii="仿宋" w:hAnsi="仿宋" w:eastAsia="仿宋" w:cs="仿宋"/>
          <w:bCs/>
          <w:color w:val="auto"/>
          <w:sz w:val="28"/>
          <w:szCs w:val="28"/>
          <w:highlight w:val="none"/>
        </w:rPr>
        <w:t>元</w:t>
      </w:r>
      <w:r>
        <w:rPr>
          <w:rFonts w:hint="eastAsia" w:ascii="仿宋" w:hAnsi="仿宋" w:eastAsia="仿宋" w:cs="仿宋"/>
          <w:bCs/>
          <w:color w:val="auto"/>
          <w:sz w:val="28"/>
          <w:szCs w:val="28"/>
          <w:highlight w:val="none"/>
          <w:lang w:eastAsia="zh-CN"/>
        </w:rPr>
        <w:t>；</w:t>
      </w:r>
    </w:p>
    <w:p>
      <w:pPr>
        <w:spacing w:line="240" w:lineRule="auto"/>
        <w:ind w:firstLine="560" w:firstLineChars="200"/>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rPr>
        <w:t>4、最高限价：</w:t>
      </w:r>
      <w:r>
        <w:rPr>
          <w:rFonts w:hint="eastAsia" w:ascii="仿宋" w:hAnsi="仿宋" w:eastAsia="仿宋" w:cs="仿宋"/>
          <w:bCs/>
          <w:color w:val="auto"/>
          <w:sz w:val="28"/>
          <w:szCs w:val="28"/>
          <w:highlight w:val="none"/>
          <w:lang w:val="en-US" w:eastAsia="zh-CN"/>
        </w:rPr>
        <w:t>360,000.00</w:t>
      </w:r>
      <w:r>
        <w:rPr>
          <w:rFonts w:hint="eastAsia" w:ascii="仿宋" w:hAnsi="仿宋" w:eastAsia="仿宋" w:cs="仿宋"/>
          <w:bCs/>
          <w:color w:val="auto"/>
          <w:sz w:val="28"/>
          <w:szCs w:val="28"/>
          <w:highlight w:val="none"/>
        </w:rPr>
        <w:t>元</w:t>
      </w:r>
      <w:r>
        <w:rPr>
          <w:rFonts w:hint="eastAsia" w:ascii="仿宋" w:hAnsi="仿宋" w:eastAsia="仿宋" w:cs="仿宋"/>
          <w:bCs/>
          <w:color w:val="auto"/>
          <w:sz w:val="28"/>
          <w:szCs w:val="28"/>
          <w:highlight w:val="none"/>
          <w:lang w:eastAsia="zh-CN"/>
        </w:rPr>
        <w:t>；</w:t>
      </w:r>
    </w:p>
    <w:p>
      <w:pPr>
        <w:spacing w:line="240" w:lineRule="auto"/>
        <w:ind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Cs/>
          <w:color w:val="auto"/>
          <w:sz w:val="28"/>
          <w:szCs w:val="28"/>
          <w:highlight w:val="none"/>
        </w:rPr>
        <w:t>5、采购需求：</w:t>
      </w:r>
      <w:r>
        <w:rPr>
          <w:rFonts w:hint="eastAsia" w:ascii="仿宋" w:hAnsi="仿宋" w:eastAsia="仿宋" w:cs="仿宋"/>
          <w:b w:val="0"/>
          <w:bCs/>
          <w:color w:val="auto"/>
          <w:sz w:val="28"/>
          <w:szCs w:val="28"/>
          <w:highlight w:val="none"/>
          <w:lang w:val="en-US" w:eastAsia="zh-CN"/>
        </w:rPr>
        <w:t>采购1200套美国白蛾性诱捕器；</w:t>
      </w:r>
    </w:p>
    <w:p>
      <w:pPr>
        <w:spacing w:line="240" w:lineRule="auto"/>
        <w:ind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u w:val="none"/>
          <w:lang w:val="en-US" w:eastAsia="zh-CN"/>
        </w:rPr>
        <w:t>6、主要功能或目标：</w:t>
      </w:r>
      <w:r>
        <w:rPr>
          <w:rFonts w:hint="eastAsia" w:ascii="仿宋" w:hAnsi="仿宋" w:eastAsia="仿宋" w:cs="仿宋"/>
          <w:b w:val="0"/>
          <w:bCs/>
          <w:color w:val="auto"/>
          <w:sz w:val="28"/>
          <w:szCs w:val="28"/>
          <w:highlight w:val="none"/>
          <w:lang w:val="en-US" w:eastAsia="zh-CN"/>
        </w:rPr>
        <w:t>用于美国白蛾成虫监测防治；</w:t>
      </w:r>
    </w:p>
    <w:p>
      <w:pPr>
        <w:spacing w:line="240" w:lineRule="auto"/>
        <w:ind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u w:val="none"/>
          <w:lang w:val="en-US" w:eastAsia="zh-CN"/>
        </w:rPr>
        <w:t>7、需满足的要求：</w:t>
      </w:r>
      <w:r>
        <w:rPr>
          <w:rFonts w:hint="eastAsia" w:ascii="仿宋" w:hAnsi="仿宋" w:eastAsia="仿宋" w:cs="仿宋"/>
          <w:b w:val="0"/>
          <w:bCs/>
          <w:color w:val="auto"/>
          <w:sz w:val="28"/>
          <w:szCs w:val="28"/>
          <w:highlight w:val="none"/>
          <w:lang w:val="en-US" w:eastAsia="zh-CN"/>
        </w:rPr>
        <w:t>桶式诱捕器；</w:t>
      </w:r>
    </w:p>
    <w:p>
      <w:pPr>
        <w:spacing w:line="240" w:lineRule="auto"/>
        <w:ind w:firstLine="560" w:firstLineChars="200"/>
        <w:rPr>
          <w:rFonts w:ascii="仿宋" w:hAnsi="仿宋" w:eastAsia="仿宋" w:cs="仿宋"/>
          <w:bCs/>
          <w:color w:val="auto"/>
          <w:sz w:val="28"/>
          <w:szCs w:val="28"/>
          <w:highlight w:val="none"/>
        </w:rPr>
      </w:pPr>
      <w:r>
        <w:rPr>
          <w:rFonts w:hint="eastAsia" w:ascii="仿宋" w:hAnsi="仿宋" w:eastAsia="仿宋" w:cs="仿宋"/>
          <w:b w:val="0"/>
          <w:bCs/>
          <w:color w:val="auto"/>
          <w:sz w:val="28"/>
          <w:szCs w:val="28"/>
          <w:highlight w:val="none"/>
          <w:u w:val="none"/>
          <w:lang w:val="en-US" w:eastAsia="zh-CN"/>
        </w:rPr>
        <w:t>8、适用范围：</w:t>
      </w:r>
      <w:r>
        <w:rPr>
          <w:rFonts w:hint="eastAsia" w:ascii="仿宋" w:hAnsi="仿宋" w:eastAsia="仿宋" w:cs="仿宋"/>
          <w:b w:val="0"/>
          <w:bCs/>
          <w:color w:val="auto"/>
          <w:sz w:val="28"/>
          <w:szCs w:val="28"/>
          <w:highlight w:val="none"/>
          <w:lang w:val="en-US" w:eastAsia="zh-CN"/>
        </w:rPr>
        <w:t>美国白蛾类。</w:t>
      </w:r>
    </w:p>
    <w:p>
      <w:pPr>
        <w:spacing w:line="240" w:lineRule="auto"/>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二、 响应供应商的资格要求</w:t>
      </w:r>
    </w:p>
    <w:p>
      <w:pPr>
        <w:spacing w:line="240" w:lineRule="auto"/>
        <w:ind w:firstLine="560" w:firstLineChars="2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1、满足《中华人民共和国政府采购法》第二十二条规定</w:t>
      </w:r>
    </w:p>
    <w:p>
      <w:pPr>
        <w:spacing w:line="24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bCs/>
          <w:color w:val="auto"/>
          <w:sz w:val="28"/>
          <w:szCs w:val="28"/>
          <w:highlight w:val="none"/>
        </w:rPr>
        <w:t>2、落实政府采购政策：（1）《财政部国家发展改革委关于印发〈节能产品政府采购实施意见〉的通知》（财库〔2004〕185号）；（2）《国务院办公厅关于建立政府强制采购节能产品制度的通知》（国办发〔2007〕51号）；（3）《财政部环保总局关于环境标志产品政府采购实施的意见》（财库〔2006〕90号）；（4）《财政部司法部关于政府采购支持监狱企业发展有关问题的通知》（财库〔2014〕68号）；（5）《三部门联合发布关于促进残疾人就业政府采购政策的通知》（财库〔2017〕141号）；（6）《财政部发展改革委生态环境市场监管总局关于调整优化节能产品、环境标志产品政府采购执行机制的通知》（财库〔2019〕9号）;（7）《财政部国务院扶贫办关于运用政府采购政策支持脱贫攻坚的通知》（财库〔2019〕27号）；（8）《陕西省中小企业政府采购信用融资办法》（陕财办采〔2018〕23号）；（9）《政府采购促进中小企业发展管理办法》（财库〔2020〕46号）；（10）《关于进一步加大政府采购支持中小企业力度的通知》（财库〔2022〕19号）</w:t>
      </w:r>
      <w:r>
        <w:rPr>
          <w:rFonts w:hint="eastAsia" w:ascii="仿宋" w:hAnsi="仿宋" w:eastAsia="仿宋" w:cs="仿宋"/>
          <w:color w:val="auto"/>
          <w:sz w:val="28"/>
          <w:szCs w:val="28"/>
          <w:highlight w:val="none"/>
        </w:rPr>
        <w:t>;(11)其他需要落实的政府采购政策。</w:t>
      </w:r>
    </w:p>
    <w:p>
      <w:pPr>
        <w:spacing w:line="240" w:lineRule="auto"/>
        <w:ind w:firstLine="560" w:firstLineChars="2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本项目的特定资格要求：（1）具有独立承担民事责任能力的法人、其他组织或自然人，营业执照、组织机构代码证、税务登记证（多证合一只提供营业执照，事业单位提供事业单位法人证书，自然人提供本人身份证）合法有效；（2）法定代表人授权书（附法定代表人身份证复印件）及被授权人身份证</w:t>
      </w:r>
      <w:r>
        <w:rPr>
          <w:rFonts w:hint="eastAsia" w:ascii="仿宋" w:hAnsi="仿宋" w:eastAsia="仿宋" w:cs="仿宋"/>
          <w:bCs/>
          <w:color w:val="auto"/>
          <w:sz w:val="28"/>
          <w:szCs w:val="28"/>
          <w:highlight w:val="none"/>
          <w:lang w:val="en-US" w:eastAsia="zh-CN"/>
        </w:rPr>
        <w:t>复印件</w:t>
      </w:r>
      <w:r>
        <w:rPr>
          <w:rFonts w:hint="eastAsia" w:ascii="仿宋" w:hAnsi="仿宋" w:eastAsia="仿宋" w:cs="仿宋"/>
          <w:bCs/>
          <w:color w:val="auto"/>
          <w:sz w:val="28"/>
          <w:szCs w:val="28"/>
          <w:highlight w:val="none"/>
        </w:rPr>
        <w:t>（法定代表人直接参加磋商只须提供法定代表人身份证</w:t>
      </w:r>
      <w:r>
        <w:rPr>
          <w:rFonts w:hint="eastAsia" w:ascii="仿宋" w:hAnsi="仿宋" w:eastAsia="仿宋" w:cs="仿宋"/>
          <w:bCs/>
          <w:color w:val="auto"/>
          <w:sz w:val="28"/>
          <w:szCs w:val="28"/>
          <w:highlight w:val="none"/>
          <w:lang w:val="en-US" w:eastAsia="zh-CN"/>
        </w:rPr>
        <w:t>复印件</w:t>
      </w:r>
      <w:r>
        <w:rPr>
          <w:rFonts w:hint="eastAsia" w:ascii="仿宋" w:hAnsi="仿宋" w:eastAsia="仿宋" w:cs="仿宋"/>
          <w:bCs/>
          <w:color w:val="auto"/>
          <w:sz w:val="28"/>
          <w:szCs w:val="28"/>
          <w:highlight w:val="none"/>
        </w:rPr>
        <w:t>）；（3）财务状况报告：须提供近3年</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2021年度-2023年度</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任意一年度的财务报表或具有财务审计资质的单位出具的财务报告（至少包括资产负债表和利润表，成立时间至提交</w:t>
      </w:r>
      <w:r>
        <w:rPr>
          <w:rFonts w:hint="eastAsia" w:ascii="仿宋" w:hAnsi="仿宋" w:eastAsia="仿宋" w:cs="仿宋"/>
          <w:bCs/>
          <w:color w:val="auto"/>
          <w:sz w:val="28"/>
          <w:szCs w:val="28"/>
          <w:highlight w:val="none"/>
          <w:lang w:eastAsia="zh-CN"/>
        </w:rPr>
        <w:t>磋商</w:t>
      </w:r>
      <w:r>
        <w:rPr>
          <w:rFonts w:hint="eastAsia" w:ascii="仿宋" w:hAnsi="仿宋" w:eastAsia="仿宋" w:cs="仿宋"/>
          <w:bCs/>
          <w:color w:val="auto"/>
          <w:sz w:val="28"/>
          <w:szCs w:val="28"/>
          <w:highlight w:val="none"/>
        </w:rPr>
        <w:t>文件截止时间不足一年的可提供成立后任意时段的资产负债表），或银行出具的资信证明；（4）税收缴纳证明：提供上一年度至今已缴纳的至少一个月的纳税证明或完税证明，依法免税的单位应提供相关证明材料；（5）社会保障资金缴纳证明：提供上一年度至今已缴存的至少一个月的有效社会保障资金缴纳证明。依法不需要缴纳社会保障资金的单位应提供相关证明材料；（6）供应商参加采购活动近三年内经营活动中无重大违法记录声明；</w:t>
      </w:r>
      <w:r>
        <w:rPr>
          <w:rFonts w:hint="eastAsia" w:ascii="仿宋" w:hAnsi="仿宋" w:eastAsia="仿宋" w:cs="仿宋"/>
          <w:bCs/>
          <w:color w:val="auto"/>
          <w:sz w:val="28"/>
          <w:szCs w:val="28"/>
          <w:highlight w:val="none"/>
          <w:lang w:val="en-US" w:eastAsia="zh-CN"/>
        </w:rPr>
        <w:t>(7)不得列入国家企业信用信息公示系统（http://www.gsxt.gov.cn/index.html）严重违法失信企业名单、信用中国（http://www.creditchina.gov.cn/）重大税收违法失信主体、中国执行信息公开网（http://shixin.court.gov.cn/）失信被执行人名单（被执行人包括投标人、法定代表人）；</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val="en-US" w:eastAsia="zh-CN"/>
        </w:rPr>
        <w:t>8</w:t>
      </w:r>
      <w:r>
        <w:rPr>
          <w:rFonts w:hint="eastAsia" w:ascii="仿宋" w:hAnsi="仿宋" w:eastAsia="仿宋" w:cs="仿宋"/>
          <w:bCs/>
          <w:color w:val="auto"/>
          <w:sz w:val="28"/>
          <w:szCs w:val="28"/>
          <w:highlight w:val="none"/>
        </w:rPr>
        <w:t>）本项目</w:t>
      </w:r>
      <w:r>
        <w:rPr>
          <w:rFonts w:hint="eastAsia" w:ascii="仿宋" w:hAnsi="仿宋" w:eastAsia="仿宋" w:cs="仿宋"/>
          <w:bCs/>
          <w:color w:val="auto"/>
          <w:sz w:val="28"/>
          <w:szCs w:val="28"/>
          <w:highlight w:val="none"/>
          <w:lang w:val="en-US" w:eastAsia="zh-CN"/>
        </w:rPr>
        <w:t>不接受</w:t>
      </w:r>
      <w:r>
        <w:rPr>
          <w:rFonts w:hint="eastAsia" w:ascii="仿宋" w:hAnsi="仿宋" w:eastAsia="仿宋" w:cs="仿宋"/>
          <w:bCs/>
          <w:color w:val="auto"/>
          <w:sz w:val="28"/>
          <w:szCs w:val="28"/>
          <w:highlight w:val="none"/>
        </w:rPr>
        <w:t>联合体</w:t>
      </w:r>
      <w:r>
        <w:rPr>
          <w:rFonts w:hint="eastAsia" w:ascii="仿宋" w:hAnsi="仿宋" w:eastAsia="仿宋" w:cs="仿宋"/>
          <w:bCs/>
          <w:color w:val="auto"/>
          <w:sz w:val="28"/>
          <w:szCs w:val="28"/>
          <w:highlight w:val="none"/>
          <w:lang w:eastAsia="zh-CN"/>
        </w:rPr>
        <w:t>磋商</w:t>
      </w:r>
      <w:r>
        <w:rPr>
          <w:rFonts w:hint="eastAsia" w:ascii="仿宋" w:hAnsi="仿宋" w:eastAsia="仿宋" w:cs="仿宋"/>
          <w:bCs/>
          <w:color w:val="auto"/>
          <w:sz w:val="28"/>
          <w:szCs w:val="28"/>
          <w:highlight w:val="none"/>
        </w:rPr>
        <w:t>。</w:t>
      </w:r>
    </w:p>
    <w:p>
      <w:pPr>
        <w:spacing w:line="240" w:lineRule="auto"/>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三、 采购文件的获取方式</w:t>
      </w:r>
    </w:p>
    <w:p>
      <w:pPr>
        <w:spacing w:line="240" w:lineRule="auto"/>
        <w:ind w:firstLine="560" w:firstLineChars="200"/>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rPr>
        <w:t>时间：</w:t>
      </w:r>
      <w:r>
        <w:rPr>
          <w:rFonts w:hint="eastAsia" w:ascii="仿宋" w:hAnsi="仿宋" w:eastAsia="仿宋" w:cs="仿宋"/>
          <w:bCs/>
          <w:color w:val="auto"/>
          <w:sz w:val="28"/>
          <w:szCs w:val="28"/>
          <w:highlight w:val="none"/>
          <w:lang w:val="en-US" w:eastAsia="zh-CN"/>
        </w:rPr>
        <w:t>2024年3月7日</w:t>
      </w:r>
      <w:r>
        <w:rPr>
          <w:rFonts w:hint="eastAsia" w:ascii="仿宋" w:hAnsi="仿宋" w:eastAsia="仿宋" w:cs="仿宋"/>
          <w:bCs/>
          <w:color w:val="auto"/>
          <w:sz w:val="28"/>
          <w:szCs w:val="28"/>
          <w:highlight w:val="none"/>
        </w:rPr>
        <w:t>至202</w:t>
      </w:r>
      <w:r>
        <w:rPr>
          <w:rFonts w:hint="eastAsia" w:ascii="仿宋" w:hAnsi="仿宋" w:eastAsia="仿宋" w:cs="仿宋"/>
          <w:bCs/>
          <w:color w:val="auto"/>
          <w:sz w:val="28"/>
          <w:szCs w:val="28"/>
          <w:highlight w:val="none"/>
          <w:lang w:val="en-US" w:eastAsia="zh-CN"/>
        </w:rPr>
        <w:t>4年3月14日，每天08:30:00-12:00:00,14:00:00-17</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val="en-US" w:eastAsia="zh-CN"/>
        </w:rPr>
        <w:t>30</w:t>
      </w:r>
      <w:r>
        <w:rPr>
          <w:rFonts w:hint="eastAsia" w:ascii="仿宋" w:hAnsi="仿宋" w:eastAsia="仿宋" w:cs="仿宋"/>
          <w:bCs/>
          <w:color w:val="auto"/>
          <w:sz w:val="28"/>
          <w:szCs w:val="28"/>
          <w:highlight w:val="none"/>
        </w:rPr>
        <w:t>:00止</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节假日除外。</w:t>
      </w:r>
    </w:p>
    <w:p>
      <w:pPr>
        <w:spacing w:line="240" w:lineRule="auto"/>
        <w:ind w:firstLine="560" w:firstLineChars="2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地点：陕西省西安市经济技术开发区凤城二路蓝海风中心写字楼7层</w:t>
      </w:r>
    </w:p>
    <w:p>
      <w:pPr>
        <w:spacing w:line="240" w:lineRule="auto"/>
        <w:ind w:firstLine="560" w:firstLineChars="200"/>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rPr>
        <w:t>方式：现场</w:t>
      </w:r>
      <w:r>
        <w:rPr>
          <w:rFonts w:hint="eastAsia" w:ascii="仿宋" w:hAnsi="仿宋" w:eastAsia="仿宋" w:cs="仿宋"/>
          <w:bCs/>
          <w:color w:val="auto"/>
          <w:sz w:val="28"/>
          <w:szCs w:val="28"/>
          <w:highlight w:val="none"/>
          <w:lang w:val="en-US" w:eastAsia="zh-CN"/>
        </w:rPr>
        <w:t>领取</w:t>
      </w:r>
    </w:p>
    <w:p>
      <w:pPr>
        <w:spacing w:line="240" w:lineRule="auto"/>
        <w:ind w:firstLine="560" w:firstLineChars="2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售价：免费赠送</w:t>
      </w:r>
    </w:p>
    <w:p>
      <w:pPr>
        <w:spacing w:line="240" w:lineRule="auto"/>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四、 响应文件递交</w:t>
      </w:r>
    </w:p>
    <w:p>
      <w:pPr>
        <w:spacing w:line="240" w:lineRule="auto"/>
        <w:ind w:firstLine="560" w:firstLineChars="200"/>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rPr>
        <w:t>截止时间：</w:t>
      </w:r>
      <w:r>
        <w:rPr>
          <w:rFonts w:hint="eastAsia" w:ascii="仿宋" w:hAnsi="仿宋" w:eastAsia="仿宋" w:cs="仿宋"/>
          <w:bCs/>
          <w:color w:val="auto"/>
          <w:sz w:val="28"/>
          <w:szCs w:val="28"/>
          <w:highlight w:val="none"/>
          <w:lang w:val="en-US" w:eastAsia="zh-CN"/>
        </w:rPr>
        <w:t>2024年3月18日09</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val="en-US" w:eastAsia="zh-CN"/>
        </w:rPr>
        <w:t>30</w:t>
      </w:r>
      <w:r>
        <w:rPr>
          <w:rFonts w:hint="eastAsia" w:ascii="仿宋" w:hAnsi="仿宋" w:eastAsia="仿宋" w:cs="仿宋"/>
          <w:bCs/>
          <w:color w:val="auto"/>
          <w:sz w:val="28"/>
          <w:szCs w:val="28"/>
          <w:highlight w:val="none"/>
        </w:rPr>
        <w:t>:00</w:t>
      </w:r>
      <w:r>
        <w:rPr>
          <w:rFonts w:hint="eastAsia" w:ascii="仿宋" w:hAnsi="仿宋" w:eastAsia="仿宋" w:cs="仿宋"/>
          <w:bCs/>
          <w:color w:val="auto"/>
          <w:sz w:val="28"/>
          <w:szCs w:val="28"/>
          <w:highlight w:val="none"/>
          <w:lang w:eastAsia="zh-CN"/>
        </w:rPr>
        <w:t>。</w:t>
      </w:r>
    </w:p>
    <w:p>
      <w:pPr>
        <w:spacing w:line="240" w:lineRule="auto"/>
        <w:ind w:firstLine="560" w:firstLineChars="200"/>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rPr>
        <w:t>地点：陕西省西安市经济技术开发区凤城二路蓝海风中心写字楼7层</w:t>
      </w:r>
      <w:r>
        <w:rPr>
          <w:rFonts w:hint="eastAsia" w:ascii="仿宋" w:hAnsi="仿宋" w:eastAsia="仿宋" w:cs="仿宋"/>
          <w:bCs/>
          <w:color w:val="auto"/>
          <w:sz w:val="28"/>
          <w:szCs w:val="28"/>
          <w:highlight w:val="none"/>
          <w:lang w:eastAsia="zh-CN"/>
        </w:rPr>
        <w:t>。</w:t>
      </w:r>
    </w:p>
    <w:p>
      <w:pPr>
        <w:spacing w:line="240" w:lineRule="auto"/>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五、公告期限</w:t>
      </w:r>
    </w:p>
    <w:p>
      <w:pPr>
        <w:spacing w:line="240" w:lineRule="auto"/>
        <w:ind w:firstLine="560" w:firstLineChars="2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自本公告发布之日起3个工作日。</w:t>
      </w:r>
    </w:p>
    <w:p>
      <w:pPr>
        <w:numPr>
          <w:ilvl w:val="0"/>
          <w:numId w:val="0"/>
        </w:numPr>
        <w:spacing w:line="240" w:lineRule="auto"/>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rPr>
        <w:t>其他补充事宜</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0"/>
        <w:jc w:val="both"/>
        <w:textAlignment w:val="baseline"/>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1、其他要求：本项目专门面向中小企业采购，供应商应为中型企业或小型、微型企业/监狱企业/残疾人福利性单位。供应商须提供《中小企业声明函》，且中小企业的划分标准所属行业为</w:t>
      </w:r>
      <w:r>
        <w:rPr>
          <w:rFonts w:hint="eastAsia" w:ascii="仿宋" w:hAnsi="仿宋" w:eastAsia="仿宋" w:cs="仿宋"/>
          <w:b/>
          <w:bCs w:val="0"/>
          <w:color w:val="auto"/>
          <w:kern w:val="2"/>
          <w:sz w:val="28"/>
          <w:szCs w:val="28"/>
          <w:highlight w:val="none"/>
          <w:lang w:val="en-US" w:eastAsia="zh-CN" w:bidi="ar-SA"/>
        </w:rPr>
        <w:t>农、林、牧、渔业</w:t>
      </w:r>
      <w:r>
        <w:rPr>
          <w:rFonts w:hint="eastAsia" w:ascii="仿宋" w:hAnsi="仿宋" w:eastAsia="仿宋" w:cs="仿宋"/>
          <w:bCs/>
          <w:color w:val="auto"/>
          <w:kern w:val="2"/>
          <w:sz w:val="28"/>
          <w:szCs w:val="28"/>
          <w:highlight w:val="none"/>
          <w:lang w:val="en-US" w:eastAsia="zh-CN" w:bidi="ar-SA"/>
        </w:rPr>
        <w:t>；供应商为监狱企业的，应提供监狱企业的证明文件；供应商为残疾人福利性单位的，应提供《残疾人福利性单位声明函》。监狱企业/残疾人福利性单位均视同小型、微型企业。</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0"/>
        <w:jc w:val="both"/>
        <w:textAlignment w:val="baseline"/>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2、注：获取磋商文件时需携带单位介绍信、本人身份证原件及复印件。 请各供应商领取磋商文件后，按照陕西省财政厅《关于政府采购供应商注册登记有关事项的通知》要求，通过陕西省政府采购网（http://www.ccgp-shaanxi.gov.cn/）注册登记加入陕西省政府采购供应商库。</w:t>
      </w:r>
    </w:p>
    <w:p>
      <w:pPr>
        <w:spacing w:line="240" w:lineRule="auto"/>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七、对本次采购提出询问，请按以下方式联系。</w:t>
      </w:r>
    </w:p>
    <w:p>
      <w:pPr>
        <w:spacing w:line="240" w:lineRule="auto"/>
        <w:ind w:firstLine="560" w:firstLineChars="2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1、采购人信息： </w:t>
      </w:r>
    </w:p>
    <w:p>
      <w:pPr>
        <w:spacing w:line="240" w:lineRule="auto"/>
        <w:ind w:firstLine="560" w:firstLineChars="200"/>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rPr>
        <w:t>联系人：</w:t>
      </w:r>
      <w:r>
        <w:rPr>
          <w:rFonts w:ascii="仿宋" w:hAnsi="仿宋" w:eastAsia="仿宋" w:cs="仿宋"/>
          <w:bCs/>
          <w:i w:val="0"/>
          <w:iCs w:val="0"/>
          <w:caps w:val="0"/>
          <w:color w:val="auto"/>
          <w:spacing w:val="0"/>
          <w:sz w:val="28"/>
          <w:szCs w:val="28"/>
          <w:highlight w:val="none"/>
          <w:shd w:val="clear" w:fill="auto"/>
        </w:rPr>
        <w:t>孟</w:t>
      </w:r>
      <w:r>
        <w:rPr>
          <w:rFonts w:hint="eastAsia" w:ascii="仿宋" w:hAnsi="仿宋" w:eastAsia="仿宋" w:cs="仿宋"/>
          <w:bCs/>
          <w:i w:val="0"/>
          <w:iCs w:val="0"/>
          <w:caps w:val="0"/>
          <w:color w:val="auto"/>
          <w:spacing w:val="0"/>
          <w:sz w:val="28"/>
          <w:szCs w:val="28"/>
          <w:highlight w:val="none"/>
          <w:shd w:val="clear" w:fill="auto"/>
          <w:lang w:val="en-US" w:eastAsia="zh-CN"/>
        </w:rPr>
        <w:t>老师</w:t>
      </w:r>
    </w:p>
    <w:p>
      <w:pPr>
        <w:spacing w:line="240" w:lineRule="auto"/>
        <w:ind w:firstLine="560" w:firstLineChars="200"/>
        <w:rPr>
          <w:rFonts w:ascii="仿宋" w:hAnsi="仿宋" w:eastAsia="仿宋" w:cs="仿宋"/>
          <w:bCs/>
          <w:color w:val="auto"/>
          <w:sz w:val="28"/>
          <w:szCs w:val="28"/>
          <w:highlight w:val="none"/>
        </w:rPr>
      </w:pPr>
      <w:r>
        <w:rPr>
          <w:rFonts w:hint="default" w:ascii="仿宋" w:hAnsi="仿宋" w:eastAsia="仿宋" w:cs="仿宋"/>
          <w:bCs/>
          <w:color w:val="auto"/>
          <w:sz w:val="28"/>
          <w:szCs w:val="28"/>
          <w:highlight w:val="none"/>
        </w:rPr>
        <w:t>联系地址：</w:t>
      </w:r>
      <w:r>
        <w:rPr>
          <w:rFonts w:ascii="仿宋" w:hAnsi="仿宋" w:eastAsia="仿宋" w:cs="仿宋"/>
          <w:bCs/>
          <w:i w:val="0"/>
          <w:iCs w:val="0"/>
          <w:caps w:val="0"/>
          <w:color w:val="auto"/>
          <w:spacing w:val="0"/>
          <w:sz w:val="28"/>
          <w:szCs w:val="28"/>
          <w:highlight w:val="none"/>
          <w:shd w:val="clear" w:fill="auto"/>
        </w:rPr>
        <w:t>西安市林木病虫害防治检疫站</w:t>
      </w:r>
    </w:p>
    <w:p>
      <w:pPr>
        <w:spacing w:line="240" w:lineRule="auto"/>
        <w:ind w:firstLine="560" w:firstLineChars="200"/>
        <w:rPr>
          <w:rFonts w:ascii="仿宋" w:hAnsi="仿宋" w:eastAsia="仿宋" w:cs="仿宋"/>
          <w:bCs/>
          <w:color w:val="auto"/>
          <w:sz w:val="28"/>
          <w:szCs w:val="28"/>
          <w:highlight w:val="none"/>
        </w:rPr>
      </w:pPr>
      <w:r>
        <w:rPr>
          <w:rFonts w:hint="default" w:ascii="仿宋" w:hAnsi="仿宋" w:eastAsia="仿宋" w:cs="仿宋"/>
          <w:bCs/>
          <w:color w:val="auto"/>
          <w:sz w:val="28"/>
          <w:szCs w:val="28"/>
          <w:highlight w:val="none"/>
        </w:rPr>
        <w:t>联系电话：</w:t>
      </w:r>
      <w:r>
        <w:rPr>
          <w:rFonts w:ascii="仿宋" w:hAnsi="仿宋" w:eastAsia="仿宋" w:cs="仿宋"/>
          <w:bCs/>
          <w:i w:val="0"/>
          <w:iCs w:val="0"/>
          <w:caps w:val="0"/>
          <w:color w:val="auto"/>
          <w:spacing w:val="0"/>
          <w:sz w:val="28"/>
          <w:szCs w:val="28"/>
          <w:highlight w:val="none"/>
          <w:shd w:val="clear" w:fill="auto"/>
        </w:rPr>
        <w:t>15353755985</w:t>
      </w:r>
    </w:p>
    <w:p>
      <w:pPr>
        <w:spacing w:line="240" w:lineRule="auto"/>
        <w:ind w:firstLine="560" w:firstLineChars="200"/>
        <w:rPr>
          <w:rFonts w:ascii="仿宋" w:hAnsi="仿宋" w:eastAsia="仿宋" w:cs="仿宋"/>
          <w:bCs/>
          <w:color w:val="auto"/>
          <w:sz w:val="28"/>
          <w:szCs w:val="28"/>
          <w:highlight w:val="none"/>
        </w:rPr>
      </w:pPr>
      <w:r>
        <w:rPr>
          <w:rFonts w:hint="default" w:ascii="仿宋" w:hAnsi="仿宋" w:eastAsia="仿宋" w:cs="仿宋"/>
          <w:bCs/>
          <w:color w:val="auto"/>
          <w:sz w:val="28"/>
          <w:szCs w:val="28"/>
          <w:highlight w:val="none"/>
        </w:rPr>
        <w:t>2、项目联系方式</w:t>
      </w:r>
    </w:p>
    <w:p>
      <w:pPr>
        <w:spacing w:line="240" w:lineRule="auto"/>
        <w:ind w:firstLine="560" w:firstLineChars="200"/>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rPr>
        <w:t>项目联系人：</w:t>
      </w:r>
      <w:r>
        <w:rPr>
          <w:rFonts w:hint="eastAsia" w:ascii="仿宋" w:hAnsi="仿宋" w:eastAsia="仿宋" w:cs="仿宋"/>
          <w:bCs/>
          <w:color w:val="auto"/>
          <w:sz w:val="28"/>
          <w:szCs w:val="28"/>
          <w:highlight w:val="none"/>
          <w:lang w:val="en-US" w:eastAsia="zh-CN"/>
        </w:rPr>
        <w:t>和工</w:t>
      </w:r>
    </w:p>
    <w:p>
      <w:pPr>
        <w:spacing w:line="240" w:lineRule="auto"/>
        <w:ind w:firstLine="560" w:firstLineChars="200"/>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rPr>
        <w:t>电 话：</w:t>
      </w:r>
      <w:r>
        <w:rPr>
          <w:rFonts w:hint="eastAsia" w:ascii="仿宋" w:hAnsi="仿宋" w:eastAsia="仿宋" w:cs="仿宋"/>
          <w:bCs/>
          <w:color w:val="auto"/>
          <w:sz w:val="28"/>
          <w:szCs w:val="28"/>
          <w:highlight w:val="none"/>
          <w:lang w:val="en-US" w:eastAsia="zh-CN"/>
        </w:rPr>
        <w:t>18066830609</w:t>
      </w:r>
    </w:p>
    <w:p>
      <w:pPr>
        <w:spacing w:line="240" w:lineRule="auto"/>
        <w:ind w:firstLine="560" w:firstLineChars="2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传 真：/</w:t>
      </w:r>
    </w:p>
    <w:p>
      <w:pPr>
        <w:spacing w:line="240" w:lineRule="auto"/>
        <w:ind w:firstLine="560" w:firstLineChars="2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3、采购代理机构信息</w:t>
      </w:r>
    </w:p>
    <w:p>
      <w:pPr>
        <w:spacing w:line="240" w:lineRule="auto"/>
        <w:ind w:firstLine="560" w:firstLineChars="2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名称： 华文项目管理有限公司</w:t>
      </w:r>
    </w:p>
    <w:p>
      <w:pPr>
        <w:spacing w:line="240" w:lineRule="auto"/>
        <w:ind w:firstLine="560" w:firstLineChars="200"/>
        <w:rPr>
          <w:rFonts w:ascii="仿宋" w:hAnsi="仿宋" w:eastAsia="仿宋" w:cs="仿宋"/>
          <w:bCs/>
          <w:color w:val="auto"/>
          <w:spacing w:val="-23"/>
          <w:sz w:val="28"/>
          <w:szCs w:val="28"/>
          <w:highlight w:val="none"/>
        </w:rPr>
      </w:pPr>
      <w:r>
        <w:rPr>
          <w:rFonts w:hint="eastAsia" w:ascii="仿宋" w:hAnsi="仿宋" w:eastAsia="仿宋" w:cs="仿宋"/>
          <w:bCs/>
          <w:color w:val="auto"/>
          <w:sz w:val="28"/>
          <w:szCs w:val="28"/>
          <w:highlight w:val="none"/>
        </w:rPr>
        <w:t>联系地址：陕西省西安市经济技术开发区凤城二路蓝海风中心写字楼7层</w:t>
      </w:r>
    </w:p>
    <w:p>
      <w:pPr>
        <w:spacing w:line="240" w:lineRule="auto"/>
        <w:ind w:left="839" w:leftChars="266" w:hanging="280" w:hangingChars="100"/>
        <w:jc w:val="left"/>
        <w:rPr>
          <w:rFonts w:ascii="仿宋_GB2312" w:hAnsi="仿宋_GB2312" w:eastAsia="仿宋_GB2312" w:cs="仿宋_GB2312"/>
          <w:color w:val="auto"/>
          <w:sz w:val="28"/>
          <w:szCs w:val="28"/>
          <w:highlight w:val="none"/>
        </w:rPr>
      </w:pPr>
      <w:r>
        <w:rPr>
          <w:rFonts w:hint="eastAsia" w:ascii="仿宋" w:hAnsi="仿宋" w:eastAsia="仿宋" w:cs="仿宋"/>
          <w:bCs/>
          <w:color w:val="auto"/>
          <w:sz w:val="28"/>
          <w:szCs w:val="28"/>
          <w:highlight w:val="none"/>
        </w:rPr>
        <w:t>联系方式</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http://www.ccgp.gov.cn/agency/a_agencylist.html</w:t>
      </w:r>
    </w:p>
    <w:p>
      <w:pPr>
        <w:spacing w:line="240" w:lineRule="auto"/>
      </w:pPr>
      <w:r>
        <w:rPr>
          <w:rFonts w:ascii="仿宋_GB2312" w:hAnsi="仿宋_GB2312" w:eastAsia="仿宋_GB2312" w:cs="仿宋_GB2312"/>
          <w:color w:val="auto"/>
          <w:sz w:val="28"/>
          <w:szCs w:val="28"/>
          <w:highlight w:val="none"/>
          <w:lang w:val="zh-CN"/>
        </w:rPr>
        <mc:AlternateContent>
          <mc:Choice Requires="wps">
            <w:drawing>
              <wp:anchor distT="0" distB="0" distL="114300" distR="114300" simplePos="0" relativeHeight="251659264" behindDoc="0" locked="0" layoutInCell="1" allowOverlap="1">
                <wp:simplePos x="0" y="0"/>
                <wp:positionH relativeFrom="column">
                  <wp:posOffset>24130</wp:posOffset>
                </wp:positionH>
                <wp:positionV relativeFrom="paragraph">
                  <wp:posOffset>128270</wp:posOffset>
                </wp:positionV>
                <wp:extent cx="5769610" cy="893445"/>
                <wp:effectExtent l="4445" t="4445" r="17145" b="16510"/>
                <wp:wrapNone/>
                <wp:docPr id="1" name="Text Box 3"/>
                <wp:cNvGraphicFramePr/>
                <a:graphic xmlns:a="http://schemas.openxmlformats.org/drawingml/2006/main">
                  <a:graphicData uri="http://schemas.microsoft.com/office/word/2010/wordprocessingShape">
                    <wps:wsp>
                      <wps:cNvSpPr txBox="1"/>
                      <wps:spPr>
                        <a:xfrm>
                          <a:off x="0" y="0"/>
                          <a:ext cx="5769610" cy="893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eastAsia="仿宋_GB2312"/>
                                <w:b/>
                                <w:sz w:val="28"/>
                                <w:szCs w:val="28"/>
                              </w:rPr>
                            </w:pPr>
                            <w:r>
                              <w:rPr>
                                <w:rFonts w:hint="eastAsia" w:ascii="仿宋_GB2312" w:eastAsia="仿宋_GB2312"/>
                                <w:b/>
                                <w:sz w:val="28"/>
                                <w:szCs w:val="28"/>
                              </w:rPr>
                              <w:t>温馨提示：获取竞争性磋商文件后，请仔细阅读，特别注意粗体及划线部分，如有疑问请来电咨询。</w:t>
                            </w:r>
                          </w:p>
                        </w:txbxContent>
                      </wps:txbx>
                      <wps:bodyPr wrap="none" upright="1">
                        <a:spAutoFit/>
                      </wps:bodyPr>
                    </wps:wsp>
                  </a:graphicData>
                </a:graphic>
              </wp:anchor>
            </w:drawing>
          </mc:Choice>
          <mc:Fallback>
            <w:pict>
              <v:shape id="Text Box 3" o:spid="_x0000_s1026" o:spt="202" type="#_x0000_t202" style="position:absolute;left:0pt;margin-left:1.9pt;margin-top:10.1pt;height:70.35pt;width:454.3pt;mso-wrap-style:none;z-index:251659264;mso-width-relative:page;mso-height-relative:page;" fillcolor="#FFFFFF" filled="t" stroked="t" coordsize="21600,21600" o:gfxdata="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CApRtkAAAAIAQAADwAAAAAAAAABACAA&#10;AAAiAAAAZHJzL2Rvd25yZXYueG1sUEsBAhQAFAAAAAgAh07iQFd4UAEMAgAAWwQAAA4AAAAAAAAA&#10;AQAgAAAAKAEAAGRycy9lMm9Eb2MueG1sUEsFBgAAAAAGAAYAWQEAAKYFAAAAAA==&#10;">
                <v:fill on="t" focussize="0,0"/>
                <v:stroke color="#000000" joinstyle="miter"/>
                <v:imagedata o:title=""/>
                <o:lock v:ext="edit" aspectratio="f"/>
                <v:textbox style="mso-fit-shape-to-text:t;">
                  <w:txbxContent>
                    <w:p>
                      <w:pPr>
                        <w:rPr>
                          <w:rFonts w:ascii="仿宋_GB2312" w:eastAsia="仿宋_GB2312"/>
                          <w:b/>
                          <w:sz w:val="28"/>
                          <w:szCs w:val="28"/>
                        </w:rPr>
                      </w:pPr>
                      <w:r>
                        <w:rPr>
                          <w:rFonts w:hint="eastAsia" w:ascii="仿宋_GB2312" w:eastAsia="仿宋_GB2312"/>
                          <w:b/>
                          <w:sz w:val="28"/>
                          <w:szCs w:val="28"/>
                        </w:rPr>
                        <w:t>温馨提示：获取竞争性磋商文件后，请仔细阅读，特别注意粗体及划线部分，如有疑问请来电咨询。</w:t>
                      </w:r>
                    </w:p>
                  </w:txbxContent>
                </v:textbox>
              </v:shap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1NGQ3Y2E3ZGI5NzgwM2Y2MTRkMjBmODRiNmFjYWIifQ=="/>
  </w:docVars>
  <w:rsids>
    <w:rsidRoot w:val="78FF2AD5"/>
    <w:rsid w:val="0EC56247"/>
    <w:rsid w:val="12716040"/>
    <w:rsid w:val="18B14505"/>
    <w:rsid w:val="1EAD25C0"/>
    <w:rsid w:val="258C1681"/>
    <w:rsid w:val="325E019F"/>
    <w:rsid w:val="608C5F80"/>
    <w:rsid w:val="695F35E4"/>
    <w:rsid w:val="78FF2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heading 1"/>
    <w:basedOn w:val="1"/>
    <w:next w:val="1"/>
    <w:qFormat/>
    <w:uiPriority w:val="0"/>
    <w:pPr>
      <w:keepNext/>
      <w:keepLines/>
      <w:spacing w:before="340" w:beforeLines="0" w:beforeAutospacing="0" w:after="330" w:afterLines="0" w:afterAutospacing="0" w:line="576" w:lineRule="auto"/>
      <w:outlineLvl w:val="0"/>
    </w:pPr>
    <w:rPr>
      <w:rFonts w:asciiTheme="minorAscii" w:hAnsiTheme="minorAscii" w:eastAsiaTheme="minorEastAsia"/>
      <w:b/>
      <w:kern w:val="44"/>
      <w:sz w:val="28"/>
      <w:lang w:eastAsia="en-US"/>
    </w:rPr>
  </w:style>
  <w:style w:type="paragraph" w:styleId="9">
    <w:name w:val="heading 2"/>
    <w:basedOn w:val="1"/>
    <w:next w:val="1"/>
    <w:autoRedefine/>
    <w:semiHidden/>
    <w:unhideWhenUsed/>
    <w:qFormat/>
    <w:uiPriority w:val="0"/>
    <w:pPr>
      <w:keepNext/>
      <w:keepLines/>
      <w:spacing w:before="260" w:beforeLines="0" w:beforeAutospacing="0" w:after="260" w:afterLines="0" w:afterAutospacing="0" w:line="413" w:lineRule="auto"/>
      <w:outlineLvl w:val="1"/>
    </w:pPr>
    <w:rPr>
      <w:rFonts w:ascii="Arial" w:hAnsi="Arial" w:eastAsia="宋体"/>
      <w:b/>
      <w:sz w:val="32"/>
    </w:rPr>
  </w:style>
  <w:style w:type="character" w:default="1" w:styleId="12">
    <w:name w:val="Default Paragraph Font"/>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rPr>
      <w:szCs w:val="21"/>
    </w:rPr>
  </w:style>
  <w:style w:type="paragraph" w:styleId="3">
    <w:name w:val="Body Text"/>
    <w:basedOn w:val="1"/>
    <w:next w:val="1"/>
    <w:unhideWhenUsed/>
    <w:qFormat/>
    <w:uiPriority w:val="99"/>
    <w:pPr>
      <w:spacing w:after="120"/>
    </w:pPr>
    <w:rPr>
      <w:rFonts w:eastAsia="Times New Roman"/>
    </w:rPr>
  </w:style>
  <w:style w:type="paragraph" w:styleId="4">
    <w:name w:val="Body Text First Indent 2"/>
    <w:basedOn w:val="5"/>
    <w:next w:val="1"/>
    <w:qFormat/>
    <w:uiPriority w:val="0"/>
    <w:pPr>
      <w:ind w:firstLine="420" w:firstLineChars="200"/>
    </w:pPr>
  </w:style>
  <w:style w:type="paragraph" w:styleId="5">
    <w:name w:val="Body Text Indent"/>
    <w:basedOn w:val="1"/>
    <w:next w:val="6"/>
    <w:qFormat/>
    <w:uiPriority w:val="0"/>
    <w:pPr>
      <w:spacing w:after="120"/>
      <w:ind w:left="420" w:leftChars="200"/>
    </w:pPr>
  </w:style>
  <w:style w:type="paragraph" w:styleId="6">
    <w:name w:val="annotation subject"/>
    <w:basedOn w:val="7"/>
    <w:next w:val="7"/>
    <w:qFormat/>
    <w:uiPriority w:val="0"/>
    <w:pPr>
      <w:adjustRightInd/>
      <w:spacing w:line="240" w:lineRule="auto"/>
      <w:textAlignment w:val="auto"/>
    </w:pPr>
    <w:rPr>
      <w:b/>
      <w:bCs/>
      <w:szCs w:val="24"/>
    </w:rPr>
  </w:style>
  <w:style w:type="paragraph" w:styleId="7">
    <w:name w:val="annotation text"/>
    <w:basedOn w:val="1"/>
    <w:qFormat/>
    <w:uiPriority w:val="0"/>
    <w:pPr>
      <w:adjustRightInd w:val="0"/>
      <w:spacing w:line="360" w:lineRule="atLeast"/>
      <w:jc w:val="left"/>
      <w:textAlignment w:val="baseline"/>
    </w:pPr>
    <w:rPr>
      <w:rFonts w:ascii="Times New Roman" w:hAnsi="Times New Roman"/>
      <w:kern w:val="0"/>
    </w:rPr>
  </w:style>
  <w:style w:type="paragraph" w:styleId="10">
    <w:name w:val="Normal (Web)"/>
    <w:basedOn w:val="1"/>
    <w:qFormat/>
    <w:uiPriority w:val="0"/>
    <w:pPr>
      <w:widowControl/>
      <w:spacing w:before="100" w:beforeAutospacing="1" w:after="100" w:afterAutospacing="1"/>
      <w:jc w:val="left"/>
    </w:pPr>
    <w:rPr>
      <w:rFonts w:ascii="宋体" w:hAnsi="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2024-03-06T07:32:00Z</dcterms:created>
  <dc:creator>瑜儿</dc:creator>
  <cp:lastModifiedBy>瑜儿</cp:lastModifiedBy>
  <dcterms:modified xsi:type="dcterms:W3CDTF">2024-03-06T07:35:45Z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8638D0FECD6E44B5BCC88A40035806E5_11</vt:lpwstr>
  </property>
</Properties>
</file>