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overflowPunct/>
        <w:topLinePunct w:val="0"/>
        <w:bidi w:val="0"/>
        <w:snapToGrid w:val="0"/>
        <w:spacing w:before="0" w:beforeAutospacing="0" w:after="0" w:afterAutospacing="0" w:line="360" w:lineRule="auto"/>
        <w:jc w:val="center"/>
        <w:textAlignment w:val="baseline"/>
        <w:outlineLvl w:val="0"/>
        <w:rPr>
          <w:rFonts w:hint="eastAsia" w:ascii="仿宋" w:hAnsi="仿宋" w:eastAsia="仿宋" w:cs="仿宋"/>
          <w:color w:val="000000" w:themeColor="text1"/>
          <w:sz w:val="32"/>
          <w:szCs w:val="32"/>
          <w:highlight w:val="none"/>
          <w:lang w:val="zh-CN" w:eastAsia="zh-CN"/>
          <w14:textFill>
            <w14:solidFill>
              <w14:schemeClr w14:val="tx1"/>
            </w14:solidFill>
          </w14:textFill>
        </w:rPr>
      </w:pPr>
      <w:r>
        <w:rPr>
          <w:rStyle w:val="16"/>
          <w:rFonts w:hint="eastAsia" w:ascii="仿宋" w:hAnsi="仿宋" w:eastAsia="仿宋" w:cs="仿宋"/>
          <w:b/>
          <w:i w:val="0"/>
          <w:caps w:val="0"/>
          <w:color w:val="000000" w:themeColor="text1"/>
          <w:spacing w:val="0"/>
          <w:w w:val="100"/>
          <w:kern w:val="44"/>
          <w:sz w:val="32"/>
          <w:szCs w:val="32"/>
          <w:highlight w:val="none"/>
          <w:lang w:val="en-US" w:eastAsia="zh-CN" w:bidi="ar-SA"/>
          <w14:textFill>
            <w14:solidFill>
              <w14:schemeClr w14:val="tx1"/>
            </w14:solidFill>
          </w14:textFill>
        </w:rPr>
        <w:t>采购需求</w:t>
      </w:r>
      <w:bookmarkStart w:id="0" w:name="_GoBack"/>
      <w:bookmarkEnd w:id="0"/>
    </w:p>
    <w:p>
      <w:pPr>
        <w:keepNext w:val="0"/>
        <w:keepLines w:val="0"/>
        <w:pageBreakBefore w:val="0"/>
        <w:widowControl w:val="0"/>
        <w:kinsoku/>
        <w:wordWrap/>
        <w:overflowPunct/>
        <w:topLinePunct w:val="0"/>
        <w:autoSpaceDE/>
        <w:autoSpaceDN/>
        <w:bidi w:val="0"/>
        <w:adjustRightInd w:val="0"/>
        <w:snapToGrid w:val="0"/>
        <w:spacing w:line="560" w:lineRule="exact"/>
        <w:ind w:left="0" w:firstLine="562" w:firstLineChars="200"/>
        <w:jc w:val="both"/>
        <w:textAlignment w:val="auto"/>
        <w:rPr>
          <w:rFonts w:hint="eastAsia" w:ascii="仿宋" w:hAnsi="仿宋" w:eastAsia="仿宋" w:cs="仿宋"/>
          <w:b/>
          <w:sz w:val="28"/>
          <w:szCs w:val="28"/>
        </w:rPr>
      </w:pPr>
      <w:r>
        <w:rPr>
          <w:rFonts w:hint="eastAsia" w:ascii="仿宋" w:hAnsi="仿宋" w:eastAsia="仿宋" w:cs="仿宋"/>
          <w:b/>
          <w:sz w:val="28"/>
          <w:szCs w:val="28"/>
          <w:lang w:val="zh-CN"/>
        </w:rPr>
        <w:t>一、</w:t>
      </w:r>
      <w:r>
        <w:rPr>
          <w:rFonts w:hint="eastAsia" w:ascii="仿宋" w:hAnsi="仿宋" w:eastAsia="仿宋" w:cs="仿宋"/>
          <w:b/>
          <w:sz w:val="28"/>
          <w:szCs w:val="28"/>
        </w:rPr>
        <w:t>采购内容</w:t>
      </w:r>
    </w:p>
    <w:p>
      <w:pPr>
        <w:keepNext w:val="0"/>
        <w:keepLines w:val="0"/>
        <w:pageBreakBefore w:val="0"/>
        <w:widowControl w:val="0"/>
        <w:kinsoku/>
        <w:wordWrap/>
        <w:overflowPunct/>
        <w:topLinePunct w:val="0"/>
        <w:autoSpaceDE/>
        <w:autoSpaceDN/>
        <w:bidi w:val="0"/>
        <w:snapToGrid w:val="0"/>
        <w:spacing w:line="560" w:lineRule="exact"/>
        <w:ind w:lef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为实施</w:t>
      </w:r>
      <w:r>
        <w:rPr>
          <w:rFonts w:hint="eastAsia" w:ascii="仿宋" w:hAnsi="仿宋" w:eastAsia="仿宋" w:cs="仿宋"/>
          <w:sz w:val="24"/>
          <w:szCs w:val="24"/>
          <w:lang w:val="en-US" w:eastAsia="zh-CN"/>
        </w:rPr>
        <w:t>2024</w:t>
      </w:r>
      <w:r>
        <w:rPr>
          <w:rFonts w:hint="eastAsia" w:ascii="仿宋" w:hAnsi="仿宋" w:eastAsia="仿宋" w:cs="仿宋"/>
          <w:sz w:val="24"/>
          <w:szCs w:val="24"/>
        </w:rPr>
        <w:t>年度食品安全监督抽检计划，对</w:t>
      </w:r>
      <w:r>
        <w:rPr>
          <w:rFonts w:hint="eastAsia" w:ascii="仿宋" w:hAnsi="仿宋" w:eastAsia="仿宋" w:cs="仿宋"/>
          <w:sz w:val="24"/>
          <w:szCs w:val="24"/>
          <w:lang w:val="en-US" w:eastAsia="zh-CN"/>
        </w:rPr>
        <w:t>浐灞国际港内</w:t>
      </w:r>
      <w:r>
        <w:rPr>
          <w:rFonts w:hint="eastAsia" w:ascii="仿宋" w:hAnsi="仿宋" w:eastAsia="仿宋" w:cs="仿宋"/>
          <w:sz w:val="24"/>
          <w:szCs w:val="24"/>
        </w:rPr>
        <w:t>食品安全</w:t>
      </w:r>
      <w:r>
        <w:rPr>
          <w:rFonts w:hint="eastAsia" w:ascii="仿宋" w:hAnsi="仿宋" w:eastAsia="仿宋" w:cs="仿宋"/>
          <w:sz w:val="24"/>
          <w:szCs w:val="24"/>
          <w:lang w:val="en-US" w:eastAsia="zh-CN"/>
        </w:rPr>
        <w:t>开展</w:t>
      </w:r>
      <w:r>
        <w:rPr>
          <w:rFonts w:hint="eastAsia" w:ascii="仿宋" w:hAnsi="仿宋" w:eastAsia="仿宋" w:cs="仿宋"/>
          <w:sz w:val="24"/>
          <w:szCs w:val="24"/>
        </w:rPr>
        <w:t>抽检服务。</w:t>
      </w:r>
    </w:p>
    <w:p>
      <w:pPr>
        <w:keepNext w:val="0"/>
        <w:keepLines w:val="0"/>
        <w:pageBreakBefore w:val="0"/>
        <w:widowControl w:val="0"/>
        <w:kinsoku/>
        <w:wordWrap/>
        <w:overflowPunct/>
        <w:topLinePunct w:val="0"/>
        <w:autoSpaceDE/>
        <w:autoSpaceDN/>
        <w:bidi w:val="0"/>
        <w:snapToGrid w:val="0"/>
        <w:spacing w:line="560" w:lineRule="exact"/>
        <w:ind w:left="0" w:firstLine="562" w:firstLineChars="200"/>
        <w:jc w:val="both"/>
        <w:textAlignment w:val="auto"/>
        <w:rPr>
          <w:rFonts w:hint="eastAsia" w:ascii="仿宋" w:hAnsi="仿宋" w:eastAsia="仿宋" w:cs="仿宋"/>
          <w:b/>
          <w:sz w:val="28"/>
          <w:szCs w:val="28"/>
        </w:rPr>
      </w:pPr>
      <w:r>
        <w:rPr>
          <w:rFonts w:hint="eastAsia" w:ascii="仿宋" w:hAnsi="仿宋" w:eastAsia="仿宋" w:cs="仿宋"/>
          <w:b/>
          <w:sz w:val="28"/>
          <w:szCs w:val="28"/>
        </w:rPr>
        <w:t>二、服务要求</w:t>
      </w:r>
    </w:p>
    <w:p>
      <w:pPr>
        <w:keepNext w:val="0"/>
        <w:keepLines w:val="0"/>
        <w:pageBreakBefore w:val="0"/>
        <w:widowControl w:val="0"/>
        <w:kinsoku/>
        <w:wordWrap/>
        <w:overflowPunct/>
        <w:topLinePunct w:val="0"/>
        <w:autoSpaceDE/>
        <w:autoSpaceDN/>
        <w:bidi w:val="0"/>
        <w:snapToGrid w:val="0"/>
        <w:spacing w:line="560" w:lineRule="exact"/>
        <w:ind w:lef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1、能提供高效抽检服务，全年365天提供24小时服务，能接受抽样工作委托，有专门团队负责配合采样；</w:t>
      </w:r>
    </w:p>
    <w:p>
      <w:pPr>
        <w:keepNext w:val="0"/>
        <w:keepLines w:val="0"/>
        <w:pageBreakBefore w:val="0"/>
        <w:widowControl w:val="0"/>
        <w:kinsoku/>
        <w:wordWrap/>
        <w:overflowPunct/>
        <w:topLinePunct w:val="0"/>
        <w:autoSpaceDE/>
        <w:autoSpaceDN/>
        <w:bidi w:val="0"/>
        <w:snapToGrid w:val="0"/>
        <w:spacing w:line="560" w:lineRule="exact"/>
        <w:ind w:lef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应在西安地区建设有实验室，</w:t>
      </w:r>
      <w:r>
        <w:rPr>
          <w:rFonts w:hint="eastAsia" w:ascii="仿宋" w:hAnsi="仿宋" w:eastAsia="仿宋" w:cs="仿宋"/>
          <w:sz w:val="24"/>
          <w:szCs w:val="24"/>
        </w:rPr>
        <w:t>抽检样品必须在当天进入食品检测实验室，以确保样品检测报告的准确性、报告复检维持率高；</w:t>
      </w:r>
    </w:p>
    <w:p>
      <w:pPr>
        <w:keepNext w:val="0"/>
        <w:keepLines w:val="0"/>
        <w:pageBreakBefore w:val="0"/>
        <w:widowControl w:val="0"/>
        <w:kinsoku/>
        <w:wordWrap/>
        <w:overflowPunct/>
        <w:topLinePunct w:val="0"/>
        <w:autoSpaceDE/>
        <w:autoSpaceDN/>
        <w:bidi w:val="0"/>
        <w:snapToGrid w:val="0"/>
        <w:spacing w:line="560" w:lineRule="exact"/>
        <w:ind w:lef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3、能够熟练运用</w:t>
      </w:r>
      <w:r>
        <w:rPr>
          <w:rFonts w:hint="eastAsia" w:ascii="仿宋" w:hAnsi="仿宋" w:eastAsia="仿宋" w:cs="仿宋"/>
          <w:sz w:val="24"/>
          <w:szCs w:val="24"/>
          <w:lang w:val="en-US" w:eastAsia="zh-CN"/>
        </w:rPr>
        <w:t>国家食品安全信息抽样检验信息</w:t>
      </w:r>
      <w:r>
        <w:rPr>
          <w:rFonts w:hint="eastAsia" w:ascii="仿宋" w:hAnsi="仿宋" w:eastAsia="仿宋" w:cs="仿宋"/>
          <w:sz w:val="24"/>
          <w:szCs w:val="24"/>
        </w:rPr>
        <w:t>系统，及时准确地录入抽检、检验信息，辅助我局完成统计报表、信息公示等工作；</w:t>
      </w:r>
    </w:p>
    <w:p>
      <w:pPr>
        <w:keepNext w:val="0"/>
        <w:keepLines w:val="0"/>
        <w:pageBreakBefore w:val="0"/>
        <w:widowControl w:val="0"/>
        <w:kinsoku/>
        <w:wordWrap/>
        <w:overflowPunct/>
        <w:topLinePunct w:val="0"/>
        <w:autoSpaceDE/>
        <w:autoSpaceDN/>
        <w:bidi w:val="0"/>
        <w:snapToGrid w:val="0"/>
        <w:spacing w:line="560" w:lineRule="exact"/>
        <w:ind w:lef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4、有能满足采样、运输、检验等工作的车辆、设备等硬件；</w:t>
      </w:r>
    </w:p>
    <w:p>
      <w:pPr>
        <w:keepNext w:val="0"/>
        <w:keepLines w:val="0"/>
        <w:pageBreakBefore w:val="0"/>
        <w:widowControl w:val="0"/>
        <w:kinsoku/>
        <w:wordWrap/>
        <w:overflowPunct/>
        <w:topLinePunct w:val="0"/>
        <w:autoSpaceDE/>
        <w:autoSpaceDN/>
        <w:bidi w:val="0"/>
        <w:snapToGrid w:val="0"/>
        <w:spacing w:line="560" w:lineRule="exact"/>
        <w:ind w:lef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5、不得将检验任务外包或分包给其他检测机构检验；</w:t>
      </w:r>
    </w:p>
    <w:p>
      <w:pPr>
        <w:keepNext w:val="0"/>
        <w:keepLines w:val="0"/>
        <w:pageBreakBefore w:val="0"/>
        <w:widowControl w:val="0"/>
        <w:kinsoku/>
        <w:wordWrap/>
        <w:overflowPunct/>
        <w:topLinePunct w:val="0"/>
        <w:autoSpaceDE/>
        <w:autoSpaceDN/>
        <w:bidi w:val="0"/>
        <w:snapToGrid w:val="0"/>
        <w:spacing w:line="560" w:lineRule="exact"/>
        <w:ind w:lef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6、若</w:t>
      </w:r>
      <w:r>
        <w:rPr>
          <w:rFonts w:hint="eastAsia" w:ascii="仿宋" w:hAnsi="仿宋" w:eastAsia="仿宋" w:cs="仿宋"/>
          <w:sz w:val="24"/>
          <w:szCs w:val="24"/>
          <w:lang w:val="en-US" w:eastAsia="zh-CN"/>
        </w:rPr>
        <w:t>投标人</w:t>
      </w:r>
      <w:r>
        <w:rPr>
          <w:rFonts w:hint="eastAsia" w:ascii="仿宋" w:hAnsi="仿宋" w:eastAsia="仿宋" w:cs="仿宋"/>
          <w:sz w:val="24"/>
          <w:szCs w:val="24"/>
        </w:rPr>
        <w:t>出具虚假、错误检验数据和结论，一经发现，立即取消合作资格；</w:t>
      </w:r>
    </w:p>
    <w:p>
      <w:pPr>
        <w:keepNext w:val="0"/>
        <w:keepLines w:val="0"/>
        <w:pageBreakBefore w:val="0"/>
        <w:widowControl w:val="0"/>
        <w:kinsoku/>
        <w:wordWrap/>
        <w:overflowPunct/>
        <w:topLinePunct w:val="0"/>
        <w:autoSpaceDE/>
        <w:autoSpaceDN/>
        <w:bidi w:val="0"/>
        <w:snapToGrid w:val="0"/>
        <w:spacing w:line="560" w:lineRule="exact"/>
        <w:ind w:lef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7、须提供相关的业务咨询、报告分析等服务；</w:t>
      </w:r>
    </w:p>
    <w:p>
      <w:pPr>
        <w:keepNext w:val="0"/>
        <w:keepLines w:val="0"/>
        <w:pageBreakBefore w:val="0"/>
        <w:widowControl w:val="0"/>
        <w:kinsoku/>
        <w:wordWrap/>
        <w:overflowPunct/>
        <w:topLinePunct w:val="0"/>
        <w:autoSpaceDE/>
        <w:autoSpaceDN/>
        <w:bidi w:val="0"/>
        <w:snapToGrid w:val="0"/>
        <w:spacing w:line="560" w:lineRule="exact"/>
        <w:ind w:lef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8、检验机构收到检品后15个工作日出具检验报告。对于特殊、涉案样品的检验，3天出结果，7天出报告；</w:t>
      </w:r>
    </w:p>
    <w:p>
      <w:pPr>
        <w:keepNext w:val="0"/>
        <w:keepLines w:val="0"/>
        <w:pageBreakBefore w:val="0"/>
        <w:widowControl w:val="0"/>
        <w:kinsoku/>
        <w:wordWrap/>
        <w:overflowPunct/>
        <w:topLinePunct w:val="0"/>
        <w:autoSpaceDE/>
        <w:autoSpaceDN/>
        <w:bidi w:val="0"/>
        <w:snapToGrid w:val="0"/>
        <w:spacing w:line="560" w:lineRule="exact"/>
        <w:ind w:lef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9、有完善的投诉受理机制，能够对委托检验人提出的异议做出有效回应；</w:t>
      </w:r>
    </w:p>
    <w:p>
      <w:pPr>
        <w:keepNext w:val="0"/>
        <w:keepLines w:val="0"/>
        <w:pageBreakBefore w:val="0"/>
        <w:widowControl w:val="0"/>
        <w:kinsoku/>
        <w:wordWrap/>
        <w:overflowPunct/>
        <w:topLinePunct w:val="0"/>
        <w:autoSpaceDE/>
        <w:autoSpaceDN/>
        <w:bidi w:val="0"/>
        <w:snapToGrid w:val="0"/>
        <w:spacing w:line="560" w:lineRule="exact"/>
        <w:ind w:lef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10、投标</w:t>
      </w:r>
      <w:r>
        <w:rPr>
          <w:rFonts w:hint="eastAsia" w:ascii="仿宋" w:hAnsi="仿宋" w:eastAsia="仿宋" w:cs="仿宋"/>
          <w:sz w:val="24"/>
          <w:szCs w:val="24"/>
          <w:lang w:eastAsia="zh-CN"/>
        </w:rPr>
        <w:t>人</w:t>
      </w:r>
      <w:r>
        <w:rPr>
          <w:rFonts w:hint="eastAsia" w:ascii="仿宋" w:hAnsi="仿宋" w:eastAsia="仿宋" w:cs="仿宋"/>
          <w:sz w:val="24"/>
          <w:szCs w:val="24"/>
        </w:rPr>
        <w:t>检验检测项目</w:t>
      </w:r>
      <w:r>
        <w:rPr>
          <w:rFonts w:hint="eastAsia" w:ascii="仿宋" w:hAnsi="仿宋" w:eastAsia="仿宋" w:cs="仿宋"/>
          <w:sz w:val="24"/>
          <w:szCs w:val="24"/>
          <w:lang w:val="en-US" w:eastAsia="zh-CN"/>
        </w:rPr>
        <w:t>覆盖率</w:t>
      </w:r>
      <w:r>
        <w:rPr>
          <w:rFonts w:hint="eastAsia" w:ascii="仿宋" w:hAnsi="仿宋" w:eastAsia="仿宋" w:cs="仿宋"/>
          <w:sz w:val="24"/>
          <w:szCs w:val="24"/>
        </w:rPr>
        <w:t>未达到100%时，应承诺其余项目在服务合同签订后2个月内完成扩项，若中标后未能及时完成扩项，采购人有权终止合同；</w:t>
      </w:r>
    </w:p>
    <w:p>
      <w:pPr>
        <w:keepNext w:val="0"/>
        <w:keepLines w:val="0"/>
        <w:pageBreakBefore w:val="0"/>
        <w:widowControl w:val="0"/>
        <w:kinsoku/>
        <w:wordWrap/>
        <w:overflowPunct/>
        <w:topLinePunct w:val="0"/>
        <w:autoSpaceDE/>
        <w:autoSpaceDN/>
        <w:bidi w:val="0"/>
        <w:snapToGrid w:val="0"/>
        <w:spacing w:line="560" w:lineRule="exact"/>
        <w:ind w:lef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11、投标</w:t>
      </w:r>
      <w:r>
        <w:rPr>
          <w:rFonts w:hint="eastAsia" w:ascii="仿宋" w:hAnsi="仿宋" w:eastAsia="仿宋" w:cs="仿宋"/>
          <w:sz w:val="24"/>
          <w:szCs w:val="24"/>
          <w:lang w:eastAsia="zh-CN"/>
        </w:rPr>
        <w:t>人</w:t>
      </w:r>
      <w:r>
        <w:rPr>
          <w:rFonts w:hint="eastAsia" w:ascii="仿宋" w:hAnsi="仿宋" w:eastAsia="仿宋" w:cs="仿宋"/>
          <w:sz w:val="24"/>
          <w:szCs w:val="24"/>
          <w:lang w:val="en-US" w:eastAsia="zh-CN"/>
        </w:rPr>
        <w:t>中标</w:t>
      </w:r>
      <w:r>
        <w:rPr>
          <w:rFonts w:hint="eastAsia" w:ascii="仿宋" w:hAnsi="仿宋" w:eastAsia="仿宋" w:cs="仿宋"/>
          <w:sz w:val="24"/>
          <w:szCs w:val="24"/>
        </w:rPr>
        <w:t>后，承担对应包内的检测任务，应逐月完成当月任务，并</w:t>
      </w:r>
      <w:r>
        <w:rPr>
          <w:rFonts w:hint="eastAsia" w:ascii="仿宋" w:hAnsi="仿宋" w:eastAsia="仿宋" w:cs="仿宋"/>
          <w:sz w:val="24"/>
          <w:szCs w:val="24"/>
          <w:lang w:val="en-US" w:eastAsia="zh-CN"/>
        </w:rPr>
        <w:t>按照分局要求</w:t>
      </w:r>
      <w:r>
        <w:rPr>
          <w:rFonts w:hint="eastAsia" w:ascii="仿宋" w:hAnsi="仿宋" w:eastAsia="仿宋" w:cs="仿宋"/>
          <w:sz w:val="24"/>
          <w:szCs w:val="24"/>
        </w:rPr>
        <w:t>汇总抽检清单；</w:t>
      </w:r>
    </w:p>
    <w:p>
      <w:pPr>
        <w:keepNext w:val="0"/>
        <w:keepLines w:val="0"/>
        <w:pageBreakBefore w:val="0"/>
        <w:widowControl w:val="0"/>
        <w:kinsoku/>
        <w:wordWrap/>
        <w:overflowPunct/>
        <w:topLinePunct w:val="0"/>
        <w:autoSpaceDE/>
        <w:autoSpaceDN/>
        <w:bidi w:val="0"/>
        <w:snapToGrid w:val="0"/>
        <w:spacing w:line="560" w:lineRule="exact"/>
        <w:ind w:lef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12、承检机构如在一个季度内未按照要求完成承检任务的或严重影响阶段性监督抽检考核任务的，采购人有权终止合同并按照完成任务的70%进行结算。</w:t>
      </w:r>
    </w:p>
    <w:p>
      <w:pPr>
        <w:keepNext w:val="0"/>
        <w:keepLines w:val="0"/>
        <w:pageBreakBefore w:val="0"/>
        <w:widowControl w:val="0"/>
        <w:kinsoku/>
        <w:wordWrap/>
        <w:overflowPunct/>
        <w:topLinePunct w:val="0"/>
        <w:autoSpaceDE/>
        <w:autoSpaceDN/>
        <w:bidi w:val="0"/>
        <w:snapToGrid w:val="0"/>
        <w:spacing w:line="560" w:lineRule="exact"/>
        <w:ind w:left="0" w:firstLine="480" w:firstLineChars="200"/>
        <w:jc w:val="both"/>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4"/>
          <w:szCs w:val="24"/>
          <w:lang w:val="en-US" w:eastAsia="zh-CN" w:bidi="ar-SA"/>
        </w:rPr>
        <w:t>13、积极完成分局交办的临时性抽检工作任务。</w:t>
      </w:r>
    </w:p>
    <w:p>
      <w:pPr>
        <w:keepNext w:val="0"/>
        <w:keepLines w:val="0"/>
        <w:pageBreakBefore w:val="0"/>
        <w:widowControl w:val="0"/>
        <w:kinsoku/>
        <w:wordWrap/>
        <w:overflowPunct/>
        <w:topLinePunct w:val="0"/>
        <w:autoSpaceDE/>
        <w:autoSpaceDN/>
        <w:bidi w:val="0"/>
        <w:snapToGrid w:val="0"/>
        <w:spacing w:line="560" w:lineRule="exact"/>
        <w:jc w:val="center"/>
        <w:textAlignment w:val="auto"/>
        <w:rPr>
          <w:rFonts w:hint="eastAsia" w:ascii="仿宋" w:hAnsi="仿宋" w:eastAsia="仿宋" w:cs="仿宋"/>
          <w:b/>
          <w:bCs/>
          <w:kern w:val="2"/>
          <w:sz w:val="28"/>
          <w:szCs w:val="28"/>
          <w:highlight w:val="none"/>
          <w:lang w:val="en-US" w:eastAsia="zh-CN" w:bidi="ar-SA"/>
        </w:rPr>
        <w:sectPr>
          <w:footerReference r:id="rId3" w:type="default"/>
          <w:pgSz w:w="11906" w:h="16838"/>
          <w:pgMar w:top="1474" w:right="1417" w:bottom="1247" w:left="1417" w:header="850" w:footer="992" w:gutter="0"/>
          <w:pgBorders>
            <w:top w:val="none" w:sz="0" w:space="0"/>
            <w:left w:val="none" w:sz="0" w:space="0"/>
            <w:bottom w:val="none" w:sz="0" w:space="0"/>
            <w:right w:val="none" w:sz="0" w:space="0"/>
          </w:pgBorders>
          <w:lnNumType w:countBy="0" w:start="1"/>
          <w:pgNumType w:fmt="decimal"/>
          <w:cols w:space="425" w:num="1"/>
          <w:titlePg/>
          <w:vAlign w:val="top"/>
          <w:docGrid w:linePitch="1" w:charSpace="0"/>
        </w:sectPr>
      </w:pPr>
    </w:p>
    <w:p>
      <w:pPr>
        <w:keepNext w:val="0"/>
        <w:keepLines w:val="0"/>
        <w:pageBreakBefore w:val="0"/>
        <w:widowControl w:val="0"/>
        <w:kinsoku/>
        <w:wordWrap/>
        <w:overflowPunct/>
        <w:topLinePunct w:val="0"/>
        <w:autoSpaceDE/>
        <w:autoSpaceDN/>
        <w:bidi w:val="0"/>
        <w:snapToGrid w:val="0"/>
        <w:spacing w:line="560" w:lineRule="exact"/>
        <w:jc w:val="center"/>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日常检测项目表</w:t>
      </w:r>
    </w:p>
    <w:tbl>
      <w:tblPr>
        <w:tblStyle w:val="10"/>
        <w:tblW w:w="96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9"/>
        <w:gridCol w:w="2645"/>
        <w:gridCol w:w="697"/>
        <w:gridCol w:w="2335"/>
        <w:gridCol w:w="731"/>
        <w:gridCol w:w="25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highlight w:val="none"/>
                <w:u w:val="none"/>
                <w:shd w:val="clear" w:color="auto" w:fill="auto"/>
              </w:rPr>
            </w:pPr>
            <w:r>
              <w:rPr>
                <w:rFonts w:hint="eastAsia" w:ascii="仿宋" w:hAnsi="仿宋" w:eastAsia="仿宋" w:cs="仿宋"/>
                <w:i w:val="0"/>
                <w:iCs w:val="0"/>
                <w:color w:val="000000"/>
                <w:kern w:val="0"/>
                <w:sz w:val="24"/>
                <w:szCs w:val="24"/>
                <w:highlight w:val="none"/>
                <w:u w:val="none"/>
                <w:shd w:val="clear" w:color="auto" w:fill="auto"/>
                <w:lang w:val="en-US" w:eastAsia="zh-CN" w:bidi="ar"/>
              </w:rPr>
              <w:t>序号</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highlight w:val="none"/>
                <w:u w:val="none"/>
                <w:shd w:val="clear" w:color="auto" w:fill="auto"/>
              </w:rPr>
            </w:pPr>
            <w:r>
              <w:rPr>
                <w:rFonts w:hint="eastAsia" w:ascii="仿宋" w:hAnsi="仿宋" w:eastAsia="仿宋" w:cs="仿宋"/>
                <w:i w:val="0"/>
                <w:iCs w:val="0"/>
                <w:color w:val="000000"/>
                <w:kern w:val="0"/>
                <w:sz w:val="24"/>
                <w:szCs w:val="24"/>
                <w:highlight w:val="none"/>
                <w:u w:val="none"/>
                <w:shd w:val="clear" w:color="auto" w:fill="auto"/>
                <w:lang w:val="en-US" w:eastAsia="zh-CN" w:bidi="ar"/>
              </w:rPr>
              <w:t>检验项目</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highlight w:val="none"/>
                <w:u w:val="none"/>
                <w:shd w:val="clear" w:color="auto" w:fill="auto"/>
              </w:rPr>
            </w:pPr>
            <w:r>
              <w:rPr>
                <w:rFonts w:hint="eastAsia" w:ascii="仿宋" w:hAnsi="仿宋" w:eastAsia="仿宋" w:cs="仿宋"/>
                <w:i w:val="0"/>
                <w:iCs w:val="0"/>
                <w:color w:val="000000"/>
                <w:kern w:val="0"/>
                <w:sz w:val="24"/>
                <w:szCs w:val="24"/>
                <w:highlight w:val="none"/>
                <w:u w:val="none"/>
                <w:shd w:val="clear" w:color="auto" w:fill="auto"/>
                <w:lang w:val="en-US" w:eastAsia="zh-CN" w:bidi="ar"/>
              </w:rPr>
              <w:t>序号</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highlight w:val="none"/>
                <w:u w:val="none"/>
                <w:shd w:val="clear" w:color="auto" w:fill="auto"/>
              </w:rPr>
            </w:pPr>
            <w:r>
              <w:rPr>
                <w:rFonts w:hint="eastAsia" w:ascii="仿宋" w:hAnsi="仿宋" w:eastAsia="仿宋" w:cs="仿宋"/>
                <w:i w:val="0"/>
                <w:iCs w:val="0"/>
                <w:color w:val="000000"/>
                <w:kern w:val="0"/>
                <w:sz w:val="24"/>
                <w:szCs w:val="24"/>
                <w:highlight w:val="none"/>
                <w:u w:val="none"/>
                <w:shd w:val="clear" w:color="auto" w:fill="auto"/>
                <w:lang w:val="en-US" w:eastAsia="zh-CN" w:bidi="ar"/>
              </w:rPr>
              <w:t>检验项目</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highlight w:val="none"/>
                <w:u w:val="none"/>
                <w:shd w:val="clear" w:color="auto" w:fill="auto"/>
              </w:rPr>
            </w:pPr>
            <w:r>
              <w:rPr>
                <w:rFonts w:hint="eastAsia" w:ascii="仿宋" w:hAnsi="仿宋" w:eastAsia="仿宋" w:cs="仿宋"/>
                <w:i w:val="0"/>
                <w:iCs w:val="0"/>
                <w:color w:val="000000"/>
                <w:kern w:val="0"/>
                <w:sz w:val="24"/>
                <w:szCs w:val="24"/>
                <w:highlight w:val="none"/>
                <w:u w:val="none"/>
                <w:shd w:val="clear" w:color="auto" w:fill="auto"/>
                <w:lang w:val="en-US" w:eastAsia="zh-CN" w:bidi="ar"/>
              </w:rPr>
              <w:t>序号</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highlight w:val="none"/>
                <w:u w:val="none"/>
                <w:shd w:val="clear" w:color="auto" w:fill="auto"/>
              </w:rPr>
            </w:pPr>
            <w:r>
              <w:rPr>
                <w:rFonts w:hint="eastAsia" w:ascii="仿宋" w:hAnsi="仿宋" w:eastAsia="仿宋" w:cs="仿宋"/>
                <w:i w:val="0"/>
                <w:iCs w:val="0"/>
                <w:color w:val="000000"/>
                <w:kern w:val="0"/>
                <w:sz w:val="24"/>
                <w:szCs w:val="24"/>
                <w:highlight w:val="none"/>
                <w:u w:val="none"/>
                <w:shd w:val="clear" w:color="auto" w:fill="auto"/>
                <w:lang w:val="en-US" w:eastAsia="zh-CN" w:bidi="ar"/>
              </w:rPr>
              <w:t>检验项目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菌落总数</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大肠菌群</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霉菌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酵母</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霉菌和酵母</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商业无菌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乳酸菌数</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嗜渗酵母计数</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金黄色葡萄球菌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4"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沙门氏菌</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单核细胞增生李斯特氏菌</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大肠埃希氏菌0157:H7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铜绿假单胞菌</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副溶血性弧菌</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阪崎肠杆菌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大肠埃希氏菌</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黄曲霉毒素B₁</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黄曲霉毒素M1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4"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玉米赤霉烯酮</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脱氧雪腐镰刀菌烯醇</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赭曲霉毒素A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展青霉素</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铅(以Pb计)</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镉(以Cd计)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总汞(以Hg计)</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26</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总砷(以As计)</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27</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无机砷(以As计)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28</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锡(以Sn计)</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29</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镍</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铬(以Cr计)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4"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31</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硝酸盐(以NaNO,计)</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32</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亚硝酸盐(以NaNO,计)</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33</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N-二甲基亚硝胺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34</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苯并[a]芘</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多氯联苯</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36</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溴酸盐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37</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三氯甲烷</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38</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氰化物(以HCN计)</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39</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4"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40</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阿斯巴甜</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41</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安赛蜜</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42</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苯甲酸及其钠盐(以苯甲酸计)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4"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43</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脱氢乙酸及其钠盐(以脱氢乙酸计)</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44</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山梨酸及其钾盐(以山梨酸计)</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甜蜜素(以环己基氨基磺酸计)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4"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46</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纳他霉素</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47</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丙酸及其钠盐、钙盐(以丙酸计)</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48</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呈味核苷酸二钠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49</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茶多酚</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亮蓝</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51</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柠檬黄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52</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日落黄</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53</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苋菜红</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54</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胭脂红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55</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酸性红</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56</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新红</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57</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酸性橙Ⅱ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58</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靛蓝</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59</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喹啉黄</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60</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赤藓红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1"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61</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糖精钠(以糖精计)</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62</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特丁基对苯二酚(TBHQ)</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63</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对羟基苯甲酸酯类及其钠盐(以对羟基苯甲酸计)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64</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丙二醇</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65</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香兰素</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66</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乙基香兰素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67</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二氧化硫</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68</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二氧化钛</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69</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三氯蔗糖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4"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70</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谷氨酸钠</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71</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铝的残留量(以即食海煮中Al计)</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72</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过氧化物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1"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73</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邻苯二甲酸二丁酯(DBP)、邻苯二甲酸二(2-乙基)已酯(DEHP)</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74</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二氧化硫残留量</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75</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甲基汞(以Hg计）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4"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76</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滑石粉</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77</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乙基麦芽酚</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78</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亚铁氰化钾/亚铁氰化钠(以亚铁氰根计)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4"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79</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咖啡因</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80</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铝的残留量(干样品，以Al计)</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81</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诱惑红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82</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乙二胺四乙酸二钠</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83</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纽甜</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84</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亚硫酸盐(以SO₂计)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4"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85</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丁基羟基茴香醚(BHA)</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86</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二丁基羟基甲苯(BHT)</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87</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酸价(以脂肪计)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4"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88</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酸价(植物油)</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89</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过氧化值(以脂肪计】</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90</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溶剂残留量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5"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91</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余氯(游离氯)</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92</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阴离子合成洗涤剂(以十二烷基苯碳酸钠计)</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93</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丙二醛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8"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94</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氨基酸态氮</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95</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全氮(以氮计）</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96</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铵盐(以占氨基酸态氮的百分比计)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4"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97</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总酸(以乙酸计)</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98</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不挥发酸(以乳酸计)</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99</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钡(以Ba计)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酸度</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101</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界限指标</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102</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103</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电导率</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104</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耗氧量(以O₂计)</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105</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二氧化碳气容量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106</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水分</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107</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组胺</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108</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酒精度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109</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甲醇</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110</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蔗糖分</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111</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还原糖分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112</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色值</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113</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总糖分</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114</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不溶于水杂质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115</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挥发性盐基氮</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116</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蔗糖</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117</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10-羟基-2-癸烯酸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118</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碳水化合物</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119</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铜</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120</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灰分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121</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杂质度</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122</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固形物</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123</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总酸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124</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干浸出物</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125</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麦芽糖</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126</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氯化钠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127</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碘(以I计)</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128</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氯化钾</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129</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蛋白质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130</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脂肪</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131</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非脂乳固体</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132</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133</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能量</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134</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亚油酸</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135</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维生素A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136</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维生素B1</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137</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维生素C</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138</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维生素D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139</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维生素E</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140</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钙</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141</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142</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锌</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143</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钠</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144</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145</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钾</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146</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镁</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147</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148</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锰</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149</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氯</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150</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5"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151</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烟酸</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152</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烟酸(烟酰胺)</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153</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苏丹红I、苏丹红Ⅱ、苏丹红Ⅲ、苏丹红IV</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154</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罗丹明B</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155</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碱性嫩黄</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156</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甲 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157</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过氧化苯甲酰</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158</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三聚氰胺</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159</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富马酸二甲酯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160</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罂粟碱</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161</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吗啡</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162</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可待因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7"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163</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那可丁</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164</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4-氯苯氧乙酸钠(以4-氯苯氧乙酸计)</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165</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6-苄基腺嘌呤(6-BA)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166</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地西泮</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167</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草甘膦</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168</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吡虫啉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169</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克百威</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170</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氟虫腈</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171</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涕灭威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172</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阿维菌素</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173</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灭蝇胺</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174</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甲拌磷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175</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联苯菊酯</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176</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吡蚜酮</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177</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嘧菌酯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178</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多菌灵</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179</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杀虫脒</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180</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水胺硫磷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181</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联苯肼酯</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182</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氯吡脲</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183</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吡唑醚菌酯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184</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噻虫嗪</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185</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烯酰吗啉</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186</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恩诺沙星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7"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187</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替米考星</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188</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五氯酚酸钠(以五氯酚计)</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189</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地塞米松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190</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利巴韦林</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191</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甲硝唑</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192</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喹乙醇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193</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氯丙嗪</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194</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林可霉素</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195</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咪鲜胺和咪鲜胺锰盐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4"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196</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霜霉威和霜霉威盐酸盐</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197</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孔雀石绿</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198</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土霉素/金霉素/四环素(组合含量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199</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2,4-滴和2,4-滴钠盐</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200</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溴氰菊酯</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201</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敌敌畏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202</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莱克多巴胺</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203</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丙环唑</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204</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双甲脒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205</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毒死蜱</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206</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辛硫磷</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207</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啶虫脒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8"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208</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氟虫腈(以氟虫腈、氟甲腈、氟虫腈砜、氟虫腈亚砜之和计)</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209</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氧氟沙星</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210</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诺氟沙星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4"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211</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甲氨基阿维菌素苯甲酸盐</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212</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二甲戊灵</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213</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氧乐果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4"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214</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唑虫酰胺</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215</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苯醚甲环唑</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216</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氯氟氰菊酯和高效氯氟氰菊酯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217</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灭多威</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218</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哒螨灵</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219</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乙酰甲胺磷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220</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虫螨腈</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221</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马拉硫磷</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222</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百菌清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223</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乐果</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224</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腈苯唑</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225</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三唑磷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226</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灭线磷</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227</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三唑醇</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228</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氯唑磷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229</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甲基异柳磷</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230</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腐霉利</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231</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甲胺磷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232</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倍硫磷</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233</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噻虫胺</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234</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敌百虫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8"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235</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氯氰菊酯和高效氯氰菊酯</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236</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氰戊菊酯和S-氰戊菊酯</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237</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氟硅唑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238</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丙溴磷</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239</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己唑醇</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240</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戊唑醇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241</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唑螨酯</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242</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异丙威</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243</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乙螨唑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244</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杀扑磷</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245</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甲砜霉素</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246</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三氯杀螨醇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247</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沙丁胺醇</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248</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四环素</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249</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呋喃唑酮代谢物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250</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呋喃西林代谢物</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251</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呋喃妥因代谢物</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252</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呋喃它酮代谢物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253</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多西环素</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254</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氯霉素</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255</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克伦特罗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256</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金霉素</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257</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土霉素</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258</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地美硝唑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259</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沙拉沙星</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260</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磺胺类(总量)</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261</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氟苯尼考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262</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金刚烷胺</w:t>
            </w:r>
          </w:p>
        </w:tc>
        <w:tc>
          <w:tcPr>
            <w:tcW w:w="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263</w:t>
            </w:r>
          </w:p>
        </w:tc>
        <w:tc>
          <w:tcPr>
            <w:tcW w:w="2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尼卡巴嗪</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264</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甲氧苄啶</w:t>
            </w:r>
          </w:p>
        </w:tc>
      </w:tr>
    </w:tbl>
    <w:p>
      <w:pPr>
        <w:rPr>
          <w:rStyle w:val="16"/>
          <w:rFonts w:hint="eastAsia" w:ascii="仿宋" w:hAnsi="仿宋" w:eastAsia="仿宋" w:cs="仿宋"/>
          <w:b/>
          <w:i w:val="0"/>
          <w:caps w:val="0"/>
          <w:color w:val="000000" w:themeColor="text1"/>
          <w:spacing w:val="0"/>
          <w:w w:val="100"/>
          <w:kern w:val="44"/>
          <w:sz w:val="28"/>
          <w:szCs w:val="28"/>
          <w:highlight w:val="none"/>
          <w:lang w:val="en-US" w:eastAsia="zh-CN" w:bidi="ar-SA"/>
          <w14:textFill>
            <w14:solidFill>
              <w14:schemeClr w14:val="tx1"/>
            </w14:solidFill>
          </w14:textFill>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icrosoft JhengHei">
    <w:panose1 w:val="020B0604030504040204"/>
    <w:charset w:val="88"/>
    <w:family w:val="swiss"/>
    <w:pitch w:val="default"/>
    <w:sig w:usb0="00000087" w:usb1="28AF4000" w:usb2="00000016" w:usb3="00000000" w:csb0="00100009"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Gulim">
    <w:panose1 w:val="020B0600000101010101"/>
    <w:charset w:val="81"/>
    <w:family w:val="auto"/>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0" w:lineRule="exact"/>
      <w:jc w:val="both"/>
      <w:textAlignment w:val="baseline"/>
      <w:rPr>
        <w:rStyle w:val="18"/>
        <w:kern w:val="2"/>
        <w:sz w:val="20"/>
        <w:lang w:val="en-US" w:eastAsia="zh-CN" w:bidi="ar-SA"/>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54</w:t>
                    </w:r>
                    <w:r>
                      <w:fldChar w:fldCharType="end"/>
                    </w:r>
                  </w:p>
                </w:txbxContent>
              </v:textbox>
            </v:shape>
          </w:pict>
        </mc:Fallback>
      </mc:AlternateContent>
    </w:r>
    <w:r>
      <w:rPr>
        <w:rStyle w:val="18"/>
        <w:kern w:val="2"/>
        <w:sz w:val="20"/>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9"/>
                            <w:widowControl/>
                            <w:snapToGrid w:val="0"/>
                            <w:jc w:val="left"/>
                            <w:textAlignment w:val="baseline"/>
                            <w:rPr>
                              <w:rStyle w:val="18"/>
                              <w:rFonts w:ascii="宋体" w:hAnsi="宋体" w:eastAsia="宋体"/>
                              <w:kern w:val="0"/>
                              <w:sz w:val="18"/>
                              <w:szCs w:val="18"/>
                              <w:lang w:val="en-US" w:eastAsia="zh-CN" w:bidi="ar-SA"/>
                            </w:rPr>
                          </w:pPr>
                        </w:p>
                        <w:p>
                          <w:pPr>
                            <w:jc w:val="both"/>
                            <w:textAlignment w:val="baseline"/>
                            <w:rPr>
                              <w:rStyle w:val="18"/>
                              <w:kern w:val="2"/>
                              <w:sz w:val="21"/>
                              <w:lang w:val="en-US" w:eastAsia="zh-CN" w:bidi="ar-SA"/>
                            </w:rPr>
                          </w:pPr>
                        </w:p>
                      </w:txbxContent>
                    </wps:txbx>
                    <wps:bodyPr lIns="0" tIns="0" rIns="0" bIns="0" anchor="t" upright="1"/>
                  </wps:wsp>
                </a:graphicData>
              </a:graphic>
            </wp:anchor>
          </w:drawing>
        </mc:Choice>
        <mc:Fallback>
          <w:pict>
            <v:shape id="文本框 17" o:spid="_x0000_s1026" o:spt="202" type="#_x0000_t202"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P3u45fSAAAABQEAAA8AAAAAAAAAAQAgAAAAIgAAAGRycy9kb3ducmV2Lnht&#10;bFBLAQIUABQAAAAIAIdO4kCpLw6wxgEAAIkDAAAOAAAAAAAAAAEAIAAAACEBAABkcnMvZTJvRG9j&#10;LnhtbFBLBQYAAAAABgAGAFkBAABZBQAAAAA=&#10;">
              <v:fill on="f" focussize="0,0"/>
              <v:stroke on="f" weight="1.25pt"/>
              <v:imagedata o:title=""/>
              <o:lock v:ext="edit" aspectratio="f"/>
              <v:textbox inset="0mm,0mm,0mm,0mm">
                <w:txbxContent>
                  <w:p>
                    <w:pPr>
                      <w:pStyle w:val="9"/>
                      <w:widowControl/>
                      <w:snapToGrid w:val="0"/>
                      <w:jc w:val="left"/>
                      <w:textAlignment w:val="baseline"/>
                      <w:rPr>
                        <w:rStyle w:val="18"/>
                        <w:rFonts w:ascii="宋体" w:hAnsi="宋体" w:eastAsia="宋体"/>
                        <w:kern w:val="0"/>
                        <w:sz w:val="18"/>
                        <w:szCs w:val="18"/>
                        <w:lang w:val="en-US" w:eastAsia="zh-CN" w:bidi="ar-SA"/>
                      </w:rPr>
                    </w:pPr>
                  </w:p>
                  <w:p>
                    <w:pPr>
                      <w:jc w:val="both"/>
                      <w:textAlignment w:val="baseline"/>
                      <w:rPr>
                        <w:rStyle w:val="18"/>
                        <w:kern w:val="2"/>
                        <w:sz w:val="21"/>
                        <w:lang w:val="en-US" w:eastAsia="zh-CN" w:bidi="ar-SA"/>
                      </w:rPr>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1NmQ2NThlNjFlNDliOTIyZTQ4YTk4ZGVkYmYyMGIifQ=="/>
  </w:docVars>
  <w:rsids>
    <w:rsidRoot w:val="7FD04D6E"/>
    <w:rsid w:val="02A233D3"/>
    <w:rsid w:val="0A544625"/>
    <w:rsid w:val="0E376589"/>
    <w:rsid w:val="11EB6DF4"/>
    <w:rsid w:val="13284017"/>
    <w:rsid w:val="174A4B47"/>
    <w:rsid w:val="18202BD0"/>
    <w:rsid w:val="1A7D6D83"/>
    <w:rsid w:val="1B256175"/>
    <w:rsid w:val="1EBE59EE"/>
    <w:rsid w:val="2283689E"/>
    <w:rsid w:val="2A5F3191"/>
    <w:rsid w:val="2CF17298"/>
    <w:rsid w:val="3E34283A"/>
    <w:rsid w:val="3E8911A8"/>
    <w:rsid w:val="403E5BC2"/>
    <w:rsid w:val="40C41E8A"/>
    <w:rsid w:val="430955D9"/>
    <w:rsid w:val="453B4D44"/>
    <w:rsid w:val="4CC74F06"/>
    <w:rsid w:val="502B3283"/>
    <w:rsid w:val="59981914"/>
    <w:rsid w:val="5F7D52B0"/>
    <w:rsid w:val="618948AF"/>
    <w:rsid w:val="6B375D75"/>
    <w:rsid w:val="6D1D0DEA"/>
    <w:rsid w:val="71A65D79"/>
    <w:rsid w:val="720B4AA9"/>
    <w:rsid w:val="743E6724"/>
    <w:rsid w:val="78714D39"/>
    <w:rsid w:val="7DE12EA3"/>
    <w:rsid w:val="7EEE670A"/>
    <w:rsid w:val="7FD04D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8"/>
    <w:autoRedefine/>
    <w:qFormat/>
    <w:uiPriority w:val="0"/>
    <w:pPr>
      <w:jc w:val="both"/>
      <w:textAlignment w:val="baseline"/>
    </w:pPr>
    <w:rPr>
      <w:rFonts w:ascii="Times New Roman" w:hAnsi="Times New Roman" w:eastAsia="宋体" w:cstheme="minorBidi"/>
      <w:kern w:val="2"/>
      <w:sz w:val="21"/>
      <w:lang w:val="en-US" w:eastAsia="zh-CN" w:bidi="ar-SA"/>
    </w:rPr>
  </w:style>
  <w:style w:type="paragraph" w:styleId="3">
    <w:name w:val="heading 1"/>
    <w:basedOn w:val="1"/>
    <w:next w:val="1"/>
    <w:link w:val="12"/>
    <w:autoRedefine/>
    <w:qFormat/>
    <w:uiPriority w:val="0"/>
    <w:pPr>
      <w:spacing w:before="30" w:beforeLines="30" w:after="30" w:afterLines="30" w:line="360" w:lineRule="auto"/>
      <w:ind w:left="0"/>
      <w:jc w:val="center"/>
      <w:outlineLvl w:val="0"/>
    </w:pPr>
    <w:rPr>
      <w:rFonts w:ascii="Microsoft JhengHei" w:hAnsi="Microsoft JhengHei" w:eastAsia="Microsoft JhengHei" w:cs="Times New Roman"/>
      <w:b/>
      <w:bCs/>
      <w:sz w:val="36"/>
      <w:szCs w:val="44"/>
      <w:lang w:eastAsia="en-US"/>
    </w:rPr>
  </w:style>
  <w:style w:type="paragraph" w:styleId="4">
    <w:name w:val="heading 2"/>
    <w:basedOn w:val="1"/>
    <w:next w:val="1"/>
    <w:link w:val="13"/>
    <w:autoRedefine/>
    <w:semiHidden/>
    <w:unhideWhenUsed/>
    <w:qFormat/>
    <w:uiPriority w:val="0"/>
    <w:pPr>
      <w:spacing w:before="50" w:beforeLines="50" w:after="50" w:afterLines="50" w:line="360" w:lineRule="auto"/>
      <w:ind w:left="0"/>
      <w:jc w:val="center"/>
      <w:outlineLvl w:val="1"/>
    </w:pPr>
    <w:rPr>
      <w:rFonts w:ascii="宋体" w:hAnsi="宋体" w:eastAsia="宋体" w:cs="Times New Roman"/>
      <w:sz w:val="32"/>
      <w:szCs w:val="44"/>
      <w:lang w:eastAsia="en-US"/>
    </w:rPr>
  </w:style>
  <w:style w:type="paragraph" w:styleId="5">
    <w:name w:val="heading 3"/>
    <w:basedOn w:val="1"/>
    <w:next w:val="1"/>
    <w:autoRedefine/>
    <w:semiHidden/>
    <w:unhideWhenUsed/>
    <w:qFormat/>
    <w:uiPriority w:val="0"/>
    <w:pPr>
      <w:keepNext/>
      <w:keepLines/>
      <w:spacing w:line="360" w:lineRule="auto"/>
      <w:ind w:firstLine="723" w:firstLineChars="200"/>
      <w:outlineLvl w:val="2"/>
    </w:pPr>
    <w:rPr>
      <w:rFonts w:ascii="仿宋" w:hAnsi="仿宋" w:eastAsia="仿宋" w:cs="仿宋"/>
      <w:b/>
      <w:bCs/>
      <w:kern w:val="0"/>
      <w:sz w:val="28"/>
      <w:szCs w:val="32"/>
    </w:rPr>
  </w:style>
  <w:style w:type="paragraph" w:styleId="2">
    <w:name w:val="heading 4"/>
    <w:basedOn w:val="1"/>
    <w:next w:val="1"/>
    <w:link w:val="14"/>
    <w:autoRedefine/>
    <w:semiHidden/>
    <w:unhideWhenUsed/>
    <w:qFormat/>
    <w:uiPriority w:val="0"/>
    <w:pPr>
      <w:keepNext/>
      <w:keepLines/>
      <w:spacing w:before="280" w:beforeLines="0" w:after="290" w:afterLines="0" w:line="377" w:lineRule="auto"/>
      <w:ind w:left="0"/>
      <w:outlineLvl w:val="3"/>
    </w:pPr>
    <w:rPr>
      <w:rFonts w:ascii="Arial" w:hAnsi="Arial" w:eastAsia="黑体"/>
      <w:b/>
      <w:bCs/>
      <w:sz w:val="28"/>
      <w:szCs w:val="28"/>
    </w:rPr>
  </w:style>
  <w:style w:type="paragraph" w:styleId="6">
    <w:name w:val="heading 5"/>
    <w:basedOn w:val="1"/>
    <w:next w:val="1"/>
    <w:link w:val="15"/>
    <w:autoRedefine/>
    <w:semiHidden/>
    <w:unhideWhenUsed/>
    <w:qFormat/>
    <w:uiPriority w:val="0"/>
    <w:pPr>
      <w:keepNext/>
      <w:keepLines/>
      <w:spacing w:before="280" w:beforeLines="0" w:after="290" w:afterLines="0" w:line="377" w:lineRule="auto"/>
      <w:ind w:left="0"/>
      <w:outlineLvl w:val="4"/>
    </w:pPr>
    <w:rPr>
      <w:rFonts w:ascii="Times New Roman" w:hAnsi="Times New Roman" w:eastAsia="宋体"/>
      <w:b/>
      <w:bCs/>
      <w:sz w:val="28"/>
      <w:szCs w:val="28"/>
    </w:rPr>
  </w:style>
  <w:style w:type="character" w:default="1" w:styleId="11">
    <w:name w:val="Default Paragraph Font"/>
    <w:autoRedefine/>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7">
    <w:name w:val="Normal Indent"/>
    <w:basedOn w:val="1"/>
    <w:autoRedefine/>
    <w:qFormat/>
    <w:uiPriority w:val="0"/>
    <w:pPr>
      <w:ind w:firstLine="420" w:firstLineChars="200"/>
    </w:pPr>
  </w:style>
  <w:style w:type="paragraph" w:styleId="8">
    <w:name w:val="Body Text"/>
    <w:basedOn w:val="1"/>
    <w:next w:val="1"/>
    <w:unhideWhenUsed/>
    <w:qFormat/>
    <w:uiPriority w:val="0"/>
    <w:pPr>
      <w:spacing w:after="120" w:afterLines="0" w:afterAutospacing="0"/>
    </w:pPr>
    <w:rPr>
      <w:rFonts w:hint="eastAsia" w:ascii="宋体" w:hAnsi="宋体" w:eastAsia="仿宋" w:cs="宋体"/>
      <w:kern w:val="0"/>
      <w:sz w:val="24"/>
      <w:szCs w:val="21"/>
    </w:rPr>
  </w:style>
  <w:style w:type="paragraph" w:styleId="9">
    <w:name w:val="footer"/>
    <w:basedOn w:val="1"/>
    <w:next w:val="8"/>
    <w:qFormat/>
    <w:uiPriority w:val="0"/>
    <w:pPr>
      <w:tabs>
        <w:tab w:val="center" w:pos="4153"/>
        <w:tab w:val="right" w:pos="8306"/>
      </w:tabs>
      <w:snapToGrid w:val="0"/>
      <w:jc w:val="left"/>
      <w:textAlignment w:val="baseline"/>
    </w:pPr>
    <w:rPr>
      <w:rFonts w:ascii="宋体" w:hAnsi="宋体" w:eastAsia="仿宋"/>
      <w:kern w:val="0"/>
      <w:sz w:val="18"/>
      <w:szCs w:val="18"/>
      <w:lang w:val="en-US" w:eastAsia="zh-CN" w:bidi="ar-SA"/>
    </w:rPr>
  </w:style>
  <w:style w:type="character" w:customStyle="1" w:styleId="12">
    <w:name w:val="标题 1 Char"/>
    <w:basedOn w:val="11"/>
    <w:link w:val="3"/>
    <w:autoRedefine/>
    <w:qFormat/>
    <w:uiPriority w:val="0"/>
    <w:rPr>
      <w:rFonts w:ascii="Times New Roman" w:hAnsi="Times New Roman" w:eastAsia="楷体" w:cs="Times New Roman"/>
      <w:b/>
      <w:kern w:val="44"/>
      <w:sz w:val="44"/>
      <w:szCs w:val="22"/>
      <w:lang w:eastAsia="en-US"/>
    </w:rPr>
  </w:style>
  <w:style w:type="character" w:customStyle="1" w:styleId="13">
    <w:name w:val="标题 2 Char"/>
    <w:link w:val="4"/>
    <w:autoRedefine/>
    <w:qFormat/>
    <w:uiPriority w:val="0"/>
    <w:rPr>
      <w:rFonts w:ascii="宋体" w:hAnsi="宋体" w:eastAsia="宋体" w:cs="Times New Roman"/>
      <w:b/>
      <w:sz w:val="30"/>
      <w:lang w:eastAsia="en-US"/>
    </w:rPr>
  </w:style>
  <w:style w:type="character" w:customStyle="1" w:styleId="14">
    <w:name w:val="标题 4 Char"/>
    <w:basedOn w:val="11"/>
    <w:link w:val="2"/>
    <w:autoRedefine/>
    <w:qFormat/>
    <w:uiPriority w:val="0"/>
    <w:rPr>
      <w:rFonts w:ascii="Arial" w:hAnsi="Arial" w:eastAsia="黑体"/>
      <w:b/>
      <w:bCs/>
      <w:kern w:val="2"/>
      <w:sz w:val="28"/>
      <w:szCs w:val="28"/>
      <w:lang w:val="en-US" w:eastAsia="zh-CN" w:bidi="ar-SA"/>
    </w:rPr>
  </w:style>
  <w:style w:type="character" w:customStyle="1" w:styleId="15">
    <w:name w:val="标题 5 Char"/>
    <w:basedOn w:val="11"/>
    <w:link w:val="6"/>
    <w:autoRedefine/>
    <w:qFormat/>
    <w:uiPriority w:val="0"/>
    <w:rPr>
      <w:rFonts w:ascii="Times New Roman" w:hAnsi="Times New Roman" w:eastAsia="宋体"/>
      <w:b/>
      <w:bCs/>
      <w:kern w:val="2"/>
      <w:sz w:val="28"/>
      <w:szCs w:val="28"/>
      <w:lang w:val="en-US" w:eastAsia="zh-CN" w:bidi="ar-SA"/>
    </w:rPr>
  </w:style>
  <w:style w:type="character" w:customStyle="1" w:styleId="16">
    <w:name w:val="UserStyle_88"/>
    <w:link w:val="17"/>
    <w:autoRedefine/>
    <w:qFormat/>
    <w:uiPriority w:val="0"/>
    <w:rPr>
      <w:b/>
      <w:kern w:val="44"/>
      <w:sz w:val="44"/>
      <w:lang w:val="en-US" w:eastAsia="zh-CN" w:bidi="ar-SA"/>
    </w:rPr>
  </w:style>
  <w:style w:type="paragraph" w:customStyle="1" w:styleId="17">
    <w:name w:val="Heading1"/>
    <w:basedOn w:val="1"/>
    <w:next w:val="1"/>
    <w:link w:val="16"/>
    <w:autoRedefine/>
    <w:qFormat/>
    <w:uiPriority w:val="0"/>
    <w:pPr>
      <w:keepNext/>
      <w:keepLines/>
      <w:spacing w:before="340" w:after="330" w:line="576" w:lineRule="auto"/>
      <w:jc w:val="both"/>
      <w:textAlignment w:val="baseline"/>
    </w:pPr>
    <w:rPr>
      <w:b/>
      <w:kern w:val="44"/>
      <w:sz w:val="44"/>
      <w:lang w:val="en-US" w:eastAsia="zh-CN" w:bidi="ar-SA"/>
    </w:rPr>
  </w:style>
  <w:style w:type="character" w:customStyle="1" w:styleId="18">
    <w:name w:val="NormalCharacter"/>
    <w:link w:val="1"/>
    <w:autoRedefine/>
    <w:qFormat/>
    <w:uiPriority w:val="0"/>
    <w:rPr>
      <w:rFonts w:ascii="Times New Roman" w:hAnsi="Times New Roman" w:eastAsia="宋体" w:cstheme="minorBidi"/>
      <w:kern w:val="2"/>
      <w:sz w:val="21"/>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2024-03-08T06:25:00Z</dcterms:created>
  <dc:creator>➰袁先森</dc:creator>
  <cp:lastModifiedBy>➰袁先森</cp:lastModifiedBy>
  <dcterms:modified xsi:type="dcterms:W3CDTF">2024-03-08T06:30:08Z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8E502B8E04EC4520B70D8BA4B3CDE896_11</vt:lpwstr>
  </property>
</Properties>
</file>