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版本号：ZHJ-2025-011（二次）.1B220251016001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2025年西安市数字化城市管理信息处置中心西安市数字城管APP通讯延续运维项目（三次）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ZHJ-2025-011（二次）.1B2</w:t>
      </w:r>
      <w:r>
        <w:br/>
      </w:r>
      <w:r>
        <w:br/>
      </w:r>
      <w:r>
        <w:br/>
      </w:r>
    </w:p>
    <w:p>
      <w:pPr>
        <w:pStyle w:val="null3"/>
        <w:jc w:val="center"/>
        <w:outlineLvl w:val="2"/>
      </w:pPr>
      <w:r>
        <w:rPr>
          <w:rFonts w:ascii="仿宋_GB2312" w:hAnsi="仿宋_GB2312" w:cs="仿宋_GB2312" w:eastAsia="仿宋_GB2312"/>
          <w:sz w:val="28"/>
          <w:b/>
        </w:rPr>
        <w:t>西安市智慧城管指挥中心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西安市智慧城管指挥中心</w:t>
      </w:r>
      <w:r>
        <w:rPr>
          <w:rFonts w:ascii="仿宋_GB2312" w:hAnsi="仿宋_GB2312" w:cs="仿宋_GB2312" w:eastAsia="仿宋_GB2312"/>
        </w:rPr>
        <w:t>委托，拟对</w:t>
      </w:r>
      <w:r>
        <w:rPr>
          <w:rFonts w:ascii="仿宋_GB2312" w:hAnsi="仿宋_GB2312" w:cs="仿宋_GB2312" w:eastAsia="仿宋_GB2312"/>
        </w:rPr>
        <w:t>2025年西安市数字化城市管理信息处置中心西安市数字城管APP通讯延续运维项目（三次）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ZHJ-2025-011（二次）.1B2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2025年西安市数字化城市管理信息处置中心西安市数字城管APP通讯延续运维项目（三次）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2025年西安市数字化城市管理信息处置中心西安市数字城管APP通讯延续运维项目（三次），项目概况：对“数字城管”移动智能（含决策智能）APP用户，提供通讯服务。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pPr>
        <w:pStyle w:val="null3"/>
      </w:pPr>
      <w:r>
        <w:rPr>
          <w:rFonts w:ascii="仿宋_GB2312" w:hAnsi="仿宋_GB2312" w:cs="仿宋_GB2312" w:eastAsia="仿宋_GB2312"/>
        </w:rPr>
        <w:t>3、财务状况报告：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pPr>
        <w:pStyle w:val="null3"/>
      </w:pPr>
      <w:r>
        <w:rPr>
          <w:rFonts w:ascii="仿宋_GB2312" w:hAnsi="仿宋_GB2312" w:cs="仿宋_GB2312" w:eastAsia="仿宋_GB2312"/>
        </w:rPr>
        <w:t>4、税收缴纳证明：提供磋商截止日前六个月已缴纳的至少一个月的纳税证明或完税证明，依法免税的单位应提供相关证明材料；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5、社会保障资金缴纳证明：提供磋商截止日前六个月已缴纳的至少一个月的社会保障资金缴存单据或社保机构开具的社会保险参保缴费情况证明，依法不需要缴纳社会保障资金的单位应提供相关证明材料；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pPr>
        <w:pStyle w:val="null3"/>
      </w:pPr>
      <w:r>
        <w:rPr>
          <w:rFonts w:ascii="仿宋_GB2312" w:hAnsi="仿宋_GB2312" w:cs="仿宋_GB2312" w:eastAsia="仿宋_GB2312"/>
        </w:rPr>
        <w:t>7、书面声明：参加政府采购活动前三年内，在经营活动中没有重大违法记录的书面声明（提供承诺书）；</w:t>
      </w:r>
    </w:p>
    <w:p>
      <w:pPr>
        <w:pStyle w:val="null3"/>
      </w:pPr>
      <w:r>
        <w:rPr>
          <w:rFonts w:ascii="仿宋_GB2312" w:hAnsi="仿宋_GB2312" w:cs="仿宋_GB2312" w:eastAsia="仿宋_GB2312"/>
        </w:rPr>
        <w:t>8、承诺书：提供具有履行合同所必需的设备和专业技术能力的承诺（提供承诺书）</w:t>
      </w:r>
    </w:p>
    <w:p>
      <w:pPr>
        <w:pStyle w:val="null3"/>
      </w:pPr>
      <w:r>
        <w:rPr>
          <w:rFonts w:ascii="仿宋_GB2312" w:hAnsi="仿宋_GB2312" w:cs="仿宋_GB2312" w:eastAsia="仿宋_GB2312"/>
        </w:rPr>
        <w:t>9、承诺书：本项目不接受联合体磋商（提供承诺书）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西安市智慧城管指挥中心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86783616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代理服务费收费标准：本项目采购招标代理服务费参照《国家计委关于印发&lt;招标代理服务收费管理暂行办法&gt;的通知》（计价格【2002】1980号）文件和《国家发改委发改价格【2011】534号文件》规定标准下浮20% 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西安市智慧城管指挥中心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西安市智慧城管指挥中心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西安市智慧城管指挥中心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联系电话：029-89878539</w:t>
      </w:r>
    </w:p>
    <w:p>
      <w:pPr>
        <w:pStyle w:val="null3"/>
      </w:pPr>
      <w:r>
        <w:rPr>
          <w:rFonts w:ascii="仿宋_GB2312" w:hAnsi="仿宋_GB2312" w:cs="仿宋_GB2312" w:eastAsia="仿宋_GB2312"/>
        </w:rPr>
        <w:t>地址：西安市浐灞生态区欧亚大道666号欧亚国际一期A座0917</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对“数字城管”移动智能（含决策智能）APP用户，提供通讯服务。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973,000.00</w:t>
      </w:r>
    </w:p>
    <w:p>
      <w:pPr>
        <w:pStyle w:val="null3"/>
      </w:pPr>
      <w:r>
        <w:rPr>
          <w:rFonts w:ascii="仿宋_GB2312" w:hAnsi="仿宋_GB2312" w:cs="仿宋_GB2312" w:eastAsia="仿宋_GB2312"/>
        </w:rPr>
        <w:t>采购包最高限价（元）: 973,000.00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对“数字城管”移动智能（含决策智能）APP用户，提供通讯服务。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标的名称：对“数字城管”移动智能（含决策智能）APP用户，提供通讯服务。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采购内容及技术要求</w:t>
            </w:r>
          </w:p>
          <w:p>
            <w:pPr>
              <w:pStyle w:val="null3"/>
              <w:ind w:firstLine="640"/>
              <w:jc w:val="left"/>
            </w:pPr>
            <w:r>
              <w:rPr>
                <w:rFonts w:ascii="仿宋_GB2312" w:hAnsi="仿宋_GB2312" w:cs="仿宋_GB2312" w:eastAsia="仿宋_GB2312"/>
                <w:sz w:val="24"/>
                <w:b/>
                <w:color w:val="000000"/>
              </w:rPr>
              <w:t>一、采购内容</w:t>
            </w:r>
          </w:p>
          <w:p>
            <w:pPr>
              <w:pStyle w:val="null3"/>
              <w:ind w:firstLine="645"/>
              <w:jc w:val="left"/>
            </w:pPr>
            <w:r>
              <w:rPr>
                <w:rFonts w:ascii="仿宋_GB2312" w:hAnsi="仿宋_GB2312" w:cs="仿宋_GB2312" w:eastAsia="仿宋_GB2312"/>
                <w:sz w:val="24"/>
                <w:color w:val="000000"/>
              </w:rPr>
              <w:t>对</w:t>
            </w:r>
            <w:r>
              <w:rPr>
                <w:rFonts w:ascii="仿宋_GB2312" w:hAnsi="仿宋_GB2312" w:cs="仿宋_GB2312" w:eastAsia="仿宋_GB2312"/>
                <w:sz w:val="24"/>
                <w:color w:val="000000"/>
              </w:rPr>
              <w:t>“数字城管”移动智能（含决策智能）APP用户，提供通讯服务。</w:t>
            </w:r>
          </w:p>
          <w:p>
            <w:pPr>
              <w:pStyle w:val="null3"/>
              <w:ind w:firstLine="640"/>
              <w:jc w:val="left"/>
            </w:pPr>
            <w:r>
              <w:rPr>
                <w:rFonts w:ascii="仿宋_GB2312" w:hAnsi="仿宋_GB2312" w:cs="仿宋_GB2312" w:eastAsia="仿宋_GB2312"/>
                <w:sz w:val="24"/>
                <w:b/>
                <w:color w:val="000000"/>
              </w:rPr>
              <w:t>二、技术要求</w:t>
            </w:r>
          </w:p>
          <w:p>
            <w:pPr>
              <w:pStyle w:val="null3"/>
              <w:ind w:firstLine="645"/>
              <w:jc w:val="left"/>
            </w:pPr>
            <w:r>
              <w:rPr>
                <w:rFonts w:ascii="仿宋_GB2312" w:hAnsi="仿宋_GB2312" w:cs="仿宋_GB2312" w:eastAsia="仿宋_GB2312"/>
                <w:sz w:val="24"/>
                <w:color w:val="000000"/>
              </w:rPr>
              <w:t>（一）基于运营商无线通讯网络，实现</w:t>
            </w:r>
            <w:r>
              <w:rPr>
                <w:rFonts w:ascii="仿宋_GB2312" w:hAnsi="仿宋_GB2312" w:cs="仿宋_GB2312" w:eastAsia="仿宋_GB2312"/>
                <w:sz w:val="24"/>
                <w:color w:val="000000"/>
              </w:rPr>
              <w:t>“数字城管”决策及移动智能APP无线网络通讯，保障其与数字城管信息系统正常网络数据交互。</w:t>
            </w:r>
          </w:p>
          <w:p>
            <w:pPr>
              <w:pStyle w:val="null3"/>
              <w:ind w:firstLine="645"/>
              <w:jc w:val="left"/>
            </w:pPr>
            <w:r>
              <w:rPr>
                <w:rFonts w:ascii="仿宋_GB2312" w:hAnsi="仿宋_GB2312" w:cs="仿宋_GB2312" w:eastAsia="仿宋_GB2312"/>
                <w:sz w:val="24"/>
                <w:color w:val="000000"/>
              </w:rPr>
              <w:t>（二）同一专网内通话时长不限。</w:t>
            </w:r>
          </w:p>
          <w:p>
            <w:pPr>
              <w:pStyle w:val="null3"/>
              <w:ind w:firstLine="645"/>
              <w:jc w:val="left"/>
            </w:pPr>
            <w:r>
              <w:rPr>
                <w:rFonts w:ascii="仿宋_GB2312" w:hAnsi="仿宋_GB2312" w:cs="仿宋_GB2312" w:eastAsia="仿宋_GB2312"/>
                <w:sz w:val="24"/>
                <w:color w:val="000000"/>
              </w:rPr>
              <w:t>（三）优先使用甲方提供的通讯号码（含携号转网）。</w:t>
            </w:r>
          </w:p>
          <w:p>
            <w:pPr>
              <w:pStyle w:val="null3"/>
              <w:ind w:firstLine="645"/>
              <w:jc w:val="left"/>
            </w:pPr>
            <w:r>
              <w:rPr>
                <w:rFonts w:ascii="仿宋_GB2312" w:hAnsi="仿宋_GB2312" w:cs="仿宋_GB2312" w:eastAsia="仿宋_GB2312"/>
                <w:sz w:val="24"/>
                <w:color w:val="000000"/>
              </w:rPr>
              <w:t>（四）使用新开卡号码的，需提供所需号码总数</w:t>
            </w:r>
            <w:r>
              <w:rPr>
                <w:rFonts w:ascii="仿宋_GB2312" w:hAnsi="仿宋_GB2312" w:cs="仿宋_GB2312" w:eastAsia="仿宋_GB2312"/>
                <w:sz w:val="24"/>
                <w:color w:val="000000"/>
              </w:rPr>
              <w:t>2倍的号码供甲方用户自选。</w:t>
            </w:r>
          </w:p>
          <w:p>
            <w:pPr>
              <w:pStyle w:val="null3"/>
              <w:jc w:val="left"/>
            </w:pPr>
            <w:r>
              <w:rPr>
                <w:rFonts w:ascii="仿宋_GB2312" w:hAnsi="仿宋_GB2312" w:cs="仿宋_GB2312" w:eastAsia="仿宋_GB2312"/>
                <w:sz w:val="24"/>
                <w:b/>
                <w:color w:val="000000"/>
              </w:rPr>
              <w:t>商务要求</w:t>
            </w:r>
          </w:p>
          <w:p>
            <w:pPr>
              <w:pStyle w:val="null3"/>
              <w:ind w:firstLine="640"/>
              <w:jc w:val="left"/>
            </w:pPr>
            <w:r>
              <w:rPr>
                <w:rFonts w:ascii="仿宋_GB2312" w:hAnsi="仿宋_GB2312" w:cs="仿宋_GB2312" w:eastAsia="仿宋_GB2312"/>
                <w:sz w:val="24"/>
                <w:b/>
                <w:color w:val="000000"/>
              </w:rPr>
              <w:t>一、服务提供地点</w:t>
            </w:r>
          </w:p>
          <w:p>
            <w:pPr>
              <w:pStyle w:val="null3"/>
              <w:ind w:firstLine="645"/>
              <w:jc w:val="left"/>
            </w:pPr>
            <w:r>
              <w:rPr>
                <w:rFonts w:ascii="仿宋_GB2312" w:hAnsi="仿宋_GB2312" w:cs="仿宋_GB2312" w:eastAsia="仿宋_GB2312"/>
                <w:sz w:val="24"/>
                <w:color w:val="000000"/>
              </w:rPr>
              <w:t>西安市智慧城管指挥中心指定地点。</w:t>
            </w:r>
          </w:p>
          <w:p>
            <w:pPr>
              <w:pStyle w:val="null3"/>
              <w:ind w:firstLine="640"/>
              <w:jc w:val="left"/>
            </w:pPr>
            <w:r>
              <w:rPr>
                <w:rFonts w:ascii="仿宋_GB2312" w:hAnsi="仿宋_GB2312" w:cs="仿宋_GB2312" w:eastAsia="仿宋_GB2312"/>
                <w:sz w:val="24"/>
                <w:b/>
                <w:color w:val="000000"/>
              </w:rPr>
              <w:t>二、服务期限</w:t>
            </w:r>
          </w:p>
          <w:p>
            <w:pPr>
              <w:pStyle w:val="null3"/>
              <w:ind w:firstLine="645"/>
              <w:jc w:val="left"/>
            </w:pPr>
            <w:r>
              <w:rPr>
                <w:rFonts w:ascii="仿宋_GB2312" w:hAnsi="仿宋_GB2312" w:cs="仿宋_GB2312" w:eastAsia="仿宋_GB2312"/>
                <w:sz w:val="24"/>
                <w:color w:val="000000"/>
              </w:rPr>
              <w:t>一年。</w:t>
            </w:r>
          </w:p>
          <w:p>
            <w:pPr>
              <w:pStyle w:val="null3"/>
              <w:ind w:firstLine="640"/>
              <w:jc w:val="left"/>
            </w:pPr>
            <w:r>
              <w:rPr>
                <w:rFonts w:ascii="仿宋_GB2312" w:hAnsi="仿宋_GB2312" w:cs="仿宋_GB2312" w:eastAsia="仿宋_GB2312"/>
                <w:sz w:val="24"/>
                <w:b/>
                <w:color w:val="000000"/>
              </w:rPr>
              <w:t>三、服务内容</w:t>
            </w:r>
          </w:p>
          <w:p>
            <w:pPr>
              <w:pStyle w:val="null3"/>
              <w:ind w:firstLine="645"/>
              <w:jc w:val="left"/>
            </w:pPr>
            <w:r>
              <w:rPr>
                <w:rFonts w:ascii="仿宋_GB2312" w:hAnsi="仿宋_GB2312" w:cs="仿宋_GB2312" w:eastAsia="仿宋_GB2312"/>
                <w:sz w:val="24"/>
                <w:color w:val="000000"/>
              </w:rPr>
              <w:t>提供不少于</w:t>
            </w:r>
            <w:r>
              <w:rPr>
                <w:rFonts w:ascii="仿宋_GB2312" w:hAnsi="仿宋_GB2312" w:cs="仿宋_GB2312" w:eastAsia="仿宋_GB2312"/>
                <w:sz w:val="24"/>
                <w:color w:val="000000"/>
              </w:rPr>
              <w:t>480个“数字城管”移动智能（含决策智能）APP的无线通讯服务。</w:t>
            </w:r>
          </w:p>
          <w:p>
            <w:pPr>
              <w:pStyle w:val="null3"/>
              <w:ind w:firstLine="640"/>
              <w:jc w:val="left"/>
            </w:pPr>
            <w:r>
              <w:rPr>
                <w:rFonts w:ascii="仿宋_GB2312" w:hAnsi="仿宋_GB2312" w:cs="仿宋_GB2312" w:eastAsia="仿宋_GB2312"/>
                <w:sz w:val="24"/>
                <w:b/>
                <w:color w:val="000000"/>
              </w:rPr>
              <w:t>四、合同价款</w:t>
            </w:r>
          </w:p>
          <w:p>
            <w:pPr>
              <w:pStyle w:val="null3"/>
              <w:ind w:firstLine="645"/>
              <w:jc w:val="left"/>
            </w:pPr>
            <w:r>
              <w:rPr>
                <w:rFonts w:ascii="仿宋_GB2312" w:hAnsi="仿宋_GB2312" w:cs="仿宋_GB2312" w:eastAsia="仿宋_GB2312"/>
                <w:sz w:val="24"/>
                <w:color w:val="000000"/>
              </w:rPr>
              <w:t>（一）合同单价（每个</w:t>
            </w:r>
            <w:r>
              <w:rPr>
                <w:rFonts w:ascii="仿宋_GB2312" w:hAnsi="仿宋_GB2312" w:cs="仿宋_GB2312" w:eastAsia="仿宋_GB2312"/>
                <w:sz w:val="24"/>
                <w:color w:val="000000"/>
              </w:rPr>
              <w:t>APP的无线通讯服务价格）包括：通讯服务费、APP载体费及实施本合同国家按现行政策征收的一切相关税费和其它一切相关费用。</w:t>
            </w:r>
          </w:p>
          <w:p>
            <w:pPr>
              <w:pStyle w:val="null3"/>
              <w:ind w:firstLine="645"/>
              <w:jc w:val="left"/>
            </w:pPr>
            <w:r>
              <w:rPr>
                <w:rFonts w:ascii="仿宋_GB2312" w:hAnsi="仿宋_GB2312" w:cs="仿宋_GB2312" w:eastAsia="仿宋_GB2312"/>
                <w:sz w:val="24"/>
                <w:color w:val="000000"/>
              </w:rPr>
              <w:t>（二）合同单价最高限价（大写）贰仟元整（￥</w:t>
            </w:r>
            <w:r>
              <w:rPr>
                <w:rFonts w:ascii="仿宋_GB2312" w:hAnsi="仿宋_GB2312" w:cs="仿宋_GB2312" w:eastAsia="仿宋_GB2312"/>
                <w:sz w:val="24"/>
                <w:color w:val="000000"/>
              </w:rPr>
              <w:t>2000）。</w:t>
            </w:r>
          </w:p>
          <w:p>
            <w:pPr>
              <w:pStyle w:val="null3"/>
              <w:ind w:firstLine="645"/>
              <w:jc w:val="left"/>
            </w:pPr>
            <w:r>
              <w:rPr>
                <w:rFonts w:ascii="仿宋_GB2312" w:hAnsi="仿宋_GB2312" w:cs="仿宋_GB2312" w:eastAsia="仿宋_GB2312"/>
                <w:sz w:val="24"/>
                <w:color w:val="000000"/>
              </w:rPr>
              <w:t>（三）合同单价一次性包死，不受市场价格变化因素的影响。</w:t>
            </w:r>
          </w:p>
          <w:p>
            <w:pPr>
              <w:pStyle w:val="null3"/>
              <w:ind w:firstLine="640"/>
              <w:jc w:val="left"/>
            </w:pPr>
            <w:r>
              <w:rPr>
                <w:rFonts w:ascii="仿宋_GB2312" w:hAnsi="仿宋_GB2312" w:cs="仿宋_GB2312" w:eastAsia="仿宋_GB2312"/>
                <w:sz w:val="24"/>
                <w:b/>
                <w:color w:val="000000"/>
              </w:rPr>
              <w:t>五、款项结算</w:t>
            </w:r>
          </w:p>
          <w:p>
            <w:pPr>
              <w:pStyle w:val="null3"/>
              <w:ind w:firstLine="645"/>
              <w:jc w:val="left"/>
            </w:pPr>
            <w:r>
              <w:rPr>
                <w:rFonts w:ascii="仿宋_GB2312" w:hAnsi="仿宋_GB2312" w:cs="仿宋_GB2312" w:eastAsia="仿宋_GB2312"/>
                <w:sz w:val="24"/>
                <w:color w:val="000000"/>
              </w:rPr>
              <w:t>（一）合同单价签订后，按照甲方实际需要数量据实结算项目总价。最终支付的合同总额不得超出本项目的采购预算。</w:t>
            </w:r>
          </w:p>
          <w:p>
            <w:pPr>
              <w:pStyle w:val="null3"/>
              <w:ind w:firstLine="645"/>
              <w:jc w:val="left"/>
            </w:pPr>
            <w:r>
              <w:rPr>
                <w:rFonts w:ascii="仿宋_GB2312" w:hAnsi="仿宋_GB2312" w:cs="仿宋_GB2312" w:eastAsia="仿宋_GB2312"/>
                <w:sz w:val="24"/>
                <w:color w:val="000000"/>
              </w:rPr>
              <w:t>（二）服务期内总预算价为人民币（大写）玖拾柒万叁仟元整（￥</w:t>
            </w:r>
            <w:r>
              <w:rPr>
                <w:rFonts w:ascii="仿宋_GB2312" w:hAnsi="仿宋_GB2312" w:cs="仿宋_GB2312" w:eastAsia="仿宋_GB2312"/>
                <w:sz w:val="24"/>
                <w:color w:val="000000"/>
              </w:rPr>
              <w:t>973000.00）。</w:t>
            </w:r>
          </w:p>
          <w:p>
            <w:pPr>
              <w:pStyle w:val="null3"/>
              <w:ind w:firstLine="645"/>
              <w:jc w:val="left"/>
            </w:pPr>
            <w:r>
              <w:rPr>
                <w:rFonts w:ascii="仿宋_GB2312" w:hAnsi="仿宋_GB2312" w:cs="仿宋_GB2312" w:eastAsia="仿宋_GB2312"/>
                <w:sz w:val="24"/>
                <w:color w:val="000000"/>
              </w:rPr>
              <w:t>（三）支付方式：银行转账。</w:t>
            </w:r>
          </w:p>
          <w:p>
            <w:pPr>
              <w:pStyle w:val="null3"/>
              <w:ind w:firstLine="645"/>
              <w:jc w:val="left"/>
            </w:pPr>
            <w:r>
              <w:rPr>
                <w:rFonts w:ascii="仿宋_GB2312" w:hAnsi="仿宋_GB2312" w:cs="仿宋_GB2312" w:eastAsia="仿宋_GB2312"/>
                <w:sz w:val="24"/>
                <w:color w:val="000000"/>
              </w:rPr>
              <w:t>（四）结算方式：供应商持合同、发票（按实际金额直开采购人），与采购人结算。</w:t>
            </w:r>
          </w:p>
          <w:p>
            <w:pPr>
              <w:pStyle w:val="null3"/>
              <w:ind w:firstLine="640"/>
              <w:jc w:val="left"/>
            </w:pPr>
            <w:r>
              <w:rPr>
                <w:rFonts w:ascii="仿宋_GB2312" w:hAnsi="仿宋_GB2312" w:cs="仿宋_GB2312" w:eastAsia="仿宋_GB2312"/>
                <w:sz w:val="24"/>
                <w:b/>
                <w:color w:val="000000"/>
              </w:rPr>
              <w:t>六、服务商要求</w:t>
            </w:r>
          </w:p>
          <w:p>
            <w:pPr>
              <w:pStyle w:val="null3"/>
              <w:ind w:firstLine="645"/>
              <w:jc w:val="left"/>
            </w:pPr>
            <w:r>
              <w:rPr>
                <w:rFonts w:ascii="仿宋_GB2312" w:hAnsi="仿宋_GB2312" w:cs="仿宋_GB2312" w:eastAsia="仿宋_GB2312"/>
                <w:sz w:val="24"/>
                <w:color w:val="000000"/>
              </w:rPr>
              <w:t>投标单位应具有电信业务相关的实施能力与经验。</w:t>
            </w:r>
          </w:p>
          <w:p>
            <w:pPr>
              <w:pStyle w:val="null3"/>
              <w:ind w:firstLine="640"/>
              <w:jc w:val="left"/>
            </w:pPr>
            <w:r>
              <w:rPr>
                <w:rFonts w:ascii="仿宋_GB2312" w:hAnsi="仿宋_GB2312" w:cs="仿宋_GB2312" w:eastAsia="仿宋_GB2312"/>
                <w:sz w:val="24"/>
                <w:b/>
                <w:color w:val="000000"/>
              </w:rPr>
              <w:t>七、安全责任</w:t>
            </w:r>
          </w:p>
          <w:p>
            <w:pPr>
              <w:pStyle w:val="null3"/>
              <w:ind w:firstLine="645"/>
              <w:jc w:val="left"/>
            </w:pPr>
            <w:r>
              <w:rPr>
                <w:rFonts w:ascii="仿宋_GB2312" w:hAnsi="仿宋_GB2312" w:cs="仿宋_GB2312" w:eastAsia="仿宋_GB2312"/>
                <w:sz w:val="24"/>
                <w:color w:val="000000"/>
              </w:rPr>
              <w:t>供应商在项目服务期间发生的人员及设备安全事故，由中标方自行负责，与采购方无关。</w:t>
            </w:r>
          </w:p>
          <w:p>
            <w:pPr>
              <w:pStyle w:val="null3"/>
              <w:ind w:firstLine="640"/>
              <w:jc w:val="left"/>
            </w:pPr>
            <w:r>
              <w:rPr>
                <w:rFonts w:ascii="仿宋_GB2312" w:hAnsi="仿宋_GB2312" w:cs="仿宋_GB2312" w:eastAsia="仿宋_GB2312"/>
                <w:sz w:val="24"/>
                <w:b/>
                <w:color w:val="000000"/>
              </w:rPr>
              <w:t>八、售后服务要求</w:t>
            </w:r>
          </w:p>
          <w:p>
            <w:pPr>
              <w:pStyle w:val="null3"/>
              <w:ind w:firstLine="645"/>
              <w:jc w:val="left"/>
            </w:pPr>
            <w:r>
              <w:rPr>
                <w:rFonts w:ascii="仿宋_GB2312" w:hAnsi="仿宋_GB2312" w:cs="仿宋_GB2312" w:eastAsia="仿宋_GB2312"/>
                <w:sz w:val="24"/>
                <w:color w:val="000000"/>
              </w:rPr>
              <w:t>（一）用户资料录入及管理</w:t>
            </w:r>
          </w:p>
          <w:p>
            <w:pPr>
              <w:pStyle w:val="null3"/>
              <w:ind w:firstLine="645"/>
              <w:jc w:val="left"/>
            </w:pPr>
            <w:r>
              <w:rPr>
                <w:rFonts w:ascii="仿宋_GB2312" w:hAnsi="仿宋_GB2312" w:cs="仿宋_GB2312" w:eastAsia="仿宋_GB2312"/>
                <w:sz w:val="24"/>
                <w:color w:val="000000"/>
              </w:rPr>
              <w:t>供应商负责依据甲方提供的用户名单，安排专人办理用户入网资料、套餐的录入及管理，解决用户在使用过程中出现的故障和各种问题。</w:t>
            </w:r>
          </w:p>
          <w:p>
            <w:pPr>
              <w:pStyle w:val="null3"/>
              <w:ind w:firstLine="645"/>
              <w:jc w:val="left"/>
            </w:pPr>
            <w:r>
              <w:rPr>
                <w:rFonts w:ascii="仿宋_GB2312" w:hAnsi="仿宋_GB2312" w:cs="仿宋_GB2312" w:eastAsia="仿宋_GB2312"/>
                <w:sz w:val="24"/>
                <w:color w:val="000000"/>
              </w:rPr>
              <w:t>完成用户入网录入后，供应商应安排专人核对录入用户是否与甲方提供名单一致，并向甲方反馈核对情况，确保按照甲方提供的用户名单，开通服务。因供应商未尽核对责任，用户产生的各种通讯费用由供应商承担。</w:t>
            </w:r>
          </w:p>
          <w:p>
            <w:pPr>
              <w:pStyle w:val="null3"/>
              <w:ind w:firstLine="645"/>
              <w:jc w:val="left"/>
            </w:pPr>
            <w:r>
              <w:rPr>
                <w:rFonts w:ascii="仿宋_GB2312" w:hAnsi="仿宋_GB2312" w:cs="仿宋_GB2312" w:eastAsia="仿宋_GB2312"/>
                <w:sz w:val="24"/>
                <w:color w:val="000000"/>
              </w:rPr>
              <w:t>优先使用甲方提供的通讯号码（含携号转网），若存在用户个人需配合供应商办理的业务问题，供应商应第一时间指导用户办理相关业务。若确认不能使用甲方提供的通讯号码（含携号转网），供应商应在一周内，告知甲方及具体用户，因供应商未尽指导或告知责任，用户产生的各种通讯费用由供应商承担。</w:t>
            </w:r>
          </w:p>
          <w:p>
            <w:pPr>
              <w:pStyle w:val="null3"/>
              <w:ind w:firstLine="645"/>
              <w:jc w:val="left"/>
            </w:pPr>
            <w:r>
              <w:rPr>
                <w:rFonts w:ascii="仿宋_GB2312" w:hAnsi="仿宋_GB2312" w:cs="仿宋_GB2312" w:eastAsia="仿宋_GB2312"/>
                <w:sz w:val="24"/>
                <w:color w:val="000000"/>
              </w:rPr>
              <w:t>若用户个人因工作变动等原因，需退出本通讯服务，供应商应根据甲方提供的名单，第一时间指导用户个人办理相关业务，确保用户个人不受影响。如需在指定地点办理退出业务，供应商应协调工作人员，在指定时间内，前往指定地点办理退出服务业务。</w:t>
            </w:r>
          </w:p>
          <w:p>
            <w:pPr>
              <w:pStyle w:val="null3"/>
              <w:ind w:firstLine="645"/>
              <w:jc w:val="left"/>
            </w:pPr>
            <w:r>
              <w:rPr>
                <w:rFonts w:ascii="仿宋_GB2312" w:hAnsi="仿宋_GB2312" w:cs="仿宋_GB2312" w:eastAsia="仿宋_GB2312"/>
                <w:sz w:val="24"/>
                <w:color w:val="000000"/>
              </w:rPr>
              <w:t>（二）更换用户身份识别卡</w:t>
            </w:r>
          </w:p>
          <w:p>
            <w:pPr>
              <w:pStyle w:val="null3"/>
              <w:ind w:firstLine="645"/>
              <w:jc w:val="left"/>
            </w:pPr>
            <w:r>
              <w:rPr>
                <w:rFonts w:ascii="仿宋_GB2312" w:hAnsi="仿宋_GB2312" w:cs="仿宋_GB2312" w:eastAsia="仿宋_GB2312"/>
                <w:sz w:val="24"/>
                <w:color w:val="000000"/>
              </w:rPr>
              <w:t>服务提供期内如采购人用户身份识别卡丢失或损坏，供应商应免费提供更换服务，以保障通讯服务稳定。</w:t>
            </w:r>
          </w:p>
          <w:p>
            <w:pPr>
              <w:pStyle w:val="null3"/>
              <w:ind w:firstLine="645"/>
              <w:jc w:val="left"/>
            </w:pPr>
            <w:r>
              <w:rPr>
                <w:rFonts w:ascii="仿宋_GB2312" w:hAnsi="仿宋_GB2312" w:cs="仿宋_GB2312" w:eastAsia="仿宋_GB2312"/>
                <w:sz w:val="24"/>
                <w:color w:val="000000"/>
              </w:rPr>
              <w:t>（三）服务方式</w:t>
            </w:r>
          </w:p>
          <w:p>
            <w:pPr>
              <w:pStyle w:val="null3"/>
              <w:ind w:firstLine="645"/>
              <w:jc w:val="left"/>
            </w:pPr>
            <w:r>
              <w:rPr>
                <w:rFonts w:ascii="仿宋_GB2312" w:hAnsi="仿宋_GB2312" w:cs="仿宋_GB2312" w:eastAsia="仿宋_GB2312"/>
                <w:sz w:val="24"/>
                <w:color w:val="000000"/>
              </w:rPr>
              <w:t>供应商成立专门小组负责本项目的维护和服务支持工作。相关服务支持应保障每周</w:t>
            </w:r>
            <w:r>
              <w:rPr>
                <w:rFonts w:ascii="仿宋_GB2312" w:hAnsi="仿宋_GB2312" w:cs="仿宋_GB2312" w:eastAsia="仿宋_GB2312"/>
                <w:sz w:val="24"/>
                <w:color w:val="000000"/>
              </w:rPr>
              <w:t>7*24小时（含法定节假日）热线服务、全面性程序服务、硬件故障排除、远程诊断及重建服务等。服务中出现的问题应在2小时内响应处理，一般问题1个工作日内解决或答复，复杂问题在3个工作日内解决或答复。</w:t>
            </w:r>
          </w:p>
          <w:p>
            <w:pPr>
              <w:pStyle w:val="null3"/>
              <w:ind w:firstLine="640"/>
              <w:jc w:val="left"/>
            </w:pPr>
            <w:r>
              <w:rPr>
                <w:rFonts w:ascii="仿宋_GB2312" w:hAnsi="仿宋_GB2312" w:cs="仿宋_GB2312" w:eastAsia="仿宋_GB2312"/>
                <w:sz w:val="24"/>
                <w:b/>
                <w:color w:val="000000"/>
              </w:rPr>
              <w:t>九、违约责任</w:t>
            </w:r>
          </w:p>
          <w:p>
            <w:pPr>
              <w:pStyle w:val="null3"/>
              <w:ind w:firstLine="645"/>
              <w:jc w:val="left"/>
            </w:pPr>
            <w:r>
              <w:rPr>
                <w:rFonts w:ascii="仿宋_GB2312" w:hAnsi="仿宋_GB2312" w:cs="仿宋_GB2312" w:eastAsia="仿宋_GB2312"/>
                <w:sz w:val="24"/>
                <w:color w:val="000000"/>
              </w:rPr>
              <w:t>服务期内应严格按照与采购人约定的服务及相关内容进行服务，未经采购方同意，不得变更服务内容。如发生任何私自变更，其产生的所有费用及责任均由供应商承担。</w:t>
            </w:r>
          </w:p>
          <w:p>
            <w:pPr>
              <w:pStyle w:val="null3"/>
              <w:ind w:firstLine="645"/>
              <w:jc w:val="left"/>
            </w:pPr>
            <w:r>
              <w:rPr>
                <w:rFonts w:ascii="仿宋_GB2312" w:hAnsi="仿宋_GB2312" w:cs="仿宋_GB2312" w:eastAsia="仿宋_GB2312"/>
                <w:sz w:val="24"/>
                <w:color w:val="000000"/>
              </w:rPr>
              <w:t>其他违约情况，按《民法典》中的相关条款执行。</w:t>
            </w:r>
          </w:p>
          <w:p>
            <w:pPr>
              <w:pStyle w:val="null3"/>
              <w:ind w:firstLine="640"/>
              <w:jc w:val="left"/>
            </w:pPr>
            <w:r>
              <w:rPr>
                <w:rFonts w:ascii="仿宋_GB2312" w:hAnsi="仿宋_GB2312" w:cs="仿宋_GB2312" w:eastAsia="仿宋_GB2312"/>
                <w:sz w:val="24"/>
                <w:b/>
                <w:color w:val="000000"/>
              </w:rPr>
              <w:t>十、保密条款</w:t>
            </w:r>
          </w:p>
          <w:p>
            <w:pPr>
              <w:pStyle w:val="null3"/>
              <w:jc w:val="both"/>
            </w:pPr>
            <w:r>
              <w:rPr>
                <w:rFonts w:ascii="仿宋_GB2312" w:hAnsi="仿宋_GB2312" w:cs="仿宋_GB2312" w:eastAsia="仿宋_GB2312"/>
                <w:sz w:val="24"/>
                <w:color w:val="000000"/>
              </w:rPr>
              <w:t>不论在本合同有效期内，还是本合同终止后，未经对方书面许可，任何一方都不得向第三方透露本合同内容以及因签定和执行本合同过程中得到的另一方的信息、资料和商业秘密等。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西安市智慧城管指挥中心指定地点。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合格后，填写政府采购项目履约验收单作为对服务的最终认可。 （二）乙方对提交给甲方的所有资料负有保证其真实性的义务，并应承担因资料不实导致的所有责任。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按照甲方实际需要数量据实结算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服务期内应严格按照与采购人约定的服务及相关内容进行服务，未经采购方同意，不得变更服务内容。如发生任何私自变更，其产生的所有费用及责任均由供应商承担。 其他违约情况，按《民法典》中的相关条款执行。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法定代表人直接参与磋商的，须出具法定代表人身份证明（附法定代表人身份证复印件）；法定代表人授权代表参与磋商的，须出具法定代表人授权委托书（附法定代表人及授权代表身份证复印件)；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服务期限满足采购文件要求（合格） 服务期限不满足采购文件要求（不合格）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响应文件有无响应有效期</w:t>
            </w:r>
          </w:p>
        </w:tc>
        <w:tc>
          <w:tcPr>
            <w:tcW w:type="dxa" w:w="3322"/>
          </w:tcPr>
          <w:p>
            <w:pPr>
              <w:pStyle w:val="null3"/>
            </w:pPr>
            <w:r>
              <w:rPr>
                <w:rFonts w:ascii="仿宋_GB2312" w:hAnsi="仿宋_GB2312" w:cs="仿宋_GB2312" w:eastAsia="仿宋_GB2312"/>
              </w:rPr>
              <w:t>响应文件有响应有效期且有效期达到竞争性磋商文件要求的（合格）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情形(合格)，存在法律、法规和招标文件规定的其他无 效情形(不合格)</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提供省内无线4G/5G互联网套餐内高速流量40G得12分。流量高于40G的，每增加5G流量加1分，最高加8分。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提供语音增值服务，1000分钟得10分。高于1000分钟的，每增加100分钟加1分，最高加5分。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免费提供APP载体，用于实现APP服务。APP载体运行内存6G且机身内存128G的，得分4分，性能更优的最优者得10分，次者得7分，再次得4分（内存相同的，以CPU性能指标排序）。不提供的不得分。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有完善的项目管理方案，项目设有项目经理及负责人，项目进度安排合理，根据方案的响应情况， 方案合理，完全满足项目需求，得 6.1-10.0 分；方案一般，基本满足项目需求，得 3.1-6.0 分；方案较差，部分满足项目需求，得 0.0-3.0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服务方式</w:t>
            </w:r>
          </w:p>
        </w:tc>
        <w:tc>
          <w:tcPr>
            <w:tcW w:type="dxa" w:w="2492"/>
          </w:tcPr>
          <w:p>
            <w:pPr>
              <w:pStyle w:val="null3"/>
            </w:pPr>
            <w:r>
              <w:rPr>
                <w:rFonts w:ascii="仿宋_GB2312" w:hAnsi="仿宋_GB2312" w:cs="仿宋_GB2312" w:eastAsia="仿宋_GB2312"/>
              </w:rPr>
              <w:t>开通通讯服务方式科学、便捷，便于工作开展的，根据具体情况，可行性强 得6.1-10.0 分；可行性一般得 3.1-6.0 分；可行性较差得 1.0-3.0 分。不便捷或未注明的得0分。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陕西省内无线接入基站技术性能优良、信号稳定。基站建设数多、信号覆盖率高。以中国铁塔股份有限公司陕西省分公司数据为准。最高者得满分5.0，较高者得3.0分，最低者得1.0分。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本项目具体可行的售后服务方案。按其满足业务应用情况，对问题解决时间作出承诺，明确发生问题后的补救措施。按照承诺时间及补救措施、承诺事项具体得8.1～12.0分，承诺事项较具体得4.1-8.0分，承诺事项不具体或较差得1.0-4.0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出具2023年1月1日以来同类项目的业绩证明（以合同原件扫描件或复印件为依据，须附合同首页和项目名称、金额页和甲乙双方签字页）；每个得1.0分，最高3.0分。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2.满足磋商文件实质性要求且最终报价最低的供应商的价格为磋商基准价，其价格分为满分15分。 3.磋商报价得分=（磋商基准价/最终磋商报价）×15的公式计算得分。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