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版本号：DZDL-2025-069Z20251117001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西安市体育训练中心足球场天然草坪养护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DZDL-2025-069Z</w:t>
      </w:r>
      <w:r>
        <w:br/>
      </w:r>
      <w:r>
        <w:br/>
      </w:r>
      <w:r>
        <w:br/>
      </w:r>
    </w:p>
    <w:p>
      <w:pPr>
        <w:pStyle w:val="null3"/>
        <w:jc w:val="center"/>
        <w:outlineLvl w:val="2"/>
      </w:pPr>
      <w:r>
        <w:rPr>
          <w:rFonts w:ascii="仿宋_GB2312" w:hAnsi="仿宋_GB2312" w:cs="仿宋_GB2312" w:eastAsia="仿宋_GB2312"/>
          <w:sz w:val="28"/>
          <w:b/>
        </w:rPr>
        <w:t>西安市足球运动管理中心</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西安市足球运动管理中心</w:t>
      </w:r>
      <w:r>
        <w:rPr>
          <w:rFonts w:ascii="仿宋_GB2312" w:hAnsi="仿宋_GB2312" w:cs="仿宋_GB2312" w:eastAsia="仿宋_GB2312"/>
        </w:rPr>
        <w:t>委托，拟对</w:t>
      </w:r>
      <w:r>
        <w:rPr>
          <w:rFonts w:ascii="仿宋_GB2312" w:hAnsi="仿宋_GB2312" w:cs="仿宋_GB2312" w:eastAsia="仿宋_GB2312"/>
        </w:rPr>
        <w:t>西安市体育训练中心足球场天然草坪养护</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DZDL-2025-069Z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西安市体育训练中心足球场天然草坪养护</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西安市体育训练中心天然草足球场地维护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采购包1（西安市体育训练中心足球场天然草坪养护）：属于专门面向中小企业采购。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报告：提供经具有审计资质单位出具的2024年度的财务审计报告（成立时间至提交投标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3、社保缴纳证明：提供开标时间前6个月内任意时段的缴纳证明。依法不需要交纳社会保障资金的供应商应提供相关文件证明。</w:t>
      </w:r>
    </w:p>
    <w:p>
      <w:pPr>
        <w:pStyle w:val="null3"/>
      </w:pPr>
      <w:r>
        <w:rPr>
          <w:rFonts w:ascii="仿宋_GB2312" w:hAnsi="仿宋_GB2312" w:cs="仿宋_GB2312" w:eastAsia="仿宋_GB2312"/>
        </w:rPr>
        <w:t>4、税收缴纳证明：提供开标时间前6个月内任意时段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5、履行合同的专业技术能力：提供具有履行合同所必需的设备和专业技术能力的承诺函。</w:t>
      </w:r>
    </w:p>
    <w:p>
      <w:pPr>
        <w:pStyle w:val="null3"/>
      </w:pPr>
      <w:r>
        <w:rPr>
          <w:rFonts w:ascii="仿宋_GB2312" w:hAnsi="仿宋_GB2312" w:cs="仿宋_GB2312" w:eastAsia="仿宋_GB2312"/>
        </w:rPr>
        <w:t>6、无重大违法记录书面声明：提供参加政府采购活动前3年内，在经营活动中没有重大违法记录的书面声明。</w:t>
      </w:r>
    </w:p>
    <w:p>
      <w:pPr>
        <w:pStyle w:val="null3"/>
      </w:pPr>
      <w:r>
        <w:rPr>
          <w:rFonts w:ascii="仿宋_GB2312" w:hAnsi="仿宋_GB2312" w:cs="仿宋_GB2312" w:eastAsia="仿宋_GB2312"/>
        </w:rPr>
        <w:t>7、法定代表人身份证明/法定代表人授权委托书：法定代表人直接参加投标的，须提供法定代表人身份证明及其身份证电子件或扫描件；法定代表人授权他人参加投标的，须提供法定代表人授权委托书（附法定代表人、被授权人身份证电子件或扫描件）。</w:t>
      </w:r>
    </w:p>
    <w:p>
      <w:pPr>
        <w:pStyle w:val="null3"/>
      </w:pPr>
      <w:r>
        <w:rPr>
          <w:rFonts w:ascii="仿宋_GB2312" w:hAnsi="仿宋_GB2312" w:cs="仿宋_GB2312" w:eastAsia="仿宋_GB2312"/>
        </w:rPr>
        <w:t>8、信用记录：供应商不得为“信用中国”网站(http://www.creditchina.gov.c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（代理开标现场查询）</w:t>
      </w:r>
    </w:p>
    <w:p>
      <w:pPr>
        <w:pStyle w:val="null3"/>
      </w:pPr>
      <w:r>
        <w:rPr>
          <w:rFonts w:ascii="仿宋_GB2312" w:hAnsi="仿宋_GB2312" w:cs="仿宋_GB2312" w:eastAsia="仿宋_GB2312"/>
        </w:rPr>
        <w:t>9、控股管理关系：单位负责人为同一人或者存在直接控股、管理关系的供应商，不得参加同一合同下的政府采购活动。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西安市足球运动管理中心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西安市新城区西五路26号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西安市足球运动管理中心经办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18091852369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陕西省西安市雁塔区高新区科技路48号创业广场B座1506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董蔷芳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19802988926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标准计算，向中标（成交）供应商收取代理服务费。银行户名：鼎正众创建设集团有限公司 开户行名称：中国建设银行股份有限公司西安高新科技支行 账 号：61001925700052502502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西安市足球运动管理中心</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西安市足球运动管理中心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西安市足球运动管理中心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达到国家现行项目实施规范和合同规定的验收评定标准等要求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联系人：董蔷芳</w:t>
      </w:r>
    </w:p>
    <w:p>
      <w:pPr>
        <w:pStyle w:val="null3"/>
      </w:pPr>
      <w:r>
        <w:rPr>
          <w:rFonts w:ascii="仿宋_GB2312" w:hAnsi="仿宋_GB2312" w:cs="仿宋_GB2312" w:eastAsia="仿宋_GB2312"/>
        </w:rPr>
        <w:t>联系电话：19802988926</w:t>
      </w:r>
    </w:p>
    <w:p>
      <w:pPr>
        <w:pStyle w:val="null3"/>
      </w:pPr>
      <w:r>
        <w:rPr>
          <w:rFonts w:ascii="仿宋_GB2312" w:hAnsi="仿宋_GB2312" w:cs="仿宋_GB2312" w:eastAsia="仿宋_GB2312"/>
        </w:rPr>
        <w:t>地址：西安市高新区科技路48号创业广场B座1506</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西安市体育训练中心天然草足球场地维护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西安市体育训练中心天然草足球场地维护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标的名称：西安市体育训练中心天然草足球场地维护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1、养护内容：西安市体育训练中心足球场2块十一人制标准天然草坪；</w:t>
            </w:r>
          </w:p>
          <w:p>
            <w:pPr>
              <w:pStyle w:val="null3"/>
              <w:jc w:val="both"/>
            </w:pPr>
            <w:r>
              <w:rPr>
                <w:rFonts w:ascii="仿宋_GB2312" w:hAnsi="仿宋_GB2312" w:cs="仿宋_GB2312" w:eastAsia="仿宋_GB2312"/>
                <w:sz w:val="21"/>
              </w:rPr>
              <w:t>2、技术要求</w:t>
            </w:r>
          </w:p>
          <w:p>
            <w:pPr>
              <w:pStyle w:val="null3"/>
              <w:ind w:firstLine="420"/>
              <w:jc w:val="both"/>
            </w:pPr>
            <w:r>
              <w:rPr>
                <w:rFonts w:ascii="仿宋_GB2312" w:hAnsi="仿宋_GB2312" w:cs="仿宋_GB2312" w:eastAsia="仿宋_GB2312"/>
                <w:sz w:val="21"/>
              </w:rPr>
              <w:t>2.1、打孔：</w:t>
            </w:r>
            <w:r>
              <w:rPr>
                <w:rFonts w:ascii="仿宋_GB2312" w:hAnsi="仿宋_GB2312" w:cs="仿宋_GB2312" w:eastAsia="仿宋_GB2312"/>
                <w:sz w:val="21"/>
              </w:rPr>
              <w:t>服务期间</w:t>
            </w:r>
            <w:r>
              <w:rPr>
                <w:rFonts w:ascii="仿宋_GB2312" w:hAnsi="仿宋_GB2312" w:cs="仿宋_GB2312" w:eastAsia="仿宋_GB2312"/>
                <w:sz w:val="21"/>
              </w:rPr>
              <w:t>不少于</w:t>
            </w:r>
            <w:r>
              <w:rPr>
                <w:rFonts w:ascii="仿宋_GB2312" w:hAnsi="仿宋_GB2312" w:cs="仿宋_GB2312" w:eastAsia="仿宋_GB2312"/>
                <w:sz w:val="21"/>
              </w:rPr>
              <w:t>3</w:t>
            </w:r>
            <w:r>
              <w:rPr>
                <w:rFonts w:ascii="仿宋_GB2312" w:hAnsi="仿宋_GB2312" w:cs="仿宋_GB2312" w:eastAsia="仿宋_GB2312"/>
                <w:sz w:val="21"/>
              </w:rPr>
              <w:t>次，春季两次，夏季一次；</w:t>
            </w:r>
          </w:p>
          <w:p>
            <w:pPr>
              <w:pStyle w:val="null3"/>
              <w:ind w:firstLine="420"/>
              <w:jc w:val="both"/>
            </w:pPr>
            <w:r>
              <w:rPr>
                <w:rFonts w:ascii="仿宋_GB2312" w:hAnsi="仿宋_GB2312" w:cs="仿宋_GB2312" w:eastAsia="仿宋_GB2312"/>
                <w:sz w:val="21"/>
              </w:rPr>
              <w:t>2.2、覆沙：每次5mm，</w:t>
            </w:r>
            <w:r>
              <w:rPr>
                <w:rFonts w:ascii="仿宋_GB2312" w:hAnsi="仿宋_GB2312" w:cs="仿宋_GB2312" w:eastAsia="仿宋_GB2312"/>
                <w:sz w:val="21"/>
              </w:rPr>
              <w:t>服务期间</w:t>
            </w:r>
            <w:r>
              <w:rPr>
                <w:rFonts w:ascii="仿宋_GB2312" w:hAnsi="仿宋_GB2312" w:cs="仿宋_GB2312" w:eastAsia="仿宋_GB2312"/>
                <w:sz w:val="21"/>
              </w:rPr>
              <w:t>机械整体覆沙找平次数不得少于</w:t>
            </w:r>
            <w:r>
              <w:rPr>
                <w:rFonts w:ascii="仿宋_GB2312" w:hAnsi="仿宋_GB2312" w:cs="仿宋_GB2312" w:eastAsia="仿宋_GB2312"/>
                <w:sz w:val="21"/>
              </w:rPr>
              <w:t>2</w:t>
            </w:r>
            <w:r>
              <w:rPr>
                <w:rFonts w:ascii="仿宋_GB2312" w:hAnsi="仿宋_GB2312" w:cs="仿宋_GB2312" w:eastAsia="仿宋_GB2312"/>
                <w:sz w:val="21"/>
              </w:rPr>
              <w:t>次，每次比赛后要及时进行覆沙找平。可结合打孔，梳草同时进行，平整度要求：每次整体覆沙找平后平整度要求直径</w:t>
            </w:r>
            <w:r>
              <w:rPr>
                <w:rFonts w:ascii="仿宋_GB2312" w:hAnsi="仿宋_GB2312" w:cs="仿宋_GB2312" w:eastAsia="仿宋_GB2312"/>
                <w:sz w:val="21"/>
              </w:rPr>
              <w:t>3m范围内间隙应不大于10mm；</w:t>
            </w:r>
          </w:p>
          <w:p>
            <w:pPr>
              <w:pStyle w:val="null3"/>
              <w:ind w:firstLine="420"/>
              <w:jc w:val="both"/>
            </w:pPr>
            <w:r>
              <w:rPr>
                <w:rFonts w:ascii="仿宋_GB2312" w:hAnsi="仿宋_GB2312" w:cs="仿宋_GB2312" w:eastAsia="仿宋_GB2312"/>
                <w:sz w:val="21"/>
              </w:rPr>
              <w:t>2.3、施肥：保证15天施肥一次，覆盖每平方米用量25g；</w:t>
            </w:r>
          </w:p>
          <w:p>
            <w:pPr>
              <w:pStyle w:val="null3"/>
              <w:ind w:firstLine="420"/>
              <w:jc w:val="both"/>
            </w:pPr>
            <w:r>
              <w:rPr>
                <w:rFonts w:ascii="仿宋_GB2312" w:hAnsi="仿宋_GB2312" w:cs="仿宋_GB2312" w:eastAsia="仿宋_GB2312"/>
                <w:sz w:val="21"/>
              </w:rPr>
              <w:t>2.4、杀菌剂：打药频率：四月1次，五月2次，六月3次，共计</w:t>
            </w:r>
            <w:r>
              <w:rPr>
                <w:rFonts w:ascii="仿宋_GB2312" w:hAnsi="仿宋_GB2312" w:cs="仿宋_GB2312" w:eastAsia="仿宋_GB2312"/>
                <w:sz w:val="21"/>
              </w:rPr>
              <w:t>6</w:t>
            </w:r>
            <w:r>
              <w:rPr>
                <w:rFonts w:ascii="仿宋_GB2312" w:hAnsi="仿宋_GB2312" w:cs="仿宋_GB2312" w:eastAsia="仿宋_GB2312"/>
                <w:sz w:val="21"/>
              </w:rPr>
              <w:t>次；</w:t>
            </w:r>
          </w:p>
          <w:p>
            <w:pPr>
              <w:pStyle w:val="null3"/>
              <w:ind w:firstLine="420"/>
              <w:jc w:val="both"/>
            </w:pPr>
            <w:r>
              <w:rPr>
                <w:rFonts w:ascii="仿宋_GB2312" w:hAnsi="仿宋_GB2312" w:cs="仿宋_GB2312" w:eastAsia="仿宋_GB2312"/>
                <w:sz w:val="21"/>
              </w:rPr>
              <w:t>2.5、杀虫剂：打药频率：四月1次， 五月1次， 六月2次，计</w:t>
            </w:r>
            <w:r>
              <w:rPr>
                <w:rFonts w:ascii="仿宋_GB2312" w:hAnsi="仿宋_GB2312" w:cs="仿宋_GB2312" w:eastAsia="仿宋_GB2312"/>
                <w:sz w:val="21"/>
              </w:rPr>
              <w:t>4</w:t>
            </w:r>
            <w:r>
              <w:rPr>
                <w:rFonts w:ascii="仿宋_GB2312" w:hAnsi="仿宋_GB2312" w:cs="仿宋_GB2312" w:eastAsia="仿宋_GB2312"/>
                <w:sz w:val="21"/>
              </w:rPr>
              <w:t>次，</w:t>
            </w:r>
            <w:r>
              <w:rPr>
                <w:rFonts w:ascii="仿宋_GB2312" w:hAnsi="仿宋_GB2312" w:cs="仿宋_GB2312" w:eastAsia="仿宋_GB2312"/>
                <w:sz w:val="21"/>
              </w:rPr>
              <w:t>0.4g/㎡/次；</w:t>
            </w:r>
          </w:p>
          <w:p>
            <w:pPr>
              <w:pStyle w:val="null3"/>
              <w:ind w:firstLine="420"/>
              <w:jc w:val="both"/>
            </w:pPr>
            <w:r>
              <w:rPr>
                <w:rFonts w:ascii="仿宋_GB2312" w:hAnsi="仿宋_GB2312" w:cs="仿宋_GB2312" w:eastAsia="仿宋_GB2312"/>
                <w:sz w:val="21"/>
              </w:rPr>
              <w:t>2.6、修剪：</w:t>
            </w:r>
            <w:r>
              <w:rPr>
                <w:rFonts w:ascii="仿宋_GB2312" w:hAnsi="仿宋_GB2312" w:cs="仿宋_GB2312" w:eastAsia="仿宋_GB2312"/>
                <w:sz w:val="21"/>
              </w:rPr>
              <w:t>服务期间</w:t>
            </w:r>
            <w:r>
              <w:rPr>
                <w:rFonts w:ascii="仿宋_GB2312" w:hAnsi="仿宋_GB2312" w:cs="仿宋_GB2312" w:eastAsia="仿宋_GB2312"/>
                <w:sz w:val="21"/>
              </w:rPr>
              <w:t>剪草</w:t>
            </w:r>
            <w:r>
              <w:rPr>
                <w:rFonts w:ascii="仿宋_GB2312" w:hAnsi="仿宋_GB2312" w:cs="仿宋_GB2312" w:eastAsia="仿宋_GB2312"/>
                <w:sz w:val="21"/>
              </w:rPr>
              <w:t>不少于</w:t>
            </w:r>
            <w:r>
              <w:rPr>
                <w:rFonts w:ascii="仿宋_GB2312" w:hAnsi="仿宋_GB2312" w:cs="仿宋_GB2312" w:eastAsia="仿宋_GB2312"/>
                <w:sz w:val="21"/>
              </w:rPr>
              <w:t>30</w:t>
            </w:r>
            <w:r>
              <w:rPr>
                <w:rFonts w:ascii="仿宋_GB2312" w:hAnsi="仿宋_GB2312" w:cs="仿宋_GB2312" w:eastAsia="仿宋_GB2312"/>
                <w:sz w:val="21"/>
              </w:rPr>
              <w:t>次，剪草、搂草、倒草；日常</w:t>
            </w:r>
            <w:r>
              <w:rPr>
                <w:rFonts w:ascii="仿宋_GB2312" w:hAnsi="仿宋_GB2312" w:cs="仿宋_GB2312" w:eastAsia="仿宋_GB2312"/>
                <w:sz w:val="21"/>
              </w:rPr>
              <w:t>3-5天剪草一次，具体视季节天气等愿因而定，每次留草高度2.5-3公分；</w:t>
            </w:r>
          </w:p>
          <w:p>
            <w:pPr>
              <w:pStyle w:val="null3"/>
              <w:ind w:firstLine="420"/>
              <w:jc w:val="both"/>
            </w:pPr>
            <w:r>
              <w:rPr>
                <w:rFonts w:ascii="仿宋_GB2312" w:hAnsi="仿宋_GB2312" w:cs="仿宋_GB2312" w:eastAsia="仿宋_GB2312"/>
                <w:sz w:val="21"/>
              </w:rPr>
              <w:t>2.7、梳草：梳草机梳草，深度2mm，</w:t>
            </w:r>
            <w:r>
              <w:rPr>
                <w:rFonts w:ascii="仿宋_GB2312" w:hAnsi="仿宋_GB2312" w:cs="仿宋_GB2312" w:eastAsia="仿宋_GB2312"/>
                <w:sz w:val="21"/>
              </w:rPr>
              <w:t>服务期间</w:t>
            </w:r>
            <w:r>
              <w:rPr>
                <w:rFonts w:ascii="仿宋_GB2312" w:hAnsi="仿宋_GB2312" w:cs="仿宋_GB2312" w:eastAsia="仿宋_GB2312"/>
                <w:sz w:val="21"/>
              </w:rPr>
              <w:t>梳草</w:t>
            </w:r>
            <w:r>
              <w:rPr>
                <w:rFonts w:ascii="仿宋_GB2312" w:hAnsi="仿宋_GB2312" w:cs="仿宋_GB2312" w:eastAsia="仿宋_GB2312"/>
                <w:sz w:val="21"/>
              </w:rPr>
              <w:t>2</w:t>
            </w:r>
            <w:r>
              <w:rPr>
                <w:rFonts w:ascii="仿宋_GB2312" w:hAnsi="仿宋_GB2312" w:cs="仿宋_GB2312" w:eastAsia="仿宋_GB2312"/>
                <w:sz w:val="21"/>
              </w:rPr>
              <w:t>次，</w:t>
            </w:r>
            <w:r>
              <w:rPr>
                <w:rFonts w:ascii="仿宋_GB2312" w:hAnsi="仿宋_GB2312" w:cs="仿宋_GB2312" w:eastAsia="仿宋_GB2312"/>
                <w:sz w:val="21"/>
              </w:rPr>
              <w:t>5月初2次</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2.8、划线：每场比赛前2天；</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9</w:t>
            </w:r>
            <w:r>
              <w:rPr>
                <w:rFonts w:ascii="仿宋_GB2312" w:hAnsi="仿宋_GB2312" w:cs="仿宋_GB2312" w:eastAsia="仿宋_GB2312"/>
                <w:sz w:val="21"/>
              </w:rPr>
              <w:t>、补草：赛后草坪修补；</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0</w:t>
            </w:r>
            <w:r>
              <w:rPr>
                <w:rFonts w:ascii="仿宋_GB2312" w:hAnsi="仿宋_GB2312" w:cs="仿宋_GB2312" w:eastAsia="仿宋_GB2312"/>
                <w:sz w:val="21"/>
              </w:rPr>
              <w:t>、灌溉：根据草坪生长而定，原则上一天不少于两次；</w:t>
            </w:r>
          </w:p>
          <w:p>
            <w:pPr>
              <w:pStyle w:val="null3"/>
              <w:ind w:firstLine="420"/>
              <w:jc w:val="both"/>
            </w:pPr>
            <w:r>
              <w:rPr>
                <w:rFonts w:ascii="仿宋_GB2312" w:hAnsi="仿宋_GB2312" w:cs="仿宋_GB2312" w:eastAsia="仿宋_GB2312"/>
                <w:sz w:val="21"/>
              </w:rPr>
              <w:t>2.12、机械滚压：</w:t>
            </w:r>
            <w:r>
              <w:rPr>
                <w:rFonts w:ascii="仿宋_GB2312" w:hAnsi="仿宋_GB2312" w:cs="仿宋_GB2312" w:eastAsia="仿宋_GB2312"/>
                <w:sz w:val="21"/>
              </w:rPr>
              <w:t>服务期间</w:t>
            </w:r>
            <w:r>
              <w:rPr>
                <w:rFonts w:ascii="仿宋_GB2312" w:hAnsi="仿宋_GB2312" w:cs="仿宋_GB2312" w:eastAsia="仿宋_GB2312"/>
                <w:sz w:val="21"/>
              </w:rPr>
              <w:t>不少于</w:t>
            </w:r>
            <w:r>
              <w:rPr>
                <w:rFonts w:ascii="仿宋_GB2312" w:hAnsi="仿宋_GB2312" w:cs="仿宋_GB2312" w:eastAsia="仿宋_GB2312"/>
                <w:sz w:val="21"/>
              </w:rPr>
              <w:t>2</w:t>
            </w:r>
            <w:r>
              <w:rPr>
                <w:rFonts w:ascii="仿宋_GB2312" w:hAnsi="仿宋_GB2312" w:cs="仿宋_GB2312" w:eastAsia="仿宋_GB2312"/>
                <w:sz w:val="21"/>
              </w:rPr>
              <w:t>次；</w:t>
            </w:r>
          </w:p>
          <w:p>
            <w:pPr>
              <w:pStyle w:val="null3"/>
              <w:ind w:firstLine="420"/>
              <w:jc w:val="both"/>
            </w:pPr>
            <w:r>
              <w:rPr>
                <w:rFonts w:ascii="仿宋_GB2312" w:hAnsi="仿宋_GB2312" w:cs="仿宋_GB2312" w:eastAsia="仿宋_GB2312"/>
                <w:sz w:val="21"/>
              </w:rPr>
              <w:t>2.13、清捡场地垃圾、保持场地清洁；</w:t>
            </w:r>
          </w:p>
          <w:p>
            <w:pPr>
              <w:pStyle w:val="null3"/>
              <w:ind w:firstLine="420"/>
              <w:jc w:val="both"/>
            </w:pPr>
            <w:r>
              <w:rPr>
                <w:rFonts w:ascii="仿宋_GB2312" w:hAnsi="仿宋_GB2312" w:cs="仿宋_GB2312" w:eastAsia="仿宋_GB2312"/>
                <w:sz w:val="21"/>
              </w:rPr>
              <w:t>2.14、设施修补：喷头、水管、机械设备等场地设施的更换与维修。</w:t>
            </w:r>
          </w:p>
          <w:p>
            <w:pPr>
              <w:pStyle w:val="null3"/>
              <w:jc w:val="both"/>
            </w:pPr>
            <w:r>
              <w:rPr>
                <w:rFonts w:ascii="仿宋_GB2312" w:hAnsi="仿宋_GB2312" w:cs="仿宋_GB2312" w:eastAsia="仿宋_GB2312"/>
                <w:sz w:val="21"/>
              </w:rPr>
              <w:t>3、制定场地的养护标准和养护方案，养护标准应达到中国足协所有赛事对场地的要求或者达到国际B类标准。</w:t>
            </w:r>
          </w:p>
          <w:p>
            <w:pPr>
              <w:pStyle w:val="null3"/>
              <w:jc w:val="both"/>
            </w:pPr>
            <w:r>
              <w:rPr>
                <w:rFonts w:ascii="仿宋_GB2312" w:hAnsi="仿宋_GB2312" w:cs="仿宋_GB2312" w:eastAsia="仿宋_GB2312"/>
                <w:sz w:val="21"/>
              </w:rPr>
              <w:t>4、保证草坪的日常养护工作（施肥、修剪、灌溉、打药、打孔、覆沙、滚压、除杂草及病虫害防治、梳草等）；</w:t>
            </w:r>
          </w:p>
          <w:p>
            <w:pPr>
              <w:pStyle w:val="null3"/>
              <w:jc w:val="both"/>
            </w:pPr>
            <w:r>
              <w:rPr>
                <w:rFonts w:ascii="仿宋_GB2312" w:hAnsi="仿宋_GB2312" w:cs="仿宋_GB2312" w:eastAsia="仿宋_GB2312"/>
                <w:sz w:val="21"/>
              </w:rPr>
              <w:t>5、保障各种赛事期间足球项目比赛的场地使用；</w:t>
            </w:r>
          </w:p>
          <w:p>
            <w:pPr>
              <w:pStyle w:val="null3"/>
            </w:pPr>
            <w:r>
              <w:rPr>
                <w:rFonts w:ascii="仿宋_GB2312" w:hAnsi="仿宋_GB2312" w:cs="仿宋_GB2312" w:eastAsia="仿宋_GB2312"/>
                <w:sz w:val="21"/>
              </w:rPr>
              <w:t>6、保证大型活动使用后场地草坪恢复工作。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服务期限6个月，自2026年1月1日至2026年6月30日。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采购人按照政府采购合同规定的技术、服务、安全标准组织对供应商履约情况进行验收，并出具验收书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 ，成交供应商应向采购人提供等额有效且符合采购人财务管理要求的增值税发票或者财政监制的非税收入票据</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没有适当履行的合同条款，并要求纠正。如果乙方确属违约，并且乙方在收到甲方书面通知之日起十五日内仍不纠正违约行为或已无法纠正，甲方有权要求乙方承担金额最高不超过服务费总额30％的违约金。 ★2 甲方应当根据本合同约定按时向乙方付款，无正当理由迟延付款的，每迟延支付一日，应支付迟延付款金额0.1‰的违约金。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具有审计资质单位出具的2024年度的财务审计报告（成立时间至提交投标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提供开标时间前6个月内任意时段的缴纳证明。依法不需要交纳社会保障资金的供应商应提供相关文件证明。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提供开标时间前6个月内任意时段的纳税证明或完税证明（除印花税外任意税种），纳税证明或完税证明上应有代收机构或税务机关的公章或业务专用章。依法免税的供应商应提供相关文件证明。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履行合同的专业技术能力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相关承诺书（4）.docx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相关承诺书（4）.docx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法定代表人直接参加投标的，须提供法定代表人身份证明及其身份证电子件或扫描件；法定代表人授权他人参加投标的，须提供法定代表人授权委托书（附法定代表人、被授权人身份证电子件或扫描件）。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法定代表人证明书及法定代表人授权书（4）.docx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（代理开标现场查询）</w:t>
            </w:r>
          </w:p>
        </w:tc>
        <w:tc>
          <w:tcPr>
            <w:tcW w:type="dxa" w:w="1661"/>
          </w:tcPr>
          <w:p>
            <w:pPr>
              <w:pStyle w:val="null3"/>
            </w:pPr>
            <w:r>
              <w:rPr>
                <w:rFonts w:ascii="仿宋_GB2312" w:hAnsi="仿宋_GB2312" w:cs="仿宋_GB2312" w:eastAsia="仿宋_GB2312"/>
              </w:rPr>
              <w:t>相关承诺书（4）.docx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相关承诺书（4）.docx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投标文件的签章均符合招标文件要求，且无遗漏。</w:t>
            </w:r>
          </w:p>
        </w:tc>
        <w:tc>
          <w:tcPr>
            <w:tcW w:type="dxa" w:w="1661"/>
          </w:tcPr>
          <w:p>
            <w:pPr>
              <w:pStyle w:val="null3"/>
            </w:pPr>
            <w:r>
              <w:rPr>
                <w:rFonts w:ascii="仿宋_GB2312" w:hAnsi="仿宋_GB2312" w:cs="仿宋_GB2312" w:eastAsia="仿宋_GB2312"/>
              </w:rPr>
              <w:t>服务内容及服务邀请应答表 相关承诺书（4）.docx 中小企业声明函 商务应答表 供应商应提交的相关资格证明材料 报价表 响应文件封面 残疾人福利性单位声明函 服务方案 标的清单 响应函 类似业绩的有关证明材料（1）.docx 监狱企业的证明文件 法定代表人证明书及法定代表人授权书（4）.docx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符合招标文件的要求，且不少于90天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同时满足以下条款：（1）货币单位符合招标文件要求 ；（2）报价符合唯一性要求； （3）未超出采购预算或最高限价 ；（4）符合《报价表》、《标的清单》的填报要求</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完全理解并接受对合格供应商、合格的货物、工程或服务要求，结合招标文件第三章“招标项目技术、服务、商务及其他要求”的实质性要求且没有负偏离。</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投标有效性</w:t>
            </w:r>
          </w:p>
        </w:tc>
        <w:tc>
          <w:tcPr>
            <w:tcW w:type="dxa" w:w="3322"/>
          </w:tcPr>
          <w:p>
            <w:pPr>
              <w:pStyle w:val="null3"/>
            </w:pPr>
            <w:r>
              <w:rPr>
                <w:rFonts w:ascii="仿宋_GB2312" w:hAnsi="仿宋_GB2312" w:cs="仿宋_GB2312" w:eastAsia="仿宋_GB2312"/>
              </w:rPr>
              <w:t>未出现招标文件规定的无效响应情形</w:t>
            </w:r>
          </w:p>
        </w:tc>
        <w:tc>
          <w:tcPr>
            <w:tcW w:type="dxa" w:w="1661"/>
          </w:tcPr>
          <w:p>
            <w:pPr>
              <w:pStyle w:val="null3"/>
            </w:pPr>
            <w:r>
              <w:rPr>
                <w:rFonts w:ascii="仿宋_GB2312" w:hAnsi="仿宋_GB2312" w:cs="仿宋_GB2312" w:eastAsia="仿宋_GB2312"/>
              </w:rPr>
              <w:t>服务内容及服务邀请应答表 相关承诺书（4）.docx 中小企业声明函 商务应答表 供应商应提交的相关资格证明材料 报价表 响应文件封面 残疾人福利性单位声明函 服务方案 标的清单 响应函 类似业绩的有关证明材料（1）.docx 监狱企业的证明文件 法定代表人证明书及法定代表人授权书（4）.docx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养护工作方案</w:t>
            </w:r>
          </w:p>
        </w:tc>
        <w:tc>
          <w:tcPr>
            <w:tcW w:type="dxa" w:w="2492"/>
          </w:tcPr>
          <w:p>
            <w:pPr>
              <w:pStyle w:val="null3"/>
            </w:pPr>
            <w:r>
              <w:rPr>
                <w:rFonts w:ascii="仿宋_GB2312" w:hAnsi="仿宋_GB2312" w:cs="仿宋_GB2312" w:eastAsia="仿宋_GB2312"/>
              </w:rPr>
              <w:t>根据供应商针对本项目提供的技术要求内所列养护及工作方案、管理制度进行综合评审。上述方案完善、科学、可操作性强得 10分，每出现一处不合理、不完善或无针对性扣0.5分，扣完为止，此条缺项不得分。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服务质量保证方案</w:t>
            </w:r>
          </w:p>
        </w:tc>
        <w:tc>
          <w:tcPr>
            <w:tcW w:type="dxa" w:w="2492"/>
          </w:tcPr>
          <w:p>
            <w:pPr>
              <w:pStyle w:val="null3"/>
            </w:pPr>
            <w:r>
              <w:rPr>
                <w:rFonts w:ascii="仿宋_GB2312" w:hAnsi="仿宋_GB2312" w:cs="仿宋_GB2312" w:eastAsia="仿宋_GB2312"/>
              </w:rPr>
              <w:t>根据供应商提供的养护服务质量保证和服务保证措施进行综合评审。上述方案科学、措施得当得10分;每出现一处不合理、不完善或无针对性扣0.5分，扣完为止，此条缺项不得分。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服务进度保障方案</w:t>
            </w:r>
          </w:p>
        </w:tc>
        <w:tc>
          <w:tcPr>
            <w:tcW w:type="dxa" w:w="2492"/>
          </w:tcPr>
          <w:p>
            <w:pPr>
              <w:pStyle w:val="null3"/>
            </w:pPr>
            <w:r>
              <w:rPr>
                <w:rFonts w:ascii="仿宋_GB2312" w:hAnsi="仿宋_GB2312" w:cs="仿宋_GB2312" w:eastAsia="仿宋_GB2312"/>
              </w:rPr>
              <w:t>根据供应商提供的修剪养护及保洁服务的进度计划及保障措施进行综合评审。计划合理明确、详细具体，保障措施合理可行得10分;每出现一处不合理、不完善或无针对性扣0.5分，扣完为止，此条缺项不得分。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根据供应商提供的垃圾清运方案及保障措施(垃圾清运、绿化垃圾外运及废弃物清运等) 进行综合评审。上述方案科学、合理，保章措施健全得10分;每出现一处不合理、不完善或无针对性扣0.5分扣完为止， 此条缺项不得分。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供应商内部管理制度</w:t>
            </w:r>
          </w:p>
        </w:tc>
        <w:tc>
          <w:tcPr>
            <w:tcW w:type="dxa" w:w="2492"/>
          </w:tcPr>
          <w:p>
            <w:pPr>
              <w:pStyle w:val="null3"/>
            </w:pPr>
            <w:r>
              <w:rPr>
                <w:rFonts w:ascii="仿宋_GB2312" w:hAnsi="仿宋_GB2312" w:cs="仿宋_GB2312" w:eastAsia="仿宋_GB2312"/>
              </w:rPr>
              <w:t>根据供应商提供的各项内部管理制度情况:包含岗位责任制度、职业道德规范制度、财务管理制度等制度进行综合评审。内容全面、条理清晰、科学合理、贴合实际得7分;每出现一处不合理、不完善或无针对性扣0.5分，扣完为止，此条缺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根据供应商项目组管理人员配备合理性,进行综合评分。人员分工明确、具有养护经验、人员配备合理可行得7分；每有一项不当之处扣0.5 分,减完为止；缺项不得分。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供应商实力</w:t>
            </w:r>
          </w:p>
        </w:tc>
        <w:tc>
          <w:tcPr>
            <w:tcW w:type="dxa" w:w="2492"/>
          </w:tcPr>
          <w:p>
            <w:pPr>
              <w:pStyle w:val="null3"/>
            </w:pPr>
            <w:r>
              <w:rPr>
                <w:rFonts w:ascii="仿宋_GB2312" w:hAnsi="仿宋_GB2312" w:cs="仿宋_GB2312" w:eastAsia="仿宋_GB2312"/>
              </w:rPr>
              <w:t>供应商具有自有草坪基地、天然足球场、自有专业设备机具，提供相关图文证明材料（包括但不限于官网截图，图片等），按其响应程度得分：具有自有草坪基地得2分，具有天然足球场得2分，具有自有专业设备机具得2分。未提供本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评委根据供应商针对本项目提出的服务承诺、合理化建议及优惠条款（应为项目相关的服务类优惠，不得有赠送、打折类优惠）进行评审，每提供一项实质性的服务承诺、合理化建议及优惠条款得1分，最多得4分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针对本项目提供安全保证措施，根据响应程度得分：安全作业目标明确，安全管理体系健全，预控和动态控制措施完整、科学合理，能有效保证项目安全实施，内容全面、条理清晰、科学合理、贴合实际得10分;每出现一处不合理、不完善或无针对性扣0.5分，扣完为止，此条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本项目实施过程中可能出现的问题提供应急预案，根据项目实际需求，进行项目风险预测与防范，应急处理方案考虑全面，切实可行，针对性强，科学合理得10分;每出现一处不合理、不完善或无针对性扣0.5分，扣完为止，此条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供应商具有2022年6月至今签订的同类业绩，每提供一个同类合同得2分，最多得6分。 （采购合同等证明材料完整复印件须加盖公章并附在响应文件中，所提供的资料不全的、模糊不清无法辨识的，均不予计分，以合同签订时间为准。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最后报价）为基准价，其价格分为满分（10分）。其他供应商的价格分统一按照下列公式计算：响应报价得分=(基准价／响应报价（最后报价）)×10分。 注：1、计算分数时四舍五入取小数点后两位；2、落实政府采购政策：详见文件。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详见附件：法定代表人证明书及法定代表人授权书（4）.docx</w:t>
      </w:r>
    </w:p>
    <w:p>
      <w:pPr>
        <w:pStyle w:val="null3"/>
        <w:ind w:firstLine="960"/>
      </w:pPr>
      <w:r>
        <w:rPr>
          <w:rFonts w:ascii="仿宋_GB2312" w:hAnsi="仿宋_GB2312" w:cs="仿宋_GB2312" w:eastAsia="仿宋_GB2312"/>
        </w:rPr>
        <w:t>详见附件：类似业绩的有关证明材料（1）.docx</w:t>
      </w:r>
    </w:p>
    <w:p>
      <w:pPr>
        <w:pStyle w:val="null3"/>
        <w:ind w:firstLine="960"/>
      </w:pPr>
      <w:r>
        <w:rPr>
          <w:rFonts w:ascii="仿宋_GB2312" w:hAnsi="仿宋_GB2312" w:cs="仿宋_GB2312" w:eastAsia="仿宋_GB2312"/>
        </w:rPr>
        <w:t>详见附件：相关承诺书（4）.docx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