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FC39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6F643147">
      <w:pPr>
        <w:spacing w:line="420" w:lineRule="exact"/>
        <w:ind w:firstLine="480"/>
        <w:jc w:val="center"/>
        <w:outlineLvl w:val="9"/>
        <w:rPr>
          <w:rStyle w:val="8"/>
          <w:rFonts w:hint="eastAsia"/>
        </w:rPr>
      </w:pPr>
    </w:p>
    <w:p w14:paraId="4C71989E">
      <w:pPr>
        <w:spacing w:line="420" w:lineRule="exact"/>
        <w:ind w:firstLine="480"/>
        <w:jc w:val="center"/>
        <w:outlineLvl w:val="9"/>
        <w:rPr>
          <w:rStyle w:val="8"/>
          <w:rFonts w:hint="eastAsia"/>
        </w:rPr>
      </w:pPr>
    </w:p>
    <w:p w14:paraId="22E90AE2">
      <w:pPr>
        <w:spacing w:line="420" w:lineRule="exact"/>
        <w:ind w:firstLine="480"/>
        <w:jc w:val="center"/>
        <w:outlineLvl w:val="9"/>
        <w:rPr>
          <w:rStyle w:val="8"/>
          <w:rFonts w:hint="eastAsia"/>
        </w:rPr>
      </w:pPr>
    </w:p>
    <w:p w14:paraId="725E22E1">
      <w:pPr>
        <w:spacing w:line="420" w:lineRule="exact"/>
        <w:ind w:firstLine="480"/>
        <w:jc w:val="center"/>
        <w:outlineLvl w:val="9"/>
        <w:rPr>
          <w:rStyle w:val="8"/>
          <w:rFonts w:hint="eastAsia"/>
        </w:rPr>
      </w:pPr>
    </w:p>
    <w:p w14:paraId="1B6EC1B6">
      <w:pPr>
        <w:spacing w:line="420" w:lineRule="exact"/>
        <w:ind w:firstLine="480"/>
        <w:jc w:val="center"/>
        <w:outlineLvl w:val="9"/>
        <w:rPr>
          <w:rStyle w:val="8"/>
          <w:rFonts w:hint="eastAsia"/>
        </w:rPr>
      </w:pPr>
    </w:p>
    <w:p w14:paraId="1F6B25A4">
      <w:pPr>
        <w:spacing w:line="420" w:lineRule="exact"/>
        <w:ind w:firstLine="480"/>
        <w:jc w:val="center"/>
        <w:outlineLvl w:val="9"/>
        <w:rPr>
          <w:rStyle w:val="8"/>
          <w:rFonts w:hint="eastAsia"/>
        </w:rPr>
      </w:pPr>
    </w:p>
    <w:p w14:paraId="646B5D4C">
      <w:pPr>
        <w:spacing w:line="420" w:lineRule="exact"/>
        <w:ind w:firstLine="480"/>
        <w:jc w:val="center"/>
        <w:outlineLvl w:val="9"/>
        <w:rPr>
          <w:rStyle w:val="8"/>
          <w:rFonts w:hint="eastAsia"/>
        </w:rPr>
      </w:pPr>
    </w:p>
    <w:p w14:paraId="40BCCA51">
      <w:pPr>
        <w:spacing w:line="420" w:lineRule="exact"/>
        <w:ind w:firstLine="480"/>
        <w:jc w:val="center"/>
        <w:outlineLvl w:val="9"/>
        <w:rPr>
          <w:rStyle w:val="8"/>
          <w:rFonts w:hint="eastAsia"/>
        </w:rPr>
      </w:pPr>
    </w:p>
    <w:p w14:paraId="07DA6A09">
      <w:pPr>
        <w:spacing w:line="420" w:lineRule="exact"/>
        <w:ind w:firstLine="480"/>
        <w:jc w:val="center"/>
        <w:outlineLvl w:val="9"/>
        <w:rPr>
          <w:rStyle w:val="8"/>
          <w:rFonts w:hint="eastAsia"/>
        </w:rPr>
      </w:pPr>
    </w:p>
    <w:p w14:paraId="2480AD19">
      <w:pPr>
        <w:spacing w:line="420" w:lineRule="exact"/>
        <w:ind w:firstLine="480"/>
        <w:jc w:val="center"/>
        <w:outlineLvl w:val="9"/>
        <w:rPr>
          <w:rStyle w:val="8"/>
          <w:rFonts w:hint="eastAsia"/>
        </w:rPr>
      </w:pPr>
    </w:p>
    <w:p w14:paraId="0521EFC6">
      <w:pPr>
        <w:spacing w:line="420" w:lineRule="exact"/>
        <w:jc w:val="both"/>
        <w:outlineLvl w:val="9"/>
        <w:rPr>
          <w:rStyle w:val="8"/>
          <w:rFonts w:hint="eastAsia"/>
        </w:rPr>
      </w:pPr>
    </w:p>
    <w:p w14:paraId="6BE284FC">
      <w:pPr>
        <w:spacing w:line="420" w:lineRule="exact"/>
        <w:ind w:firstLine="480"/>
        <w:jc w:val="center"/>
        <w:outlineLvl w:val="9"/>
        <w:rPr>
          <w:rStyle w:val="8"/>
          <w:rFonts w:hint="eastAsia"/>
        </w:rPr>
      </w:pPr>
    </w:p>
    <w:p w14:paraId="3A97B404">
      <w:pPr>
        <w:spacing w:line="420" w:lineRule="exact"/>
        <w:ind w:firstLine="480"/>
        <w:jc w:val="center"/>
        <w:outlineLvl w:val="9"/>
        <w:rPr>
          <w:rStyle w:val="8"/>
          <w:rFonts w:hint="eastAsia"/>
        </w:rPr>
      </w:pPr>
    </w:p>
    <w:p w14:paraId="616629B9">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27240A55">
      <w:pPr>
        <w:spacing w:line="420" w:lineRule="exact"/>
        <w:ind w:firstLine="480"/>
        <w:jc w:val="center"/>
        <w:outlineLvl w:val="9"/>
        <w:rPr>
          <w:rStyle w:val="8"/>
          <w:rFonts w:hint="eastAsia" w:eastAsia="宋体"/>
          <w:lang w:eastAsia="zh-CN"/>
        </w:rPr>
      </w:pPr>
    </w:p>
    <w:p w14:paraId="5EB84052">
      <w:pPr>
        <w:spacing w:line="420" w:lineRule="exact"/>
        <w:ind w:firstLine="480"/>
        <w:jc w:val="center"/>
        <w:outlineLvl w:val="9"/>
        <w:rPr>
          <w:rStyle w:val="8"/>
          <w:rFonts w:hint="eastAsia" w:eastAsia="宋体"/>
          <w:lang w:eastAsia="zh-CN"/>
        </w:rPr>
      </w:pPr>
    </w:p>
    <w:p w14:paraId="07C7463B">
      <w:pPr>
        <w:bidi w:val="0"/>
        <w:jc w:val="center"/>
        <w:rPr>
          <w:rFonts w:hint="default" w:ascii="仿宋" w:hAnsi="仿宋" w:eastAsia="仿宋" w:cs="仿宋"/>
          <w:sz w:val="18"/>
          <w:szCs w:val="21"/>
          <w:highlight w:val="none"/>
          <w:lang w:val="en-US"/>
        </w:rPr>
      </w:pPr>
      <w:r>
        <w:rPr>
          <w:rStyle w:val="8"/>
          <w:rFonts w:hint="eastAsia"/>
        </w:rPr>
        <w:br w:type="page"/>
      </w:r>
      <w:bookmarkStart w:id="6" w:name="_Toc19199"/>
      <w:bookmarkStart w:id="7" w:name="_Toc8333"/>
      <w:bookmarkStart w:id="8" w:name="_Toc423973075"/>
      <w:bookmarkStart w:id="9" w:name="_Toc19246"/>
      <w:bookmarkStart w:id="10" w:name="_Toc29888"/>
      <w:bookmarkStart w:id="11" w:name="_Toc26595"/>
      <w:bookmarkStart w:id="12" w:name="_Toc389582037"/>
      <w:bookmarkStart w:id="13" w:name="_Toc31520"/>
      <w:bookmarkStart w:id="14" w:name="_Toc4679"/>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6E18D1A2">
      <w:pPr>
        <w:widowControl w:val="0"/>
        <w:spacing w:after="120"/>
        <w:jc w:val="both"/>
        <w:rPr>
          <w:rFonts w:hint="eastAsia" w:ascii="仿宋" w:hAnsi="仿宋" w:eastAsia="仿宋" w:cs="仿宋"/>
          <w:kern w:val="2"/>
          <w:sz w:val="21"/>
          <w:highlight w:val="none"/>
          <w:lang w:val="en-US" w:eastAsia="zh-CN" w:bidi="ar-SA"/>
        </w:rPr>
      </w:pPr>
    </w:p>
    <w:p w14:paraId="0FA18A9D">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59185D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3703D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7713821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p w14:paraId="532FCDD7">
      <w:pPr>
        <w:keepNext w:val="0"/>
        <w:keepLines w:val="0"/>
        <w:pageBreakBefore w:val="0"/>
        <w:widowControl w:val="0"/>
        <w:tabs>
          <w:tab w:val="left" w:pos="900"/>
        </w:tabs>
        <w:kinsoku/>
        <w:wordWrap/>
        <w:overflowPunct/>
        <w:topLinePunct w:val="0"/>
        <w:autoSpaceDE/>
        <w:autoSpaceDN/>
        <w:bidi w:val="0"/>
        <w:adjustRightInd/>
        <w:spacing w:line="360" w:lineRule="auto"/>
        <w:ind w:firstLine="474" w:firstLineChars="225"/>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1.定义</w:t>
      </w:r>
      <w:bookmarkEnd w:id="15"/>
      <w:bookmarkEnd w:id="16"/>
    </w:p>
    <w:p w14:paraId="6569FA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本合同中的下列术语应解释为：</w:t>
      </w:r>
    </w:p>
    <w:p w14:paraId="725C4F7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1.1 “合同”系指本合同，包括本合同附带的所有附件、附录和构成合同的其它文件，除非另有特别说明或限定。</w:t>
      </w:r>
    </w:p>
    <w:p w14:paraId="05869C1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1.2 “合同款”系指根据本合同约定，甲方需就乙方提供的服务内容向乙方支付的款项。</w:t>
      </w:r>
    </w:p>
    <w:p w14:paraId="22FCA1D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1.3 “人员”系指作为雇员由乙方雇佣并被分配执行本合同服务内容的人员。</w:t>
      </w:r>
    </w:p>
    <w:p w14:paraId="1BD394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1.4 “服务”系指由乙方根据本合同服务内容要求所实施的工作。</w:t>
      </w:r>
    </w:p>
    <w:p w14:paraId="705F5DA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1.5 “甲方”系指与供应单位签署服务合同的单位（含最终用户），即买方。</w:t>
      </w:r>
    </w:p>
    <w:p w14:paraId="32D2C3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1.6 “乙方”系指根据合同约定提供服务的供应单位，即卖方。</w:t>
      </w:r>
    </w:p>
    <w:p w14:paraId="462108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1.7 “现场”系指合同约定服务内容实施地点。</w:t>
      </w:r>
    </w:p>
    <w:p w14:paraId="0A6B7B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1.8 “必要的支持”系为保证乙方执行合同项下的服务所必须，甲方免费提供的数据、服务、设备以及便利。</w:t>
      </w:r>
    </w:p>
    <w:p w14:paraId="60992BA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1.9“项目”系指《</w:t>
      </w:r>
      <w:r>
        <w:rPr>
          <w:rFonts w:hint="eastAsia" w:ascii="宋体" w:hAnsi="宋体" w:cs="宋体"/>
          <w:color w:val="000000"/>
          <w:kern w:val="0"/>
          <w:sz w:val="21"/>
          <w:szCs w:val="21"/>
          <w:highlight w:val="none"/>
          <w:u w:val="single"/>
          <w:lang w:val="en-US" w:eastAsia="zh-CN"/>
        </w:rPr>
        <w:t>（项目名称）</w:t>
      </w:r>
      <w:r>
        <w:rPr>
          <w:rFonts w:hint="eastAsia" w:ascii="宋体" w:hAnsi="宋体" w:eastAsia="宋体" w:cs="宋体"/>
          <w:color w:val="000000"/>
          <w:kern w:val="0"/>
          <w:sz w:val="21"/>
          <w:szCs w:val="21"/>
          <w:highlight w:val="none"/>
          <w:lang w:val="en-US" w:eastAsia="zh-CN"/>
        </w:rPr>
        <w:t>》服务项目名称。</w:t>
      </w:r>
    </w:p>
    <w:p w14:paraId="7EC9C5DC">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2368"/>
      <w:bookmarkStart w:id="18" w:name="_Toc32760"/>
      <w:r>
        <w:rPr>
          <w:rFonts w:hint="eastAsia" w:ascii="宋体" w:hAnsi="宋体" w:eastAsia="宋体" w:cs="宋体"/>
          <w:b/>
          <w:color w:val="000000"/>
          <w:kern w:val="0"/>
          <w:sz w:val="21"/>
          <w:szCs w:val="21"/>
          <w:highlight w:val="none"/>
          <w:lang w:val="en-US" w:eastAsia="zh-CN"/>
        </w:rPr>
        <w:t>2.合同组成部分：</w:t>
      </w:r>
      <w:bookmarkEnd w:id="17"/>
      <w:bookmarkEnd w:id="18"/>
    </w:p>
    <w:p w14:paraId="27662F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75BDD6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43D9D28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3718D4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31DC68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2D527033">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eastAsia="zh-CN"/>
        </w:rPr>
      </w:pPr>
      <w:r>
        <w:rPr>
          <w:rFonts w:hint="eastAsia" w:ascii="宋体" w:hAnsi="宋体" w:eastAsia="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lang w:eastAsia="zh-CN"/>
        </w:rPr>
        <w:t>服务内容</w:t>
      </w:r>
      <w:bookmarkStart w:id="19" w:name="_Toc2258"/>
      <w:bookmarkStart w:id="20" w:name="_Toc14579"/>
    </w:p>
    <w:p w14:paraId="5038C17C">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cs="宋体"/>
          <w:b w:val="0"/>
          <w:bCs/>
          <w:strike w:val="0"/>
          <w:dstrike w:val="0"/>
          <w:kern w:val="0"/>
          <w:szCs w:val="21"/>
          <w:highlight w:val="none"/>
        </w:rPr>
      </w:pPr>
      <w:r>
        <w:rPr>
          <w:rFonts w:hint="eastAsia" w:ascii="宋体" w:hAnsi="宋体" w:eastAsia="宋体" w:cs="Times New Roman"/>
          <w:kern w:val="0"/>
          <w:sz w:val="21"/>
          <w:szCs w:val="21"/>
          <w:highlight w:val="none"/>
          <w:lang w:val="en-US" w:eastAsia="zh-CN"/>
        </w:rPr>
        <w:t>西安市体育训练</w:t>
      </w:r>
      <w:r>
        <w:rPr>
          <w:rFonts w:hint="eastAsia" w:ascii="宋体" w:hAnsi="宋体" w:eastAsia="宋体" w:cs="Times New Roman"/>
          <w:strike w:val="0"/>
          <w:dstrike w:val="0"/>
          <w:kern w:val="0"/>
          <w:sz w:val="21"/>
          <w:szCs w:val="21"/>
          <w:highlight w:val="none"/>
          <w:lang w:val="en-US" w:eastAsia="zh-CN"/>
        </w:rPr>
        <w:t>中心</w:t>
      </w:r>
      <w:r>
        <w:rPr>
          <w:rFonts w:hint="eastAsia" w:ascii="宋体" w:hAnsi="宋体" w:cs="宋体"/>
          <w:b w:val="0"/>
          <w:bCs/>
          <w:strike w:val="0"/>
          <w:dstrike w:val="0"/>
          <w:kern w:val="0"/>
          <w:szCs w:val="21"/>
          <w:highlight w:val="none"/>
        </w:rPr>
        <w:t>2块十一人制</w:t>
      </w:r>
      <w:r>
        <w:rPr>
          <w:rFonts w:hint="eastAsia" w:ascii="宋体" w:hAnsi="宋体" w:cs="宋体"/>
          <w:b w:val="0"/>
          <w:bCs/>
          <w:strike w:val="0"/>
          <w:dstrike w:val="0"/>
          <w:kern w:val="0"/>
          <w:szCs w:val="21"/>
          <w:highlight w:val="none"/>
          <w:lang w:val="en-US" w:eastAsia="zh-CN"/>
        </w:rPr>
        <w:t>足球场</w:t>
      </w:r>
      <w:r>
        <w:rPr>
          <w:rFonts w:hint="eastAsia" w:ascii="宋体" w:hAnsi="宋体" w:cs="宋体"/>
          <w:b w:val="0"/>
          <w:bCs/>
          <w:strike w:val="0"/>
          <w:dstrike w:val="0"/>
          <w:kern w:val="0"/>
          <w:szCs w:val="21"/>
          <w:highlight w:val="none"/>
        </w:rPr>
        <w:t>天然草</w:t>
      </w:r>
      <w:r>
        <w:rPr>
          <w:rFonts w:hint="eastAsia" w:ascii="宋体" w:hAnsi="宋体" w:cs="宋体"/>
          <w:b w:val="0"/>
          <w:bCs/>
          <w:strike w:val="0"/>
          <w:dstrike w:val="0"/>
          <w:kern w:val="0"/>
          <w:szCs w:val="21"/>
          <w:highlight w:val="none"/>
          <w:lang w:val="en-US" w:eastAsia="zh-CN"/>
        </w:rPr>
        <w:t>坪</w:t>
      </w:r>
      <w:r>
        <w:rPr>
          <w:rFonts w:hint="eastAsia" w:ascii="宋体" w:hAnsi="宋体" w:cs="宋体"/>
          <w:b w:val="0"/>
          <w:bCs/>
          <w:strike w:val="0"/>
          <w:dstrike w:val="0"/>
          <w:kern w:val="0"/>
          <w:szCs w:val="21"/>
          <w:highlight w:val="none"/>
        </w:rPr>
        <w:t>，养护周期</w:t>
      </w:r>
      <w:r>
        <w:rPr>
          <w:rFonts w:hint="eastAsia" w:ascii="宋体" w:hAnsi="宋体" w:cs="宋体"/>
          <w:b w:val="0"/>
          <w:bCs/>
          <w:strike w:val="0"/>
          <w:dstrike w:val="0"/>
          <w:kern w:val="0"/>
          <w:szCs w:val="21"/>
          <w:highlight w:val="none"/>
          <w:lang w:val="en-US" w:eastAsia="zh-CN"/>
        </w:rPr>
        <w:t>为</w:t>
      </w:r>
      <w:r>
        <w:rPr>
          <w:rFonts w:hint="eastAsia" w:ascii="宋体" w:hAnsi="宋体"/>
          <w:strike w:val="0"/>
          <w:dstrike w:val="0"/>
          <w:kern w:val="0"/>
          <w:sz w:val="21"/>
          <w:szCs w:val="21"/>
          <w:highlight w:val="none"/>
          <w:lang w:val="en-US" w:eastAsia="zh-CN"/>
        </w:rPr>
        <w:t>2025年01月01日至2025年12月31日</w:t>
      </w:r>
      <w:r>
        <w:rPr>
          <w:rFonts w:hint="eastAsia" w:ascii="宋体" w:hAnsi="宋体" w:cs="宋体"/>
          <w:b w:val="0"/>
          <w:bCs/>
          <w:strike w:val="0"/>
          <w:dstrike w:val="0"/>
          <w:kern w:val="0"/>
          <w:szCs w:val="21"/>
          <w:highlight w:val="none"/>
        </w:rPr>
        <w:t>，养护内容包括但不限于足球场草坪日常养护和全年赛事保障及赛事保障之外的草坪养护和活动保障等工作。</w:t>
      </w:r>
    </w:p>
    <w:p w14:paraId="700CD4A2">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val="en-US" w:eastAsia="zh-CN"/>
        </w:rPr>
        <w:t>4</w:t>
      </w:r>
      <w:r>
        <w:rPr>
          <w:rFonts w:hint="eastAsia" w:ascii="宋体" w:hAnsi="宋体" w:eastAsia="宋体" w:cs="宋体"/>
          <w:b/>
          <w:color w:val="000000"/>
          <w:kern w:val="0"/>
          <w:sz w:val="21"/>
          <w:szCs w:val="21"/>
          <w:highlight w:val="none"/>
        </w:rPr>
        <w:t>. 双方权利和义务</w:t>
      </w:r>
      <w:bookmarkEnd w:id="19"/>
      <w:bookmarkEnd w:id="20"/>
      <w:r>
        <w:rPr>
          <w:rFonts w:hint="eastAsia" w:ascii="宋体" w:hAnsi="宋体" w:eastAsia="宋体" w:cs="宋体"/>
          <w:b/>
          <w:color w:val="000000"/>
          <w:kern w:val="0"/>
          <w:sz w:val="21"/>
          <w:szCs w:val="21"/>
          <w:highlight w:val="none"/>
        </w:rPr>
        <w:tab/>
      </w:r>
    </w:p>
    <w:p w14:paraId="0A26BE3D">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color w:val="000000"/>
          <w:kern w:val="0"/>
          <w:sz w:val="21"/>
          <w:szCs w:val="21"/>
          <w:highlight w:val="none"/>
          <w:lang w:val="en-US" w:eastAsia="zh-CN"/>
        </w:rPr>
        <w:t>4</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408C133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4.1.1 甲方有权利对项目活动的相关细节进行监督及了解，决定项目的实施方案。</w:t>
      </w:r>
    </w:p>
    <w:p w14:paraId="1F01D9E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4.1.2 甲方有权利根据临时情况向乙方提出活动修改意见，经双方协商后实施。</w:t>
      </w:r>
    </w:p>
    <w:p w14:paraId="5D20E00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4.1.3甲方非因不可抗力因素如需延期开展项目活动，应提前</w:t>
      </w:r>
      <w:r>
        <w:rPr>
          <w:rFonts w:hint="eastAsia" w:ascii="宋体" w:hAnsi="宋体" w:eastAsia="宋体" w:cs="宋体"/>
          <w:color w:val="000000"/>
          <w:kern w:val="0"/>
          <w:sz w:val="21"/>
          <w:szCs w:val="21"/>
          <w:highlight w:val="none"/>
          <w:u w:val="single"/>
          <w:lang w:val="en-US" w:eastAsia="zh-CN"/>
        </w:rPr>
        <w:t xml:space="preserve"> 5 </w:t>
      </w:r>
      <w:r>
        <w:rPr>
          <w:rFonts w:hint="eastAsia" w:ascii="宋体" w:hAnsi="宋体" w:eastAsia="宋体" w:cs="宋体"/>
          <w:color w:val="000000"/>
          <w:kern w:val="0"/>
          <w:sz w:val="21"/>
          <w:szCs w:val="21"/>
          <w:highlight w:val="none"/>
          <w:lang w:val="en-US" w:eastAsia="zh-CN"/>
        </w:rPr>
        <w:t>个工作日告知乙方，双方协商修改活动安排。</w:t>
      </w:r>
    </w:p>
    <w:p w14:paraId="29CD877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4.1.4甲方应按照合同约定，积极配合乙方开展工作。</w:t>
      </w:r>
    </w:p>
    <w:p w14:paraId="1D62FB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4.1.5甲方应按合同约定履行付款的义务。</w:t>
      </w:r>
    </w:p>
    <w:p w14:paraId="58943F4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4.1.6甲方应按合同约定履行其他的相应义务。</w:t>
      </w:r>
    </w:p>
    <w:p w14:paraId="1B91C9FE">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val="en-US" w:eastAsia="zh-CN"/>
        </w:rPr>
        <w:t>4</w:t>
      </w:r>
      <w:r>
        <w:rPr>
          <w:rFonts w:hint="eastAsia" w:ascii="宋体" w:hAnsi="宋体" w:eastAsia="宋体" w:cs="宋体"/>
          <w:b/>
          <w:color w:val="000000"/>
          <w:kern w:val="0"/>
          <w:sz w:val="21"/>
          <w:szCs w:val="21"/>
          <w:highlight w:val="none"/>
        </w:rPr>
        <w:t>.2 乙方权利与义务：</w:t>
      </w:r>
    </w:p>
    <w:p w14:paraId="5257524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4.2.1乙方负责全部项目活动的相关策划、组织、实施、调度，保证项目活动的顺利进行。</w:t>
      </w:r>
    </w:p>
    <w:p w14:paraId="7BDBAD1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4.2.2乙方应具备符合组织项目活动的专业资格，并保证选派的工作人员具备相关的专业能力及较高的素质。</w:t>
      </w:r>
    </w:p>
    <w:p w14:paraId="3AE7FD2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4.2.3乙方应制定相应的风险管控和保险方案，对所有参加项目活动的人员进行相应的安全指导和提示，确保活动安全顺利进行，如发生人身、财产等安全责任事故，由乙方依法承担全部责任。</w:t>
      </w:r>
    </w:p>
    <w:p w14:paraId="771CB87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4.2.4乙方应按合同约定履行其他的相应义务。</w:t>
      </w:r>
    </w:p>
    <w:p w14:paraId="369990C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1" w:name="_Toc27234"/>
      <w:bookmarkStart w:id="22" w:name="_Toc23580"/>
      <w:r>
        <w:rPr>
          <w:rFonts w:hint="eastAsia" w:ascii="宋体" w:hAnsi="宋体" w:eastAsia="宋体" w:cs="宋体"/>
          <w:b/>
          <w:bCs/>
          <w:color w:val="000000"/>
          <w:kern w:val="0"/>
          <w:sz w:val="21"/>
          <w:szCs w:val="21"/>
          <w:highlight w:val="none"/>
          <w:lang w:val="en-US" w:eastAsia="zh-CN"/>
        </w:rPr>
        <w:t>5</w:t>
      </w:r>
      <w:r>
        <w:rPr>
          <w:rFonts w:hint="eastAsia" w:ascii="宋体" w:hAnsi="宋体" w:eastAsia="宋体" w:cs="宋体"/>
          <w:b/>
          <w:bCs/>
          <w:color w:val="000000"/>
          <w:kern w:val="0"/>
          <w:sz w:val="21"/>
          <w:szCs w:val="21"/>
          <w:highlight w:val="none"/>
        </w:rPr>
        <w:t>.服务费及资金付款进度</w:t>
      </w:r>
      <w:bookmarkEnd w:id="21"/>
      <w:bookmarkEnd w:id="22"/>
    </w:p>
    <w:p w14:paraId="3230156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5.1 本次项目的费用包括但不限于执行该项目所产生的赛事活动组织费用、人员接待费用、媒体费用、广告费用等。</w:t>
      </w:r>
    </w:p>
    <w:p w14:paraId="5DEC9AC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bookmarkStart w:id="23" w:name="_Toc23438"/>
      <w:bookmarkStart w:id="24" w:name="_Toc4212"/>
      <w:r>
        <w:rPr>
          <w:rFonts w:hint="eastAsia" w:ascii="宋体" w:hAnsi="宋体" w:eastAsia="宋体" w:cs="宋体"/>
          <w:color w:val="000000"/>
          <w:kern w:val="0"/>
          <w:sz w:val="21"/>
          <w:szCs w:val="21"/>
          <w:highlight w:val="none"/>
          <w:lang w:val="en-US" w:eastAsia="zh-CN"/>
        </w:rPr>
        <w:t>5.2支付方式</w:t>
      </w:r>
    </w:p>
    <w:p w14:paraId="4FA89D9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5.2.1乙方应严格按照双方最后确定的方案、服务规划流程等执行委托工作、随时接受甲方审核及检验，并为甲方提供便利条件，同时承担由自身原因导致返工、修改的费用。</w:t>
      </w:r>
    </w:p>
    <w:p w14:paraId="185A46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5.2.2支付总价为：￥：</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元；大写</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元；</w:t>
      </w:r>
    </w:p>
    <w:p w14:paraId="2A9D6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5.2.3技术服务费由甲方按进度支付乙方。</w:t>
      </w:r>
    </w:p>
    <w:p w14:paraId="3D4A20E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highlight w:val="none"/>
          <w:lang w:val="en-US" w:eastAsia="zh-CN"/>
        </w:rPr>
        <w:t>5.3具体支付方式和时间如下：</w:t>
      </w:r>
      <w:r>
        <w:rPr>
          <w:rFonts w:hint="eastAsia" w:ascii="宋体" w:hAnsi="宋体" w:cs="宋体"/>
          <w:color w:val="000000"/>
          <w:kern w:val="0"/>
          <w:sz w:val="21"/>
          <w:szCs w:val="21"/>
          <w:highlight w:val="none"/>
          <w:lang w:val="en-US" w:eastAsia="zh-CN"/>
        </w:rPr>
        <w:t>1.</w:t>
      </w:r>
      <w:bookmarkStart w:id="35" w:name="_GoBack"/>
      <w:bookmarkEnd w:id="35"/>
      <w:r>
        <w:rPr>
          <w:rFonts w:hint="eastAsia" w:ascii="宋体" w:hAnsi="宋体" w:eastAsia="宋体" w:cs="宋体"/>
          <w:color w:val="000000"/>
          <w:kern w:val="0"/>
          <w:sz w:val="21"/>
          <w:szCs w:val="21"/>
          <w:lang w:val="en-US" w:eastAsia="zh-CN" w:bidi="ar"/>
        </w:rPr>
        <w:t>合同签订生效后，甲方一个月内向乙方支付合同总价40%作为首付款；2.剩余款项按季度支付，每季度养护相关工作完成且经甲方确认后，甲方一个月内向乙方支付该季度养护费用。（首付款作为第一个季度已支付金额相应抵扣，若首付款超过第一季度结算金额，则第一季度不予支付，首付款超出第一季度结算金额部分，作为第二季度养护工作完成已支付金额，不足部分在第二季度养护工作完成后支付。）</w:t>
      </w:r>
    </w:p>
    <w:p w14:paraId="7D1AB618">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r>
        <w:rPr>
          <w:rFonts w:hint="eastAsia" w:ascii="宋体" w:hAnsi="宋体" w:cs="宋体"/>
          <w:b/>
          <w:bCs/>
          <w:color w:val="000000"/>
          <w:kern w:val="0"/>
          <w:sz w:val="21"/>
          <w:szCs w:val="21"/>
          <w:highlight w:val="none"/>
          <w:lang w:val="en-US" w:eastAsia="zh-CN"/>
        </w:rPr>
        <w:t>6.验收</w:t>
      </w:r>
    </w:p>
    <w:p w14:paraId="4B1CD2D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37C13CC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验收依据</w:t>
      </w:r>
    </w:p>
    <w:p w14:paraId="17F9083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1本项目竞争性磋商文件、响应文件:</w:t>
      </w:r>
    </w:p>
    <w:p w14:paraId="19311BF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2本合同及附件文本:</w:t>
      </w:r>
    </w:p>
    <w:p w14:paraId="3BD90C8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462598D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7</w:t>
      </w:r>
      <w:r>
        <w:rPr>
          <w:rFonts w:hint="eastAsia" w:ascii="宋体" w:hAnsi="宋体" w:eastAsia="宋体" w:cs="宋体"/>
          <w:b/>
          <w:bCs/>
          <w:color w:val="000000"/>
          <w:kern w:val="0"/>
          <w:sz w:val="21"/>
          <w:szCs w:val="21"/>
          <w:highlight w:val="none"/>
        </w:rPr>
        <w:t>.合同终止和违约责任</w:t>
      </w:r>
      <w:bookmarkEnd w:id="23"/>
      <w:bookmarkEnd w:id="24"/>
    </w:p>
    <w:p w14:paraId="024C1CC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D72C4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429AEB6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66DA05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6.4条的约定要求其承担违约责任，违约金不足以弥补损失的还应继续赔偿由此造成的损失。</w:t>
      </w:r>
    </w:p>
    <w:p w14:paraId="166895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044A6E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7A587F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4B5C5D5E">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27960"/>
      <w:bookmarkStart w:id="26" w:name="_Toc29778"/>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.不可抗力</w:t>
      </w:r>
      <w:bookmarkEnd w:id="25"/>
      <w:bookmarkEnd w:id="26"/>
    </w:p>
    <w:p w14:paraId="5DB6330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49CC55D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4D4AC3C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424613B0">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7" w:name="_Toc7221"/>
      <w:bookmarkStart w:id="28" w:name="_Toc12058"/>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lang w:val="zh-CN"/>
        </w:rPr>
        <w:t>.知识产权、保密</w:t>
      </w:r>
      <w:bookmarkEnd w:id="27"/>
      <w:bookmarkEnd w:id="28"/>
    </w:p>
    <w:p w14:paraId="2079497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06D4C0B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.2 甲方享有本合同项下组织、宣传、设计方案、等全部事项内容完整的知识产权，未经甲方书面确认，乙方不得转让、许可或以其他方式提供给任何第三方使用；否则，甲方有权解除合同并依法追究乙方违约责任。</w:t>
      </w:r>
    </w:p>
    <w:p w14:paraId="39444BE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19CFE94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543358E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.4.1依法律法规的规定；</w:t>
      </w:r>
    </w:p>
    <w:p w14:paraId="638EA0E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1E288EC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7D698B2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.4.4 非因乙方过错，而使信息已经公开；</w:t>
      </w:r>
    </w:p>
    <w:p w14:paraId="3953FE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.4.5合同双方事先达成书面认可；</w:t>
      </w:r>
    </w:p>
    <w:p w14:paraId="23B841B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38610091">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449"/>
      <w:bookmarkStart w:id="30" w:name="_Toc20922"/>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rPr>
        <w:t>.争议解决</w:t>
      </w:r>
      <w:bookmarkEnd w:id="29"/>
      <w:bookmarkEnd w:id="30"/>
    </w:p>
    <w:p w14:paraId="09516EA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w:t>
      </w:r>
      <w:r>
        <w:rPr>
          <w:rFonts w:hint="eastAsia" w:ascii="宋体" w:hAnsi="宋体" w:eastAsia="宋体" w:cs="宋体"/>
          <w:color w:val="000000"/>
          <w:kern w:val="0"/>
          <w:sz w:val="21"/>
          <w:szCs w:val="21"/>
          <w:highlight w:val="none"/>
          <w:u w:val="single"/>
          <w:lang w:val="en-US" w:eastAsia="zh-CN"/>
        </w:rPr>
        <w:t>西安</w:t>
      </w:r>
      <w:r>
        <w:rPr>
          <w:rFonts w:hint="eastAsia" w:ascii="宋体" w:hAnsi="宋体" w:eastAsia="宋体" w:cs="宋体"/>
          <w:color w:val="000000"/>
          <w:kern w:val="0"/>
          <w:sz w:val="21"/>
          <w:szCs w:val="21"/>
          <w:highlight w:val="none"/>
          <w:lang w:val="en-US" w:eastAsia="zh-CN"/>
        </w:rPr>
        <w:t>仲裁委员会，依据委员会实施的仲裁规则进行仲裁。该仲裁裁决是终局性的并对双方具有约束力。违约方承担守约方的全部维权费用，包括但不限于保全担保费、公证费、公告费、审计费、鉴定费、律师费等。</w:t>
      </w:r>
    </w:p>
    <w:p w14:paraId="35A7695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17905"/>
      <w:bookmarkStart w:id="32" w:name="_Toc2658"/>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1</w:t>
      </w:r>
      <w:r>
        <w:rPr>
          <w:rFonts w:hint="eastAsia" w:ascii="宋体" w:hAnsi="宋体" w:eastAsia="宋体" w:cs="宋体"/>
          <w:b/>
          <w:color w:val="000000"/>
          <w:kern w:val="0"/>
          <w:sz w:val="21"/>
          <w:szCs w:val="21"/>
          <w:highlight w:val="none"/>
        </w:rPr>
        <w:t>.通知</w:t>
      </w:r>
      <w:bookmarkEnd w:id="31"/>
      <w:bookmarkEnd w:id="32"/>
    </w:p>
    <w:p w14:paraId="07DA4C5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7C05591F">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3" w:name="_Toc20904"/>
      <w:bookmarkStart w:id="34"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.合同生效及其它</w:t>
      </w:r>
      <w:bookmarkEnd w:id="33"/>
      <w:bookmarkEnd w:id="34"/>
    </w:p>
    <w:p w14:paraId="52C5C6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7D54A29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FEEF80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5"/>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6631034E">
        <w:tblPrEx>
          <w:tblCellMar>
            <w:top w:w="0" w:type="dxa"/>
            <w:left w:w="108" w:type="dxa"/>
            <w:bottom w:w="0" w:type="dxa"/>
            <w:right w:w="108" w:type="dxa"/>
          </w:tblCellMar>
        </w:tblPrEx>
        <w:trPr>
          <w:trHeight w:val="968" w:hRule="atLeast"/>
        </w:trPr>
        <w:tc>
          <w:tcPr>
            <w:tcW w:w="4812" w:type="dxa"/>
            <w:noWrap w:val="0"/>
            <w:vAlign w:val="top"/>
          </w:tcPr>
          <w:p w14:paraId="58FBAA9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58A3A707">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2E63FBAD">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4BE35F7">
        <w:tblPrEx>
          <w:tblCellMar>
            <w:top w:w="0" w:type="dxa"/>
            <w:left w:w="108" w:type="dxa"/>
            <w:bottom w:w="0" w:type="dxa"/>
            <w:right w:w="108" w:type="dxa"/>
          </w:tblCellMar>
        </w:tblPrEx>
        <w:trPr>
          <w:trHeight w:val="729" w:hRule="atLeast"/>
        </w:trPr>
        <w:tc>
          <w:tcPr>
            <w:tcW w:w="4812" w:type="dxa"/>
            <w:noWrap w:val="0"/>
            <w:vAlign w:val="top"/>
          </w:tcPr>
          <w:p w14:paraId="56EE2C0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5EB2F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360FCCE4">
        <w:tblPrEx>
          <w:tblCellMar>
            <w:top w:w="0" w:type="dxa"/>
            <w:left w:w="108" w:type="dxa"/>
            <w:bottom w:w="0" w:type="dxa"/>
            <w:right w:w="108" w:type="dxa"/>
          </w:tblCellMar>
        </w:tblPrEx>
        <w:trPr>
          <w:trHeight w:val="729" w:hRule="atLeast"/>
        </w:trPr>
        <w:tc>
          <w:tcPr>
            <w:tcW w:w="4812" w:type="dxa"/>
            <w:noWrap w:val="0"/>
            <w:vAlign w:val="top"/>
          </w:tcPr>
          <w:p w14:paraId="4869097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31EDF25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0D2EFAB">
        <w:tblPrEx>
          <w:tblCellMar>
            <w:top w:w="0" w:type="dxa"/>
            <w:left w:w="108" w:type="dxa"/>
            <w:bottom w:w="0" w:type="dxa"/>
            <w:right w:w="108" w:type="dxa"/>
          </w:tblCellMar>
        </w:tblPrEx>
        <w:trPr>
          <w:trHeight w:val="836" w:hRule="atLeast"/>
        </w:trPr>
        <w:tc>
          <w:tcPr>
            <w:tcW w:w="4812" w:type="dxa"/>
            <w:noWrap w:val="0"/>
            <w:vAlign w:val="top"/>
          </w:tcPr>
          <w:p w14:paraId="1BBC5690">
            <w:pPr>
              <w:bidi w:val="0"/>
              <w:spacing w:line="360" w:lineRule="auto"/>
              <w:rPr>
                <w:rFonts w:hint="eastAsia" w:ascii="宋体" w:hAnsi="宋体" w:eastAsia="宋体" w:cs="宋体"/>
                <w:color w:val="000000"/>
                <w:kern w:val="0"/>
                <w:sz w:val="21"/>
                <w:szCs w:val="21"/>
                <w:highlight w:val="none"/>
              </w:rPr>
            </w:pPr>
          </w:p>
          <w:p w14:paraId="09A4F77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3B3743BF">
            <w:pPr>
              <w:bidi w:val="0"/>
              <w:spacing w:line="360" w:lineRule="auto"/>
              <w:rPr>
                <w:rFonts w:hint="eastAsia" w:ascii="宋体" w:hAnsi="宋体" w:eastAsia="宋体" w:cs="宋体"/>
                <w:color w:val="000000"/>
                <w:kern w:val="0"/>
                <w:sz w:val="21"/>
                <w:szCs w:val="21"/>
                <w:highlight w:val="none"/>
              </w:rPr>
            </w:pPr>
          </w:p>
          <w:p w14:paraId="121A211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5C8CE771">
        <w:tblPrEx>
          <w:tblCellMar>
            <w:top w:w="0" w:type="dxa"/>
            <w:left w:w="108" w:type="dxa"/>
            <w:bottom w:w="0" w:type="dxa"/>
            <w:right w:w="108" w:type="dxa"/>
          </w:tblCellMar>
        </w:tblPrEx>
        <w:trPr>
          <w:trHeight w:val="637" w:hRule="atLeast"/>
        </w:trPr>
        <w:tc>
          <w:tcPr>
            <w:tcW w:w="4812" w:type="dxa"/>
            <w:noWrap w:val="0"/>
            <w:vAlign w:val="top"/>
          </w:tcPr>
          <w:p w14:paraId="26B2D4D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17423D23">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1F4FBF89">
        <w:tblPrEx>
          <w:tblCellMar>
            <w:top w:w="0" w:type="dxa"/>
            <w:left w:w="108" w:type="dxa"/>
            <w:bottom w:w="0" w:type="dxa"/>
            <w:right w:w="108" w:type="dxa"/>
          </w:tblCellMar>
        </w:tblPrEx>
        <w:trPr>
          <w:trHeight w:val="614" w:hRule="atLeast"/>
        </w:trPr>
        <w:tc>
          <w:tcPr>
            <w:tcW w:w="4812" w:type="dxa"/>
            <w:noWrap w:val="0"/>
            <w:vAlign w:val="top"/>
          </w:tcPr>
          <w:p w14:paraId="4A8AAC9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6D9DD8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752AD844">
        <w:tblPrEx>
          <w:tblCellMar>
            <w:top w:w="0" w:type="dxa"/>
            <w:left w:w="108" w:type="dxa"/>
            <w:bottom w:w="0" w:type="dxa"/>
            <w:right w:w="108" w:type="dxa"/>
          </w:tblCellMar>
        </w:tblPrEx>
        <w:trPr>
          <w:trHeight w:val="694" w:hRule="atLeast"/>
        </w:trPr>
        <w:tc>
          <w:tcPr>
            <w:tcW w:w="4812" w:type="dxa"/>
            <w:noWrap w:val="0"/>
            <w:vAlign w:val="top"/>
          </w:tcPr>
          <w:p w14:paraId="4695F2A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1ACF0CC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18359C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734603C0"/>
    <w:rsid w:val="73483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
    <w:qFormat/>
    <w:uiPriority w:val="0"/>
    <w:pPr>
      <w:keepNext/>
      <w:jc w:val="center"/>
      <w:outlineLvl w:val="0"/>
    </w:pPr>
    <w:rPr>
      <w:kern w:val="0"/>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4">
    <w:name w:val="Normal Indent"/>
    <w:basedOn w:val="1"/>
    <w:next w:val="1"/>
    <w:qFormat/>
    <w:uiPriority w:val="0"/>
    <w:pPr>
      <w:widowControl/>
      <w:ind w:firstLine="420"/>
      <w:jc w:val="left"/>
    </w:pPr>
    <w:rPr>
      <w:kern w:val="0"/>
      <w:sz w:val="20"/>
    </w:rPr>
  </w:style>
  <w:style w:type="paragraph" w:customStyle="1" w:styleId="7">
    <w:name w:val="正文缩进1"/>
    <w:basedOn w:val="1"/>
    <w:qFormat/>
    <w:uiPriority w:val="0"/>
    <w:pPr>
      <w:ind w:firstLine="420" w:firstLineChars="200"/>
    </w:pPr>
  </w:style>
  <w:style w:type="character" w:customStyle="1" w:styleId="8">
    <w:name w:val="标题 1 Char"/>
    <w:link w:val="3"/>
    <w:qFormat/>
    <w:uiPriority w:val="0"/>
    <w:rPr>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3554</Words>
  <Characters>3751</Characters>
  <Lines>0</Lines>
  <Paragraphs>0</Paragraphs>
  <TotalTime>0</TotalTime>
  <ScaleCrop>false</ScaleCrop>
  <LinksUpToDate>false</LinksUpToDate>
  <CharactersWithSpaces>3925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五辰</cp:lastModifiedBy>
  <dcterms:modified xsi:type="dcterms:W3CDTF">2024-11-04T03:57:56Z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AE494F9C08FE43BE8284A6E5DA7935F1_12</vt:lpwstr>
  </property>
</Properties>
</file>