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版本号：SCZD2024-CS-2895-00120250320001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儿童药品送货服务项目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SCZD2024-CS-2895-001</w:t>
      </w:r>
      <w:r>
        <w:br/>
      </w:r>
      <w:r>
        <w:br/>
      </w:r>
      <w:r>
        <w:br/>
      </w:r>
    </w:p>
    <w:p>
      <w:pPr>
        <w:pStyle w:val="null3"/>
        <w:jc w:val="center"/>
        <w:outlineLvl w:val="2"/>
      </w:pPr>
      <w:r>
        <w:rPr>
          <w:rFonts w:ascii="仿宋_GB2312" w:hAnsi="仿宋_GB2312" w:cs="仿宋_GB2312" w:eastAsia="仿宋_GB2312"/>
          <w:sz w:val="28"/>
          <w:b/>
        </w:rPr>
        <w:t>西安市儿童福利院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西安市儿童福利院</w:t>
      </w:r>
      <w:r>
        <w:rPr>
          <w:rFonts w:ascii="仿宋_GB2312" w:hAnsi="仿宋_GB2312" w:cs="仿宋_GB2312" w:eastAsia="仿宋_GB2312"/>
        </w:rPr>
        <w:t>委托，拟对</w:t>
      </w:r>
      <w:r>
        <w:rPr>
          <w:rFonts w:ascii="仿宋_GB2312" w:hAnsi="仿宋_GB2312" w:cs="仿宋_GB2312" w:eastAsia="仿宋_GB2312"/>
        </w:rPr>
        <w:t>儿童药品送货服务项目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SCZD2024-CS-2895-001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儿童药品送货服务项目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西安市儿童福利院儿童药品送货服务项目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在递交投标文件截止时间前被“信用中国”网站（www.creditchina.gov.cn）和中国政府采购网（www.ccgp.gov.cn）上被列入失信被执行人、重大税收违法失信主体、政府采购严重违法失信行为记录名单的，不得参加投标；：供应商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法定代表人参加的，须提供本人身份证复印件加盖公章；法定代表人授权他人参加的，须提供法定代表人委托授权书原件加盖公章，并提供被授权代表的身份证复印件加盖公章，并提供授权代表本单位证明（养老保险缴纳证明）；：法定代表人参加的，须提供本人身份证复印件加盖公章；法定代表人授权他人参加的，须提供法定代表人委托授权书原件加盖公章，并提供被授权代表的身份证复印件加盖公章，并提供授权代表本单位证明（养老保险缴纳证明）；</w:t>
      </w:r>
    </w:p>
    <w:p>
      <w:pPr>
        <w:pStyle w:val="null3"/>
      </w:pPr>
      <w:r>
        <w:rPr>
          <w:rFonts w:ascii="仿宋_GB2312" w:hAnsi="仿宋_GB2312" w:cs="仿宋_GB2312" w:eastAsia="仿宋_GB2312"/>
        </w:rPr>
        <w:t>3、供应商须具有提供经药品监督管理局审批发放的《药品经营许可证》：供应商须具有提供经药品监督管理局审批发放的《药品经营许可证》</w:t>
      </w:r>
    </w:p>
    <w:p>
      <w:pPr>
        <w:pStyle w:val="null3"/>
      </w:pPr>
      <w:r>
        <w:rPr>
          <w:rFonts w:ascii="仿宋_GB2312" w:hAnsi="仿宋_GB2312" w:cs="仿宋_GB2312" w:eastAsia="仿宋_GB2312"/>
        </w:rPr>
        <w:t>4、供应商具有药品经营企业的GSP认证证书；：供应商具有药品经营企业的GSP认证证书；</w:t>
      </w:r>
    </w:p>
    <w:p>
      <w:pPr>
        <w:pStyle w:val="null3"/>
      </w:pPr>
      <w:r>
        <w:rPr>
          <w:rFonts w:ascii="仿宋_GB2312" w:hAnsi="仿宋_GB2312" w:cs="仿宋_GB2312" w:eastAsia="仿宋_GB2312"/>
        </w:rPr>
        <w:t>5、供应商不得存在下列情形之一：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6、需免费获取采购文件，未免费获取采购文件的供应商均无资格参加投标。：需免费获取采购文件，未免费获取采购文件的供应商均无资格参加投标。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陕西省西安市未央区新广路98号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西安市高新二路2号山西证券大厦八层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魏博芸、雷鹏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西安市儿童福利院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联系电话：029-88497916</w:t>
      </w:r>
    </w:p>
    <w:p>
      <w:pPr>
        <w:pStyle w:val="null3"/>
      </w:pPr>
      <w:r>
        <w:rPr>
          <w:rFonts w:ascii="仿宋_GB2312" w:hAnsi="仿宋_GB2312" w:cs="仿宋_GB2312" w:eastAsia="仿宋_GB2312"/>
        </w:rPr>
        <w:t>地址：西安市高新二路山西证券大厦8层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西安市儿童福利院儿童药品送货服务项目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313,000.00</w:t>
      </w:r>
    </w:p>
    <w:p>
      <w:pPr>
        <w:pStyle w:val="null3"/>
      </w:pPr>
      <w:r>
        <w:rPr>
          <w:rFonts w:ascii="仿宋_GB2312" w:hAnsi="仿宋_GB2312" w:cs="仿宋_GB2312" w:eastAsia="仿宋_GB2312"/>
        </w:rPr>
        <w:t>采购包最高限价（元）: 313,000.00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儿童药品送货服务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标的名称：儿童药品送货服务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药品清单</w:t>
            </w:r>
          </w:p>
        </w:tc>
        <w:tc>
          <w:tcPr>
            <w:tcW w:type="dxa" w:w="2076"/>
          </w:tcPr>
          <w:tbl>
            <w:tblPr>
              <w:tblBorders>
                <w:top w:val="single"/>
                <w:left w:val="single"/>
                <w:bottom w:val="single"/>
                <w:right w:val="single"/>
                <w:insideH w:val="single"/>
                <w:insideV w:val="single"/>
              </w:tblBorders>
            </w:tblPr>
            <w:tblGrid>
              <w:gridCol w:w="214"/>
              <w:gridCol w:w="624"/>
              <w:gridCol w:w="479"/>
              <w:gridCol w:w="541"/>
            </w:tblGrid>
            <w:tr>
              <w:tc>
                <w:tcPr>
                  <w:tcW w:type="dxa" w:w="21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62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名称</w:t>
                  </w:r>
                </w:p>
              </w:tc>
              <w:tc>
                <w:tcPr>
                  <w:tcW w:type="dxa" w:w="479"/>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规格</w:t>
                  </w:r>
                </w:p>
              </w:tc>
              <w:tc>
                <w:tcPr>
                  <w:tcW w:type="dxa" w:w="541"/>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单位</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抗微生物类</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阿莫西林颗粒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0.125x24</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琥乙红霉素片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0.125X24</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注射用头孢唑林钠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注射用头孢噻肟钠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注射用阿奇霉素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注射用克林霉素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0.6X1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头孢地尼分散片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0.1g*6s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注射用乳糖红霉素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注射用青霉素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80万单位X1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盐酸林可霉素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0.6X10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利巴韦林注射液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头孢氨苄颗粒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0.125x12</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头孢克洛颗粒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0.125gx6</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阿奇霉素颗粒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0.1gx6</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头孢克肟颗粒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50mgx6</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丙酸交沙霉素颗粒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0.1g*6袋/盒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琥乙红霉素颗粒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0.1gx12袋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阿奇霉素干混悬剂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0.1g*6袋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头孢克洛干混悬剂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0.125gx6袋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利巴韦林颗粒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50mgx18</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利巴韦林喷雾剂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400mg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硫酸庆大颗粒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10mgX20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甲硝唑片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0.2gx100s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阿莫西林胶囊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0.25gx50s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头孢曲松钠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注射用苄星青霉素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120万u</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阿昔洛韦片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0.1g*20s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注射用更昔洛韦</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头孢拉定颗粒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12袋/盒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制霉素片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50万u*100s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阿莫西林克拉维酸钾片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0.457g*6s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头孢克肟干混悬剂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50mg*6袋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利福平胶囊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0.15g*100s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注射用头孢他啶</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盐酸乙胺丁醇片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异烟肼片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吡嗪酰胺片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注射用头孢哌酮舒巴坦</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诺氟沙星胶囊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12粒x5板</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甲硝唑注射液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左氧氟杀星注射液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磷酸奥司他韦颗粒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15mg*10袋/盒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磷酸奥司他韦胶囊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75mg*9s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注射类</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5%葡萄糖</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10%葡萄糖</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10%葡萄糖</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5%葡萄糖</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0.9%生理盐水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0.9%生理盐水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葡萄糖氯化钠注射液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生理盐水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10mlx5</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氯化钾注射液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1gx5</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硫酸镁注射液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10mlx5</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葡萄糖酸钙注射液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10mlx5</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心血管系统及其他用药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硝苯地平片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地高辛片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盐酸普萘洛尔片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速效救心丸</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40mgx120s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酚磺乙胺注射液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甲磺酸酚妥拉明注射液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10mg*5支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尼可刹米注射液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地高辛片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0.25mg*30s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阿司匹林肠溶片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辅酶Q10胶囊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10mg*60s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胸腺肽肠溶片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15mg*12s/盒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左卡尼汀口服液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10ml*6</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吗替麦考酚酯分散片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0.25g*40s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华法林钠片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2.5mg*60s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辅酶Q10片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硝酸甘油片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环孢素软胶囊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25mg*50s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双嘧达莫片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枸橼酸西地那非片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50mg*5s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注射用果糖二磷酸钠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果糖二磷酸钠口服溶液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甘露醇注射液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去乙酰毛花苷注射液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2mlx2</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洛贝林注射液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阿托品注射液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盐酸肾上腺素注射液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去甲肾上腺素注射液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1ml*2</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多巴胺注射液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左甲状腺素钠片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50ug*100s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呼吸系统用药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氨茶碱注射液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盐酸氨溴索葡萄糖注射液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氨溴特罗口服液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乙酰半胱氨酸颗粒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0.1gx10袋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盐酸氨溴索注射液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15mg/2ml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硫酸沙丁胺醇气雾剂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100ug*200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孟鲁司特钠咀嚼片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4mg*5s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复方福尔可定口服溶液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羧甲司坦口服溶液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盐酸氨溴索口服液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100ml/0.3g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开喉剑喷雾剂（儿童型）</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盐酸氨溴索颗粒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15mg*12袋/盒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吸入用乙酰半胱氨酸溶液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3ml;0.3*5支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吸入用异丙托溴铵溶液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2ml：250ug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吸入用复方异丙托溴铵溶液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2.5ml*10支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吸入用硫酸沙丁胺醇溶液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2.5ml：5mg*5支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硫酸特布他林雾化吸入用溶液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2ml：5mg*10支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小儿咽扁颗粒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8g×10袋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桉柠蒎肠溶胶囊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0.12*18s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消化系统用药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双歧杆菌活菌胶囊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0.35gx10粒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阿苯达唑片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0.2x10s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甘草锌颗粒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1.5g*10袋/盒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龙牡壮骨颗粒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3gx18袋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雷尼替丁胶囊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0.15gx30粒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小儿健胃消食片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36片</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蒙脱石散</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3gx10袋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复方胃蛋白颗粒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10g*18袋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多酶片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100片</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酵母片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60s/瓶</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口服补液盐III</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复方*6袋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香砂养胃丸</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200粒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复合乳酸菌胶囊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0.33g*12s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口服葡萄糖</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乳酸菌素片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0.4g*36s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四磨汤口服液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吗丁啉片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葡醛内酯片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双歧杆菌四联活菌片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双歧杆菌三联活菌散</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1g*7袋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乳果糖口服溶液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小儿七星茶颗粒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7g*10袋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奥美拉唑肠溶胶囊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20mg*14s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美沙拉秦缓释颗粒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0.5g*10s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熊去氧胆酸胶囊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250mg*25s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枸橼酸莫沙必利片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5mg*36s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消旋山莨菪碱片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山莨菪碱注射液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10mg/1ml*10支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肌苷片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100片</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谷胱甘肽片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0.1g*36s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神经系统用药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丙戊酸钠片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0.2X100s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茶苯海明片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颠茄片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马来酸氯苯那敏片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氯雷他定颗粒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托吡酯片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25mgx60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卡马西平</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丙戊酸钠缓释片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丙戊酸钠口服液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左乙拉西坦片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盐酸苯海索片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氯雷他定颗粒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5mg*6袋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鼻炎康片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0.37g*72s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盐酸西替利嗪滴剂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30ml/支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奥卡西平片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0.15g*50s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左乙拉西坦片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利培酮片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1mg*20s/盒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富马酸喹硫平片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25mg*28s/盒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拉考沙胺片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50mg*14s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利培酮口服液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拉莫三嗪片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奥氮平片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5mg*20s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阿立哌唑片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5mg*10S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水合氯醛灌肠剂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0.5g*2瓶</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盐酸乙哌立松片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50mg*20s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复方甘草酸苷注射液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利多卡因注射液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5mlx5</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盐酸异丙嗪注射液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巴氯芬片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10mg*20s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外用类</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创可贴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100张</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丁桂儿脐贴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2贴</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湿润烧伤膏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痔疮膏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云南白药</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复方氯己定地塞米松膜</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20s/袋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地奈德乳膏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红花油</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鱼石脂软膏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莫匹罗星软膏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红霉素软膏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醋酸氟轻松软膏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开塞露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清凉油</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复方醋酸地塞米松乳膏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硝酸咪康唑乳膏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过氧化氢溶液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炉甘石洗剂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鱼肝油氧化锌软膏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洁尔阴洗液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尿素软膏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阿昔洛韦软膏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风油精</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康复新液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碘甘油</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麝香壮骨膏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7cm*10cm</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云南白药气雾剂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85g：30g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丹皮酚软膏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除湿止痒软膏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复方黄柏液涂剂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筋骨贴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7cm*10cm*6s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夫西地酸乳膏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丁酸氢化可的松乳膏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维A酸乳膏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退热贴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4贴/盒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眼科及五官科用药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红霉素眼膏</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2gx1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199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氯霉素眼水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利巴韦林滴眼液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妥布霉素眼水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阿昔洛韦滴眼液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萘敏维滴眼液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地塞米松磷酸钠滴眼液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氧氟沙星滴眼液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氧氟沙星滴耳液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西帕依固龈液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华素片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1.5x15</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解热、镇痛、非甾体消炎药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布洛芬缓释胶囊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氨咖黄敏胶囊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板</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复方氨酚烷胺片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对乙酰氨基酚滴剂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布洛芬颗粒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0.2X10包</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小儿氨酚黄那敏颗粒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2g*12袋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柴胡注射液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布洛芬混悬液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氨加黄敏口服液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6支/盒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感冒灵颗粒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10g*9袋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布洛芬混悬液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35ml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复方氨酚甲麻口服液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泌尿系统用药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呋塞米注射液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氢氯噻嗪片（双克）</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呋塞米片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螺内酯片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激素类</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地塞米松注射液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强的松片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氢化可的松注射液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10mg/2ml *10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吸入用布地奈德混悬液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2ml：1mg/支*10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229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醋酸地塞米松片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0.75mg*100s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注射液用甲泼尼龙琥珀酸钠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40mg</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醋酸氢化可的松片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20mg*30s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维生素及营养补充剂</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维生素B6注射液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维生素c注射液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谷维素片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100片</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维生素C片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维生素B6片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复合维生素B片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维生素B1片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维生素B2片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叶酸片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5mgx100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 AD滴剂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2000u*30s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儿童维D钙咀嚼片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注射用水溶性维生素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复合</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维生素B12注射液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0.5mg*1ml*10支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赖氨肌醇维B12口服溶液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多维铁口服溶液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葡萄糖酸钙锌口服液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10ml*18</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葡萄糖酸锌口服液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右旋糖酐铁口服液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5ml*5支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维生素D滴剂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400单位*24s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枸橼酸钾颗粒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2g*10包</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维生素K3注射液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 /4mg*10支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碳酸钙D3片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碳酸钙D3颗粒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10袋/盒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维生素AD软胶囊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3000u*100s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肠内营养粉剂TP</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400g/罐</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罐</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磷酸腺嘌呤片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10mg*100s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多种微量元素注射液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2ml*5支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小儿复方氨基酸注射液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生物类制剂</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人干扰素a1b注射液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10ug </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人干扰素a2b喷雾剂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破伤风抗毒素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1500IU*10支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地特胰岛素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3ml；300U*1（笔芯）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门冬胰岛素</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3ml；300U*1(笔芯）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甘精胰岛素注射液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1.5ml：450ml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1858"/>
                  <w:gridSpan w:val="4"/>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中成药</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双黄连口服液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10mlx10支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肺力咳合剂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小儿止咳糖浆</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269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杏仁止咳合剂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急支糖浆</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小儿咳喘灵颗粒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2gX10袋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小儿清肺化痰颗粒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6gX10包</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小儿肺热咳喘口服液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10ml*8支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金振口服液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蓝芩口服液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10ml*12支</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桔贝合剂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小儿柴桂退热颗粒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4g*12袋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四季抗病毒合剂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279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热炎宁合剂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抗病毒冲剂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9gX10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猴耳环消炎颗粒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12袋/盒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板蓝根冲剂</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10gx20袋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包</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银黄口服液</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10mlX6支          </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抗感颗粒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5g*9袋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莲花清瘟胶囊</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0.35g*24s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西瓜霜含片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0.6g*36s</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金嗓子喉宝</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2gx12粒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藿香正气水</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10mlX10</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289</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藿香正气丸</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200粒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290</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黄连上清丸</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6g*10袋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291</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三黄片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包</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292</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黄芪颗粒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4g*12袋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293</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玉屏风颗粒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5g*21袋</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294</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三七片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295</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跌打丸</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3gX6丸</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296</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大山楂丸</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9g*40丸</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包</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297</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醒脾养儿颗粒</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24包/盒</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 盒</w:t>
                  </w:r>
                </w:p>
              </w:tc>
            </w:tr>
            <w:tr>
              <w:tc>
                <w:tcPr>
                  <w:tcW w:type="dxa" w:w="21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298</w:t>
                  </w:r>
                </w:p>
              </w:tc>
              <w:tc>
                <w:tcPr>
                  <w:tcW w:type="dxa" w:w="624"/>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护肝片</w:t>
                  </w:r>
                </w:p>
              </w:tc>
              <w:tc>
                <w:tcPr>
                  <w:tcW w:type="dxa" w:w="47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100片</w:t>
                  </w:r>
                </w:p>
              </w:tc>
              <w:tc>
                <w:tcPr>
                  <w:tcW w:type="dxa" w:w="541"/>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所有采购物品到达甲方指定地点并清点、验收合格后，甲方收到乙方发票后支付货款。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财务状况报告：提供（1）或提供（2）</w:t>
            </w:r>
          </w:p>
        </w:tc>
        <w:tc>
          <w:tcPr>
            <w:tcW w:type="dxa" w:w="3322"/>
          </w:tcPr>
          <w:p>
            <w:pPr>
              <w:pStyle w:val="null3"/>
            </w:pPr>
            <w:r>
              <w:rPr>
                <w:rFonts w:ascii="仿宋_GB2312" w:hAnsi="仿宋_GB2312" w:cs="仿宋_GB2312" w:eastAsia="仿宋_GB2312"/>
              </w:rPr>
              <w:t>（1）提供2023年度财务报表复印件，应满足以下要求： ① 供应商是企业的，财务报表是指经会计师事务所审计的上述指定年度整个会计年度财务报表（须提供会计师事务所出具的审计报告复印件）,复印件至少须包括审计意见正文、资产负债表、利润表（或损益表）、现金流量表。 ② 供应商适用《事业单位会计准则》的，财务报表是指上述指定年度整个会计年度财务报表（不要求必须是经审计的），复印件至少须包括资产负债表、收入支出表（或收入费用表）、财政补助收入支出表。 ③ 供应商适用《政府会计准则》的，财务报表是指上述指定年度整个会计年度财务报表（不要求必须是经审计的），复印件至少须包括资产负债表、收入费用表。 ④ 供应商适用《民间非营利组织会计制度》的，财务报表是指上述指定年度整个会计年度财务报表（不要求必须是经审计的），复印件至少须包括资产负债表、业务活动表、现金流量表。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（1）供应商应提供递交响应文件截止时间前近六个月中任何一个月缴纳增值税或企业所得税的凭证，时间以税款所属时期为准（银行出具的缴税凭证或税务机关出具的证明的复印件，并加盖本单位公章）。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递交响应文件截止时间前近六个月中任何一个月缴纳增值税和最近一期缴纳企业所得税的凭证，时间以税款所属时期为准（银行出具的缴税凭证或税务机关出具的证明的复印件，并加盖本单位公章）。 （3）缴纳凭证复印件须清晰可辨，并能显示出供应商名称和所缴纳税种种类，单位代扣代缴的个人所得税不能作为单位纳税的凭证。 （4）依法免税的供应商，应提供相应文件证明其依法免税。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（1）供应商应提供递交响应文件截止时间前近六个月中至少一个月的缴纳社会保险的凭据（专用收据或社会保险缴纳清单），并加盖本单位公章。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（3）依法不需要缴纳社会保障资金的，应提供相应文件说明其依法不需要缴纳的证明材料复印件，并加盖本单位公章。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按照资格证明文件附件6-5格式作出相关承诺。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按照资格证明文件附件6-6格式作出相关承诺。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以代理机构于开启响应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按照资格证明文件附件6-7格式做出说明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按照资格证明文件附件6-8格式做出声明。供应商不属于为本项目提供整体设计、规范编制或者项目管理、监理、检测等服务的供应商。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（1）法定代表人或单位负责人参加磋商的，应提供法定代表人或单位负责人身份证明； （2）授权代表参加磋商的，应提供法定代表人或单位负责人身份证明、授权委托书及授权代表在本单位缴纳养老保险证明。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的，须提供本人身份证复印件加盖公章；法定代表人授权他人参加的，须提供法定代表人委托授权书原件加盖公章，并提供被授权代表的身份证复印件加盖公章，并提供授权代表本单位证明（养老保险缴纳证明）；</w:t>
            </w:r>
          </w:p>
        </w:tc>
        <w:tc>
          <w:tcPr>
            <w:tcW w:type="dxa" w:w="3322"/>
          </w:tcPr>
          <w:p>
            <w:pPr>
              <w:pStyle w:val="null3"/>
            </w:pPr>
            <w:r>
              <w:rPr>
                <w:rFonts w:ascii="仿宋_GB2312" w:hAnsi="仿宋_GB2312" w:cs="仿宋_GB2312" w:eastAsia="仿宋_GB2312"/>
              </w:rPr>
              <w:t>法定代表人参加的，须提供本人身份证复印件加盖公章；法定代表人授权他人参加的，须提供法定代表人委托授权书原件加盖公章，并提供被授权代表的身份证复印件加盖公章，并提供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供应商须具有提供经药品监督管理局审批发放的《药品经营许可证》</w:t>
            </w:r>
          </w:p>
        </w:tc>
        <w:tc>
          <w:tcPr>
            <w:tcW w:type="dxa" w:w="3322"/>
          </w:tcPr>
          <w:p>
            <w:pPr>
              <w:pStyle w:val="null3"/>
            </w:pPr>
            <w:r>
              <w:rPr>
                <w:rFonts w:ascii="仿宋_GB2312" w:hAnsi="仿宋_GB2312" w:cs="仿宋_GB2312" w:eastAsia="仿宋_GB2312"/>
              </w:rPr>
              <w:t>供应商须具有提供经药品监督管理局审批发放的《药品经营许可证》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供应商具有药品经营企业的GSP认证证书；</w:t>
            </w:r>
          </w:p>
        </w:tc>
        <w:tc>
          <w:tcPr>
            <w:tcW w:type="dxa" w:w="3322"/>
          </w:tcPr>
          <w:p>
            <w:pPr>
              <w:pStyle w:val="null3"/>
            </w:pPr>
            <w:r>
              <w:rPr>
                <w:rFonts w:ascii="仿宋_GB2312" w:hAnsi="仿宋_GB2312" w:cs="仿宋_GB2312" w:eastAsia="仿宋_GB2312"/>
              </w:rPr>
              <w:t>供应商具有药品经营企业的GSP认证证书；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需免费获取采购文件，未免费获取采购文件的供应商均无资格参加投标。</w:t>
            </w:r>
          </w:p>
        </w:tc>
        <w:tc>
          <w:tcPr>
            <w:tcW w:type="dxa" w:w="3322"/>
          </w:tcPr>
          <w:p>
            <w:pPr>
              <w:pStyle w:val="null3"/>
            </w:pPr>
            <w:r>
              <w:rPr>
                <w:rFonts w:ascii="仿宋_GB2312" w:hAnsi="仿宋_GB2312" w:cs="仿宋_GB2312" w:eastAsia="仿宋_GB2312"/>
              </w:rPr>
              <w:t>需免费获取采购文件，未免费获取采购文件的供应商均无资格参加投标。</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 商务技术文件.docx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商务技术文件.docx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响应文件封面 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配送运输 能力</w:t>
            </w:r>
          </w:p>
        </w:tc>
        <w:tc>
          <w:tcPr>
            <w:tcW w:type="dxa" w:w="2492"/>
          </w:tcPr>
          <w:p>
            <w:pPr>
              <w:pStyle w:val="null3"/>
            </w:pPr>
            <w:r>
              <w:rPr>
                <w:rFonts w:ascii="仿宋_GB2312" w:hAnsi="仿宋_GB2312" w:cs="仿宋_GB2312" w:eastAsia="仿宋_GB2312"/>
              </w:rPr>
              <w:t>配备自有运输车辆≥10辆、冷链车≥2辆，得10分。冷链车少于2辆本项不得分，提供的自有运输车辆不足10辆每减少1辆扣1分，扣完为止。 （提供证明材料）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经营范围</w:t>
            </w:r>
          </w:p>
        </w:tc>
        <w:tc>
          <w:tcPr>
            <w:tcW w:type="dxa" w:w="2492"/>
          </w:tcPr>
          <w:p>
            <w:pPr>
              <w:pStyle w:val="null3"/>
            </w:pPr>
            <w:r>
              <w:rPr>
                <w:rFonts w:ascii="仿宋_GB2312" w:hAnsi="仿宋_GB2312" w:cs="仿宋_GB2312" w:eastAsia="仿宋_GB2312"/>
              </w:rPr>
              <w:t>1、经营范围较广，以企业授权的药品品种、品规数量进行综合评价： 能完全满足医院需求得根据经营范围得5分； 能一般满足医院需求得根据经营范围得3分； 能基本满足医院需求得根据经营范围得1分； 未提供不得分。 2、提供从4+7药品集中采购目录及国家谈判品种中的药品品种配备经营情况。提供配备品种目录清单的，得5分，未提供不得分。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仓储条件</w:t>
            </w:r>
          </w:p>
        </w:tc>
        <w:tc>
          <w:tcPr>
            <w:tcW w:type="dxa" w:w="2492"/>
          </w:tcPr>
          <w:p>
            <w:pPr>
              <w:pStyle w:val="null3"/>
            </w:pPr>
            <w:r>
              <w:rPr>
                <w:rFonts w:ascii="仿宋_GB2312" w:hAnsi="仿宋_GB2312" w:cs="仿宋_GB2312" w:eastAsia="仿宋_GB2312"/>
              </w:rPr>
              <w:t>仓储面积：以企业申报批准的仓库面积（含冷库）和提供的相关证明资料为依据进行评价。仓库面积≥10000平方米得10分，不足10000平方米每减少1000平方米扣1分，扣完为止。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质量管理体系及专业技术人员</w:t>
            </w:r>
          </w:p>
        </w:tc>
        <w:tc>
          <w:tcPr>
            <w:tcW w:type="dxa" w:w="2492"/>
          </w:tcPr>
          <w:p>
            <w:pPr>
              <w:pStyle w:val="null3"/>
            </w:pPr>
            <w:r>
              <w:rPr>
                <w:rFonts w:ascii="仿宋_GB2312" w:hAnsi="仿宋_GB2312" w:cs="仿宋_GB2312" w:eastAsia="仿宋_GB2312"/>
              </w:rPr>
              <w:t>1、根据配送企业管理体系、工作人员数量、部门划分、管理制度和流程等情况得5分。每缺一项扣1分。 2、针对本项目提出项目的进度安排、配备职业药师的人数详细罗列清单以及服务人员安排: 科学合理得5分。 较为科学合理得3分。 基本科学合理得1分 未提供得0分。 3、根据所配送的药品品种，针对配送特殊药品、高警示药品、冷链药品的质量安全保障措施描述，根据响应程度计5分。 科学合理得5分。 较为科学合理得3分。 基本科学合理得1分 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1、提供确保药品质量的制度措施、详细的配送组织方案及应急预案等，得5分。 科学合理得5分。 较为科学合理得3分。 基本科学合理得1分 未提供得0分。 2、对配送药品中存在的近效期药品、滞销药品以及破损药品的详细更换方案及服务保障措施： 更换方案及服务保障措施详细得5分。 更换方案及服务保障措施较为详细得3分。 更换方案及服务保障措施基本满足得1分 未提供得0分。 3、提供关于支持医院的药品文化建设，以病患为中心营造药品人文环境，积极传播药品健康文化知识并具有具体的实施方案。得5分.。 科学合理得5分。 较为科学合理得3分。 基本科学合理得1分 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售后服务及配套服务</w:t>
            </w:r>
          </w:p>
        </w:tc>
        <w:tc>
          <w:tcPr>
            <w:tcW w:type="dxa" w:w="2492"/>
          </w:tcPr>
          <w:p>
            <w:pPr>
              <w:pStyle w:val="null3"/>
            </w:pPr>
            <w:r>
              <w:rPr>
                <w:rFonts w:ascii="仿宋_GB2312" w:hAnsi="仿宋_GB2312" w:cs="仿宋_GB2312" w:eastAsia="仿宋_GB2312"/>
              </w:rPr>
              <w:t>1、提供所供产品的售后退货、换货方案5分。 方案详细具体得5分； 方案较为详细具体得3分； 方案一般得1分； 未提供不得分。 2、提供所供产品详细采购、仓储、运输、使用等配送方案。（以配送车辆、配送方式等实际配送能力进行评价，须提供证明材料复印件，否则该项不得分。） 配送方案详细得5分； 配送方案较为详细得3分； 配送方案基本详细得1分； 未提供不得分。 3、针对本采购项目及采购方实际需求： 提供详细具体可行的售后服务承诺5分； 提供较为详细具体可行的售后服务承诺3分； 提供基本可行的售后服务承诺1分；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人员安排</w:t>
            </w:r>
          </w:p>
        </w:tc>
        <w:tc>
          <w:tcPr>
            <w:tcW w:type="dxa" w:w="2492"/>
          </w:tcPr>
          <w:p>
            <w:pPr>
              <w:pStyle w:val="null3"/>
            </w:pPr>
            <w:r>
              <w:rPr>
                <w:rFonts w:ascii="仿宋_GB2312" w:hAnsi="仿宋_GB2312" w:cs="仿宋_GB2312" w:eastAsia="仿宋_GB2312"/>
              </w:rPr>
              <w:t>根据配送企业管理体系、工作人员数量、部门划分、管理制度和流程等情况，针对本项目提出项目进度安排:服务人员安排科学合理赋分10分； 服务人员安排较为合理赋分6分； 服务人员安排基本合理赋分2分； 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满足采购文件要求且有效响应文件的最后报价并按本章2.3.3（1）和（2）进行调整的最低报价为评审基准价，其价格分为满分。其他供应商的价格分统一按照下列公式计算：投标报价得分=（评标基准价/最后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