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AE14E5">
      <w:pPr>
        <w:rPr>
          <w:b/>
          <w:bCs/>
          <w:sz w:val="28"/>
          <w:szCs w:val="36"/>
        </w:rPr>
      </w:pPr>
    </w:p>
    <w:p w14:paraId="763C419B">
      <w:pPr>
        <w:jc w:val="center"/>
      </w:pPr>
    </w:p>
    <w:p w14:paraId="1D6CB424"/>
    <w:p w14:paraId="6EE227F0"/>
    <w:p w14:paraId="604B1CDA"/>
    <w:p w14:paraId="7803DF1A"/>
    <w:p w14:paraId="6DEF2B22">
      <w:pPr>
        <w:jc w:val="center"/>
        <w:rPr>
          <w:b/>
          <w:bCs/>
          <w:sz w:val="52"/>
          <w:szCs w:val="52"/>
        </w:rPr>
      </w:pPr>
    </w:p>
    <w:p w14:paraId="226439B9">
      <w:pPr>
        <w:jc w:val="center"/>
        <w:rPr>
          <w:b/>
          <w:bCs/>
          <w:sz w:val="72"/>
          <w:szCs w:val="72"/>
        </w:rPr>
      </w:pPr>
      <w:r>
        <w:rPr>
          <w:rFonts w:hint="eastAsia"/>
          <w:b/>
          <w:bCs/>
          <w:sz w:val="72"/>
          <w:szCs w:val="72"/>
        </w:rPr>
        <w:t>供货合同</w:t>
      </w:r>
    </w:p>
    <w:p w14:paraId="3F8BE9D1"/>
    <w:p w14:paraId="31CB3B66">
      <w:pPr>
        <w:ind w:firstLine="1405" w:firstLineChars="500"/>
        <w:rPr>
          <w:b/>
          <w:bCs/>
          <w:sz w:val="28"/>
          <w:szCs w:val="28"/>
        </w:rPr>
      </w:pPr>
    </w:p>
    <w:p w14:paraId="1A688398">
      <w:pPr>
        <w:rPr>
          <w:b/>
          <w:bCs/>
          <w:sz w:val="28"/>
          <w:szCs w:val="28"/>
        </w:rPr>
      </w:pPr>
    </w:p>
    <w:p w14:paraId="6BA9FC47"/>
    <w:p w14:paraId="06021B66"/>
    <w:p w14:paraId="20FC2377">
      <w:pPr>
        <w:ind w:firstLine="1405" w:firstLineChars="500"/>
        <w:rPr>
          <w:b/>
          <w:bCs/>
          <w:sz w:val="28"/>
          <w:szCs w:val="28"/>
        </w:rPr>
      </w:pPr>
    </w:p>
    <w:p w14:paraId="53A88E2F">
      <w:pPr>
        <w:ind w:firstLine="1405" w:firstLineChars="500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 xml:space="preserve"> </w:t>
      </w:r>
    </w:p>
    <w:p w14:paraId="0687CE78">
      <w:pPr>
        <w:spacing w:line="440" w:lineRule="exact"/>
        <w:jc w:val="right"/>
        <w:rPr>
          <w:rFonts w:ascii="宋体" w:hAnsi="宋体"/>
          <w:sz w:val="24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258E5A6B">
      <w:pPr>
        <w:spacing w:line="400" w:lineRule="exact"/>
        <w:jc w:val="center"/>
        <w:rPr>
          <w:rFonts w:ascii="宋体" w:hAnsi="宋体"/>
          <w:b/>
          <w:bCs/>
          <w:sz w:val="32"/>
          <w:szCs w:val="32"/>
        </w:rPr>
      </w:pPr>
      <w:r>
        <w:rPr>
          <w:rFonts w:hint="eastAsia" w:ascii="宋体" w:hAnsi="宋体"/>
          <w:b/>
          <w:bCs/>
          <w:sz w:val="32"/>
          <w:szCs w:val="32"/>
        </w:rPr>
        <w:t>供货合同</w:t>
      </w:r>
    </w:p>
    <w:p w14:paraId="576DC636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签订地点： </w:t>
      </w:r>
      <w:bookmarkStart w:id="0" w:name="_GoBack"/>
      <w:bookmarkEnd w:id="0"/>
    </w:p>
    <w:p w14:paraId="13F48D42">
      <w:pPr>
        <w:spacing w:line="400" w:lineRule="exact"/>
        <w:rPr>
          <w:color w:val="000000"/>
          <w:sz w:val="28"/>
          <w:szCs w:val="28"/>
        </w:rPr>
      </w:pPr>
      <w:r>
        <w:rPr>
          <w:rFonts w:ascii="宋体" w:hAnsi="宋体"/>
          <w:sz w:val="28"/>
          <w:szCs w:val="28"/>
        </w:rPr>
        <w:t xml:space="preserve">签订时间:  </w:t>
      </w:r>
    </w:p>
    <w:p w14:paraId="7D25B2E0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采购人（甲</w:t>
      </w:r>
      <w:r>
        <w:rPr>
          <w:rFonts w:ascii="宋体" w:hAnsi="宋体"/>
          <w:sz w:val="28"/>
          <w:szCs w:val="28"/>
        </w:rPr>
        <w:t>方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：</w:t>
      </w:r>
      <w:r>
        <w:rPr>
          <w:rFonts w:hint="eastAsia" w:ascii="宋体" w:hAnsi="宋体"/>
          <w:sz w:val="28"/>
          <w:szCs w:val="28"/>
        </w:rPr>
        <w:t>西安市儿童福利院</w:t>
      </w:r>
    </w:p>
    <w:p w14:paraId="367887F9">
      <w:pPr>
        <w:spacing w:line="400" w:lineRule="exac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成交人（乙</w:t>
      </w:r>
      <w:r>
        <w:rPr>
          <w:rFonts w:ascii="宋体" w:hAnsi="宋体"/>
          <w:sz w:val="28"/>
          <w:szCs w:val="28"/>
        </w:rPr>
        <w:t>方</w:t>
      </w:r>
      <w:r>
        <w:rPr>
          <w:rFonts w:hint="eastAsia" w:ascii="宋体" w:hAnsi="宋体"/>
          <w:sz w:val="28"/>
          <w:szCs w:val="28"/>
        </w:rPr>
        <w:t>）</w:t>
      </w:r>
      <w:r>
        <w:rPr>
          <w:rFonts w:ascii="宋体" w:hAnsi="宋体"/>
          <w:sz w:val="28"/>
          <w:szCs w:val="28"/>
        </w:rPr>
        <w:t>：</w:t>
      </w:r>
    </w:p>
    <w:p w14:paraId="103FE47D">
      <w:pPr>
        <w:spacing w:line="400" w:lineRule="exact"/>
        <w:ind w:firstLine="552" w:firstLineChars="200"/>
        <w:jc w:val="left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 w:eastAsia="宋体"/>
          <w:b w:val="0"/>
          <w:bCs w:val="0"/>
          <w:spacing w:val="-2"/>
          <w:kern w:val="0"/>
          <w:sz w:val="28"/>
          <w:szCs w:val="28"/>
        </w:rPr>
        <w:t>西安市儿童福利院儿童药品送货服务项目</w:t>
      </w:r>
      <w:r>
        <w:rPr>
          <w:rFonts w:hint="eastAsia" w:ascii="宋体" w:hAnsi="宋体"/>
          <w:spacing w:val="-2"/>
          <w:kern w:val="0"/>
          <w:sz w:val="28"/>
          <w:szCs w:val="28"/>
        </w:rPr>
        <w:t>(项目编号：</w:t>
      </w:r>
      <w:r>
        <w:rPr>
          <w:rFonts w:hint="eastAsia" w:ascii="宋体" w:hAnsi="宋体" w:eastAsia="宋体" w:cs="Times New Roman"/>
          <w:b w:val="0"/>
          <w:bCs w:val="0"/>
          <w:spacing w:val="-2"/>
          <w:kern w:val="0"/>
          <w:sz w:val="28"/>
          <w:szCs w:val="28"/>
        </w:rPr>
        <w:t>SCZD2024-</w:t>
      </w:r>
      <w:r>
        <w:rPr>
          <w:rFonts w:hint="eastAsia" w:ascii="宋体" w:hAnsi="宋体" w:eastAsia="宋体" w:cs="Times New Roman"/>
          <w:b w:val="0"/>
          <w:bCs w:val="0"/>
          <w:spacing w:val="-2"/>
          <w:kern w:val="0"/>
          <w:sz w:val="28"/>
          <w:szCs w:val="28"/>
          <w:lang w:val="en-US" w:eastAsia="zh-CN"/>
        </w:rPr>
        <w:t>CS</w:t>
      </w:r>
      <w:r>
        <w:rPr>
          <w:rFonts w:hint="eastAsia" w:ascii="宋体" w:hAnsi="宋体" w:eastAsia="宋体" w:cs="Times New Roman"/>
          <w:b w:val="0"/>
          <w:bCs w:val="0"/>
          <w:spacing w:val="-2"/>
          <w:kern w:val="0"/>
          <w:sz w:val="28"/>
          <w:szCs w:val="28"/>
        </w:rPr>
        <w:t>-289</w:t>
      </w:r>
      <w:r>
        <w:rPr>
          <w:rFonts w:hint="eastAsia" w:ascii="宋体" w:hAnsi="宋体" w:eastAsia="宋体" w:cs="Times New Roman"/>
          <w:b w:val="0"/>
          <w:bCs w:val="0"/>
          <w:spacing w:val="-2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 w:cs="Times New Roman"/>
          <w:b w:val="0"/>
          <w:bCs w:val="0"/>
          <w:spacing w:val="-2"/>
          <w:kern w:val="0"/>
          <w:sz w:val="28"/>
          <w:szCs w:val="28"/>
        </w:rPr>
        <w:t>/001</w:t>
      </w:r>
      <w:r>
        <w:rPr>
          <w:rFonts w:hint="eastAsia" w:ascii="宋体" w:hAnsi="宋体"/>
          <w:spacing w:val="-2"/>
          <w:kern w:val="0"/>
          <w:sz w:val="28"/>
          <w:szCs w:val="28"/>
        </w:rPr>
        <w:t>)，，在西安市财政局政府采购管理处的监督管理下，由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陕西省采购招标有限责任公司</w:t>
      </w:r>
      <w:r>
        <w:rPr>
          <w:rFonts w:hint="eastAsia" w:ascii="宋体" w:hAnsi="宋体"/>
          <w:spacing w:val="-2"/>
          <w:kern w:val="0"/>
          <w:sz w:val="28"/>
          <w:szCs w:val="28"/>
        </w:rPr>
        <w:t>组织单一来源。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 xml:space="preserve">                         </w:t>
      </w:r>
      <w:r>
        <w:rPr>
          <w:rFonts w:hint="eastAsia" w:ascii="宋体" w:hAnsi="宋体" w:cs="宋体"/>
          <w:kern w:val="0"/>
          <w:sz w:val="28"/>
          <w:szCs w:val="28"/>
        </w:rPr>
        <w:t>（</w:t>
      </w:r>
      <w:r>
        <w:rPr>
          <w:rFonts w:hint="eastAsia" w:ascii="宋体" w:hAnsi="宋体"/>
          <w:spacing w:val="-2"/>
          <w:kern w:val="0"/>
          <w:sz w:val="28"/>
          <w:szCs w:val="28"/>
        </w:rPr>
        <w:t>以下简称“甲方”)确定 (</w:t>
      </w:r>
      <w:r>
        <w:rPr>
          <w:rFonts w:hint="eastAsia" w:ascii="宋体" w:hAnsi="宋体"/>
          <w:spacing w:val="-2"/>
          <w:kern w:val="0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宋体" w:hAnsi="宋体"/>
          <w:spacing w:val="-2"/>
          <w:kern w:val="0"/>
          <w:sz w:val="28"/>
          <w:szCs w:val="28"/>
        </w:rPr>
        <w:t>) （以下简称“乙方”）为成交人。</w:t>
      </w:r>
    </w:p>
    <w:p w14:paraId="09C69A28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一、合同价款</w:t>
      </w:r>
    </w:p>
    <w:p w14:paraId="0A1D2669">
      <w:pPr>
        <w:adjustRightInd w:val="0"/>
        <w:snapToGrid w:val="0"/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（一）依据《中华人民共和国民法典》和《中华人民共和国政府采购法》，甲方通过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竞争性磋商</w:t>
      </w:r>
      <w:r>
        <w:rPr>
          <w:rFonts w:hint="eastAsia" w:ascii="宋体" w:hAnsi="宋体"/>
          <w:spacing w:val="-2"/>
          <w:kern w:val="0"/>
          <w:sz w:val="28"/>
          <w:szCs w:val="28"/>
        </w:rPr>
        <w:t>采购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/>
          <w:spacing w:val="-2"/>
          <w:kern w:val="0"/>
          <w:sz w:val="28"/>
          <w:szCs w:val="28"/>
        </w:rPr>
        <w:t>接受了乙方</w:t>
      </w:r>
      <w:r>
        <w:rPr>
          <w:rFonts w:hint="eastAsia" w:ascii="宋体" w:hAnsi="宋体" w:cs="宋体"/>
          <w:sz w:val="28"/>
          <w:szCs w:val="28"/>
        </w:rPr>
        <w:t>单价总和金额（人民币大写）：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                </w:t>
      </w:r>
      <w:r>
        <w:rPr>
          <w:rFonts w:hint="eastAsia" w:ascii="宋体" w:hAnsi="宋体" w:cs="宋体"/>
          <w:sz w:val="28"/>
          <w:szCs w:val="28"/>
        </w:rPr>
        <w:t>（¥</w:t>
      </w:r>
      <w:r>
        <w:rPr>
          <w:rFonts w:hint="eastAsia" w:ascii="宋体" w:hAnsi="宋体" w:cs="宋体"/>
          <w:sz w:val="28"/>
          <w:szCs w:val="28"/>
          <w:lang w:val="en-US" w:eastAsia="zh-CN"/>
        </w:rPr>
        <w:t xml:space="preserve">           </w:t>
      </w:r>
      <w:r>
        <w:rPr>
          <w:rFonts w:hint="eastAsia" w:ascii="宋体" w:hAnsi="宋体" w:cs="宋体"/>
          <w:sz w:val="28"/>
          <w:szCs w:val="28"/>
        </w:rPr>
        <w:t>）。（产品单价详细见附件）</w:t>
      </w:r>
    </w:p>
    <w:p w14:paraId="07044B62">
      <w:pPr>
        <w:adjustRightInd w:val="0"/>
        <w:snapToGrid w:val="0"/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（二）若存在</w:t>
      </w:r>
      <w:r>
        <w:rPr>
          <w:rFonts w:hint="eastAsia" w:ascii="宋体" w:hAnsi="宋体"/>
          <w:sz w:val="28"/>
          <w:szCs w:val="28"/>
        </w:rPr>
        <w:t>儿童突发无法预知的</w:t>
      </w:r>
      <w:r>
        <w:rPr>
          <w:rFonts w:ascii="宋体" w:hAnsi="宋体"/>
          <w:sz w:val="28"/>
          <w:szCs w:val="28"/>
        </w:rPr>
        <w:t>药品</w:t>
      </w:r>
      <w:r>
        <w:rPr>
          <w:rFonts w:hint="eastAsia" w:ascii="宋体" w:hAnsi="宋体"/>
          <w:sz w:val="28"/>
          <w:szCs w:val="28"/>
        </w:rPr>
        <w:t>需求，可以通过补充</w:t>
      </w:r>
      <w:r>
        <w:rPr>
          <w:rFonts w:ascii="宋体" w:hAnsi="宋体"/>
          <w:sz w:val="28"/>
          <w:szCs w:val="28"/>
        </w:rPr>
        <w:t>药品</w:t>
      </w:r>
      <w:r>
        <w:rPr>
          <w:rFonts w:hint="eastAsia" w:ascii="宋体" w:hAnsi="宋体"/>
          <w:sz w:val="28"/>
          <w:szCs w:val="28"/>
        </w:rPr>
        <w:t>单采购，采购单价参照京东医药平台实际销售支付价格，京东医药平台没有的，以其他能够证明公允且甲方书面确认后的价格为准。</w:t>
      </w:r>
    </w:p>
    <w:p w14:paraId="553705C7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（三）合同单价包括：货物费、运输费（含保险费）等所有费用，甲方不再支付其他费用。未经甲方同意自行供货的不得进入结算价格，因此所产生的货款、运费及包装费等费用由乙方自行承担。</w:t>
      </w:r>
    </w:p>
    <w:p w14:paraId="125AC8C1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spacing w:val="-2"/>
          <w:kern w:val="0"/>
          <w:sz w:val="28"/>
          <w:szCs w:val="28"/>
        </w:rPr>
        <w:t>）药品清单中的药品为我院的常用药品，各供应商中标后需按照采购人的使用需求供货，供货药品名称、规格及品牌应与阳光采购网一致，供货价格不高于同期阳光采购网价格。供货过程中按月据实结算，结算价格不得超过本次中标价格。</w:t>
      </w:r>
    </w:p>
    <w:p w14:paraId="45A9B479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（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）</w:t>
      </w:r>
      <w:r>
        <w:rPr>
          <w:rFonts w:hint="eastAsia" w:ascii="宋体" w:hAnsi="宋体"/>
          <w:spacing w:val="-2"/>
          <w:kern w:val="0"/>
          <w:sz w:val="28"/>
          <w:szCs w:val="28"/>
        </w:rPr>
        <w:t>药品清单中未涉及到的药品，中标供应商应配合采购人进行配送，配送价格按照同期的阳光采购网的价格执行。</w:t>
      </w:r>
    </w:p>
    <w:p w14:paraId="281806D3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二、款项结算</w:t>
      </w:r>
    </w:p>
    <w:p w14:paraId="668ADD38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（一）支付方式：银行转账，根据每次验收情况据实支付。</w:t>
      </w:r>
    </w:p>
    <w:p w14:paraId="6B99FC7C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（二）合同支付约定修改为：所有采购物品到达甲方指定地点并清点、验收合格后，甲方收到乙方发票后支付货款。</w:t>
      </w:r>
    </w:p>
    <w:p w14:paraId="74463BD0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三</w:t>
      </w:r>
      <w:r>
        <w:rPr>
          <w:rFonts w:hint="eastAsia" w:ascii="宋体" w:hAnsi="宋体"/>
          <w:spacing w:val="-2"/>
          <w:kern w:val="0"/>
          <w:sz w:val="28"/>
          <w:szCs w:val="28"/>
        </w:rPr>
        <w:t>）供货周期：（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四</w:t>
      </w:r>
      <w:r>
        <w:rPr>
          <w:rFonts w:hint="eastAsia" w:ascii="宋体" w:hAnsi="宋体"/>
          <w:spacing w:val="-2"/>
          <w:kern w:val="0"/>
          <w:sz w:val="28"/>
          <w:szCs w:val="28"/>
        </w:rPr>
        <w:t>）所有采购物品到达甲方指定地点并清点、验收合格后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，</w:t>
      </w:r>
      <w:r>
        <w:rPr>
          <w:rFonts w:hint="eastAsia" w:ascii="宋体" w:hAnsi="宋体"/>
          <w:spacing w:val="-2"/>
          <w:kern w:val="0"/>
          <w:sz w:val="28"/>
          <w:szCs w:val="28"/>
        </w:rPr>
        <w:t>甲方收到乙方发票后支付货款。</w:t>
      </w:r>
    </w:p>
    <w:p w14:paraId="481C0913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五</w:t>
      </w:r>
      <w:r>
        <w:rPr>
          <w:rFonts w:hint="eastAsia" w:ascii="宋体" w:hAnsi="宋体"/>
          <w:spacing w:val="-2"/>
          <w:kern w:val="0"/>
          <w:sz w:val="28"/>
          <w:szCs w:val="28"/>
        </w:rPr>
        <w:t>）</w:t>
      </w:r>
      <w:r>
        <w:rPr>
          <w:rFonts w:ascii="宋体" w:hAnsi="宋体"/>
          <w:spacing w:val="-2"/>
          <w:kern w:val="0"/>
          <w:sz w:val="28"/>
          <w:szCs w:val="28"/>
        </w:rPr>
        <w:t>乙方开具的增值税</w:t>
      </w:r>
      <w:r>
        <w:rPr>
          <w:rFonts w:hint="eastAsia" w:ascii="宋体" w:hAnsi="宋体"/>
          <w:spacing w:val="-2"/>
          <w:kern w:val="0"/>
          <w:sz w:val="28"/>
          <w:szCs w:val="28"/>
        </w:rPr>
        <w:t>普通</w:t>
      </w:r>
      <w:r>
        <w:rPr>
          <w:rFonts w:ascii="宋体" w:hAnsi="宋体"/>
          <w:spacing w:val="-2"/>
          <w:kern w:val="0"/>
          <w:sz w:val="28"/>
          <w:szCs w:val="28"/>
        </w:rPr>
        <w:t>发票符合以下情形之一的，导致甲方产生经济损失等，乙方需重新提供等额合法合规的增值税</w:t>
      </w:r>
      <w:r>
        <w:rPr>
          <w:rFonts w:hint="eastAsia" w:ascii="宋体" w:hAnsi="宋体"/>
          <w:spacing w:val="-2"/>
          <w:kern w:val="0"/>
          <w:sz w:val="28"/>
          <w:szCs w:val="28"/>
        </w:rPr>
        <w:t>普通</w:t>
      </w:r>
      <w:r>
        <w:rPr>
          <w:rFonts w:ascii="宋体" w:hAnsi="宋体"/>
          <w:spacing w:val="-2"/>
          <w:kern w:val="0"/>
          <w:sz w:val="28"/>
          <w:szCs w:val="28"/>
        </w:rPr>
        <w:t>发票，甲方有权延迟支付应付款项，且不承担任何违约责任，乙方的各项合同义务仍按合同约定履行：</w:t>
      </w:r>
    </w:p>
    <w:p w14:paraId="2B6C4ED1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（1）</w:t>
      </w:r>
      <w:r>
        <w:rPr>
          <w:rFonts w:ascii="宋体" w:hAnsi="宋体"/>
          <w:spacing w:val="-2"/>
          <w:kern w:val="0"/>
          <w:sz w:val="28"/>
          <w:szCs w:val="28"/>
        </w:rPr>
        <w:t>开具虚假、作废等无效发票或者违反国家法律、法规开具提供发票的</w:t>
      </w:r>
    </w:p>
    <w:p w14:paraId="46D793BB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（2）</w:t>
      </w:r>
      <w:r>
        <w:rPr>
          <w:rFonts w:ascii="宋体" w:hAnsi="宋体"/>
          <w:spacing w:val="-2"/>
          <w:kern w:val="0"/>
          <w:sz w:val="28"/>
          <w:szCs w:val="28"/>
        </w:rPr>
        <w:t>开具发票种类错误；开具发票税率与合同约定不符</w:t>
      </w:r>
    </w:p>
    <w:p w14:paraId="5735D075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（3）</w:t>
      </w:r>
      <w:r>
        <w:rPr>
          <w:rFonts w:ascii="宋体" w:hAnsi="宋体"/>
          <w:spacing w:val="-2"/>
          <w:kern w:val="0"/>
          <w:sz w:val="28"/>
          <w:szCs w:val="28"/>
        </w:rPr>
        <w:t>发票上的信息错误</w:t>
      </w:r>
    </w:p>
    <w:p w14:paraId="66850D02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（4）</w:t>
      </w:r>
      <w:r>
        <w:rPr>
          <w:rFonts w:ascii="宋体" w:hAnsi="宋体"/>
          <w:spacing w:val="-2"/>
          <w:kern w:val="0"/>
          <w:sz w:val="28"/>
          <w:szCs w:val="28"/>
        </w:rPr>
        <w:t>因乙方延迟送达、开具错误等原因造成发票认证失败</w:t>
      </w:r>
    </w:p>
    <w:p w14:paraId="3D5E1864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ascii="宋体" w:hAnsi="宋体"/>
          <w:spacing w:val="-2"/>
          <w:kern w:val="0"/>
          <w:sz w:val="28"/>
          <w:szCs w:val="28"/>
        </w:rPr>
        <w:t>（</w:t>
      </w:r>
      <w:r>
        <w:rPr>
          <w:rFonts w:hint="eastAsia" w:ascii="宋体" w:hAnsi="宋体"/>
          <w:spacing w:val="-2"/>
          <w:kern w:val="0"/>
          <w:sz w:val="28"/>
          <w:szCs w:val="28"/>
        </w:rPr>
        <w:t>三</w:t>
      </w:r>
      <w:r>
        <w:rPr>
          <w:rFonts w:ascii="宋体" w:hAnsi="宋体"/>
          <w:spacing w:val="-2"/>
          <w:kern w:val="0"/>
          <w:sz w:val="28"/>
          <w:szCs w:val="28"/>
        </w:rPr>
        <w:t>）若增值税</w:t>
      </w:r>
      <w:r>
        <w:rPr>
          <w:rFonts w:hint="eastAsia" w:ascii="宋体" w:hAnsi="宋体"/>
          <w:spacing w:val="-2"/>
          <w:kern w:val="0"/>
          <w:sz w:val="28"/>
          <w:szCs w:val="28"/>
        </w:rPr>
        <w:t>普通</w:t>
      </w:r>
      <w:r>
        <w:rPr>
          <w:rFonts w:ascii="宋体" w:hAnsi="宋体"/>
          <w:spacing w:val="-2"/>
          <w:kern w:val="0"/>
          <w:sz w:val="28"/>
          <w:szCs w:val="28"/>
        </w:rPr>
        <w:t>正规发票丢失，乙方应配合甲方申请《丢失增值税正规发票已报税证明单》。</w:t>
      </w:r>
    </w:p>
    <w:p w14:paraId="06108346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（四）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付款</w:t>
      </w:r>
      <w:r>
        <w:rPr>
          <w:rFonts w:hint="eastAsia" w:ascii="宋体" w:hAnsi="宋体"/>
          <w:spacing w:val="-2"/>
          <w:kern w:val="0"/>
          <w:sz w:val="28"/>
          <w:szCs w:val="28"/>
        </w:rPr>
        <w:t>方式：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每月转账支付上月费用（具体时间以采购方支付时间为准，具体结算金额以实际采购数量为准）</w:t>
      </w:r>
      <w:r>
        <w:rPr>
          <w:rFonts w:hint="eastAsia" w:ascii="宋体" w:hAnsi="宋体"/>
          <w:spacing w:val="-2"/>
          <w:kern w:val="0"/>
          <w:sz w:val="28"/>
          <w:szCs w:val="28"/>
        </w:rPr>
        <w:t>。</w:t>
      </w:r>
    </w:p>
    <w:p w14:paraId="71B5E6D4">
      <w:pPr>
        <w:spacing w:line="380" w:lineRule="exact"/>
        <w:ind w:firstLine="560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(五)每次付款前乙方应提供合法有效的增值税普通发票。乙方持成交通知书（仅首次）、供货合同（仅首次）、发票（每次）、药品清单、（《2024年度药品第</w:t>
      </w:r>
      <w:r>
        <w:rPr>
          <w:rFonts w:ascii="Arial" w:hAnsi="Arial" w:cs="Arial"/>
          <w:sz w:val="28"/>
          <w:szCs w:val="28"/>
        </w:rPr>
        <w:t>×</w:t>
      </w:r>
      <w:r>
        <w:rPr>
          <w:rFonts w:hint="eastAsia" w:ascii="宋体" w:hAnsi="宋体" w:cs="宋体"/>
          <w:sz w:val="28"/>
          <w:szCs w:val="28"/>
        </w:rPr>
        <w:t>批次药品清单》，应当注明药品名称，规格，生产厂家，数量，单价，金额，公司业务章）验收单手续（每次）与甲方结算。</w:t>
      </w:r>
    </w:p>
    <w:p w14:paraId="63A1C289">
      <w:pPr>
        <w:adjustRightInd w:val="0"/>
        <w:snapToGrid w:val="0"/>
        <w:spacing w:line="380" w:lineRule="exact"/>
        <w:ind w:firstLine="560" w:firstLineChars="2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(六)供货周期：</w:t>
      </w:r>
    </w:p>
    <w:p w14:paraId="23C8905C">
      <w:pPr>
        <w:adjustRightInd/>
        <w:snapToGrid/>
        <w:spacing w:line="400" w:lineRule="exact"/>
        <w:ind w:firstLine="560" w:firstLineChars="200"/>
        <w:rPr>
          <w:rFonts w:ascii="宋体" w:hAnsi="宋体"/>
          <w:sz w:val="28"/>
        </w:rPr>
      </w:pPr>
      <w:r>
        <w:rPr>
          <w:rFonts w:hint="eastAsia" w:ascii="宋体" w:hAnsi="宋体"/>
          <w:sz w:val="28"/>
        </w:rPr>
        <w:t>(1)</w:t>
      </w:r>
      <w:r>
        <w:rPr>
          <w:rFonts w:hint="eastAsia" w:ascii="宋体" w:hAnsi="宋体"/>
          <w:spacing w:val="-2"/>
          <w:kern w:val="0"/>
          <w:sz w:val="28"/>
          <w:szCs w:val="28"/>
        </w:rPr>
        <w:t>每个月接到采购人订单通知后2个日历日内交付完毕，若存在特殊紧急产品需要供货的，须在1小时内送达。</w:t>
      </w:r>
    </w:p>
    <w:p w14:paraId="4AF1B71A">
      <w:pPr>
        <w:adjustRightInd w:val="0"/>
        <w:snapToGrid w:val="0"/>
        <w:spacing w:line="380" w:lineRule="exact"/>
        <w:ind w:left="0" w:leftChars="0" w:firstLine="280" w:firstLineChars="100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（2）本合同期限：自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</w:rPr>
        <w:t>日至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 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/>
          <w:sz w:val="28"/>
          <w:szCs w:val="28"/>
        </w:rPr>
        <w:t>日</w:t>
      </w:r>
      <w:r>
        <w:rPr>
          <w:rFonts w:hint="eastAsia" w:ascii="宋体" w:hAnsi="宋体"/>
          <w:sz w:val="28"/>
          <w:szCs w:val="28"/>
          <w:lang w:eastAsia="zh-CN"/>
        </w:rPr>
        <w:t>。</w:t>
      </w:r>
      <w:r>
        <w:rPr>
          <w:rFonts w:hint="eastAsia" w:ascii="宋体" w:hAnsi="宋体"/>
          <w:sz w:val="28"/>
          <w:szCs w:val="28"/>
        </w:rPr>
        <w:t>合作期内，如甲方采购计划超出预算额，乙方需主动与甲方沟通调整采购计划，甲方书面表示同意继续采购且乙方已按照采购计划完成药品配送的，甲方应当继续按照合同约定向乙方支付超出部分的货款，否则甲方有权拒付超出部分的货款。</w:t>
      </w:r>
    </w:p>
    <w:p w14:paraId="6C9F7094">
      <w:pPr>
        <w:spacing w:line="380" w:lineRule="exact"/>
        <w:ind w:firstLine="828" w:firstLineChars="3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三、双方的权利和义务。</w:t>
      </w:r>
    </w:p>
    <w:p w14:paraId="1B2C2BAD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（一）甲方的权利和义务</w:t>
      </w:r>
    </w:p>
    <w:p w14:paraId="57D5C639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甲方在收到货物后，应按照采购文件的需求进行核对，按提供的参数指标进行验收。如发现有不符合合同规定或短缺，当场提出异议或拒收。乙方应及时核实情况，并于七日内办理补足或退换手续，供货期不予顺延。</w:t>
      </w:r>
    </w:p>
    <w:p w14:paraId="3B704D69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（二）乙方的权利和义务</w:t>
      </w:r>
    </w:p>
    <w:p w14:paraId="6F4653CE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乙方所提供的产品必须是清单或者补充清单要求产品，确保所供货物质量达标，数量一致，保证供货时间，甲方需配合乙方协调货物进入指定地点。乙方保证遵守国家医药法律法规，具有有效的药品经营许可。</w:t>
      </w:r>
    </w:p>
    <w:p w14:paraId="75C1ABE7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四、交货条件</w:t>
      </w:r>
    </w:p>
    <w:p w14:paraId="30864CB1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（一）交货地点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:</w:t>
      </w:r>
      <w:r>
        <w:rPr>
          <w:rFonts w:hint="eastAsia" w:ascii="宋体" w:hAnsi="宋体"/>
          <w:spacing w:val="-2"/>
          <w:kern w:val="0"/>
          <w:sz w:val="28"/>
          <w:szCs w:val="28"/>
        </w:rPr>
        <w:t>西安市儿童福利院（西安市未央区新广路98号）。</w:t>
      </w:r>
    </w:p>
    <w:p w14:paraId="51FE0D1A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（二）交货期：自接到甲方采购订单之日起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2</w:t>
      </w:r>
      <w:r>
        <w:rPr>
          <w:rFonts w:hint="eastAsia" w:ascii="宋体" w:hAnsi="宋体"/>
          <w:spacing w:val="-2"/>
          <w:kern w:val="0"/>
          <w:sz w:val="28"/>
          <w:szCs w:val="28"/>
        </w:rPr>
        <w:t>个日历日到货，特殊紧急情况需2小时内送达。</w:t>
      </w:r>
    </w:p>
    <w:p w14:paraId="6B4C3CED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五、运输</w:t>
      </w:r>
    </w:p>
    <w:p w14:paraId="6ACF0751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（一）运输由乙方负责，运杂费已包含在合同总价内。</w:t>
      </w:r>
    </w:p>
    <w:p w14:paraId="7F204433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（二）运输方式由乙方自行选择，必须保证按期保质保量交货。产品交付至甲方指定地点并经甲方验收合格前，毁损灭失的风险由乙方承担。</w:t>
      </w:r>
    </w:p>
    <w:p w14:paraId="0E65E44F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六、质量保证</w:t>
      </w:r>
    </w:p>
    <w:p w14:paraId="5AD40DD9">
      <w:pPr>
        <w:spacing w:line="38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乙方所供货物必须执行下列条款：</w:t>
      </w:r>
    </w:p>
    <w:p w14:paraId="656C893C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（一）乙方所供药品必须保证质量可靠、进货渠道正常，符合验收标准和要求。如出现质量问题，乙方应无条件给予更换。</w:t>
      </w:r>
    </w:p>
    <w:p w14:paraId="4FC29279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（二）</w:t>
      </w:r>
      <w:r>
        <w:rPr>
          <w:rFonts w:hint="eastAsia" w:ascii="宋体" w:hAnsi="宋体"/>
          <w:spacing w:val="-2"/>
          <w:kern w:val="0"/>
          <w:sz w:val="28"/>
          <w:szCs w:val="28"/>
        </w:rPr>
        <w:t>药品应当包装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完好，无破漏，</w:t>
      </w:r>
      <w:r>
        <w:rPr>
          <w:rFonts w:hint="eastAsia" w:ascii="宋体" w:hAnsi="宋体"/>
          <w:spacing w:val="-2"/>
          <w:kern w:val="0"/>
          <w:sz w:val="28"/>
          <w:szCs w:val="28"/>
        </w:rPr>
        <w:t>符合药品包装运输要求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，可视的内容物无影响使用的变型，不存在危及人身、财产安全的不合理危险。</w:t>
      </w:r>
    </w:p>
    <w:p w14:paraId="50A96C79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（三）乙方保证所提供货物符合国家</w:t>
      </w:r>
      <w:r>
        <w:rPr>
          <w:rFonts w:hint="eastAsia" w:ascii="宋体" w:hAnsi="宋体"/>
          <w:spacing w:val="-2"/>
          <w:kern w:val="0"/>
          <w:sz w:val="28"/>
          <w:szCs w:val="28"/>
        </w:rPr>
        <w:t>药品质量标准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，并以较高的规范执行；交付时乙方向甲方提供产品检验合格证等相关证件，同时确保所提供的资料是真实的、完整的。</w:t>
      </w:r>
    </w:p>
    <w:p w14:paraId="500C1AB7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（四）若因</w:t>
      </w:r>
      <w:r>
        <w:rPr>
          <w:rFonts w:hint="eastAsia" w:ascii="宋体" w:hAnsi="宋体"/>
          <w:spacing w:val="-2"/>
          <w:kern w:val="0"/>
          <w:sz w:val="28"/>
          <w:szCs w:val="28"/>
        </w:rPr>
        <w:t>药品质量问题造成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安全事故的，由乙方承担一切责任，同时甲方有权要求乙方承担因此造成的一切损失。</w:t>
      </w:r>
    </w:p>
    <w:p w14:paraId="7781E4D1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（五）供应商提供的物资必须达到国家规定的卫生安全标准，能够按有相应的质量检疫检验报告供</w:t>
      </w:r>
      <w:r>
        <w:rPr>
          <w:rFonts w:hint="eastAsia" w:ascii="宋体" w:hAnsi="宋体"/>
          <w:spacing w:val="-2"/>
          <w:kern w:val="0"/>
          <w:sz w:val="28"/>
          <w:szCs w:val="28"/>
        </w:rPr>
        <w:t>甲方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随时抽查，抽查发现供应商提供的报告与本批次物资不符时，可以对该批货品提出拒收或退换货要求，并有权按照本合同的约定追究乙方的违约责任。</w:t>
      </w:r>
    </w:p>
    <w:p w14:paraId="7093347D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（六）乙方所提供产品距生产日期不超过有效期的三分之一，否则甲方有权要求退换，乙方费用自理。</w:t>
      </w:r>
    </w:p>
    <w:p w14:paraId="7E4B3B05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</w:t>
      </w:r>
      <w:r>
        <w:rPr>
          <w:rFonts w:hint="eastAsia" w:ascii="宋体" w:hAnsi="宋体"/>
          <w:spacing w:val="-2"/>
          <w:kern w:val="0"/>
          <w:sz w:val="28"/>
          <w:szCs w:val="28"/>
        </w:rPr>
        <w:t>七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）如供应商提供的</w:t>
      </w:r>
      <w:r>
        <w:rPr>
          <w:rFonts w:hint="eastAsia" w:ascii="宋体" w:hAnsi="宋体"/>
          <w:spacing w:val="-2"/>
          <w:kern w:val="0"/>
          <w:sz w:val="28"/>
          <w:szCs w:val="28"/>
        </w:rPr>
        <w:t>药品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，因自身质量问题而</w:t>
      </w:r>
      <w:r>
        <w:rPr>
          <w:rFonts w:hint="eastAsia" w:ascii="宋体" w:hAnsi="宋体"/>
          <w:spacing w:val="-2"/>
          <w:kern w:val="0"/>
          <w:sz w:val="28"/>
          <w:szCs w:val="28"/>
        </w:rPr>
        <w:t>造成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采购</w:t>
      </w:r>
      <w:r>
        <w:rPr>
          <w:rFonts w:hint="eastAsia" w:ascii="宋体" w:hAnsi="宋体"/>
          <w:spacing w:val="-2"/>
          <w:kern w:val="0"/>
          <w:sz w:val="28"/>
          <w:szCs w:val="28"/>
        </w:rPr>
        <w:t>方采购人员及药品使用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人员</w:t>
      </w:r>
      <w:r>
        <w:rPr>
          <w:rFonts w:hint="eastAsia" w:ascii="宋体" w:hAnsi="宋体"/>
          <w:spacing w:val="-2"/>
          <w:kern w:val="0"/>
          <w:sz w:val="28"/>
          <w:szCs w:val="28"/>
        </w:rPr>
        <w:t>人身（健康）损害和财产损失的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，供应商</w:t>
      </w:r>
      <w:r>
        <w:rPr>
          <w:rFonts w:hint="eastAsia" w:ascii="宋体" w:hAnsi="宋体"/>
          <w:spacing w:val="-2"/>
          <w:kern w:val="0"/>
          <w:sz w:val="28"/>
          <w:szCs w:val="28"/>
        </w:rPr>
        <w:t>应当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承担</w:t>
      </w:r>
      <w:r>
        <w:rPr>
          <w:rFonts w:hint="eastAsia" w:ascii="宋体" w:hAnsi="宋体"/>
          <w:spacing w:val="-2"/>
          <w:kern w:val="0"/>
          <w:sz w:val="28"/>
          <w:szCs w:val="28"/>
        </w:rPr>
        <w:t>全部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的法律责任。</w:t>
      </w:r>
    </w:p>
    <w:p w14:paraId="5F0A660F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七、售后服务</w:t>
      </w:r>
    </w:p>
    <w:p w14:paraId="58C546F3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乙方对甲方提供以下售后服务：</w:t>
      </w:r>
    </w:p>
    <w:p w14:paraId="3C1C2A70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提供24小时电话服务接收甲方供货需求及质量询问，出现问题及时解决，遇有重大问题须派人24小时内到达现场参与解决。</w:t>
      </w:r>
    </w:p>
    <w:p w14:paraId="559F7726">
      <w:pPr>
        <w:spacing w:line="400" w:lineRule="exact"/>
        <w:ind w:firstLine="552" w:firstLineChars="200"/>
        <w:rPr>
          <w:rFonts w:hint="default" w:ascii="宋体" w:hAnsi="宋体" w:eastAsia="宋体"/>
          <w:spacing w:val="-2"/>
          <w:kern w:val="0"/>
          <w:sz w:val="28"/>
          <w:szCs w:val="28"/>
          <w:lang w:val="en-US" w:eastAsia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货到甲方发放并核实数量完毕书面签单后，在产品质量保质期间，因质量原因，乙方无偿进行退换货处理。</w:t>
      </w:r>
    </w:p>
    <w:p w14:paraId="53927FF1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八、技术与服务</w:t>
      </w:r>
    </w:p>
    <w:p w14:paraId="77099FBC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一）技术资料：乙方向甲方提供产品的每件包装中，应有产品合格证；产品包装的标签和所附说明书上，有生产企业的名称、地址，有产品的品名、规格、批准文号、产品批号、生产日期、有效期等；标签或说明书上还应有产品的成分、适应症或功能主治、用法、用量、禁忌、不良反应、注意事项以及贮藏条件等。</w:t>
      </w:r>
    </w:p>
    <w:p w14:paraId="270A79E7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附属文件作为产品不可分割的一部分，缺失的视为瑕疵交付，甲方有权拒绝收货并拒付对应货款。</w:t>
      </w:r>
    </w:p>
    <w:p w14:paraId="597BC756">
      <w:pPr>
        <w:numPr>
          <w:ilvl w:val="0"/>
          <w:numId w:val="2"/>
        </w:num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服务承诺：以竞争性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磋商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文件、响应文件、澄清表（函）、合同和随货物的相关文件为准。</w:t>
      </w:r>
    </w:p>
    <w:p w14:paraId="129BD41C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九、违约责任</w:t>
      </w:r>
    </w:p>
    <w:p w14:paraId="371BD280">
      <w:pPr>
        <w:spacing w:line="400" w:lineRule="exact"/>
        <w:ind w:firstLine="276" w:firstLineChars="1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（一）按《民法典》中的相关条款执行。</w:t>
      </w:r>
    </w:p>
    <w:p w14:paraId="01445A6E">
      <w:pPr>
        <w:spacing w:line="400" w:lineRule="exact"/>
        <w:ind w:firstLine="276" w:firstLineChars="1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（二）乙方提供产品质量不符合我国法律规定</w:t>
      </w:r>
      <w:r>
        <w:rPr>
          <w:rFonts w:hint="eastAsia" w:ascii="宋体" w:hAnsi="宋体"/>
          <w:b w:val="0"/>
          <w:bCs w:val="0"/>
          <w:color w:val="auto"/>
          <w:spacing w:val="-2"/>
          <w:kern w:val="0"/>
          <w:sz w:val="28"/>
          <w:szCs w:val="28"/>
          <w:lang w:val="zh-CN"/>
        </w:rPr>
        <w:t>或甲方要求的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，乙方必须无条件退换，否则，甲方有权单方解除合同，乙方需按照本次招标金额</w:t>
      </w:r>
      <w:r>
        <w:rPr>
          <w:rFonts w:hint="eastAsia" w:ascii="宋体" w:hAnsi="宋体"/>
          <w:spacing w:val="-2"/>
          <w:kern w:val="0"/>
          <w:sz w:val="28"/>
          <w:szCs w:val="28"/>
        </w:rPr>
        <w:t>45万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的</w:t>
      </w:r>
      <w:r>
        <w:rPr>
          <w:rFonts w:hint="eastAsia" w:ascii="宋体" w:hAnsi="宋体"/>
          <w:spacing w:val="-2"/>
          <w:kern w:val="0"/>
          <w:sz w:val="28"/>
          <w:szCs w:val="28"/>
        </w:rPr>
        <w:t>1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%承担违约责任，甲方还有权向监管机构反馈乙方的行为。</w:t>
      </w:r>
    </w:p>
    <w:p w14:paraId="5944D1D3">
      <w:pPr>
        <w:spacing w:line="400" w:lineRule="exact"/>
        <w:ind w:firstLine="276" w:firstLineChars="100"/>
        <w:rPr>
          <w:rFonts w:hint="eastAsia"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（三）因产品自身质量出现问题的，甲方可以要求乙方重新补发符合质量标准的产品，费用乙方自理，出现产品质量安全问题导致甲方或第三方损失的，乙方应退还所有已支付款项，甲方有权解除合同。</w:t>
      </w:r>
    </w:p>
    <w:p w14:paraId="245C7E96">
      <w:pPr>
        <w:spacing w:line="400" w:lineRule="exact"/>
        <w:ind w:firstLine="276" w:firstLineChars="1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（四）乙方承诺，因其所提供产品引起知识产权纠纷，包括</w:t>
      </w:r>
      <w:r>
        <w:rPr>
          <w:rFonts w:hint="eastAsia" w:ascii="宋体" w:hAnsi="宋体"/>
          <w:spacing w:val="-2"/>
          <w:kern w:val="0"/>
          <w:sz w:val="28"/>
          <w:szCs w:val="28"/>
        </w:rPr>
        <w:t>但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不限于专利权、商标权等所产生的侵权法律责任纠纷均由乙方承担，与甲方无关。</w:t>
      </w:r>
    </w:p>
    <w:p w14:paraId="191DFA92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十、验收</w:t>
      </w:r>
    </w:p>
    <w:p w14:paraId="56FA49C4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（一）货物到达甲方指定地点后，甲方根据合同要求，当场对货物进行验收。甲方仅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进行外观验收，确认产地规格、数量、</w:t>
      </w:r>
      <w:r>
        <w:rPr>
          <w:rFonts w:hint="eastAsia" w:ascii="宋体" w:hAnsi="宋体"/>
          <w:spacing w:val="-2"/>
          <w:kern w:val="0"/>
          <w:sz w:val="28"/>
          <w:szCs w:val="28"/>
        </w:rPr>
        <w:t>保质期等，验收合格的，出具书面验收单。</w:t>
      </w:r>
    </w:p>
    <w:p w14:paraId="2F8CA921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（二）到货验收时，由乙方进行自检，合格后，准备验收文件，并书面通知甲方。</w:t>
      </w:r>
    </w:p>
    <w:p w14:paraId="2A5100A0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（三）乙方应在接到甲方提出异议后3天内给予答复，提出解决方案，并负责妥善处理。</w:t>
      </w:r>
    </w:p>
    <w:p w14:paraId="0EF29EC6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（四）甲方确认乙方自检内容后，组织乙方进行验收，验收合格后，填写货物验收单（一式四份）作为对货物的最终认可。</w:t>
      </w:r>
    </w:p>
    <w:p w14:paraId="22C80842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（五）验收依据：</w:t>
      </w:r>
    </w:p>
    <w:p w14:paraId="2BCB0712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１、本合同及附件文本；</w:t>
      </w:r>
    </w:p>
    <w:p w14:paraId="3A8AB53C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２、国家相应的标准、规范。</w:t>
      </w:r>
    </w:p>
    <w:p w14:paraId="1AA47A2B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十一、合同的解除</w:t>
      </w:r>
    </w:p>
    <w:p w14:paraId="75DA7408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（一）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乙方存在以下情形之一的，甲方有权单方解除合同，并要求乙方退还全部已支付款项，乙方还需按照本次招标金额45万的1%承担违约责任，本合同约定的其他违约金乙方应一并承担，给甲方造成损失的，还须赔偿甲方因此受到的所有损失（包括但不限于律师费、保全费、保险费等）。</w:t>
      </w:r>
    </w:p>
    <w:p w14:paraId="794506A8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(1)乙方未经甲方书面同意，擅自将合同内容转委托的；</w:t>
      </w:r>
    </w:p>
    <w:p w14:paraId="303F447C">
      <w:pPr>
        <w:spacing w:line="400" w:lineRule="exact"/>
        <w:ind w:firstLine="552" w:firstLineChars="200"/>
        <w:rPr>
          <w:rFonts w:hint="eastAsia"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(2)</w:t>
      </w:r>
      <w:r>
        <w:rPr>
          <w:rFonts w:hint="eastAsia" w:ascii="宋体" w:hAnsi="宋体"/>
          <w:spacing w:val="-2"/>
          <w:kern w:val="0"/>
          <w:sz w:val="28"/>
          <w:szCs w:val="28"/>
        </w:rPr>
        <w:t>乙方供货质量不合格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，</w:t>
      </w:r>
      <w:r>
        <w:rPr>
          <w:rFonts w:hint="eastAsia" w:ascii="宋体" w:hAnsi="宋体"/>
          <w:spacing w:val="-2"/>
          <w:kern w:val="0"/>
          <w:sz w:val="28"/>
          <w:szCs w:val="28"/>
        </w:rPr>
        <w:t>或出现器械安全事故的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 xml:space="preserve">；且不进行整改或者更换，造成损失的；  </w:t>
      </w:r>
    </w:p>
    <w:p w14:paraId="280CA396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(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)乙方存在严重违法行为的;</w:t>
      </w:r>
    </w:p>
    <w:p w14:paraId="1AEA0E31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(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)乙方被吊销营业执照的；</w:t>
      </w:r>
    </w:p>
    <w:p w14:paraId="0757BEB5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(</w:t>
      </w:r>
      <w:r>
        <w:rPr>
          <w:rFonts w:hint="eastAsia" w:ascii="宋体" w:hAnsi="宋体"/>
          <w:spacing w:val="-2"/>
          <w:kern w:val="0"/>
          <w:sz w:val="28"/>
          <w:szCs w:val="28"/>
          <w:lang w:val="en-US" w:eastAsia="zh-CN"/>
        </w:rPr>
        <w:t>5</w:t>
      </w: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)其他造成甲方重大损失的。</w:t>
      </w:r>
    </w:p>
    <w:p w14:paraId="047869F9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  <w:lang w:val="zh-CN"/>
        </w:rPr>
      </w:pPr>
      <w:r>
        <w:rPr>
          <w:rFonts w:hint="eastAsia" w:ascii="宋体" w:hAnsi="宋体"/>
          <w:spacing w:val="-2"/>
          <w:kern w:val="0"/>
          <w:sz w:val="28"/>
          <w:szCs w:val="28"/>
          <w:lang w:val="zh-CN"/>
        </w:rPr>
        <w:t>（二）甲方依据合同约定要求解除合同的，以书面形式向对方发出解除合同的通知，解除的通知到达乙方时合同解除。对解除合同有争议的，按本合同关于争议的约定处理。</w:t>
      </w:r>
    </w:p>
    <w:p w14:paraId="7E150FEC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十二、合同争议解决的方式</w:t>
      </w:r>
    </w:p>
    <w:p w14:paraId="0E2C7A52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本合同在履行过程中发生的争议，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由</w:t>
      </w:r>
      <w:r>
        <w:rPr>
          <w:rFonts w:hint="eastAsia" w:ascii="宋体" w:hAnsi="宋体"/>
          <w:spacing w:val="-2"/>
          <w:kern w:val="0"/>
          <w:sz w:val="28"/>
          <w:szCs w:val="28"/>
        </w:rPr>
        <w:t>甲、乙双方当事人协商解决，协商不成的按下列方式解决：依法向甲方所在地人民法院起诉。</w:t>
      </w:r>
    </w:p>
    <w:p w14:paraId="57DB09B4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十三、合同生效</w:t>
      </w:r>
    </w:p>
    <w:p w14:paraId="0E4119B7">
      <w:pPr>
        <w:autoSpaceDE/>
        <w:autoSpaceDN/>
        <w:adjustRightInd w:val="0"/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本合同一式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伍</w:t>
      </w:r>
      <w:r>
        <w:rPr>
          <w:rFonts w:hint="eastAsia" w:ascii="宋体" w:hAnsi="宋体"/>
          <w:spacing w:val="-2"/>
          <w:kern w:val="0"/>
          <w:sz w:val="28"/>
          <w:szCs w:val="28"/>
        </w:rPr>
        <w:t>份,甲方执叁份,乙方执壹份</w:t>
      </w:r>
      <w:r>
        <w:rPr>
          <w:rFonts w:hint="eastAsia" w:ascii="宋体" w:hAnsi="宋体"/>
          <w:spacing w:val="-2"/>
          <w:kern w:val="0"/>
          <w:sz w:val="28"/>
          <w:szCs w:val="28"/>
          <w:lang w:eastAsia="zh-CN"/>
        </w:rPr>
        <w:t>，鉴证方执壹份</w:t>
      </w:r>
      <w:r>
        <w:rPr>
          <w:rFonts w:hint="eastAsia" w:ascii="宋体" w:hAnsi="宋体"/>
          <w:spacing w:val="-2"/>
          <w:kern w:val="0"/>
          <w:sz w:val="28"/>
          <w:szCs w:val="28"/>
        </w:rPr>
        <w:t>。本合同甲、乙方与鉴证方签字盖章后生效，合同执行完毕后，自动失效。</w:t>
      </w:r>
    </w:p>
    <w:p w14:paraId="2661C3B2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十四、其他事项</w:t>
      </w:r>
    </w:p>
    <w:p w14:paraId="11AB8CFA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合同未尽事宜，由甲、乙双方协商，作为合同补充，与原合同具有同等法律效力。</w:t>
      </w:r>
    </w:p>
    <w:p w14:paraId="7425114C">
      <w:pPr>
        <w:pStyle w:val="10"/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本合同所有条款均为打印文本，对任何手写修改，应在修改处盖章后生效。本合同所有附件，均为本合同不可分割的组成部分，与本合同具有同等的法律效力。本合同履行过程中所有有关甲方确认意思表示、甲方义务增加部分，均需甲方盖章确认生效。否则所产生的一切不利后果及费用增加均由乙方自行承担。</w:t>
      </w:r>
    </w:p>
    <w:p w14:paraId="37064651">
      <w:pPr>
        <w:spacing w:line="400" w:lineRule="exact"/>
        <w:ind w:firstLine="552" w:firstLineChars="200"/>
        <w:rPr>
          <w:rFonts w:ascii="宋体" w:hAnsi="宋体"/>
          <w:spacing w:val="-2"/>
          <w:kern w:val="0"/>
          <w:sz w:val="28"/>
          <w:szCs w:val="28"/>
        </w:rPr>
      </w:pPr>
      <w:r>
        <w:rPr>
          <w:rFonts w:hint="eastAsia" w:ascii="宋体" w:hAnsi="宋体"/>
          <w:spacing w:val="-2"/>
          <w:kern w:val="0"/>
          <w:sz w:val="28"/>
          <w:szCs w:val="28"/>
        </w:rPr>
        <w:t>本合同中的通讯地址为双方互发函件确认能够接收的地址，若有变更应在变更后5个工作日内书面通知对方，否则对方按此地址送达的任何文件在发出3日后即视为送达。以电子邮件、微信、信息等形式发送的，一经发出即视为送达。已经若发生纠纷的，该地址作为法院或仲裁机构寄发相应法律文件的送达地址，因一方预留地址有误或变更通讯地址而未通知对方的，对方、法院或仲裁机构按原地址发出通知或文件3日后，视为已送达。</w:t>
      </w:r>
    </w:p>
    <w:p w14:paraId="008B1E99">
      <w:pPr>
        <w:adjustRightInd w:val="0"/>
        <w:snapToGrid w:val="0"/>
        <w:spacing w:line="400" w:lineRule="exact"/>
        <w:rPr>
          <w:rFonts w:ascii="宋体" w:hAnsi="宋体" w:cs="宋体"/>
          <w:kern w:val="0"/>
          <w:sz w:val="24"/>
        </w:rPr>
      </w:pPr>
    </w:p>
    <w:tbl>
      <w:tblPr>
        <w:tblStyle w:val="13"/>
        <w:tblpPr w:leftFromText="180" w:rightFromText="180" w:vertAnchor="text" w:horzAnchor="margin" w:tblpXSpec="center" w:tblpY="58"/>
        <w:tblOverlap w:val="never"/>
        <w:tblW w:w="8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11"/>
        <w:gridCol w:w="4455"/>
      </w:tblGrid>
      <w:tr w14:paraId="55A19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  <w:jc w:val="center"/>
        </w:trPr>
        <w:tc>
          <w:tcPr>
            <w:tcW w:w="4111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A5B81C0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甲方名称：西安市儿童福利院</w:t>
            </w:r>
          </w:p>
          <w:p w14:paraId="3A4C5B4B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地    址：西安市未央区新广路98号 </w:t>
            </w:r>
          </w:p>
          <w:p w14:paraId="40745FA0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邮    编：710032</w:t>
            </w:r>
          </w:p>
          <w:p w14:paraId="392F04E8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    话：029-86615205</w:t>
            </w:r>
          </w:p>
          <w:p w14:paraId="6A800AD0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    真：029-86314699</w:t>
            </w:r>
          </w:p>
          <w:p w14:paraId="25BA41CD">
            <w:pPr>
              <w:autoSpaceDE w:val="0"/>
              <w:autoSpaceDN w:val="0"/>
              <w:spacing w:line="420" w:lineRule="exact"/>
              <w:ind w:left="210" w:leftChars="100"/>
              <w:rPr>
                <w:rFonts w:ascii="宋体" w:hAnsi="宋体"/>
                <w:sz w:val="24"/>
              </w:rPr>
            </w:pPr>
          </w:p>
          <w:p w14:paraId="098D88B3">
            <w:pPr>
              <w:autoSpaceDE w:val="0"/>
              <w:autoSpaceDN w:val="0"/>
              <w:spacing w:line="420" w:lineRule="exact"/>
              <w:ind w:left="210" w:leftChars="100"/>
              <w:rPr>
                <w:rFonts w:ascii="宋体" w:hAnsi="宋体"/>
                <w:sz w:val="24"/>
              </w:rPr>
            </w:pPr>
          </w:p>
          <w:p w14:paraId="04B8F863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代表签字或盖章：</w:t>
            </w:r>
          </w:p>
          <w:p w14:paraId="474D683A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盖章：</w:t>
            </w:r>
          </w:p>
          <w:p w14:paraId="1121A656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</w:p>
          <w:p w14:paraId="77790A0D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</w:p>
          <w:p w14:paraId="6811A785">
            <w:pPr>
              <w:autoSpaceDE w:val="0"/>
              <w:autoSpaceDN w:val="0"/>
              <w:spacing w:line="42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年  月  日    </w:t>
            </w:r>
          </w:p>
        </w:tc>
        <w:tc>
          <w:tcPr>
            <w:tcW w:w="445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38965A6E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乙方名称：</w:t>
            </w:r>
          </w:p>
          <w:p w14:paraId="05F934C7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地  址：</w:t>
            </w:r>
          </w:p>
          <w:p w14:paraId="67350214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 xml:space="preserve">邮  编： </w:t>
            </w:r>
          </w:p>
          <w:p w14:paraId="629A1769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电  话：</w:t>
            </w:r>
          </w:p>
          <w:p w14:paraId="5F1EED03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传  真：</w:t>
            </w:r>
          </w:p>
          <w:p w14:paraId="1BA5E8F6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开户银行：</w:t>
            </w:r>
          </w:p>
          <w:p w14:paraId="0DABAED2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帐    号：</w:t>
            </w:r>
          </w:p>
          <w:p w14:paraId="1EC59DDE">
            <w:pPr>
              <w:autoSpaceDE w:val="0"/>
              <w:autoSpaceDN w:val="0"/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代表签字或盖章：</w:t>
            </w:r>
          </w:p>
          <w:p w14:paraId="415C2D25">
            <w:pPr>
              <w:spacing w:line="42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盖章：</w:t>
            </w:r>
          </w:p>
          <w:p w14:paraId="1DBDF59B">
            <w:pPr>
              <w:spacing w:line="420" w:lineRule="exact"/>
              <w:ind w:left="210" w:leftChars="100"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 日</w:t>
            </w:r>
          </w:p>
        </w:tc>
      </w:tr>
      <w:tr w14:paraId="4FF78F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3" w:hRule="atLeast"/>
          <w:jc w:val="center"/>
        </w:trPr>
        <w:tc>
          <w:tcPr>
            <w:tcW w:w="8566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14:paraId="1B93AC9D">
            <w:pPr>
              <w:spacing w:line="48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鉴证方名称(公章)：</w:t>
            </w:r>
          </w:p>
          <w:p w14:paraId="1B5B2CB9">
            <w:pPr>
              <w:spacing w:line="48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地      址：</w:t>
            </w:r>
          </w:p>
          <w:p w14:paraId="09FF117D">
            <w:pPr>
              <w:spacing w:line="48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电      话：</w:t>
            </w:r>
          </w:p>
          <w:p w14:paraId="00B60291">
            <w:pPr>
              <w:spacing w:line="480" w:lineRule="auto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代表签字或盖章：</w:t>
            </w:r>
          </w:p>
          <w:p w14:paraId="16123914">
            <w:pPr>
              <w:spacing w:line="420" w:lineRule="exact"/>
              <w:jc w:val="right"/>
              <w:rPr>
                <w:rFonts w:ascii="宋体" w:hAnsi="宋体" w:cs="宋体"/>
                <w:sz w:val="24"/>
              </w:rPr>
            </w:pPr>
          </w:p>
          <w:p w14:paraId="7B837DA7">
            <w:pPr>
              <w:spacing w:line="420" w:lineRule="exact"/>
              <w:jc w:val="righ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月  日</w:t>
            </w:r>
          </w:p>
        </w:tc>
      </w:tr>
    </w:tbl>
    <w:p w14:paraId="13D44A6B">
      <w:pPr>
        <w:sectPr>
          <w:footerReference r:id="rId3" w:type="default"/>
          <w:pgSz w:w="11906" w:h="16838"/>
          <w:pgMar w:top="1814" w:right="1474" w:bottom="1814" w:left="1417" w:header="851" w:footer="992" w:gutter="0"/>
          <w:pgNumType w:start="1"/>
          <w:cols w:space="0" w:num="1"/>
          <w:rtlGutter w:val="0"/>
          <w:docGrid w:type="linesAndChars" w:linePitch="427" w:charSpace="-72"/>
        </w:sectPr>
      </w:pPr>
    </w:p>
    <w:p w14:paraId="31045F7A"/>
    <w:p w14:paraId="0882F56E">
      <w:pPr>
        <w:pStyle w:val="1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清单</w:t>
      </w:r>
      <w:r>
        <w:rPr>
          <w:rFonts w:hint="eastAsia" w:ascii="宋体" w:hAnsi="宋体"/>
          <w:sz w:val="24"/>
          <w:lang w:val="en-US" w:eastAsia="zh-CN"/>
        </w:rPr>
        <w:t>附件</w:t>
      </w:r>
      <w:r>
        <w:rPr>
          <w:rFonts w:hint="eastAsia" w:ascii="宋体" w:hAnsi="宋体"/>
          <w:sz w:val="24"/>
        </w:rPr>
        <w:t>：</w:t>
      </w:r>
    </w:p>
    <w:p w14:paraId="5D9DE9AA"/>
    <w:p w14:paraId="2FDCA4C0"/>
    <w:p w14:paraId="62BEB721"/>
    <w:sectPr>
      <w:headerReference r:id="rId4" w:type="default"/>
      <w:pgSz w:w="11906" w:h="16838"/>
      <w:pgMar w:top="1418" w:right="1418" w:bottom="1418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decorative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宋体-简">
    <w:altName w:val="宋体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1A736">
    <w:pPr>
      <w:pStyle w:val="8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409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6E8D199">
                          <w:pPr>
                            <w:pStyle w:val="8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4097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46E8D199">
                    <w:pPr>
                      <w:pStyle w:val="8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1CF71B">
    <w:pPr>
      <w:pStyle w:val="9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singleLevel"/>
    <w:tmpl w:val="00000002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142" w:firstLine="0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0" w:firstLine="0"/>
      </w:pPr>
      <w:rPr>
        <w:rFonts w:hint="eastAsia" w:ascii="宋体" w:hAnsi="宋体" w:eastAsia="宋体"/>
      </w:rPr>
    </w:lvl>
    <w:lvl w:ilvl="3" w:tentative="0">
      <w:start w:val="1"/>
      <w:numFmt w:val="decimal"/>
      <w:pStyle w:val="2"/>
      <w:lvlText w:val="%1.%2.%3.%4"/>
      <w:lvlJc w:val="left"/>
      <w:pPr>
        <w:ind w:left="0" w:firstLine="0"/>
      </w:pPr>
      <w:rPr>
        <w:rFonts w:hint="eastAsia" w:ascii="宋体" w:hAnsi="宋体" w:eastAsia="宋体"/>
      </w:rPr>
    </w:lvl>
    <w:lvl w:ilvl="4" w:tentative="0">
      <w:start w:val="1"/>
      <w:numFmt w:val="decimal"/>
      <w:lvlText w:val="%1.%2.%3.%4.%5"/>
      <w:lvlJc w:val="left"/>
      <w:pPr>
        <w:ind w:left="0" w:firstLine="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0" w:firstLine="0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0" w:firstLine="0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0" w:firstLine="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0" w:firstLine="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214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czNDAwYzE1MWM5YzVhNGZjYTA2MWQ2OGNhM2ViYTAifQ=="/>
  </w:docVars>
  <w:rsids>
    <w:rsidRoot w:val="001C1E74"/>
    <w:rsid w:val="000368BE"/>
    <w:rsid w:val="001C1E74"/>
    <w:rsid w:val="001F2B72"/>
    <w:rsid w:val="001F5190"/>
    <w:rsid w:val="002862E5"/>
    <w:rsid w:val="0040420B"/>
    <w:rsid w:val="005A32DF"/>
    <w:rsid w:val="005E3B00"/>
    <w:rsid w:val="005F0AD1"/>
    <w:rsid w:val="006047EE"/>
    <w:rsid w:val="006C4FB2"/>
    <w:rsid w:val="00801FF5"/>
    <w:rsid w:val="00891CAE"/>
    <w:rsid w:val="008F4D83"/>
    <w:rsid w:val="00A86309"/>
    <w:rsid w:val="00A96C1D"/>
    <w:rsid w:val="00AC030C"/>
    <w:rsid w:val="00AC28C6"/>
    <w:rsid w:val="00B57F6D"/>
    <w:rsid w:val="00B9778A"/>
    <w:rsid w:val="00CE6B25"/>
    <w:rsid w:val="00E227C7"/>
    <w:rsid w:val="00E778CF"/>
    <w:rsid w:val="00FA768E"/>
    <w:rsid w:val="00FC392F"/>
    <w:rsid w:val="06B72734"/>
    <w:rsid w:val="07653AC0"/>
    <w:rsid w:val="0FF54858"/>
    <w:rsid w:val="152E6862"/>
    <w:rsid w:val="15A67663"/>
    <w:rsid w:val="17BDB5C5"/>
    <w:rsid w:val="1CC45CDD"/>
    <w:rsid w:val="1DEF0424"/>
    <w:rsid w:val="1EFBC0AD"/>
    <w:rsid w:val="1F264A2D"/>
    <w:rsid w:val="1FFFC2F4"/>
    <w:rsid w:val="22371018"/>
    <w:rsid w:val="233440FF"/>
    <w:rsid w:val="2DF71201"/>
    <w:rsid w:val="2FE3D22A"/>
    <w:rsid w:val="355E0538"/>
    <w:rsid w:val="373784B3"/>
    <w:rsid w:val="383340DB"/>
    <w:rsid w:val="388D2371"/>
    <w:rsid w:val="38CD9A9A"/>
    <w:rsid w:val="3BCBB7CE"/>
    <w:rsid w:val="3C866FC4"/>
    <w:rsid w:val="3D7ED364"/>
    <w:rsid w:val="3D974AA3"/>
    <w:rsid w:val="3E834C59"/>
    <w:rsid w:val="3FBC04E0"/>
    <w:rsid w:val="425F3C2F"/>
    <w:rsid w:val="437234EE"/>
    <w:rsid w:val="43FB6F63"/>
    <w:rsid w:val="47F7E143"/>
    <w:rsid w:val="4B7CA160"/>
    <w:rsid w:val="4EA60C58"/>
    <w:rsid w:val="4ED2E056"/>
    <w:rsid w:val="4EFF5C45"/>
    <w:rsid w:val="4F53322E"/>
    <w:rsid w:val="5069089B"/>
    <w:rsid w:val="51879188"/>
    <w:rsid w:val="56807474"/>
    <w:rsid w:val="593D56A0"/>
    <w:rsid w:val="5BADF518"/>
    <w:rsid w:val="5D1331F0"/>
    <w:rsid w:val="5D4FD7B6"/>
    <w:rsid w:val="5DFE1DCF"/>
    <w:rsid w:val="5E1711C7"/>
    <w:rsid w:val="5ED3926A"/>
    <w:rsid w:val="5F5F2F1F"/>
    <w:rsid w:val="5F732D36"/>
    <w:rsid w:val="5F7D90D6"/>
    <w:rsid w:val="5FE5356E"/>
    <w:rsid w:val="5FEF9FBB"/>
    <w:rsid w:val="661E7B3A"/>
    <w:rsid w:val="6ABE5BA3"/>
    <w:rsid w:val="6B3E90FB"/>
    <w:rsid w:val="6C4B2F19"/>
    <w:rsid w:val="6C6D7702"/>
    <w:rsid w:val="6CFFAE6A"/>
    <w:rsid w:val="6D4DD84E"/>
    <w:rsid w:val="6DFFEC8E"/>
    <w:rsid w:val="6E77802F"/>
    <w:rsid w:val="6F7325D2"/>
    <w:rsid w:val="6FB641D0"/>
    <w:rsid w:val="6FBF4F5B"/>
    <w:rsid w:val="6FCE65AE"/>
    <w:rsid w:val="6FD32510"/>
    <w:rsid w:val="6FE3BCA8"/>
    <w:rsid w:val="6FECC0C8"/>
    <w:rsid w:val="6FFDABBD"/>
    <w:rsid w:val="71735DC5"/>
    <w:rsid w:val="72F77EBC"/>
    <w:rsid w:val="73620CA8"/>
    <w:rsid w:val="73C90726"/>
    <w:rsid w:val="73FB591D"/>
    <w:rsid w:val="73FF16F3"/>
    <w:rsid w:val="76ADBAD4"/>
    <w:rsid w:val="778E73CC"/>
    <w:rsid w:val="77F7489B"/>
    <w:rsid w:val="78CD1729"/>
    <w:rsid w:val="7B63B744"/>
    <w:rsid w:val="7B7E58B1"/>
    <w:rsid w:val="7B7F6AB7"/>
    <w:rsid w:val="7D97E5DD"/>
    <w:rsid w:val="7E5FD1A4"/>
    <w:rsid w:val="7E76271A"/>
    <w:rsid w:val="7EDF164C"/>
    <w:rsid w:val="7F7F9772"/>
    <w:rsid w:val="7F7F9B16"/>
    <w:rsid w:val="7FC581C0"/>
    <w:rsid w:val="7FDB816D"/>
    <w:rsid w:val="7FDDD629"/>
    <w:rsid w:val="7FEB67E6"/>
    <w:rsid w:val="7FF67C06"/>
    <w:rsid w:val="7FFDD70B"/>
    <w:rsid w:val="7FFDF6D6"/>
    <w:rsid w:val="7FFF4762"/>
    <w:rsid w:val="8EF97165"/>
    <w:rsid w:val="8FF9AA6C"/>
    <w:rsid w:val="9797D249"/>
    <w:rsid w:val="97FD6856"/>
    <w:rsid w:val="9FEBEA38"/>
    <w:rsid w:val="AEAFB809"/>
    <w:rsid w:val="AFEE0F51"/>
    <w:rsid w:val="B17DE1F9"/>
    <w:rsid w:val="BB626DBE"/>
    <w:rsid w:val="BBD14A36"/>
    <w:rsid w:val="BBE53BB5"/>
    <w:rsid w:val="BDE5B48E"/>
    <w:rsid w:val="BF7D13F7"/>
    <w:rsid w:val="BFBEFA29"/>
    <w:rsid w:val="BFE9ED0B"/>
    <w:rsid w:val="C3DF0439"/>
    <w:rsid w:val="C77C35F0"/>
    <w:rsid w:val="CB3DC881"/>
    <w:rsid w:val="CD75A630"/>
    <w:rsid w:val="CFA4A873"/>
    <w:rsid w:val="D35F8BFD"/>
    <w:rsid w:val="DBE834C8"/>
    <w:rsid w:val="DBFDCB4D"/>
    <w:rsid w:val="DE73B465"/>
    <w:rsid w:val="DF752D8E"/>
    <w:rsid w:val="DF7F4AE2"/>
    <w:rsid w:val="DFDE6D17"/>
    <w:rsid w:val="DFFF332D"/>
    <w:rsid w:val="E9DF94E3"/>
    <w:rsid w:val="EBAF5FA9"/>
    <w:rsid w:val="EC8F09E2"/>
    <w:rsid w:val="ED53FF0D"/>
    <w:rsid w:val="EDBB0B35"/>
    <w:rsid w:val="EEBFEC5E"/>
    <w:rsid w:val="EF6EF6E9"/>
    <w:rsid w:val="F2D6DDE5"/>
    <w:rsid w:val="F6F568C5"/>
    <w:rsid w:val="F73FE86A"/>
    <w:rsid w:val="F7FF5F82"/>
    <w:rsid w:val="F9FFB1E4"/>
    <w:rsid w:val="FB8FEFE7"/>
    <w:rsid w:val="FCC3D15B"/>
    <w:rsid w:val="FE7C0673"/>
    <w:rsid w:val="FECF3DFC"/>
    <w:rsid w:val="FF1C1C87"/>
    <w:rsid w:val="FF660318"/>
    <w:rsid w:val="FF9F8299"/>
    <w:rsid w:val="FFCB3B80"/>
    <w:rsid w:val="FFCE0BF1"/>
    <w:rsid w:val="FFDF08AB"/>
    <w:rsid w:val="FFF2410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nhideWhenUsed="0" w:uiPriority="9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numPr>
        <w:ilvl w:val="3"/>
        <w:numId w:val="1"/>
      </w:numPr>
      <w:jc w:val="left"/>
      <w:outlineLvl w:val="3"/>
    </w:pPr>
    <w:rPr>
      <w:rFonts w:ascii="Cambria" w:hAnsi="Cambria"/>
      <w:bCs/>
      <w:sz w:val="24"/>
      <w:szCs w:val="28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9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0"/>
    <w:rPr>
      <w:rFonts w:ascii="宋体" w:hAnsi="宋体"/>
      <w:sz w:val="28"/>
    </w:rPr>
  </w:style>
  <w:style w:type="paragraph" w:styleId="5">
    <w:name w:val="Date"/>
    <w:basedOn w:val="1"/>
    <w:next w:val="1"/>
    <w:link w:val="24"/>
    <w:qFormat/>
    <w:uiPriority w:val="0"/>
    <w:pPr>
      <w:ind w:left="100" w:leftChars="2500"/>
    </w:pPr>
  </w:style>
  <w:style w:type="paragraph" w:styleId="6">
    <w:name w:val="endnote text"/>
    <w:basedOn w:val="1"/>
    <w:link w:val="25"/>
    <w:qFormat/>
    <w:uiPriority w:val="0"/>
    <w:pPr>
      <w:snapToGrid w:val="0"/>
      <w:jc w:val="left"/>
    </w:pPr>
  </w:style>
  <w:style w:type="paragraph" w:styleId="7">
    <w:name w:val="Balloon Text"/>
    <w:basedOn w:val="1"/>
    <w:link w:val="26"/>
    <w:semiHidden/>
    <w:qFormat/>
    <w:uiPriority w:val="0"/>
    <w:rPr>
      <w:sz w:val="18"/>
      <w:szCs w:val="18"/>
    </w:rPr>
  </w:style>
  <w:style w:type="paragraph" w:styleId="8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0">
    <w:name w:val="toc 1"/>
    <w:basedOn w:val="1"/>
    <w:next w:val="1"/>
    <w:qFormat/>
    <w:uiPriority w:val="39"/>
  </w:style>
  <w:style w:type="paragraph" w:styleId="1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/>
      <w:sz w:val="24"/>
    </w:rPr>
  </w:style>
  <w:style w:type="paragraph" w:styleId="12">
    <w:name w:val="annotation subject"/>
    <w:basedOn w:val="3"/>
    <w:next w:val="3"/>
    <w:link w:val="30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6">
    <w:name w:val="endnote reference"/>
    <w:basedOn w:val="15"/>
    <w:qFormat/>
    <w:uiPriority w:val="0"/>
    <w:rPr>
      <w:vertAlign w:val="superscript"/>
    </w:rPr>
  </w:style>
  <w:style w:type="character" w:styleId="17">
    <w:name w:val="Emphasis"/>
    <w:basedOn w:val="15"/>
    <w:qFormat/>
    <w:uiPriority w:val="0"/>
    <w:rPr>
      <w:i/>
    </w:rPr>
  </w:style>
  <w:style w:type="character" w:styleId="18">
    <w:name w:val="Hyperlink"/>
    <w:basedOn w:val="15"/>
    <w:qFormat/>
    <w:uiPriority w:val="99"/>
    <w:rPr>
      <w:color w:val="0000FF"/>
      <w:u w:val="none"/>
    </w:rPr>
  </w:style>
  <w:style w:type="character" w:styleId="19">
    <w:name w:val="annotation reference"/>
    <w:basedOn w:val="15"/>
    <w:semiHidden/>
    <w:unhideWhenUsed/>
    <w:qFormat/>
    <w:uiPriority w:val="99"/>
    <w:rPr>
      <w:sz w:val="21"/>
      <w:szCs w:val="21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font31"/>
    <w:basedOn w:val="15"/>
    <w:qFormat/>
    <w:uiPriority w:val="0"/>
    <w:rPr>
      <w:rFonts w:hint="default" w:ascii="Tahoma" w:hAnsi="Tahoma" w:eastAsia="Tahoma" w:cs="Tahoma"/>
      <w:color w:val="FF0000"/>
      <w:sz w:val="18"/>
      <w:szCs w:val="18"/>
      <w:u w:val="none"/>
    </w:rPr>
  </w:style>
  <w:style w:type="character" w:customStyle="1" w:styleId="22">
    <w:name w:val="font11"/>
    <w:basedOn w:val="15"/>
    <w:qFormat/>
    <w:uiPriority w:val="0"/>
    <w:rPr>
      <w:rFonts w:ascii="宋体-简" w:hAnsi="宋体-简" w:eastAsia="宋体-简" w:cs="宋体-简"/>
      <w:color w:val="FF0000"/>
      <w:sz w:val="18"/>
      <w:szCs w:val="18"/>
      <w:u w:val="none"/>
    </w:rPr>
  </w:style>
  <w:style w:type="character" w:customStyle="1" w:styleId="23">
    <w:name w:val="font21"/>
    <w:basedOn w:val="15"/>
    <w:qFormat/>
    <w:uiPriority w:val="0"/>
    <w:rPr>
      <w:rFonts w:hint="default" w:ascii="Arial" w:hAnsi="Arial" w:cs="Arial"/>
      <w:color w:val="F73131"/>
      <w:sz w:val="19"/>
      <w:szCs w:val="19"/>
      <w:u w:val="none"/>
    </w:rPr>
  </w:style>
  <w:style w:type="character" w:customStyle="1" w:styleId="24">
    <w:name w:val="日期 Char"/>
    <w:basedOn w:val="15"/>
    <w:link w:val="5"/>
    <w:qFormat/>
    <w:uiPriority w:val="0"/>
    <w:rPr>
      <w:kern w:val="2"/>
      <w:sz w:val="21"/>
      <w:szCs w:val="24"/>
    </w:rPr>
  </w:style>
  <w:style w:type="character" w:customStyle="1" w:styleId="25">
    <w:name w:val="尾注文本 Char"/>
    <w:basedOn w:val="15"/>
    <w:link w:val="6"/>
    <w:qFormat/>
    <w:uiPriority w:val="0"/>
    <w:rPr>
      <w:kern w:val="2"/>
      <w:sz w:val="21"/>
      <w:szCs w:val="24"/>
    </w:rPr>
  </w:style>
  <w:style w:type="character" w:customStyle="1" w:styleId="26">
    <w:name w:val="批注框文本 Char"/>
    <w:basedOn w:val="15"/>
    <w:link w:val="7"/>
    <w:semiHidden/>
    <w:qFormat/>
    <w:uiPriority w:val="0"/>
    <w:rPr>
      <w:kern w:val="2"/>
      <w:sz w:val="18"/>
      <w:szCs w:val="18"/>
    </w:rPr>
  </w:style>
  <w:style w:type="paragraph" w:customStyle="1" w:styleId="27">
    <w:name w:val="Char"/>
    <w:basedOn w:val="1"/>
    <w:qFormat/>
    <w:uiPriority w:val="0"/>
    <w:rPr>
      <w:rFonts w:ascii="Tahoma" w:hAnsi="Tahoma"/>
      <w:sz w:val="24"/>
      <w:szCs w:val="20"/>
    </w:rPr>
  </w:style>
  <w:style w:type="character" w:customStyle="1" w:styleId="28">
    <w:name w:val="font01"/>
    <w:basedOn w:val="15"/>
    <w:qFormat/>
    <w:uiPriority w:val="0"/>
    <w:rPr>
      <w:rFonts w:hint="default" w:ascii="Arial" w:hAnsi="Arial" w:cs="Arial"/>
      <w:color w:val="000000"/>
      <w:sz w:val="20"/>
      <w:szCs w:val="20"/>
      <w:u w:val="none"/>
    </w:rPr>
  </w:style>
  <w:style w:type="character" w:customStyle="1" w:styleId="29">
    <w:name w:val="批注文字 Char"/>
    <w:basedOn w:val="15"/>
    <w:link w:val="3"/>
    <w:semiHidden/>
    <w:qFormat/>
    <w:uiPriority w:val="99"/>
    <w:rPr>
      <w:kern w:val="2"/>
      <w:sz w:val="21"/>
      <w:szCs w:val="24"/>
    </w:rPr>
  </w:style>
  <w:style w:type="character" w:customStyle="1" w:styleId="30">
    <w:name w:val="批注主题 Char"/>
    <w:basedOn w:val="29"/>
    <w:link w:val="12"/>
    <w:semiHidden/>
    <w:qFormat/>
    <w:uiPriority w:val="99"/>
    <w:rPr>
      <w:b/>
      <w:bCs/>
      <w:kern w:val="2"/>
      <w:sz w:val="21"/>
      <w:szCs w:val="24"/>
    </w:rPr>
  </w:style>
  <w:style w:type="paragraph" w:customStyle="1" w:styleId="31">
    <w:name w:val="修订1"/>
    <w:hidden/>
    <w:unhideWhenUsed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8</Pages>
  <Words>6744</Words>
  <Characters>8639</Characters>
  <Lines>86</Lines>
  <Paragraphs>24</Paragraphs>
  <TotalTime>8</TotalTime>
  <ScaleCrop>false</ScaleCrop>
  <LinksUpToDate>false</LinksUpToDate>
  <CharactersWithSpaces>8833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2024-05-21T08:05:00Z</dcterms:created>
  <dc:creator>Administrator</dc:creator>
  <cp:lastModifiedBy>芸儿</cp:lastModifiedBy>
  <cp:lastPrinted>2024-06-25T16:20:00Z</cp:lastPrinted>
  <dcterms:modified xsi:type="dcterms:W3CDTF">2025-01-26T05:13:52Z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05279D7B0C734476AF544171DFF7ADBC_13</vt:lpwstr>
  </property>
  <property fmtid="{D5CDD505-2E9C-101B-9397-08002B2CF9AE}" pid="4" name="KSOTemplateDocerSaveRecord">
    <vt:lpwstr>eyJoZGlkIjoiYWM5NjFjZGEyODhhODk3M2M3OTQxYTAxMjBkZDBmMzgiLCJ1c2VySWQiOiIzOTUyNDkzODkifQ==</vt:lpwstr>
  </property>
</Properties>
</file>