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版本号：SXGS2025-ZC-00620250512001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2025年西安“首发首秀”系列活动项目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SXGS2025-ZC-006</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2025年西安“首发首秀”系列活动项目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2025年西安“首发首秀”系列活动项目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发展手打经济和国潮名品，引进设计师品牌，举办“西安巴黎双城时尚秀”“国际知名品牌潮流”等活动，与区县、开发区联动开展新品发布会、举办首秀首展活动，打造沉浸式、互动式、体验式消费新场景，推动西安首发经济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采购包1（2025年西安“首发首秀”系列活动项目）：属于专门面向中小企业采购。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1、独立承担民事责任能力：具有独立承担民事责任能力的法人或其他组织，提供统一社会信用代码的营业执照或事业单位法人证书国家规定的相关证明；</w:t>
      </w:r>
    </w:p>
    <w:p>
      <w:pPr>
        <w:pStyle w:val="null3"/>
      </w:pPr>
      <w:r>
        <w:rPr>
          <w:rFonts w:ascii="仿宋_GB2312" w:hAnsi="仿宋_GB2312" w:cs="仿宋_GB2312" w:eastAsia="仿宋_GB2312"/>
        </w:rPr>
        <w:t>2、财务状况：提供2023或2024年度的财务审计报告（至少包括资产负债表和利润表，成立时间至提交投标文件截止时间不足一年的可提供成立后任意时段的资产负债表）；或其开标前半年内基本存款账户开户银行出具的资信证明；</w:t>
      </w:r>
    </w:p>
    <w:p>
      <w:pPr>
        <w:pStyle w:val="null3"/>
      </w:pPr>
      <w:r>
        <w:rPr>
          <w:rFonts w:ascii="仿宋_GB2312" w:hAnsi="仿宋_GB2312" w:cs="仿宋_GB2312" w:eastAsia="仿宋_GB2312"/>
        </w:rPr>
        <w:t>3、税收缴纳证明：提供2024年5月至今已缴纳的任意1个月的纳税证明或完税证明，依法免税的单位应提供相关证明材料；</w:t>
      </w:r>
    </w:p>
    <w:p>
      <w:pPr>
        <w:pStyle w:val="null3"/>
      </w:pPr>
      <w:r>
        <w:rPr>
          <w:rFonts w:ascii="仿宋_GB2312" w:hAnsi="仿宋_GB2312" w:cs="仿宋_GB2312" w:eastAsia="仿宋_GB2312"/>
        </w:rPr>
        <w:t>4、社会保障资金：提供2024年5月至今已缴纳的任意1个月的社会保障资金缴存单据或社保机构开具的社会保险参保缴费情况证明，依法不需要缴纳社会保障资金的单位应提供相关证明材料；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5、身份证明：法定代表人授权书及被授权人身份证（法定代表人直接参加磋商的须提供其法定代表人身份证明），非法人单位参照执行;</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8、没有重大违法记录的书面声明：参加政府采购活动前三年内，在经营活动中没有重大违法记录的书面声明（成立时间至提交响应文件截止时间不足三年的可提供成立至今的书面声明）;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9、信用中国：供应商不得为“信用中国(www.creditchina.gov.cn)”中列入失信被执行人和重大税收违法案件当事人名单的供应商，不得为“中国政府采购网(www.ccgp.gov.cn)”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10、不接受联合体投标：本项目不接受联合体投标;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李智勃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3300元按3300元收取。 中标单位在领取成交通知书前，须向采购代理机构一次性支付招标代理服务费。 开户名称：陕西亘上项目管理咨询有限公司； 开户银行：中国建设银行股份有限公司西安广安路支行 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发展手打经济和国潮名品，引进设计师品牌，举办“西安巴黎双城时尚秀”“国际知名品牌潮流”等活动，与区县、开发区联动开展新品发布会、举办首秀首展活动，打造沉浸式、互动式、体验式消费新场景，推动西安首发经济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整体活动组织策划实施等服务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标的名称：整体活动组织策划实施等服务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围绕发展手打经济和国潮名品，引进设计师品牌，举办“西安巴黎双城时尚秀”“国际知名品牌潮流”等活动，与区县、开发区联动开展新品发布会、举办首秀首展活动，打造沉浸式、互动式、体验式消费新场景，推动西安首发经济发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 xml:space="preserve">     围绕发展首发经济和国潮名品，引进设计师品牌，举办“西安巴黎双城时尚秀”“国际知名品牌潮流发布秀”“潮尚购物嘉年华”、新品发布等主题活动，打造沉浸式、互动式、体验式消费新场景。宣传推广国际知名品牌时装，提高城市形象，推动西安首发经济发展。</w:t>
            </w:r>
          </w:p>
          <w:p>
            <w:pPr>
              <w:pStyle w:val="null3"/>
            </w:pPr>
            <w:r>
              <w:rPr>
                <w:rFonts w:ascii="仿宋_GB2312" w:hAnsi="仿宋_GB2312" w:cs="仿宋_GB2312" w:eastAsia="仿宋_GB2312"/>
              </w:rPr>
              <w:t xml:space="preserve">    一、整体活动组织策划、制定活动方案、活动品牌招展、活动现场组织执行和管理等工作。</w:t>
            </w:r>
          </w:p>
          <w:p>
            <w:pPr>
              <w:pStyle w:val="null3"/>
            </w:pPr>
            <w:r>
              <w:rPr>
                <w:rFonts w:ascii="仿宋_GB2312" w:hAnsi="仿宋_GB2312" w:cs="仿宋_GB2312" w:eastAsia="仿宋_GB2312"/>
              </w:rPr>
              <w:t xml:space="preserve">   二、活动场地搭建、氛围营造等工作。</w:t>
            </w:r>
          </w:p>
          <w:p>
            <w:pPr>
              <w:pStyle w:val="null3"/>
            </w:pPr>
            <w:r>
              <w:rPr>
                <w:rFonts w:ascii="仿宋_GB2312" w:hAnsi="仿宋_GB2312" w:cs="仿宋_GB2312" w:eastAsia="仿宋_GB2312"/>
              </w:rPr>
              <w:t xml:space="preserve">   1.活动场地协调及租赁等工作；2.场地主舞台搭建：LED主屏、舞台（地毯）、舞台防雨顶棚、礼宾桌椅、启动仪式道具、音响音控设备、灯光照明、隔离带等；3.宣导装饰：舞台主背景、主题背景墙设计墙搭建，活动现场门头灯光渲染、灯带装饰等相关工作；4.美陈及氛围营造：活动现场门头、吊旗、休息区桌椅等布置装饰，工作证等印刷；5.设备租赁：舞台音响、灯光、电缆及配电等相关设备的租赁；6.活动宣传：整体活动媒体宣传、视频制作等工作；7.活动保障：活动现场保洁、安保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 xml:space="preserve">   本次活动所有搭建，相关物料制作，必须符合相关行业的标准，并做好本次活动纸质资料、影像资料的留存。</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1.活动现场搭建方案内容详见、方便可行，安全可靠，能够完全满足采购人需求；</w:t>
            </w:r>
          </w:p>
          <w:p>
            <w:pPr>
              <w:pStyle w:val="null3"/>
            </w:pPr>
            <w:r>
              <w:rPr>
                <w:rFonts w:ascii="仿宋_GB2312" w:hAnsi="仿宋_GB2312" w:cs="仿宋_GB2312" w:eastAsia="仿宋_GB2312"/>
              </w:rPr>
              <w:t>2.在规定时间内完成活动策划方案及整体设计，提交采购人进行审核，提出改进意见并修改方案至采购人满意。</w:t>
            </w:r>
          </w:p>
          <w:p>
            <w:pPr>
              <w:pStyle w:val="null3"/>
            </w:pPr>
            <w:r>
              <w:rPr>
                <w:rFonts w:ascii="仿宋_GB2312" w:hAnsi="仿宋_GB2312" w:cs="仿宋_GB2312" w:eastAsia="仿宋_GB2312"/>
              </w:rPr>
              <w:t>3.活动期间，安排专人现场协调对接落实活动各项具体事宜，严格执行方案，确保展示效果。</w:t>
            </w:r>
          </w:p>
          <w:p>
            <w:pPr>
              <w:pStyle w:val="null3"/>
            </w:pPr>
            <w:r>
              <w:rPr>
                <w:rFonts w:ascii="仿宋_GB2312" w:hAnsi="仿宋_GB2312" w:cs="仿宋_GB2312" w:eastAsia="仿宋_GB2312"/>
              </w:rPr>
              <w:t>4.按照活动要求，在严格遵守安保、消防等相关安全规定的情况下，按时按质按量完成活动现场各项工作，确保活动效果呈现。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（一）服务期限服务期限：自合同签订之日起至项目结束</w:t>
            </w:r>
          </w:p>
          <w:p>
            <w:pPr>
              <w:pStyle w:val="null3"/>
            </w:pPr>
            <w:r>
              <w:rPr>
                <w:rFonts w:ascii="仿宋_GB2312" w:hAnsi="仿宋_GB2312" w:cs="仿宋_GB2312" w:eastAsia="仿宋_GB2312"/>
              </w:rPr>
              <w:t>（二）款项结算合同签订后，供应商开具等额的增值税普通发票，采购方收到符合要求的发票，达到付款条件后，15个工作日内向供应商支付合同金额的50%项目资金。剩余50%，项目验收合格后，供应商开具等额的增值税普通发票，采购方收到符合要求的发票，达到付款条件后，15个工作日内向供应商支付合同金额的50%项目资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（一）对服务商的业绩要求类似项目业绩</w:t>
            </w:r>
          </w:p>
          <w:p>
            <w:pPr>
              <w:pStyle w:val="null3"/>
            </w:pPr>
            <w:r>
              <w:rPr>
                <w:rFonts w:ascii="仿宋_GB2312" w:hAnsi="仿宋_GB2312" w:cs="仿宋_GB2312" w:eastAsia="仿宋_GB2312"/>
              </w:rPr>
              <w:t>（二）进度要求按甲方进度要求组织。</w:t>
            </w:r>
            <w:r>
              <w:br/>
            </w:r>
            <w:r>
              <w:rPr>
                <w:rFonts w:ascii="仿宋_GB2312" w:hAnsi="仿宋_GB2312" w:cs="仿宋_GB2312" w:eastAsia="仿宋_GB2312"/>
              </w:rPr>
              <w:t xml:space="preserve"> （三）成果交付要求需达到采购人对项目的具体要求。</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1、服务期满后按照成交供应商所提供的资料及数据进行验收；</w:t>
            </w:r>
          </w:p>
          <w:p>
            <w:pPr>
              <w:pStyle w:val="null3"/>
            </w:pPr>
            <w:r>
              <w:rPr>
                <w:rFonts w:ascii="仿宋_GB2312" w:hAnsi="仿宋_GB2312" w:cs="仿宋_GB2312" w:eastAsia="仿宋_GB2312"/>
              </w:rPr>
              <w:t>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3、验收和评价方式</w:t>
            </w:r>
          </w:p>
          <w:p>
            <w:pPr>
              <w:pStyle w:val="null3"/>
            </w:pPr>
            <w:r>
              <w:rPr>
                <w:rFonts w:ascii="仿宋_GB2312" w:hAnsi="仿宋_GB2312" w:cs="仿宋_GB2312" w:eastAsia="仿宋_GB2312"/>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rPr>
              <w:t>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3.3  验收标准：按磋商文件、磋商响应文件等服务指标进行逐项验收，各项指标均应符合验收标准及要求。</w:t>
            </w:r>
          </w:p>
          <w:p>
            <w:pPr>
              <w:pStyle w:val="null3"/>
            </w:pPr>
            <w:r>
              <w:rPr>
                <w:rFonts w:ascii="仿宋_GB2312" w:hAnsi="仿宋_GB2312" w:cs="仿宋_GB2312" w:eastAsia="仿宋_GB2312"/>
              </w:rPr>
              <w:t>3.4  验收合格后，填写验收单，双方盖章、签字生效。</w:t>
            </w:r>
          </w:p>
          <w:p>
            <w:pPr>
              <w:pStyle w:val="null3"/>
            </w:pPr>
            <w:r>
              <w:rPr>
                <w:rFonts w:ascii="仿宋_GB2312" w:hAnsi="仿宋_GB2312" w:cs="仿宋_GB2312" w:eastAsia="仿宋_GB2312"/>
              </w:rPr>
              <w:t>3.5  验收依据</w:t>
            </w:r>
          </w:p>
          <w:p>
            <w:pPr>
              <w:pStyle w:val="null3"/>
            </w:pPr>
            <w:r>
              <w:rPr>
                <w:rFonts w:ascii="仿宋_GB2312" w:hAnsi="仿宋_GB2312" w:cs="仿宋_GB2312" w:eastAsia="仿宋_GB2312"/>
              </w:rPr>
              <w:t>3.5.1  合同文本。</w:t>
            </w:r>
          </w:p>
          <w:p>
            <w:pPr>
              <w:pStyle w:val="null3"/>
            </w:pPr>
            <w:r>
              <w:rPr>
                <w:rFonts w:ascii="仿宋_GB2312" w:hAnsi="仿宋_GB2312" w:cs="仿宋_GB2312" w:eastAsia="仿宋_GB2312"/>
              </w:rPr>
              <w:t>3.5.2  磋商响应文件、磋商文件、澄清函。</w:t>
            </w:r>
          </w:p>
          <w:p>
            <w:pPr>
              <w:pStyle w:val="null3"/>
            </w:pPr>
            <w:r>
              <w:rPr>
                <w:rFonts w:ascii="仿宋_GB2312" w:hAnsi="仿宋_GB2312" w:cs="仿宋_GB2312" w:eastAsia="仿宋_GB2312"/>
              </w:rPr>
              <w:t>3.5.3  国家和行业制定的相应的标准和规范。</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1、按《民法典》中的相关条款执行。</w:t>
            </w:r>
          </w:p>
          <w:p>
            <w:pPr>
              <w:pStyle w:val="null3"/>
            </w:pPr>
            <w:r>
              <w:rPr>
                <w:rFonts w:ascii="仿宋_GB2312" w:hAnsi="仿宋_GB2312" w:cs="仿宋_GB2312" w:eastAsia="仿宋_GB2312"/>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3、由不可抗力因素造成无法按照原计划提供服务，双方互不追究违约责任。</w:t>
            </w:r>
          </w:p>
          <w:p>
            <w:pPr>
              <w:pStyle w:val="null3"/>
            </w:pPr>
            <w:r>
              <w:rPr>
                <w:rFonts w:ascii="仿宋_GB2312" w:hAnsi="仿宋_GB2312" w:cs="仿宋_GB2312" w:eastAsia="仿宋_GB2312"/>
              </w:rPr>
              <w:t>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合同签订后，供应商开具等额的增值税普通发票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项目验收合格后，供应商开具等额的增值税普通发票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3、由不可抗力因素造成无法按照原计划提供服务，双方互不追究违约责任。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具有独立承担民事责任能力的法人或其他组织，提供统一社会信用代码的营业执照或事业单位法人证书国家规定的相关证明；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投标文件截止时间不足一年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提供2024年5月至今已缴纳的任意1个月的社会保障资金缴存单据或社保机构开具的社会保险参保缴费情况证明，依法不需要缴纳社会保障资金的单位应提供相关证明材料；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法定代表人授权书及被授权人身份证（法定代表人直接参加磋商的须提供其法定代表人身份证明），非法人单位参照执行;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残疾人福利性单位声明函 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 xml:space="preserve"> 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对本项目工作内容的认识理解程度（包括整体项目需求、每项服务需求等）： ①对本项目理解深刻，分析正确、合理，计10.1-15分； ②对本项目基本理解，分析基本正确、合理，计5.1-10分； ③对本项目理解一般，重点、难点分析不全面，计1.1-5分； ④未提供相关内容的不得分。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根据项目特点：打造沉浸式、互动式、体验式消费新场景。方案包括整体活动组织策划、制定活动方案、活动品牌招展、活动现场组织执行和管理等工作。活动场地搭建、氛围营造（包含活动场地协调及租赁等工作、场地主舞台搭建、宣导装饰、美陈及氛围营造、设备租赁、活动宣传、活动保障等等）会场布置氛围贴合活动主题，材料设备配备齐全。 ①各项方案详细、内容全面、安排合理，计11.1-20分； ②总体方案有1项缺项，计7.1-11分； ③总体方案有2项缺项，计3.1-7分； ④总体方案3项或以上缺漏，内容简略的，计1.1-3分； ⑤未提供本项不计分。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场地搭建</w:t>
            </w:r>
          </w:p>
        </w:tc>
        <w:tc>
          <w:tcPr>
            <w:tcW w:type="dxa" w:w="2492"/>
          </w:tcPr>
          <w:p>
            <w:pPr>
              <w:pStyle w:val="null3"/>
            </w:pPr>
            <w:r>
              <w:rPr>
                <w:rFonts w:ascii="仿宋_GB2312" w:hAnsi="仿宋_GB2312" w:cs="仿宋_GB2312" w:eastAsia="仿宋_GB2312"/>
              </w:rPr>
              <w:t>根据完成本项目须提供的相关物品，其场地搭建方案的规范性、合理性、科学性和可行性、效果图设计合理，采用的布展理念适用，贴合项目需求，进行比较和评价①场地搭建方案完整详细、布局合理、搭建方案方便可行，安全可靠性高，计10.1-15分； ②场地搭建方案有缺项，内容完整度一般、安全可行计5.1-10分； ③设计搭建方案有缺项，内容完整度较差、不可行计1.1-5分；④未提供设计方案不得分。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具有专业的执行团队，安排专人现场协调对接落实活动各项具体事宜（包括但不限于涵盖主持、礼仪、安保、保洁等人员配置），提供人员证明材料（不限于毕业证或学历证等相关证明材料复印件）。 ①团队架构完善，人员安排合理，相关证明文件齐全，完全符合项目要求，计7.1-10分； ②团队人员配置不明确、搭配不合理，相关证明文件有欠缺、不齐全，计3.1-7分； ③方案内容、人员配备严重欠缺，无法满足项目需求得1.1-3分；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质量、进度保证方案</w:t>
            </w:r>
          </w:p>
        </w:tc>
        <w:tc>
          <w:tcPr>
            <w:tcW w:type="dxa" w:w="2492"/>
          </w:tcPr>
          <w:p>
            <w:pPr>
              <w:pStyle w:val="null3"/>
            </w:pPr>
            <w:r>
              <w:rPr>
                <w:rFonts w:ascii="仿宋_GB2312" w:hAnsi="仿宋_GB2312" w:cs="仿宋_GB2312" w:eastAsia="仿宋_GB2312"/>
              </w:rPr>
              <w:t>提供针对本项目的服务质量、进度保证方案（包括：健全的质量控制体系、针对本项目的服务质量、进度把控方案、质量保证措施，并有质量进度目标无法实现时的认罚承诺等，包括但不限于活动现场治安、消防、观众进退场等）。 ①方案措施详尽，完全满足采购人需求，能够保证服务质量，及时协调解决各类问题，计7.1-10分；②方案措施较全，基本满足采购人需求，保证服务质量，基本能协调解决各类问题，计3.1-7分； ③方案措施简略，部分满足采购人需求，保证服务质量，及协调解决各类问题的能力不强，计1.1-3 分； ④未提供相关内容的不得分。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制定合理、可行的各种突发情况（包含现场秩序调节、停电、断网、所提供的设备及材料出现质量问题等）的安全应急预案。 ①应急预案内容完善，应对措施全面、可行性强、考虑充分，计5.1-10分； ②应急预案内容基本完善，应对措施有一定可行性，考虑不足，计1.1-5分； ③未提供的不计分。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提供投标人2022年01月01日至今类似项目业绩（大型活动、会议、会展的设计搭建和服务保障工作项目），每份计1分，计满5分为止。业绩证明材料以合同复印件或中标通知书为准。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