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text" w:horzAnchor="page" w:tblpX="7952" w:tblpY="7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tblGrid>
      <w:tr w14:paraId="23FD2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475" w:type="dxa"/>
          </w:tcPr>
          <w:p w14:paraId="280A4C96">
            <w:pPr>
              <w:jc w:val="center"/>
              <w:rPr>
                <w:rFonts w:hAnsi="宋体" w:cs="宋体"/>
                <w:b/>
                <w:sz w:val="30"/>
                <w:szCs w:val="30"/>
                <w:highlight w:val="none"/>
              </w:rPr>
            </w:pPr>
            <w:r>
              <w:rPr>
                <w:rFonts w:hint="eastAsia" w:hAnsi="宋体" w:cs="宋体"/>
                <w:b/>
                <w:sz w:val="30"/>
                <w:szCs w:val="30"/>
                <w:highlight w:val="none"/>
              </w:rPr>
              <w:t>竞争性磋商采购</w:t>
            </w:r>
          </w:p>
        </w:tc>
      </w:tr>
    </w:tbl>
    <w:p w14:paraId="52644100">
      <w:pPr>
        <w:outlineLvl w:val="1"/>
        <w:rPr>
          <w:rFonts w:hAnsi="宋体" w:cs="宋体"/>
          <w:b/>
          <w:sz w:val="32"/>
          <w:szCs w:val="32"/>
          <w:highlight w:val="none"/>
        </w:rPr>
      </w:pPr>
      <w:bookmarkStart w:id="0" w:name="_Toc5216"/>
      <w:bookmarkStart w:id="1" w:name="_Toc7874"/>
      <w:bookmarkStart w:id="2" w:name="_Toc28375"/>
      <w:bookmarkStart w:id="3" w:name="_Toc1362"/>
      <w:r>
        <w:rPr>
          <w:rFonts w:hint="eastAsia" w:hAnsi="宋体" w:cs="宋体"/>
          <w:b/>
          <w:sz w:val="32"/>
          <w:szCs w:val="32"/>
          <w:highlight w:val="none"/>
        </w:rPr>
        <w:t>采购项目</w:t>
      </w:r>
      <w:r>
        <w:rPr>
          <w:rFonts w:hint="eastAsia" w:hAnsi="宋体" w:cs="宋体"/>
          <w:b/>
          <w:bCs/>
          <w:sz w:val="28"/>
          <w:szCs w:val="28"/>
          <w:highlight w:val="none"/>
        </w:rPr>
        <w:t>（</w:t>
      </w:r>
      <w:r>
        <w:rPr>
          <w:rFonts w:hint="eastAsia" w:hAnsi="宋体" w:cs="宋体"/>
          <w:b/>
          <w:sz w:val="32"/>
          <w:szCs w:val="32"/>
          <w:highlight w:val="none"/>
        </w:rPr>
        <w:t>仅供参考）</w:t>
      </w:r>
      <w:bookmarkEnd w:id="0"/>
      <w:bookmarkEnd w:id="1"/>
      <w:bookmarkEnd w:id="2"/>
      <w:bookmarkEnd w:id="3"/>
      <w:r>
        <w:rPr>
          <w:rFonts w:hint="eastAsia" w:hAnsi="宋体" w:cs="宋体"/>
          <w:b/>
          <w:sz w:val="32"/>
          <w:szCs w:val="32"/>
          <w:highlight w:val="none"/>
        </w:rPr>
        <w:t xml:space="preserve">                  </w:t>
      </w:r>
    </w:p>
    <w:p w14:paraId="5876103D">
      <w:pPr>
        <w:tabs>
          <w:tab w:val="left" w:pos="210"/>
          <w:tab w:val="left" w:pos="525"/>
        </w:tabs>
        <w:spacing w:line="360" w:lineRule="auto"/>
        <w:jc w:val="center"/>
        <w:outlineLvl w:val="1"/>
        <w:rPr>
          <w:rFonts w:hint="eastAsia" w:hAnsi="宋体" w:cs="宋体"/>
          <w:b/>
          <w:bCs/>
          <w:sz w:val="32"/>
          <w:szCs w:val="32"/>
          <w:highlight w:val="none"/>
        </w:rPr>
      </w:pPr>
      <w:bookmarkStart w:id="4" w:name="_Toc3424"/>
      <w:bookmarkStart w:id="5" w:name="_Toc24218"/>
      <w:bookmarkStart w:id="6" w:name="_Toc32476"/>
      <w:bookmarkStart w:id="7" w:name="_Toc23705"/>
    </w:p>
    <w:p w14:paraId="1CE74DBD">
      <w:pPr>
        <w:tabs>
          <w:tab w:val="left" w:pos="210"/>
          <w:tab w:val="left" w:pos="525"/>
        </w:tabs>
        <w:spacing w:line="360" w:lineRule="auto"/>
        <w:jc w:val="center"/>
        <w:outlineLvl w:val="1"/>
        <w:rPr>
          <w:rFonts w:hAnsi="宋体" w:cs="宋体"/>
          <w:sz w:val="32"/>
          <w:szCs w:val="32"/>
          <w:highlight w:val="none"/>
        </w:rPr>
      </w:pPr>
      <w:r>
        <w:rPr>
          <w:rFonts w:hint="eastAsia" w:hAnsi="宋体" w:cs="宋体"/>
          <w:b/>
          <w:bCs/>
          <w:sz w:val="32"/>
          <w:szCs w:val="32"/>
          <w:highlight w:val="none"/>
        </w:rPr>
        <w:t>合同前附表</w:t>
      </w:r>
      <w:bookmarkEnd w:id="4"/>
      <w:bookmarkEnd w:id="5"/>
      <w:bookmarkEnd w:id="6"/>
      <w:bookmarkEnd w:id="7"/>
    </w:p>
    <w:p w14:paraId="0C64A6E2">
      <w:pPr>
        <w:rPr>
          <w:rFonts w:hAnsi="宋体" w:cs="宋体"/>
          <w:highlight w:val="none"/>
        </w:rPr>
      </w:pPr>
    </w:p>
    <w:p w14:paraId="400ED84D">
      <w:pPr>
        <w:rPr>
          <w:rFonts w:hAnsi="宋体" w:cs="宋体"/>
          <w:szCs w:val="24"/>
          <w:highlight w:val="none"/>
        </w:rPr>
      </w:pPr>
      <w:r>
        <w:rPr>
          <w:rFonts w:hint="eastAsia" w:hAnsi="宋体" w:cs="宋体"/>
          <w:szCs w:val="24"/>
          <w:highlight w:val="none"/>
        </w:rPr>
        <w:t>本表是对合同条款的具体补充和修改，如有矛盾，应以本资料表为准。</w:t>
      </w:r>
    </w:p>
    <w:tbl>
      <w:tblPr>
        <w:tblStyle w:val="5"/>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71"/>
        <w:gridCol w:w="8181"/>
      </w:tblGrid>
      <w:tr w14:paraId="135C22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33" w:hRule="atLeast"/>
        </w:trPr>
        <w:tc>
          <w:tcPr>
            <w:tcW w:w="1171" w:type="dxa"/>
            <w:vAlign w:val="center"/>
          </w:tcPr>
          <w:p w14:paraId="35BBCF46">
            <w:pPr>
              <w:spacing w:line="360" w:lineRule="auto"/>
              <w:jc w:val="center"/>
              <w:rPr>
                <w:rFonts w:hAnsi="宋体" w:cs="宋体"/>
                <w:szCs w:val="24"/>
                <w:highlight w:val="none"/>
              </w:rPr>
            </w:pPr>
            <w:r>
              <w:rPr>
                <w:rFonts w:hint="eastAsia" w:hAnsi="宋体" w:cs="宋体"/>
                <w:szCs w:val="24"/>
                <w:highlight w:val="none"/>
              </w:rPr>
              <w:t>条款号</w:t>
            </w:r>
          </w:p>
        </w:tc>
        <w:tc>
          <w:tcPr>
            <w:tcW w:w="8181" w:type="dxa"/>
            <w:vAlign w:val="center"/>
          </w:tcPr>
          <w:p w14:paraId="3E186F0C">
            <w:pPr>
              <w:spacing w:line="360" w:lineRule="auto"/>
              <w:jc w:val="center"/>
              <w:rPr>
                <w:rFonts w:hAnsi="宋体" w:cs="宋体"/>
                <w:szCs w:val="24"/>
                <w:highlight w:val="none"/>
              </w:rPr>
            </w:pPr>
            <w:r>
              <w:rPr>
                <w:rFonts w:hint="eastAsia" w:hAnsi="宋体" w:cs="宋体"/>
                <w:szCs w:val="24"/>
                <w:highlight w:val="none"/>
              </w:rPr>
              <w:t>内      容</w:t>
            </w:r>
          </w:p>
        </w:tc>
      </w:tr>
      <w:tr w14:paraId="2A1790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893" w:hRule="exact"/>
        </w:trPr>
        <w:tc>
          <w:tcPr>
            <w:tcW w:w="1171" w:type="dxa"/>
            <w:vAlign w:val="center"/>
          </w:tcPr>
          <w:p w14:paraId="25AC2B9E">
            <w:pPr>
              <w:spacing w:line="360" w:lineRule="auto"/>
              <w:jc w:val="center"/>
              <w:rPr>
                <w:rFonts w:hAnsi="宋体" w:cs="宋体"/>
                <w:szCs w:val="24"/>
                <w:highlight w:val="none"/>
              </w:rPr>
            </w:pPr>
            <w:r>
              <w:rPr>
                <w:rFonts w:hint="eastAsia" w:hAnsi="宋体" w:cs="宋体"/>
                <w:szCs w:val="24"/>
                <w:highlight w:val="none"/>
              </w:rPr>
              <w:t>1</w:t>
            </w:r>
          </w:p>
        </w:tc>
        <w:tc>
          <w:tcPr>
            <w:tcW w:w="8181" w:type="dxa"/>
            <w:vAlign w:val="center"/>
          </w:tcPr>
          <w:p w14:paraId="76DF9279">
            <w:pPr>
              <w:spacing w:line="360" w:lineRule="auto"/>
              <w:rPr>
                <w:rFonts w:hint="eastAsia" w:hAnsi="宋体" w:cs="宋体"/>
                <w:szCs w:val="24"/>
                <w:highlight w:val="none"/>
                <w:lang w:eastAsia="zh-CN"/>
              </w:rPr>
            </w:pPr>
            <w:r>
              <w:rPr>
                <w:rFonts w:hint="eastAsia" w:hAnsi="宋体" w:cs="宋体"/>
                <w:szCs w:val="24"/>
                <w:highlight w:val="none"/>
              </w:rPr>
              <w:t>采购人名称：</w:t>
            </w:r>
            <w:r>
              <w:rPr>
                <w:rFonts w:hint="eastAsia" w:hAnsi="宋体" w:cs="宋体"/>
                <w:szCs w:val="24"/>
                <w:highlight w:val="none"/>
                <w:lang w:eastAsia="zh-CN"/>
              </w:rPr>
              <w:t>西安市商务局</w:t>
            </w:r>
          </w:p>
          <w:p w14:paraId="5FC7AF61">
            <w:pPr>
              <w:tabs>
                <w:tab w:val="left" w:pos="1440"/>
                <w:tab w:val="left" w:pos="1680"/>
              </w:tabs>
              <w:spacing w:line="360" w:lineRule="auto"/>
              <w:jc w:val="left"/>
              <w:rPr>
                <w:rFonts w:hint="eastAsia" w:hAnsi="宋体" w:cs="宋体"/>
                <w:szCs w:val="24"/>
                <w:highlight w:val="none"/>
                <w:lang w:eastAsia="zh-CN"/>
              </w:rPr>
            </w:pPr>
            <w:r>
              <w:rPr>
                <w:rFonts w:hint="eastAsia" w:hAnsi="宋体" w:cs="宋体"/>
                <w:szCs w:val="24"/>
                <w:highlight w:val="none"/>
              </w:rPr>
              <w:t>地      址：</w:t>
            </w:r>
            <w:r>
              <w:rPr>
                <w:rFonts w:hint="eastAsia" w:hAnsi="宋体" w:cs="宋体"/>
                <w:szCs w:val="24"/>
                <w:highlight w:val="none"/>
                <w:lang w:eastAsia="zh-CN"/>
              </w:rPr>
              <w:t>西安市未央区凤城八路109号</w:t>
            </w:r>
          </w:p>
          <w:p w14:paraId="53226B69">
            <w:pPr>
              <w:tabs>
                <w:tab w:val="left" w:pos="1440"/>
                <w:tab w:val="left" w:pos="1680"/>
              </w:tabs>
              <w:spacing w:line="360" w:lineRule="auto"/>
              <w:jc w:val="left"/>
              <w:rPr>
                <w:rFonts w:hAnsi="宋体" w:cs="宋体"/>
                <w:szCs w:val="24"/>
                <w:highlight w:val="none"/>
              </w:rPr>
            </w:pPr>
            <w:r>
              <w:rPr>
                <w:rFonts w:hint="eastAsia" w:hAnsi="宋体" w:cs="宋体"/>
                <w:szCs w:val="24"/>
                <w:highlight w:val="none"/>
              </w:rPr>
              <w:t>项目名称</w:t>
            </w:r>
            <w:r>
              <w:rPr>
                <w:rFonts w:hint="eastAsia" w:hAnsi="宋体" w:cs="宋体"/>
                <w:szCs w:val="24"/>
                <w:highlight w:val="none"/>
                <w:lang w:eastAsia="zh-CN"/>
              </w:rPr>
              <w:t>：会展业第三方统计</w:t>
            </w:r>
          </w:p>
        </w:tc>
      </w:tr>
      <w:tr w14:paraId="2F6779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8" w:hRule="exact"/>
        </w:trPr>
        <w:tc>
          <w:tcPr>
            <w:tcW w:w="1171" w:type="dxa"/>
            <w:vAlign w:val="center"/>
          </w:tcPr>
          <w:p w14:paraId="263B19BF">
            <w:pPr>
              <w:spacing w:line="360" w:lineRule="auto"/>
              <w:jc w:val="center"/>
              <w:rPr>
                <w:rFonts w:hAnsi="宋体" w:cs="宋体"/>
                <w:szCs w:val="24"/>
                <w:highlight w:val="none"/>
              </w:rPr>
            </w:pPr>
            <w:r>
              <w:rPr>
                <w:rFonts w:hint="eastAsia" w:hAnsi="宋体" w:cs="宋体"/>
                <w:szCs w:val="24"/>
                <w:highlight w:val="none"/>
              </w:rPr>
              <w:t>2</w:t>
            </w:r>
          </w:p>
        </w:tc>
        <w:tc>
          <w:tcPr>
            <w:tcW w:w="8181" w:type="dxa"/>
            <w:vAlign w:val="center"/>
          </w:tcPr>
          <w:p w14:paraId="0940CB4C">
            <w:pPr>
              <w:spacing w:line="360" w:lineRule="auto"/>
              <w:rPr>
                <w:rFonts w:hint="default" w:hAnsi="宋体" w:eastAsia="宋体" w:cs="宋体"/>
                <w:szCs w:val="24"/>
                <w:highlight w:val="none"/>
                <w:lang w:val="en-US" w:eastAsia="zh-CN"/>
              </w:rPr>
            </w:pPr>
            <w:r>
              <w:rPr>
                <w:rFonts w:hint="eastAsia" w:hAnsi="宋体" w:cs="宋体"/>
                <w:szCs w:val="24"/>
                <w:highlight w:val="none"/>
              </w:rPr>
              <w:t>项目实施地点：</w:t>
            </w:r>
            <w:r>
              <w:rPr>
                <w:rFonts w:hint="eastAsia" w:hAnsi="宋体" w:cs="宋体"/>
                <w:szCs w:val="24"/>
                <w:highlight w:val="none"/>
                <w:lang w:val="en-US" w:eastAsia="zh-CN"/>
              </w:rPr>
              <w:t>采购人指定地点</w:t>
            </w:r>
          </w:p>
        </w:tc>
      </w:tr>
      <w:tr w14:paraId="5E5AD8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51" w:hRule="exact"/>
        </w:trPr>
        <w:tc>
          <w:tcPr>
            <w:tcW w:w="1171" w:type="dxa"/>
            <w:vAlign w:val="center"/>
          </w:tcPr>
          <w:p w14:paraId="27B34A27">
            <w:pPr>
              <w:spacing w:line="360" w:lineRule="auto"/>
              <w:jc w:val="center"/>
              <w:rPr>
                <w:rFonts w:hAnsi="宋体" w:cs="宋体"/>
                <w:szCs w:val="24"/>
                <w:highlight w:val="none"/>
              </w:rPr>
            </w:pPr>
            <w:r>
              <w:rPr>
                <w:rFonts w:hint="eastAsia" w:hAnsi="宋体" w:cs="宋体"/>
                <w:szCs w:val="24"/>
                <w:highlight w:val="none"/>
              </w:rPr>
              <w:t>3</w:t>
            </w:r>
          </w:p>
        </w:tc>
        <w:tc>
          <w:tcPr>
            <w:tcW w:w="8181" w:type="dxa"/>
            <w:vAlign w:val="center"/>
          </w:tcPr>
          <w:p w14:paraId="1A8C0D25">
            <w:pPr>
              <w:spacing w:line="360" w:lineRule="auto"/>
              <w:rPr>
                <w:rFonts w:hint="eastAsia" w:hAnsi="宋体" w:cs="宋体"/>
                <w:szCs w:val="24"/>
                <w:highlight w:val="none"/>
              </w:rPr>
            </w:pPr>
            <w:r>
              <w:rPr>
                <w:rFonts w:hint="eastAsia" w:hAnsi="宋体" w:cs="宋体"/>
                <w:szCs w:val="24"/>
                <w:highlight w:val="none"/>
                <w:lang w:val="en-US" w:eastAsia="zh-CN"/>
              </w:rPr>
              <w:t>服务期：自合同签订之日至项目结束</w:t>
            </w:r>
          </w:p>
        </w:tc>
      </w:tr>
      <w:tr w14:paraId="51AB79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987" w:hRule="atLeast"/>
        </w:trPr>
        <w:tc>
          <w:tcPr>
            <w:tcW w:w="1171" w:type="dxa"/>
            <w:vAlign w:val="center"/>
          </w:tcPr>
          <w:p w14:paraId="36265468">
            <w:pPr>
              <w:spacing w:line="360" w:lineRule="auto"/>
              <w:jc w:val="center"/>
              <w:rPr>
                <w:rFonts w:hAnsi="宋体" w:cs="宋体"/>
                <w:szCs w:val="24"/>
                <w:highlight w:val="none"/>
              </w:rPr>
            </w:pPr>
            <w:r>
              <w:rPr>
                <w:rFonts w:hint="eastAsia" w:hAnsi="宋体" w:cs="宋体"/>
                <w:szCs w:val="24"/>
                <w:highlight w:val="none"/>
              </w:rPr>
              <w:t>4</w:t>
            </w:r>
          </w:p>
        </w:tc>
        <w:tc>
          <w:tcPr>
            <w:tcW w:w="8181" w:type="dxa"/>
            <w:vAlign w:val="center"/>
          </w:tcPr>
          <w:p w14:paraId="028564D3">
            <w:pPr>
              <w:spacing w:line="360" w:lineRule="auto"/>
              <w:rPr>
                <w:rFonts w:hAnsi="宋体" w:cs="宋体"/>
                <w:b/>
                <w:sz w:val="21"/>
                <w:szCs w:val="21"/>
                <w:highlight w:val="none"/>
              </w:rPr>
            </w:pPr>
            <w:r>
              <w:rPr>
                <w:rFonts w:hint="eastAsia" w:hAnsi="宋体" w:cs="宋体"/>
                <w:b/>
                <w:sz w:val="21"/>
                <w:szCs w:val="21"/>
                <w:highlight w:val="none"/>
              </w:rPr>
              <w:t>付款：</w:t>
            </w:r>
          </w:p>
          <w:p w14:paraId="283F488D">
            <w:pPr>
              <w:spacing w:line="360" w:lineRule="auto"/>
              <w:ind w:firstLine="480" w:firstLineChars="200"/>
              <w:rPr>
                <w:rFonts w:hAnsi="宋体" w:cs="宋体"/>
                <w:szCs w:val="24"/>
                <w:highlight w:val="none"/>
              </w:rPr>
            </w:pPr>
            <w:r>
              <w:rPr>
                <w:rFonts w:hint="eastAsia" w:hAnsi="宋体" w:cs="宋体"/>
                <w:szCs w:val="24"/>
                <w:highlight w:val="none"/>
              </w:rPr>
              <w:t>1.合同总价即成交价，不受市场价变化或实际工作量变化的影响。供应商应在磋商报价表中标明完成本次磋商所要求的全部服务的所有费用，包括但不限于人工费、设备使用费、办公费、服务费、交通费、招标代理服务费、税金等其他一切相关费用。</w:t>
            </w:r>
          </w:p>
          <w:p w14:paraId="276D9D69">
            <w:pPr>
              <w:spacing w:line="360" w:lineRule="auto"/>
              <w:ind w:firstLine="480" w:firstLineChars="200"/>
              <w:rPr>
                <w:rFonts w:hAnsi="宋体" w:cs="宋体"/>
                <w:szCs w:val="24"/>
                <w:highlight w:val="none"/>
              </w:rPr>
            </w:pPr>
            <w:r>
              <w:rPr>
                <w:rFonts w:hint="eastAsia" w:hAnsi="宋体" w:cs="宋体"/>
                <w:szCs w:val="24"/>
                <w:highlight w:val="none"/>
              </w:rPr>
              <w:t>2.付款方式：</w:t>
            </w:r>
          </w:p>
          <w:p w14:paraId="58619085">
            <w:pPr>
              <w:spacing w:line="360" w:lineRule="auto"/>
              <w:ind w:firstLine="480" w:firstLineChars="200"/>
              <w:rPr>
                <w:rFonts w:hint="eastAsia" w:hAnsi="宋体" w:cs="宋体"/>
                <w:b w:val="0"/>
                <w:bCs/>
                <w:szCs w:val="24"/>
                <w:highlight w:val="none"/>
              </w:rPr>
            </w:pPr>
            <w:r>
              <w:rPr>
                <w:rFonts w:hint="eastAsia" w:hAnsi="宋体" w:cs="宋体"/>
                <w:b w:val="0"/>
                <w:bCs/>
                <w:szCs w:val="24"/>
                <w:highlight w:val="none"/>
              </w:rPr>
              <w:t>合同签订后，供应商向采购方开具等额的增值税普通发票 ，达到付款条件起 20 日内，支付合同总金额的 60.00%。</w:t>
            </w:r>
          </w:p>
          <w:p w14:paraId="0652FE99">
            <w:pPr>
              <w:spacing w:line="360" w:lineRule="auto"/>
              <w:ind w:firstLine="480" w:firstLineChars="200"/>
              <w:rPr>
                <w:rFonts w:hint="eastAsia" w:hAnsi="宋体" w:cs="宋体"/>
                <w:b w:val="0"/>
                <w:bCs/>
                <w:szCs w:val="24"/>
                <w:highlight w:val="none"/>
              </w:rPr>
            </w:pPr>
            <w:r>
              <w:rPr>
                <w:rFonts w:hint="eastAsia" w:hAnsi="宋体" w:cs="宋体"/>
                <w:b w:val="0"/>
                <w:bCs/>
                <w:szCs w:val="24"/>
                <w:highlight w:val="none"/>
              </w:rPr>
              <w:t>供应商项目执行结束经验收合格后，向采购方开具等额的增值税普通发票 ，达到付款条件起 20 日内，支付合同总金额的 40.00%。</w:t>
            </w:r>
          </w:p>
          <w:p w14:paraId="7CD622BF">
            <w:pPr>
              <w:spacing w:line="360" w:lineRule="auto"/>
              <w:ind w:firstLine="482" w:firstLineChars="200"/>
              <w:rPr>
                <w:rFonts w:hAnsi="宋体" w:cs="宋体"/>
                <w:szCs w:val="24"/>
                <w:highlight w:val="none"/>
              </w:rPr>
            </w:pPr>
            <w:r>
              <w:rPr>
                <w:rFonts w:hint="eastAsia" w:hAnsi="宋体" w:cs="宋体"/>
                <w:b/>
                <w:szCs w:val="24"/>
                <w:highlight w:val="none"/>
              </w:rPr>
              <w:t>2.3支付方式：银行转账</w:t>
            </w:r>
          </w:p>
        </w:tc>
      </w:tr>
      <w:tr w14:paraId="138DFE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1171" w:type="dxa"/>
            <w:vAlign w:val="center"/>
          </w:tcPr>
          <w:p w14:paraId="7CEEE319">
            <w:pPr>
              <w:spacing w:line="360" w:lineRule="auto"/>
              <w:jc w:val="center"/>
              <w:rPr>
                <w:rFonts w:hAnsi="宋体" w:cs="宋体"/>
                <w:szCs w:val="24"/>
                <w:highlight w:val="none"/>
              </w:rPr>
            </w:pPr>
            <w:r>
              <w:rPr>
                <w:rFonts w:hint="eastAsia" w:hAnsi="宋体" w:cs="宋体"/>
                <w:szCs w:val="24"/>
                <w:highlight w:val="none"/>
              </w:rPr>
              <w:t>5</w:t>
            </w:r>
          </w:p>
        </w:tc>
        <w:tc>
          <w:tcPr>
            <w:tcW w:w="8181" w:type="dxa"/>
            <w:vAlign w:val="center"/>
          </w:tcPr>
          <w:p w14:paraId="3515174F">
            <w:pPr>
              <w:spacing w:line="360" w:lineRule="auto"/>
              <w:rPr>
                <w:rFonts w:hAnsi="宋体" w:cs="宋体"/>
                <w:b/>
                <w:szCs w:val="24"/>
                <w:highlight w:val="none"/>
              </w:rPr>
            </w:pPr>
            <w:r>
              <w:rPr>
                <w:rFonts w:hint="eastAsia" w:hAnsi="宋体" w:cs="宋体"/>
                <w:b/>
                <w:szCs w:val="24"/>
                <w:highlight w:val="none"/>
              </w:rPr>
              <w:t>服务支持：</w:t>
            </w:r>
          </w:p>
          <w:p w14:paraId="1727D3A9">
            <w:pPr>
              <w:spacing w:line="360" w:lineRule="auto"/>
              <w:ind w:firstLine="480" w:firstLineChars="200"/>
              <w:jc w:val="left"/>
              <w:rPr>
                <w:rFonts w:hint="eastAsia" w:hAnsi="宋体" w:cs="宋体"/>
                <w:bCs/>
                <w:szCs w:val="21"/>
                <w:highlight w:val="none"/>
              </w:rPr>
            </w:pPr>
            <w:r>
              <w:rPr>
                <w:rFonts w:hint="eastAsia" w:hAnsi="宋体" w:cs="宋体"/>
                <w:bCs/>
                <w:szCs w:val="21"/>
                <w:highlight w:val="none"/>
              </w:rPr>
              <w:t>1.提供服务期内每周7X24小时的技术咨询服务响应。供应商总于或无法提供技术支持的，采购人有权委托第三方处理，由此产生的费用和后果由供应商负责，费用直接从应付款或服务费中扣除。供应商指定的项目总协调人必须是供应商公司管理层人员。项目建设过程中一旦出现重大问题，项目总协调人应能及时赶到现场。供应商更换项目负责人和主要技术人员，须将变更人及其工作影响、替换人资历等情况以书面材料报告项目采购人审核，经同意后方可更换。因供应商的人员变更原因所造成的任何项目质量、进度滞后的后果，由供应商承担。</w:t>
            </w:r>
          </w:p>
          <w:p w14:paraId="282CEF4C">
            <w:pPr>
              <w:spacing w:line="360" w:lineRule="auto"/>
              <w:ind w:firstLine="480" w:firstLineChars="200"/>
              <w:jc w:val="left"/>
              <w:rPr>
                <w:rFonts w:hAnsi="宋体" w:cs="宋体"/>
                <w:szCs w:val="24"/>
                <w:highlight w:val="none"/>
              </w:rPr>
            </w:pPr>
            <w:r>
              <w:rPr>
                <w:rFonts w:hint="eastAsia" w:hAnsi="宋体" w:cs="宋体"/>
                <w:bCs/>
                <w:szCs w:val="21"/>
                <w:highlight w:val="none"/>
              </w:rPr>
              <w:t>2.供应商在项目实施过程中，质量保障人员、资源不足或者执行不力，给项目质量带来的风险超出采购人认定的允许范围时，采购人可终止本项目的合作并进行索赔。</w:t>
            </w:r>
          </w:p>
        </w:tc>
      </w:tr>
      <w:tr w14:paraId="575DA8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1171" w:type="dxa"/>
            <w:vAlign w:val="center"/>
          </w:tcPr>
          <w:p w14:paraId="5C327D6D">
            <w:pPr>
              <w:spacing w:line="360" w:lineRule="auto"/>
              <w:jc w:val="center"/>
              <w:rPr>
                <w:rFonts w:hint="default" w:hAnsi="宋体" w:eastAsia="宋体" w:cs="宋体"/>
                <w:szCs w:val="24"/>
                <w:highlight w:val="none"/>
                <w:lang w:val="en-US" w:eastAsia="zh-CN"/>
              </w:rPr>
            </w:pPr>
            <w:r>
              <w:rPr>
                <w:rFonts w:hint="eastAsia" w:hAnsi="宋体" w:cs="宋体"/>
                <w:szCs w:val="24"/>
                <w:highlight w:val="none"/>
                <w:lang w:val="en-US" w:eastAsia="zh-CN"/>
              </w:rPr>
              <w:t>6</w:t>
            </w:r>
          </w:p>
        </w:tc>
        <w:tc>
          <w:tcPr>
            <w:tcW w:w="8181" w:type="dxa"/>
            <w:vAlign w:val="center"/>
          </w:tcPr>
          <w:p w14:paraId="3A578035">
            <w:pPr>
              <w:spacing w:line="360" w:lineRule="auto"/>
              <w:rPr>
                <w:rFonts w:hAnsi="宋体" w:cs="宋体"/>
                <w:b/>
                <w:szCs w:val="24"/>
                <w:highlight w:val="none"/>
              </w:rPr>
            </w:pPr>
            <w:r>
              <w:rPr>
                <w:rFonts w:hint="eastAsia" w:hAnsi="宋体" w:cs="宋体"/>
                <w:b/>
                <w:szCs w:val="24"/>
                <w:highlight w:val="none"/>
              </w:rPr>
              <w:t>违约责任：</w:t>
            </w:r>
          </w:p>
          <w:p w14:paraId="0F74F11B">
            <w:pPr>
              <w:tabs>
                <w:tab w:val="left" w:pos="152"/>
              </w:tabs>
              <w:spacing w:line="360" w:lineRule="auto"/>
              <w:ind w:firstLine="480" w:firstLineChars="200"/>
              <w:rPr>
                <w:rFonts w:hAnsi="宋体" w:cs="宋体"/>
                <w:szCs w:val="24"/>
                <w:highlight w:val="none"/>
              </w:rPr>
            </w:pPr>
            <w:r>
              <w:rPr>
                <w:rFonts w:hint="eastAsia" w:hAnsi="宋体" w:cs="宋体"/>
                <w:szCs w:val="24"/>
                <w:highlight w:val="none"/>
              </w:rPr>
              <w:t>1、按《中华人民共和国民法典》中的相关条款执行。</w:t>
            </w:r>
          </w:p>
          <w:p w14:paraId="60D1A243">
            <w:pPr>
              <w:snapToGrid w:val="0"/>
              <w:spacing w:line="360" w:lineRule="auto"/>
              <w:ind w:firstLine="480" w:firstLineChars="200"/>
              <w:rPr>
                <w:rFonts w:hAnsi="宋体" w:cs="宋体"/>
                <w:szCs w:val="24"/>
                <w:highlight w:val="none"/>
              </w:rPr>
            </w:pPr>
            <w:r>
              <w:rPr>
                <w:rFonts w:hint="eastAsia" w:hAnsi="宋体" w:cs="宋体"/>
                <w:szCs w:val="24"/>
                <w:highlight w:val="none"/>
              </w:rPr>
              <w:t>2、未按合同要求提供服务或服务不能满足合同要求，采购人应当将服务商违约的情况以及拟采取的措施以书面形式报政府采购监管部门，根据政府采购监管部门的处理意见，采购人有权依据《中华人民共和国民法典》有关条款及合同约定终止合同，并要求服务商承担违约责任。同时，政府采购监管部门有权依据《政府采购法》及相关法律法规对服务商的违法行为进行相应的处罚。</w:t>
            </w:r>
          </w:p>
        </w:tc>
      </w:tr>
      <w:tr w14:paraId="33682D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1171" w:type="dxa"/>
            <w:vAlign w:val="center"/>
          </w:tcPr>
          <w:p w14:paraId="02CA837E">
            <w:pPr>
              <w:spacing w:line="360" w:lineRule="auto"/>
              <w:jc w:val="center"/>
              <w:rPr>
                <w:rFonts w:hint="eastAsia" w:hAnsi="宋体" w:eastAsia="宋体" w:cs="宋体"/>
                <w:szCs w:val="24"/>
                <w:highlight w:val="none"/>
                <w:lang w:eastAsia="zh-CN"/>
              </w:rPr>
            </w:pPr>
            <w:r>
              <w:rPr>
                <w:rFonts w:hint="eastAsia" w:hAnsi="宋体" w:cs="宋体"/>
                <w:szCs w:val="24"/>
                <w:highlight w:val="none"/>
                <w:lang w:val="en-US" w:eastAsia="zh-CN"/>
              </w:rPr>
              <w:t>7</w:t>
            </w:r>
          </w:p>
        </w:tc>
        <w:tc>
          <w:tcPr>
            <w:tcW w:w="8181" w:type="dxa"/>
            <w:vAlign w:val="center"/>
          </w:tcPr>
          <w:p w14:paraId="0776485B">
            <w:pPr>
              <w:spacing w:line="360" w:lineRule="auto"/>
              <w:rPr>
                <w:rFonts w:hAnsi="宋体" w:cs="宋体"/>
                <w:b/>
                <w:szCs w:val="24"/>
                <w:highlight w:val="none"/>
              </w:rPr>
            </w:pPr>
            <w:r>
              <w:rPr>
                <w:rFonts w:hint="eastAsia" w:hAnsi="宋体" w:cs="宋体"/>
                <w:b/>
                <w:szCs w:val="24"/>
                <w:highlight w:val="none"/>
              </w:rPr>
              <w:t>政府采购合同：</w:t>
            </w:r>
          </w:p>
          <w:p w14:paraId="56125753">
            <w:pPr>
              <w:spacing w:line="360" w:lineRule="auto"/>
              <w:ind w:firstLine="480" w:firstLineChars="200"/>
              <w:rPr>
                <w:rFonts w:hint="eastAsia" w:hAnsi="宋体" w:eastAsia="宋体" w:cs="宋体"/>
                <w:szCs w:val="24"/>
                <w:highlight w:val="none"/>
                <w:lang w:eastAsia="zh-CN"/>
              </w:rPr>
            </w:pPr>
            <w:r>
              <w:rPr>
                <w:rFonts w:hint="eastAsia" w:hAnsi="宋体" w:cs="宋体"/>
                <w:szCs w:val="24"/>
                <w:highlight w:val="none"/>
              </w:rPr>
              <w:t>政府采购合同适用中华人民共和国民法典。采购人和供应商之间的权利和义务，应当按照平等、自愿的原则以合同方式约定。</w:t>
            </w:r>
          </w:p>
          <w:p w14:paraId="7F7BB943">
            <w:pPr>
              <w:spacing w:line="360" w:lineRule="auto"/>
              <w:ind w:firstLine="480" w:firstLineChars="200"/>
              <w:rPr>
                <w:rFonts w:hint="eastAsia" w:hAnsi="宋体" w:eastAsia="宋体" w:cs="宋体"/>
                <w:szCs w:val="24"/>
                <w:highlight w:val="none"/>
                <w:lang w:eastAsia="zh-CN"/>
              </w:rPr>
            </w:pPr>
            <w:r>
              <w:rPr>
                <w:rFonts w:hint="eastAsia" w:hAnsi="宋体" w:cs="宋体"/>
                <w:szCs w:val="24"/>
                <w:highlight w:val="none"/>
              </w:rPr>
              <w:t xml:space="preserve">    采购人可以委托采购代理机构代表其与供应商签订政府采购合同。由采购代理机构以采购人名义签订合同的，应当提交采购人的授权委托书，作为合同附件。</w:t>
            </w:r>
          </w:p>
          <w:p w14:paraId="7034C966">
            <w:pPr>
              <w:spacing w:line="360" w:lineRule="auto"/>
              <w:ind w:firstLine="480" w:firstLineChars="200"/>
              <w:rPr>
                <w:rFonts w:hint="eastAsia" w:hAnsi="宋体" w:eastAsia="宋体" w:cs="宋体"/>
                <w:szCs w:val="24"/>
                <w:highlight w:val="none"/>
                <w:lang w:eastAsia="zh-CN"/>
              </w:rPr>
            </w:pPr>
            <w:r>
              <w:rPr>
                <w:rFonts w:hint="eastAsia" w:hAnsi="宋体" w:cs="宋体"/>
                <w:szCs w:val="24"/>
                <w:highlight w:val="none"/>
              </w:rPr>
              <w:t xml:space="preserve">    采购人与中标、成交供应商应当在中标、成交通知书发出之日起三十日内，按照采购文件确定的事项签订政府采购合同。</w:t>
            </w:r>
          </w:p>
          <w:p w14:paraId="7F349996">
            <w:pPr>
              <w:spacing w:line="360" w:lineRule="auto"/>
              <w:ind w:firstLine="480" w:firstLineChars="200"/>
              <w:rPr>
                <w:rFonts w:hAnsi="宋体" w:cs="宋体"/>
                <w:szCs w:val="24"/>
                <w:highlight w:val="none"/>
              </w:rPr>
            </w:pPr>
            <w:r>
              <w:rPr>
                <w:rFonts w:hint="eastAsia" w:hAnsi="宋体" w:cs="宋体"/>
                <w:szCs w:val="24"/>
                <w:highlight w:val="none"/>
              </w:rPr>
              <w:t xml:space="preserve">    中标、成交通知书对采购人和中标、成交供应商均具有法律效力。中标、成交通知书发出后，采购人改变中标、成交结果的，或者中标、成交供应商放弃中标、成交项目的，应当依法承担法律责任。</w:t>
            </w:r>
          </w:p>
          <w:p w14:paraId="27AA00D5">
            <w:pPr>
              <w:pStyle w:val="3"/>
              <w:spacing w:line="360" w:lineRule="auto"/>
              <w:ind w:firstLine="480" w:firstLineChars="200"/>
              <w:rPr>
                <w:rFonts w:hint="eastAsia" w:hAnsi="宋体" w:eastAsia="宋体" w:cs="宋体"/>
                <w:sz w:val="24"/>
                <w:szCs w:val="24"/>
                <w:highlight w:val="none"/>
                <w:lang w:eastAsia="zh-CN"/>
              </w:rPr>
            </w:pPr>
            <w:r>
              <w:rPr>
                <w:rFonts w:hint="eastAsia" w:hAnsi="宋体" w:cs="宋体"/>
                <w:sz w:val="24"/>
                <w:szCs w:val="24"/>
                <w:highlight w:val="none"/>
              </w:rPr>
              <w:t>经采购人同意，中标、成交供应商可以依法采取分包方式履行合同。政府采购合同分包履行的，中标、成交供应商就采购项目和分包项目向采购人负责，分包供应商就分包项目承担责任。</w:t>
            </w:r>
          </w:p>
          <w:p w14:paraId="2F244E4C">
            <w:pPr>
              <w:pStyle w:val="3"/>
              <w:spacing w:line="360" w:lineRule="auto"/>
              <w:ind w:firstLine="480" w:firstLineChars="200"/>
              <w:rPr>
                <w:rFonts w:hint="eastAsia" w:hAnsi="宋体" w:eastAsia="宋体" w:cs="宋体"/>
                <w:sz w:val="24"/>
                <w:szCs w:val="24"/>
                <w:highlight w:val="none"/>
                <w:lang w:eastAsia="zh-CN"/>
              </w:rPr>
            </w:pPr>
            <w:r>
              <w:rPr>
                <w:rFonts w:hint="eastAsia" w:hAnsi="宋体" w:cs="宋体"/>
                <w:sz w:val="24"/>
                <w:szCs w:val="24"/>
                <w:highlight w:val="none"/>
              </w:rPr>
              <w:t xml:space="preserve">    政府采购合同履行中，采购人需追加与合同标的相同的货物、工程或者服务的，在不改变合同其他条款的前提下，可以与供应商协商签订补充合同，但所有补充合同的采购金额不得超过原合同采购金额的百分之十。</w:t>
            </w:r>
          </w:p>
          <w:p w14:paraId="0D55C1E3">
            <w:pPr>
              <w:pStyle w:val="3"/>
              <w:spacing w:line="360" w:lineRule="auto"/>
              <w:ind w:firstLine="480" w:firstLineChars="200"/>
              <w:rPr>
                <w:rFonts w:hint="eastAsia" w:hAnsi="宋体" w:eastAsia="宋体" w:cs="宋体"/>
                <w:sz w:val="24"/>
                <w:szCs w:val="24"/>
                <w:highlight w:val="none"/>
                <w:lang w:eastAsia="zh-CN"/>
              </w:rPr>
            </w:pPr>
            <w:r>
              <w:rPr>
                <w:rFonts w:hint="eastAsia" w:hAnsi="宋体" w:cs="宋体"/>
                <w:sz w:val="24"/>
                <w:szCs w:val="24"/>
                <w:highlight w:val="none"/>
              </w:rPr>
              <w:t xml:space="preserve">    政府采购合同的双方当事人不得擅自变更、中止或者终止合同。</w:t>
            </w:r>
          </w:p>
          <w:p w14:paraId="28728D26">
            <w:pPr>
              <w:pStyle w:val="3"/>
              <w:spacing w:line="360" w:lineRule="auto"/>
              <w:ind w:firstLine="480" w:firstLineChars="200"/>
              <w:rPr>
                <w:rFonts w:hAnsi="宋体" w:cs="宋体"/>
                <w:kern w:val="0"/>
                <w:sz w:val="24"/>
                <w:szCs w:val="24"/>
                <w:highlight w:val="none"/>
              </w:rPr>
            </w:pPr>
            <w:r>
              <w:rPr>
                <w:rFonts w:hint="eastAsia" w:hAnsi="宋体" w:cs="宋体"/>
                <w:sz w:val="24"/>
                <w:szCs w:val="24"/>
                <w:highlight w:val="none"/>
              </w:rPr>
              <w:t>政府采购合同继续履行将损害国家利益和社会公共利益的，双方当事人应当变更、中止或者终止合同。有过错的一方应当承担赔偿责任，双方都有过错的，各自承担相应的责任。</w:t>
            </w:r>
          </w:p>
        </w:tc>
      </w:tr>
    </w:tbl>
    <w:p w14:paraId="7140F44D">
      <w:pPr>
        <w:rPr>
          <w:rFonts w:hAnsi="宋体" w:cs="宋体"/>
          <w:sz w:val="32"/>
          <w:highlight w:val="none"/>
        </w:rPr>
      </w:pPr>
      <w:r>
        <w:rPr>
          <w:rFonts w:hint="eastAsia" w:hAnsi="宋体" w:cs="宋体"/>
          <w:b/>
          <w:bCs/>
          <w:sz w:val="48"/>
          <w:szCs w:val="48"/>
          <w:highlight w:val="none"/>
        </w:rPr>
        <w:br w:type="page"/>
      </w:r>
    </w:p>
    <w:tbl>
      <w:tblPr>
        <w:tblStyle w:val="5"/>
        <w:tblpPr w:leftFromText="180" w:rightFromText="180" w:vertAnchor="text" w:horzAnchor="page" w:tblpX="7952" w:tblpY="7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tblGrid>
      <w:tr w14:paraId="3443A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475" w:type="dxa"/>
          </w:tcPr>
          <w:p w14:paraId="36C23DAF">
            <w:pPr>
              <w:jc w:val="center"/>
              <w:rPr>
                <w:rFonts w:hAnsi="宋体" w:cs="宋体"/>
                <w:b/>
                <w:sz w:val="30"/>
                <w:szCs w:val="30"/>
                <w:highlight w:val="none"/>
              </w:rPr>
            </w:pPr>
            <w:r>
              <w:rPr>
                <w:rFonts w:hint="eastAsia" w:hAnsi="宋体" w:cs="宋体"/>
                <w:b/>
                <w:sz w:val="30"/>
                <w:szCs w:val="30"/>
                <w:highlight w:val="none"/>
              </w:rPr>
              <w:t>竞争性磋商采购</w:t>
            </w:r>
          </w:p>
        </w:tc>
      </w:tr>
    </w:tbl>
    <w:p w14:paraId="1A1846CA">
      <w:pPr>
        <w:outlineLvl w:val="1"/>
        <w:rPr>
          <w:rFonts w:hAnsi="宋体" w:cs="宋体"/>
          <w:b/>
          <w:sz w:val="32"/>
          <w:szCs w:val="32"/>
          <w:highlight w:val="none"/>
        </w:rPr>
      </w:pPr>
      <w:bookmarkStart w:id="8" w:name="_Toc18120"/>
      <w:r>
        <w:rPr>
          <w:rFonts w:hint="eastAsia" w:hAnsi="宋体" w:cs="宋体"/>
          <w:b/>
          <w:sz w:val="32"/>
          <w:szCs w:val="32"/>
          <w:highlight w:val="none"/>
        </w:rPr>
        <w:t>政府采购项目</w:t>
      </w:r>
      <w:r>
        <w:rPr>
          <w:rFonts w:hint="eastAsia" w:hAnsi="宋体" w:cs="宋体"/>
          <w:b/>
          <w:bCs/>
          <w:sz w:val="28"/>
          <w:szCs w:val="28"/>
          <w:highlight w:val="none"/>
        </w:rPr>
        <w:t>（</w:t>
      </w:r>
      <w:r>
        <w:rPr>
          <w:rFonts w:hint="eastAsia" w:hAnsi="宋体" w:cs="宋体"/>
          <w:b/>
          <w:sz w:val="32"/>
          <w:szCs w:val="32"/>
          <w:highlight w:val="none"/>
        </w:rPr>
        <w:t>仅供参考）</w:t>
      </w:r>
      <w:bookmarkEnd w:id="8"/>
      <w:r>
        <w:rPr>
          <w:rFonts w:hint="eastAsia" w:hAnsi="宋体" w:cs="宋体"/>
          <w:b/>
          <w:sz w:val="32"/>
          <w:szCs w:val="32"/>
          <w:highlight w:val="none"/>
        </w:rPr>
        <w:t xml:space="preserve">                  </w:t>
      </w:r>
    </w:p>
    <w:p w14:paraId="58790EDD">
      <w:pPr>
        <w:rPr>
          <w:rFonts w:hAnsi="宋体" w:cs="宋体"/>
          <w:b/>
          <w:sz w:val="32"/>
          <w:szCs w:val="32"/>
          <w:highlight w:val="none"/>
        </w:rPr>
      </w:pPr>
      <w:r>
        <w:rPr>
          <w:rFonts w:hint="eastAsia" w:hAnsi="宋体" w:cs="宋体"/>
          <w:b/>
          <w:sz w:val="32"/>
          <w:szCs w:val="32"/>
          <w:highlight w:val="none"/>
        </w:rPr>
        <w:t xml:space="preserve">          </w:t>
      </w:r>
    </w:p>
    <w:p w14:paraId="71CFE685">
      <w:pPr>
        <w:jc w:val="center"/>
        <w:rPr>
          <w:rFonts w:hAnsi="宋体" w:cs="宋体"/>
          <w:sz w:val="52"/>
          <w:szCs w:val="52"/>
          <w:highlight w:val="none"/>
        </w:rPr>
      </w:pPr>
    </w:p>
    <w:p w14:paraId="469BACF2">
      <w:pPr>
        <w:jc w:val="center"/>
        <w:rPr>
          <w:rFonts w:hAnsi="宋体" w:cs="宋体"/>
          <w:sz w:val="52"/>
          <w:szCs w:val="52"/>
          <w:highlight w:val="none"/>
        </w:rPr>
      </w:pPr>
    </w:p>
    <w:p w14:paraId="3D3B5DB6">
      <w:pPr>
        <w:jc w:val="center"/>
        <w:rPr>
          <w:rFonts w:hAnsi="宋体" w:cs="宋体"/>
          <w:b/>
          <w:snapToGrid w:val="0"/>
          <w:sz w:val="48"/>
          <w:szCs w:val="48"/>
          <w:highlight w:val="none"/>
          <w:u w:val="single"/>
        </w:rPr>
      </w:pPr>
      <w:r>
        <w:rPr>
          <w:rFonts w:hint="eastAsia" w:hAnsi="宋体" w:cs="宋体"/>
          <w:b/>
          <w:snapToGrid w:val="0"/>
          <w:sz w:val="48"/>
          <w:szCs w:val="48"/>
          <w:highlight w:val="none"/>
          <w:u w:val="single"/>
        </w:rPr>
        <w:t>(项目名称)</w:t>
      </w:r>
    </w:p>
    <w:p w14:paraId="2193B9A3">
      <w:pPr>
        <w:jc w:val="center"/>
        <w:rPr>
          <w:rFonts w:hAnsi="宋体" w:cs="宋体"/>
          <w:b/>
          <w:sz w:val="72"/>
          <w:szCs w:val="72"/>
          <w:highlight w:val="none"/>
        </w:rPr>
      </w:pPr>
      <w:r>
        <w:rPr>
          <w:rFonts w:hint="eastAsia" w:hAnsi="宋体" w:cs="宋体"/>
          <w:b/>
          <w:sz w:val="72"/>
          <w:szCs w:val="72"/>
          <w:highlight w:val="none"/>
        </w:rPr>
        <w:t>服 务 合 同</w:t>
      </w:r>
    </w:p>
    <w:p w14:paraId="4B2E433B">
      <w:pPr>
        <w:jc w:val="center"/>
        <w:rPr>
          <w:rFonts w:hAnsi="宋体" w:cs="宋体"/>
          <w:sz w:val="30"/>
          <w:szCs w:val="30"/>
          <w:highlight w:val="none"/>
        </w:rPr>
      </w:pPr>
      <w:r>
        <w:rPr>
          <w:rFonts w:hint="eastAsia" w:hAnsi="宋体" w:cs="宋体"/>
          <w:sz w:val="30"/>
          <w:szCs w:val="30"/>
          <w:highlight w:val="none"/>
        </w:rPr>
        <w:t xml:space="preserve">（项目编号：      </w:t>
      </w:r>
      <w:r>
        <w:rPr>
          <w:rFonts w:hint="eastAsia" w:hAnsi="宋体" w:cs="宋体"/>
          <w:sz w:val="28"/>
          <w:szCs w:val="28"/>
          <w:highlight w:val="none"/>
        </w:rPr>
        <w:t>）</w:t>
      </w:r>
    </w:p>
    <w:p w14:paraId="5B2C22A9">
      <w:pPr>
        <w:jc w:val="center"/>
        <w:rPr>
          <w:rFonts w:hAnsi="宋体" w:cs="宋体"/>
          <w:sz w:val="30"/>
          <w:szCs w:val="30"/>
          <w:highlight w:val="none"/>
        </w:rPr>
      </w:pPr>
    </w:p>
    <w:p w14:paraId="4DB344FF">
      <w:pPr>
        <w:jc w:val="center"/>
        <w:rPr>
          <w:rFonts w:hAnsi="宋体" w:cs="宋体"/>
          <w:sz w:val="30"/>
          <w:szCs w:val="30"/>
          <w:highlight w:val="none"/>
        </w:rPr>
      </w:pPr>
    </w:p>
    <w:p w14:paraId="3C0DA535">
      <w:pPr>
        <w:jc w:val="center"/>
        <w:rPr>
          <w:rFonts w:hAnsi="宋体" w:cs="宋体"/>
          <w:sz w:val="30"/>
          <w:szCs w:val="30"/>
          <w:highlight w:val="none"/>
        </w:rPr>
      </w:pPr>
    </w:p>
    <w:p w14:paraId="1A1AC0A9">
      <w:pPr>
        <w:jc w:val="center"/>
        <w:rPr>
          <w:rFonts w:hAnsi="宋体" w:cs="宋体"/>
          <w:sz w:val="30"/>
          <w:szCs w:val="30"/>
          <w:highlight w:val="none"/>
        </w:rPr>
      </w:pPr>
    </w:p>
    <w:p w14:paraId="6144B2DD">
      <w:pPr>
        <w:jc w:val="center"/>
        <w:rPr>
          <w:rFonts w:hAnsi="宋体" w:cs="宋体"/>
          <w:sz w:val="30"/>
          <w:szCs w:val="30"/>
          <w:highlight w:val="none"/>
        </w:rPr>
      </w:pPr>
    </w:p>
    <w:p w14:paraId="30D7990E">
      <w:pPr>
        <w:ind w:firstLine="2080" w:firstLineChars="650"/>
        <w:rPr>
          <w:rFonts w:hAnsi="宋体" w:cs="宋体"/>
          <w:sz w:val="32"/>
          <w:szCs w:val="32"/>
          <w:highlight w:val="none"/>
        </w:rPr>
      </w:pPr>
      <w:r>
        <w:rPr>
          <w:rFonts w:hint="eastAsia" w:hAnsi="宋体" w:cs="宋体"/>
          <w:sz w:val="32"/>
          <w:szCs w:val="32"/>
          <w:highlight w:val="none"/>
        </w:rPr>
        <w:t xml:space="preserve">甲  方： </w:t>
      </w:r>
    </w:p>
    <w:p w14:paraId="19FF8326">
      <w:pPr>
        <w:tabs>
          <w:tab w:val="left" w:pos="480"/>
        </w:tabs>
        <w:ind w:firstLine="640" w:firstLineChars="200"/>
        <w:rPr>
          <w:rFonts w:hAnsi="宋体" w:cs="宋体"/>
          <w:sz w:val="32"/>
          <w:szCs w:val="32"/>
          <w:highlight w:val="none"/>
        </w:rPr>
      </w:pPr>
      <w:r>
        <w:rPr>
          <w:rFonts w:hint="eastAsia" w:hAnsi="宋体" w:cs="宋体"/>
          <w:sz w:val="32"/>
          <w:szCs w:val="32"/>
          <w:highlight w:val="none"/>
        </w:rPr>
        <w:t xml:space="preserve">         乙  方：</w:t>
      </w:r>
    </w:p>
    <w:p w14:paraId="000FDF4D">
      <w:pPr>
        <w:jc w:val="center"/>
        <w:rPr>
          <w:rFonts w:hAnsi="宋体" w:cs="宋体"/>
          <w:sz w:val="30"/>
          <w:szCs w:val="30"/>
          <w:highlight w:val="none"/>
        </w:rPr>
      </w:pPr>
    </w:p>
    <w:p w14:paraId="324E33A3">
      <w:pPr>
        <w:jc w:val="center"/>
        <w:rPr>
          <w:rFonts w:hAnsi="宋体" w:cs="宋体"/>
          <w:sz w:val="32"/>
          <w:szCs w:val="32"/>
          <w:highlight w:val="none"/>
        </w:rPr>
      </w:pPr>
      <w:r>
        <w:rPr>
          <w:rFonts w:hint="eastAsia" w:hAnsi="宋体" w:cs="宋体"/>
          <w:sz w:val="32"/>
          <w:szCs w:val="32"/>
          <w:highlight w:val="none"/>
        </w:rPr>
        <w:t xml:space="preserve">  年  月</w:t>
      </w:r>
    </w:p>
    <w:p w14:paraId="64F53650">
      <w:pPr>
        <w:jc w:val="center"/>
        <w:rPr>
          <w:rFonts w:hAnsi="宋体" w:cs="宋体"/>
          <w:sz w:val="32"/>
          <w:szCs w:val="32"/>
          <w:highlight w:val="none"/>
        </w:rPr>
      </w:pPr>
    </w:p>
    <w:p w14:paraId="40CBAA16">
      <w:pPr>
        <w:spacing w:line="590" w:lineRule="exact"/>
        <w:rPr>
          <w:rFonts w:hAnsi="宋体" w:cs="宋体"/>
          <w:b/>
          <w:sz w:val="36"/>
          <w:szCs w:val="36"/>
          <w:highlight w:val="none"/>
        </w:rPr>
      </w:pPr>
    </w:p>
    <w:p w14:paraId="2C19216C">
      <w:pPr>
        <w:jc w:val="center"/>
        <w:outlineLvl w:val="2"/>
        <w:rPr>
          <w:rFonts w:ascii="黑体"/>
          <w:b/>
          <w:sz w:val="36"/>
          <w:szCs w:val="36"/>
          <w:highlight w:val="none"/>
        </w:rPr>
      </w:pPr>
      <w:r>
        <w:rPr>
          <w:rFonts w:hint="eastAsia" w:hAnsi="宋体" w:cs="宋体"/>
          <w:b/>
          <w:szCs w:val="21"/>
          <w:highlight w:val="none"/>
        </w:rPr>
        <w:br w:type="page"/>
      </w:r>
      <w:bookmarkStart w:id="9" w:name="_Toc28398"/>
      <w:bookmarkStart w:id="10" w:name="_Toc7965"/>
      <w:r>
        <w:rPr>
          <w:rFonts w:hint="eastAsia" w:ascii="黑体" w:eastAsia="黑体"/>
          <w:b/>
          <w:sz w:val="36"/>
          <w:szCs w:val="36"/>
          <w:highlight w:val="none"/>
        </w:rPr>
        <w:t>协 议 书</w:t>
      </w:r>
      <w:bookmarkEnd w:id="9"/>
      <w:bookmarkEnd w:id="10"/>
    </w:p>
    <w:p w14:paraId="3B107E04">
      <w:pPr>
        <w:spacing w:line="360" w:lineRule="auto"/>
        <w:rPr>
          <w:rFonts w:hAnsi="宋体" w:cs="宋体"/>
          <w:szCs w:val="21"/>
          <w:highlight w:val="none"/>
          <w:u w:val="single"/>
        </w:rPr>
      </w:pPr>
      <w:r>
        <w:rPr>
          <w:rFonts w:hint="eastAsia" w:hAnsi="宋体" w:cs="宋体"/>
          <w:szCs w:val="21"/>
          <w:highlight w:val="none"/>
        </w:rPr>
        <w:t>甲方：</w:t>
      </w:r>
      <w:r>
        <w:rPr>
          <w:rFonts w:hint="eastAsia" w:hAnsi="宋体" w:cs="宋体"/>
          <w:szCs w:val="21"/>
          <w:highlight w:val="none"/>
          <w:u w:val="single"/>
        </w:rPr>
        <w:t xml:space="preserve">             </w:t>
      </w:r>
    </w:p>
    <w:p w14:paraId="4025A493">
      <w:pPr>
        <w:spacing w:line="360" w:lineRule="auto"/>
        <w:rPr>
          <w:rFonts w:hAnsi="宋体" w:cs="宋体"/>
          <w:szCs w:val="21"/>
          <w:highlight w:val="none"/>
          <w:u w:val="single"/>
        </w:rPr>
      </w:pPr>
      <w:r>
        <w:rPr>
          <w:rFonts w:hint="eastAsia" w:hAnsi="宋体" w:cs="宋体"/>
          <w:szCs w:val="21"/>
          <w:highlight w:val="none"/>
        </w:rPr>
        <w:t>乙方：</w:t>
      </w:r>
      <w:r>
        <w:rPr>
          <w:rFonts w:hint="eastAsia" w:hAnsi="宋体" w:cs="宋体"/>
          <w:szCs w:val="21"/>
          <w:highlight w:val="none"/>
          <w:u w:val="single"/>
        </w:rPr>
        <w:t xml:space="preserve">             </w:t>
      </w:r>
    </w:p>
    <w:p w14:paraId="046B1608">
      <w:pPr>
        <w:spacing w:line="360" w:lineRule="auto"/>
        <w:ind w:firstLine="480" w:firstLineChars="200"/>
        <w:rPr>
          <w:rFonts w:hAnsi="宋体" w:cs="宋体"/>
          <w:szCs w:val="21"/>
          <w:highlight w:val="none"/>
        </w:rPr>
      </w:pPr>
      <w:r>
        <w:rPr>
          <w:rFonts w:hint="eastAsia" w:hAnsi="宋体" w:cs="宋体"/>
          <w:szCs w:val="21"/>
          <w:highlight w:val="none"/>
        </w:rPr>
        <w:t>根据《中华人民共和国中华人民共和国民法典》、《中华人民共和国政府采购法》与项目行业有关的法律法规，以及本项目（</w:t>
      </w:r>
      <w:r>
        <w:rPr>
          <w:rFonts w:hint="eastAsia" w:hAnsi="宋体" w:cs="宋体"/>
          <w:szCs w:val="21"/>
          <w:highlight w:val="none"/>
          <w:u w:val="single"/>
          <w:lang w:eastAsia="zh-CN"/>
        </w:rPr>
        <w:t>会展业第三方统计</w:t>
      </w:r>
      <w:r>
        <w:rPr>
          <w:rFonts w:hint="eastAsia" w:hAnsi="宋体" w:cs="宋体"/>
          <w:szCs w:val="21"/>
          <w:highlight w:val="none"/>
        </w:rPr>
        <w:t>）相关采购要求的规定，合同双方就乙方向采购方提供</w:t>
      </w:r>
      <w:r>
        <w:rPr>
          <w:rFonts w:hint="eastAsia" w:hAnsi="宋体" w:cs="宋体"/>
          <w:szCs w:val="21"/>
          <w:highlight w:val="none"/>
          <w:u w:val="single"/>
          <w:lang w:eastAsia="zh-CN"/>
        </w:rPr>
        <w:t>会展业第三方统计</w:t>
      </w:r>
      <w:r>
        <w:rPr>
          <w:rFonts w:hint="eastAsia" w:hAnsi="宋体" w:cs="宋体"/>
          <w:szCs w:val="21"/>
          <w:highlight w:val="none"/>
        </w:rPr>
        <w:t>协商达成一致，确立本合同。</w:t>
      </w:r>
    </w:p>
    <w:p w14:paraId="7D2C574E">
      <w:pPr>
        <w:tabs>
          <w:tab w:val="left" w:pos="480"/>
        </w:tabs>
        <w:spacing w:line="360" w:lineRule="auto"/>
        <w:outlineLvl w:val="1"/>
        <w:rPr>
          <w:rFonts w:hAnsi="宋体" w:cs="宋体"/>
          <w:b/>
          <w:szCs w:val="21"/>
          <w:highlight w:val="none"/>
        </w:rPr>
      </w:pPr>
      <w:bookmarkStart w:id="11" w:name="_Toc7407"/>
      <w:bookmarkStart w:id="12" w:name="_Toc30883"/>
      <w:bookmarkStart w:id="13" w:name="_Toc8841"/>
      <w:r>
        <w:rPr>
          <w:rFonts w:hint="eastAsia" w:hAnsi="宋体" w:cs="宋体"/>
          <w:b/>
          <w:szCs w:val="21"/>
          <w:highlight w:val="none"/>
        </w:rPr>
        <w:t>一、合同标的物内容、数量及单价</w:t>
      </w:r>
      <w:r>
        <w:rPr>
          <w:rFonts w:hint="eastAsia" w:hAnsi="宋体" w:cs="宋体"/>
          <w:szCs w:val="21"/>
          <w:highlight w:val="none"/>
        </w:rPr>
        <w:t>（以竞争性磋商响应文件正本和澄清表〈函〉为准）</w:t>
      </w:r>
      <w:bookmarkEnd w:id="11"/>
      <w:bookmarkEnd w:id="12"/>
      <w:bookmarkEnd w:id="13"/>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1855"/>
        <w:gridCol w:w="1421"/>
        <w:gridCol w:w="2648"/>
        <w:gridCol w:w="1096"/>
      </w:tblGrid>
      <w:tr w14:paraId="3284E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27DD7A8E">
            <w:pPr>
              <w:tabs>
                <w:tab w:val="left" w:pos="480"/>
              </w:tabs>
              <w:spacing w:line="396" w:lineRule="exact"/>
              <w:jc w:val="center"/>
              <w:rPr>
                <w:rFonts w:hAnsi="宋体" w:cs="宋体"/>
                <w:szCs w:val="21"/>
                <w:highlight w:val="none"/>
              </w:rPr>
            </w:pPr>
            <w:r>
              <w:rPr>
                <w:rFonts w:hint="eastAsia" w:hAnsi="宋体" w:cs="宋体"/>
                <w:szCs w:val="21"/>
                <w:highlight w:val="none"/>
              </w:rPr>
              <w:t>序号</w:t>
            </w:r>
          </w:p>
        </w:tc>
        <w:tc>
          <w:tcPr>
            <w:tcW w:w="1855" w:type="dxa"/>
            <w:tcBorders>
              <w:top w:val="single" w:color="auto" w:sz="4" w:space="0"/>
              <w:left w:val="single" w:color="auto" w:sz="4" w:space="0"/>
              <w:bottom w:val="single" w:color="auto" w:sz="4" w:space="0"/>
              <w:right w:val="single" w:color="auto" w:sz="4" w:space="0"/>
            </w:tcBorders>
            <w:vAlign w:val="center"/>
          </w:tcPr>
          <w:p w14:paraId="41F1147A">
            <w:pPr>
              <w:tabs>
                <w:tab w:val="left" w:pos="480"/>
              </w:tabs>
              <w:spacing w:line="396" w:lineRule="exact"/>
              <w:jc w:val="center"/>
              <w:rPr>
                <w:rFonts w:hAnsi="宋体" w:cs="宋体"/>
                <w:szCs w:val="21"/>
                <w:highlight w:val="none"/>
              </w:rPr>
            </w:pPr>
            <w:r>
              <w:rPr>
                <w:rFonts w:hint="eastAsia" w:hAnsi="宋体" w:cs="宋体"/>
                <w:szCs w:val="21"/>
                <w:highlight w:val="none"/>
              </w:rPr>
              <w:t>服务内容</w:t>
            </w:r>
          </w:p>
        </w:tc>
        <w:tc>
          <w:tcPr>
            <w:tcW w:w="1421" w:type="dxa"/>
            <w:tcBorders>
              <w:top w:val="single" w:color="auto" w:sz="4" w:space="0"/>
              <w:left w:val="single" w:color="auto" w:sz="4" w:space="0"/>
              <w:bottom w:val="single" w:color="auto" w:sz="4" w:space="0"/>
              <w:right w:val="single" w:color="auto" w:sz="4" w:space="0"/>
            </w:tcBorders>
            <w:vAlign w:val="center"/>
          </w:tcPr>
          <w:p w14:paraId="41034254">
            <w:pPr>
              <w:tabs>
                <w:tab w:val="left" w:pos="480"/>
              </w:tabs>
              <w:spacing w:line="396" w:lineRule="exact"/>
              <w:jc w:val="center"/>
              <w:rPr>
                <w:rFonts w:hAnsi="宋体" w:cs="宋体"/>
                <w:szCs w:val="21"/>
                <w:highlight w:val="none"/>
              </w:rPr>
            </w:pPr>
            <w:r>
              <w:rPr>
                <w:rFonts w:hint="eastAsia" w:hAnsi="宋体" w:cs="宋体"/>
                <w:szCs w:val="21"/>
                <w:highlight w:val="none"/>
              </w:rPr>
              <w:t>服务期限</w:t>
            </w:r>
          </w:p>
        </w:tc>
        <w:tc>
          <w:tcPr>
            <w:tcW w:w="2648" w:type="dxa"/>
            <w:tcBorders>
              <w:top w:val="single" w:color="auto" w:sz="4" w:space="0"/>
              <w:left w:val="single" w:color="auto" w:sz="4" w:space="0"/>
              <w:bottom w:val="single" w:color="auto" w:sz="4" w:space="0"/>
              <w:right w:val="single" w:color="auto" w:sz="4" w:space="0"/>
            </w:tcBorders>
            <w:vAlign w:val="center"/>
          </w:tcPr>
          <w:p w14:paraId="56959580">
            <w:pPr>
              <w:tabs>
                <w:tab w:val="left" w:pos="480"/>
              </w:tabs>
              <w:spacing w:line="396" w:lineRule="exact"/>
              <w:jc w:val="center"/>
              <w:rPr>
                <w:rFonts w:hAnsi="宋体" w:cs="宋体"/>
                <w:szCs w:val="21"/>
                <w:highlight w:val="none"/>
              </w:rPr>
            </w:pPr>
            <w:r>
              <w:rPr>
                <w:rFonts w:hint="eastAsia" w:hAnsi="宋体" w:cs="宋体"/>
                <w:szCs w:val="21"/>
                <w:highlight w:val="none"/>
              </w:rPr>
              <w:t>相关要求</w:t>
            </w:r>
          </w:p>
        </w:tc>
        <w:tc>
          <w:tcPr>
            <w:tcW w:w="1096" w:type="dxa"/>
            <w:tcBorders>
              <w:top w:val="single" w:color="auto" w:sz="4" w:space="0"/>
              <w:left w:val="single" w:color="auto" w:sz="4" w:space="0"/>
              <w:bottom w:val="single" w:color="auto" w:sz="4" w:space="0"/>
              <w:right w:val="single" w:color="auto" w:sz="4" w:space="0"/>
            </w:tcBorders>
            <w:vAlign w:val="center"/>
          </w:tcPr>
          <w:p w14:paraId="6ED1123A">
            <w:pPr>
              <w:tabs>
                <w:tab w:val="left" w:pos="480"/>
              </w:tabs>
              <w:spacing w:line="396" w:lineRule="exact"/>
              <w:jc w:val="center"/>
              <w:rPr>
                <w:rFonts w:hAnsi="宋体" w:cs="宋体"/>
                <w:szCs w:val="21"/>
                <w:highlight w:val="none"/>
              </w:rPr>
            </w:pPr>
            <w:r>
              <w:rPr>
                <w:rFonts w:hint="eastAsia" w:hAnsi="宋体" w:cs="宋体"/>
                <w:szCs w:val="21"/>
                <w:highlight w:val="none"/>
              </w:rPr>
              <w:t>备注</w:t>
            </w:r>
          </w:p>
        </w:tc>
      </w:tr>
      <w:tr w14:paraId="320B5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38623D37">
            <w:pPr>
              <w:tabs>
                <w:tab w:val="left" w:pos="480"/>
              </w:tabs>
              <w:spacing w:line="396" w:lineRule="exact"/>
              <w:jc w:val="center"/>
              <w:rPr>
                <w:rFonts w:hAnsi="宋体" w:cs="宋体"/>
                <w:szCs w:val="21"/>
                <w:highlight w:val="none"/>
              </w:rPr>
            </w:pPr>
            <w:r>
              <w:rPr>
                <w:rFonts w:hint="eastAsia" w:hAnsi="宋体" w:cs="宋体"/>
                <w:szCs w:val="21"/>
                <w:highlight w:val="none"/>
              </w:rPr>
              <w:t>1</w:t>
            </w:r>
          </w:p>
        </w:tc>
        <w:tc>
          <w:tcPr>
            <w:tcW w:w="1855" w:type="dxa"/>
            <w:tcBorders>
              <w:top w:val="single" w:color="auto" w:sz="4" w:space="0"/>
              <w:left w:val="single" w:color="auto" w:sz="4" w:space="0"/>
              <w:bottom w:val="single" w:color="auto" w:sz="4" w:space="0"/>
              <w:right w:val="single" w:color="auto" w:sz="4" w:space="0"/>
            </w:tcBorders>
            <w:vAlign w:val="center"/>
          </w:tcPr>
          <w:p w14:paraId="29A9A413">
            <w:pPr>
              <w:tabs>
                <w:tab w:val="left" w:pos="480"/>
              </w:tabs>
              <w:spacing w:line="396" w:lineRule="exact"/>
              <w:jc w:val="center"/>
              <w:rPr>
                <w:rFonts w:hAnsi="宋体" w:cs="宋体"/>
                <w:szCs w:val="21"/>
                <w:highlight w:val="none"/>
              </w:rPr>
            </w:pPr>
          </w:p>
        </w:tc>
        <w:tc>
          <w:tcPr>
            <w:tcW w:w="1421" w:type="dxa"/>
            <w:tcBorders>
              <w:top w:val="single" w:color="auto" w:sz="4" w:space="0"/>
              <w:left w:val="single" w:color="auto" w:sz="4" w:space="0"/>
              <w:bottom w:val="single" w:color="auto" w:sz="4" w:space="0"/>
              <w:right w:val="single" w:color="auto" w:sz="4" w:space="0"/>
            </w:tcBorders>
            <w:vAlign w:val="center"/>
          </w:tcPr>
          <w:p w14:paraId="4F51EDFC">
            <w:pPr>
              <w:tabs>
                <w:tab w:val="left" w:pos="480"/>
              </w:tabs>
              <w:spacing w:line="396" w:lineRule="exact"/>
              <w:jc w:val="center"/>
              <w:rPr>
                <w:rFonts w:hAnsi="宋体" w:cs="宋体"/>
                <w:szCs w:val="21"/>
                <w:highlight w:val="none"/>
              </w:rPr>
            </w:pPr>
          </w:p>
        </w:tc>
        <w:tc>
          <w:tcPr>
            <w:tcW w:w="2648" w:type="dxa"/>
            <w:tcBorders>
              <w:top w:val="single" w:color="auto" w:sz="4" w:space="0"/>
              <w:left w:val="single" w:color="auto" w:sz="4" w:space="0"/>
              <w:bottom w:val="single" w:color="auto" w:sz="4" w:space="0"/>
              <w:right w:val="single" w:color="auto" w:sz="4" w:space="0"/>
            </w:tcBorders>
            <w:vAlign w:val="center"/>
          </w:tcPr>
          <w:p w14:paraId="77FB0240">
            <w:pPr>
              <w:tabs>
                <w:tab w:val="left" w:pos="480"/>
              </w:tabs>
              <w:spacing w:line="396" w:lineRule="exact"/>
              <w:jc w:val="center"/>
              <w:rPr>
                <w:rFonts w:hAnsi="宋体" w:cs="宋体"/>
                <w:szCs w:val="21"/>
                <w:highlight w:val="none"/>
              </w:rPr>
            </w:pPr>
          </w:p>
        </w:tc>
        <w:tc>
          <w:tcPr>
            <w:tcW w:w="1096" w:type="dxa"/>
            <w:tcBorders>
              <w:top w:val="single" w:color="auto" w:sz="4" w:space="0"/>
              <w:left w:val="single" w:color="auto" w:sz="4" w:space="0"/>
              <w:bottom w:val="single" w:color="auto" w:sz="4" w:space="0"/>
              <w:right w:val="single" w:color="auto" w:sz="4" w:space="0"/>
            </w:tcBorders>
            <w:vAlign w:val="center"/>
          </w:tcPr>
          <w:p w14:paraId="3F779B70">
            <w:pPr>
              <w:tabs>
                <w:tab w:val="left" w:pos="480"/>
              </w:tabs>
              <w:spacing w:line="396" w:lineRule="exact"/>
              <w:jc w:val="center"/>
              <w:rPr>
                <w:rFonts w:hAnsi="宋体" w:cs="宋体"/>
                <w:szCs w:val="21"/>
                <w:highlight w:val="none"/>
              </w:rPr>
            </w:pPr>
          </w:p>
        </w:tc>
      </w:tr>
      <w:tr w14:paraId="5996E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42F5B2EA">
            <w:pPr>
              <w:tabs>
                <w:tab w:val="left" w:pos="480"/>
              </w:tabs>
              <w:spacing w:line="396" w:lineRule="exact"/>
              <w:jc w:val="center"/>
              <w:rPr>
                <w:rFonts w:hAnsi="宋体" w:cs="宋体"/>
                <w:szCs w:val="21"/>
                <w:highlight w:val="none"/>
              </w:rPr>
            </w:pPr>
            <w:r>
              <w:rPr>
                <w:rFonts w:hint="eastAsia" w:hAnsi="宋体" w:cs="宋体"/>
                <w:szCs w:val="21"/>
                <w:highlight w:val="none"/>
              </w:rPr>
              <w:t>……</w:t>
            </w:r>
          </w:p>
        </w:tc>
        <w:tc>
          <w:tcPr>
            <w:tcW w:w="1855" w:type="dxa"/>
            <w:tcBorders>
              <w:top w:val="single" w:color="auto" w:sz="4" w:space="0"/>
              <w:left w:val="single" w:color="auto" w:sz="4" w:space="0"/>
              <w:bottom w:val="single" w:color="auto" w:sz="4" w:space="0"/>
              <w:right w:val="single" w:color="auto" w:sz="4" w:space="0"/>
            </w:tcBorders>
            <w:vAlign w:val="center"/>
          </w:tcPr>
          <w:p w14:paraId="273B180E">
            <w:pPr>
              <w:tabs>
                <w:tab w:val="left" w:pos="480"/>
              </w:tabs>
              <w:spacing w:line="396" w:lineRule="exact"/>
              <w:jc w:val="center"/>
              <w:rPr>
                <w:rFonts w:hAnsi="宋体" w:cs="宋体"/>
                <w:szCs w:val="21"/>
                <w:highlight w:val="none"/>
              </w:rPr>
            </w:pPr>
          </w:p>
        </w:tc>
        <w:tc>
          <w:tcPr>
            <w:tcW w:w="1421" w:type="dxa"/>
            <w:tcBorders>
              <w:top w:val="single" w:color="auto" w:sz="4" w:space="0"/>
              <w:left w:val="single" w:color="auto" w:sz="4" w:space="0"/>
              <w:bottom w:val="single" w:color="auto" w:sz="4" w:space="0"/>
              <w:right w:val="single" w:color="auto" w:sz="4" w:space="0"/>
            </w:tcBorders>
            <w:vAlign w:val="center"/>
          </w:tcPr>
          <w:p w14:paraId="7F8D7E14">
            <w:pPr>
              <w:tabs>
                <w:tab w:val="left" w:pos="480"/>
              </w:tabs>
              <w:spacing w:line="396" w:lineRule="exact"/>
              <w:jc w:val="center"/>
              <w:rPr>
                <w:rFonts w:hAnsi="宋体" w:cs="宋体"/>
                <w:szCs w:val="21"/>
                <w:highlight w:val="none"/>
              </w:rPr>
            </w:pPr>
          </w:p>
        </w:tc>
        <w:tc>
          <w:tcPr>
            <w:tcW w:w="2648" w:type="dxa"/>
            <w:tcBorders>
              <w:top w:val="single" w:color="auto" w:sz="4" w:space="0"/>
              <w:left w:val="single" w:color="auto" w:sz="4" w:space="0"/>
              <w:bottom w:val="single" w:color="auto" w:sz="4" w:space="0"/>
              <w:right w:val="single" w:color="auto" w:sz="4" w:space="0"/>
            </w:tcBorders>
            <w:vAlign w:val="center"/>
          </w:tcPr>
          <w:p w14:paraId="3FFF78C0">
            <w:pPr>
              <w:tabs>
                <w:tab w:val="left" w:pos="480"/>
              </w:tabs>
              <w:spacing w:line="396" w:lineRule="exact"/>
              <w:jc w:val="center"/>
              <w:rPr>
                <w:rFonts w:hAnsi="宋体" w:cs="宋体"/>
                <w:szCs w:val="21"/>
                <w:highlight w:val="none"/>
              </w:rPr>
            </w:pPr>
          </w:p>
        </w:tc>
        <w:tc>
          <w:tcPr>
            <w:tcW w:w="1096" w:type="dxa"/>
            <w:tcBorders>
              <w:top w:val="single" w:color="auto" w:sz="4" w:space="0"/>
              <w:left w:val="single" w:color="auto" w:sz="4" w:space="0"/>
              <w:bottom w:val="single" w:color="auto" w:sz="4" w:space="0"/>
              <w:right w:val="single" w:color="auto" w:sz="4" w:space="0"/>
            </w:tcBorders>
            <w:vAlign w:val="center"/>
          </w:tcPr>
          <w:p w14:paraId="473DBD18">
            <w:pPr>
              <w:tabs>
                <w:tab w:val="left" w:pos="480"/>
              </w:tabs>
              <w:spacing w:line="396" w:lineRule="exact"/>
              <w:jc w:val="center"/>
              <w:rPr>
                <w:rFonts w:hAnsi="宋体" w:cs="宋体"/>
                <w:szCs w:val="21"/>
                <w:highlight w:val="none"/>
              </w:rPr>
            </w:pPr>
          </w:p>
        </w:tc>
      </w:tr>
    </w:tbl>
    <w:p w14:paraId="63909C44">
      <w:pPr>
        <w:tabs>
          <w:tab w:val="left" w:pos="480"/>
        </w:tabs>
        <w:spacing w:line="360" w:lineRule="auto"/>
        <w:outlineLvl w:val="1"/>
        <w:rPr>
          <w:rFonts w:hAnsi="宋体" w:cs="宋体"/>
          <w:b/>
          <w:szCs w:val="21"/>
          <w:highlight w:val="none"/>
        </w:rPr>
      </w:pPr>
      <w:bookmarkStart w:id="14" w:name="_Toc4137"/>
      <w:bookmarkStart w:id="15" w:name="_Toc3926"/>
      <w:bookmarkStart w:id="16" w:name="_Toc8887"/>
      <w:r>
        <w:rPr>
          <w:rFonts w:hint="eastAsia" w:hAnsi="宋体" w:cs="宋体"/>
          <w:b/>
          <w:szCs w:val="21"/>
          <w:highlight w:val="none"/>
        </w:rPr>
        <w:t>二、合同价款</w:t>
      </w:r>
      <w:bookmarkEnd w:id="14"/>
      <w:bookmarkEnd w:id="15"/>
      <w:bookmarkEnd w:id="16"/>
    </w:p>
    <w:p w14:paraId="5D2345AE">
      <w:pPr>
        <w:tabs>
          <w:tab w:val="left" w:pos="480"/>
        </w:tabs>
        <w:spacing w:line="360" w:lineRule="auto"/>
        <w:ind w:firstLine="480" w:firstLineChars="200"/>
        <w:rPr>
          <w:rFonts w:hAnsi="宋体" w:cs="宋体"/>
          <w:szCs w:val="21"/>
          <w:highlight w:val="none"/>
          <w:u w:val="single"/>
        </w:rPr>
      </w:pPr>
      <w:r>
        <w:rPr>
          <w:rFonts w:hint="eastAsia" w:hAnsi="宋体" w:cs="宋体"/>
          <w:szCs w:val="21"/>
          <w:highlight w:val="none"/>
        </w:rPr>
        <w:t>（一）本合同为总价合同，各项服务的合同总价为其磋商最终报价。</w:t>
      </w:r>
    </w:p>
    <w:p w14:paraId="2EFFD964">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（二）合同价包括：</w:t>
      </w:r>
      <w:r>
        <w:rPr>
          <w:rFonts w:hint="eastAsia"/>
          <w:highlight w:val="none"/>
        </w:rPr>
        <w:t>包括但不限于人工费、设备使用费、办公费、服务费、交通费、招标代理服务费、税金等其他一切相关费用。</w:t>
      </w:r>
      <w:bookmarkStart w:id="44" w:name="_GoBack"/>
      <w:bookmarkEnd w:id="44"/>
    </w:p>
    <w:p w14:paraId="6482AA82">
      <w:pPr>
        <w:tabs>
          <w:tab w:val="left" w:pos="480"/>
        </w:tabs>
        <w:spacing w:line="360" w:lineRule="auto"/>
        <w:outlineLvl w:val="1"/>
        <w:rPr>
          <w:rFonts w:hAnsi="宋体" w:cs="宋体"/>
          <w:b/>
          <w:szCs w:val="21"/>
          <w:highlight w:val="none"/>
        </w:rPr>
      </w:pPr>
      <w:bookmarkStart w:id="17" w:name="_Toc28664"/>
      <w:bookmarkStart w:id="18" w:name="_Toc6296"/>
      <w:bookmarkStart w:id="19" w:name="_Toc23247"/>
      <w:r>
        <w:rPr>
          <w:rFonts w:hint="eastAsia" w:hAnsi="宋体" w:cs="宋体"/>
          <w:b/>
          <w:szCs w:val="21"/>
          <w:highlight w:val="none"/>
        </w:rPr>
        <w:t>三、款项结算</w:t>
      </w:r>
      <w:bookmarkEnd w:id="17"/>
      <w:bookmarkEnd w:id="18"/>
      <w:bookmarkEnd w:id="19"/>
    </w:p>
    <w:p w14:paraId="68313461">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详见合同前附表。</w:t>
      </w:r>
    </w:p>
    <w:p w14:paraId="21D6CCE7">
      <w:pPr>
        <w:tabs>
          <w:tab w:val="left" w:pos="480"/>
        </w:tabs>
        <w:spacing w:line="360" w:lineRule="auto"/>
        <w:outlineLvl w:val="1"/>
        <w:rPr>
          <w:rFonts w:hAnsi="宋体" w:cs="宋体"/>
          <w:szCs w:val="21"/>
          <w:highlight w:val="none"/>
        </w:rPr>
      </w:pPr>
      <w:bookmarkStart w:id="20" w:name="_Toc21110"/>
      <w:bookmarkStart w:id="21" w:name="_Toc21714"/>
      <w:bookmarkStart w:id="22" w:name="_Toc24406"/>
      <w:r>
        <w:rPr>
          <w:rFonts w:hint="eastAsia" w:hAnsi="宋体" w:cs="宋体"/>
          <w:b/>
          <w:szCs w:val="21"/>
          <w:highlight w:val="none"/>
        </w:rPr>
        <w:t>四、服务条件：</w:t>
      </w:r>
      <w:bookmarkEnd w:id="20"/>
      <w:bookmarkEnd w:id="21"/>
      <w:bookmarkEnd w:id="22"/>
    </w:p>
    <w:p w14:paraId="13546936">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（一）服务地点：</w:t>
      </w:r>
      <w:r>
        <w:rPr>
          <w:rFonts w:hint="eastAsia" w:hAnsi="宋体" w:cs="宋体"/>
          <w:color w:val="auto"/>
          <w:sz w:val="24"/>
          <w:szCs w:val="24"/>
          <w:highlight w:val="none"/>
          <w:lang w:val="en-US" w:eastAsia="zh-CN"/>
        </w:rPr>
        <w:t>采购人指定地点</w:t>
      </w:r>
      <w:r>
        <w:rPr>
          <w:rFonts w:hint="eastAsia" w:hAnsi="宋体" w:cs="宋体"/>
          <w:szCs w:val="21"/>
          <w:highlight w:val="none"/>
        </w:rPr>
        <w:t>。</w:t>
      </w:r>
    </w:p>
    <w:p w14:paraId="5B8C1BA5">
      <w:pPr>
        <w:tabs>
          <w:tab w:val="left" w:pos="480"/>
        </w:tabs>
        <w:spacing w:line="360" w:lineRule="auto"/>
        <w:ind w:firstLine="480" w:firstLineChars="200"/>
        <w:rPr>
          <w:rFonts w:hint="eastAsia" w:hAnsi="宋体" w:cs="宋体"/>
          <w:szCs w:val="21"/>
          <w:highlight w:val="none"/>
        </w:rPr>
      </w:pPr>
      <w:r>
        <w:rPr>
          <w:rFonts w:hint="eastAsia" w:hAnsi="宋体" w:cs="宋体"/>
          <w:szCs w:val="21"/>
          <w:highlight w:val="none"/>
        </w:rPr>
        <w:t>（二）</w:t>
      </w:r>
      <w:r>
        <w:rPr>
          <w:rFonts w:hint="eastAsia" w:hAnsi="宋体" w:cs="宋体"/>
          <w:szCs w:val="21"/>
          <w:highlight w:val="none"/>
          <w:lang w:val="en-US" w:eastAsia="zh-CN"/>
        </w:rPr>
        <w:t>服务期</w:t>
      </w:r>
      <w:r>
        <w:rPr>
          <w:rFonts w:hint="eastAsia" w:hAnsi="宋体" w:cs="宋体"/>
          <w:szCs w:val="21"/>
          <w:highlight w:val="none"/>
        </w:rPr>
        <w:t>：</w:t>
      </w:r>
      <w:r>
        <w:rPr>
          <w:rFonts w:hint="eastAsia" w:hAnsi="宋体" w:cs="宋体"/>
          <w:szCs w:val="24"/>
          <w:highlight w:val="none"/>
          <w:lang w:val="en-US" w:eastAsia="zh-CN"/>
        </w:rPr>
        <w:t>自合同签订之日至项目结束</w:t>
      </w:r>
      <w:r>
        <w:rPr>
          <w:rFonts w:hint="eastAsia" w:hAnsi="宋体" w:cs="宋体"/>
          <w:szCs w:val="21"/>
          <w:highlight w:val="none"/>
        </w:rPr>
        <w:t>。</w:t>
      </w:r>
    </w:p>
    <w:p w14:paraId="6897D116">
      <w:pPr>
        <w:tabs>
          <w:tab w:val="left" w:pos="480"/>
        </w:tabs>
        <w:spacing w:line="360" w:lineRule="auto"/>
        <w:outlineLvl w:val="1"/>
        <w:rPr>
          <w:rFonts w:hAnsi="宋体" w:cs="宋体"/>
          <w:b/>
          <w:szCs w:val="21"/>
          <w:highlight w:val="none"/>
        </w:rPr>
      </w:pPr>
      <w:bookmarkStart w:id="23" w:name="_Toc7966"/>
      <w:bookmarkStart w:id="24" w:name="_Toc27382"/>
      <w:bookmarkStart w:id="25" w:name="_Toc32459"/>
      <w:bookmarkStart w:id="26" w:name="_Toc15856"/>
      <w:bookmarkStart w:id="27" w:name="_Toc27523"/>
      <w:bookmarkStart w:id="28" w:name="_Toc13662"/>
      <w:r>
        <w:rPr>
          <w:rFonts w:hint="eastAsia" w:hAnsi="宋体" w:cs="宋体"/>
          <w:b/>
          <w:szCs w:val="21"/>
          <w:highlight w:val="none"/>
        </w:rPr>
        <w:t>五、质量保证</w:t>
      </w:r>
      <w:bookmarkEnd w:id="23"/>
      <w:bookmarkEnd w:id="24"/>
      <w:bookmarkEnd w:id="25"/>
    </w:p>
    <w:p w14:paraId="6D0BF272">
      <w:pPr>
        <w:tabs>
          <w:tab w:val="left" w:pos="480"/>
        </w:tabs>
        <w:spacing w:line="360" w:lineRule="auto"/>
        <w:ind w:firstLine="470" w:firstLineChars="196"/>
        <w:rPr>
          <w:rFonts w:hAnsi="宋体" w:cs="宋体"/>
          <w:szCs w:val="21"/>
          <w:highlight w:val="none"/>
        </w:rPr>
      </w:pPr>
      <w:r>
        <w:rPr>
          <w:rFonts w:hint="eastAsia" w:hAnsi="宋体" w:cs="宋体"/>
          <w:szCs w:val="21"/>
          <w:highlight w:val="none"/>
        </w:rPr>
        <w:t>1.乙方所提供的服务保证技术指标符合要求、质量性能可靠、必须符合国家相关法律法规的要求。</w:t>
      </w:r>
    </w:p>
    <w:p w14:paraId="5455369A">
      <w:pPr>
        <w:tabs>
          <w:tab w:val="left" w:pos="480"/>
        </w:tabs>
        <w:spacing w:line="360" w:lineRule="auto"/>
        <w:ind w:firstLine="470" w:firstLineChars="196"/>
        <w:rPr>
          <w:rFonts w:hAnsi="宋体" w:cs="宋体"/>
          <w:szCs w:val="21"/>
          <w:highlight w:val="none"/>
        </w:rPr>
      </w:pPr>
      <w:r>
        <w:rPr>
          <w:rFonts w:hint="eastAsia" w:hAnsi="宋体" w:cs="宋体"/>
          <w:szCs w:val="21"/>
          <w:highlight w:val="none"/>
        </w:rPr>
        <w:t>2、成交单位应当保证其具有完成本项目所要求的服务所必须具备的专业设备和服务能力。</w:t>
      </w:r>
    </w:p>
    <w:p w14:paraId="63F3FF83">
      <w:pPr>
        <w:tabs>
          <w:tab w:val="left" w:pos="480"/>
        </w:tabs>
        <w:spacing w:line="360" w:lineRule="auto"/>
        <w:outlineLvl w:val="1"/>
        <w:rPr>
          <w:rFonts w:hAnsi="宋体" w:cs="宋体"/>
          <w:b/>
          <w:szCs w:val="21"/>
          <w:highlight w:val="none"/>
        </w:rPr>
      </w:pPr>
      <w:bookmarkStart w:id="29" w:name="_Toc9903"/>
      <w:bookmarkStart w:id="30" w:name="_Toc12558"/>
      <w:bookmarkStart w:id="31" w:name="_Toc21314"/>
      <w:r>
        <w:rPr>
          <w:rFonts w:hint="eastAsia" w:hAnsi="宋体" w:cs="宋体"/>
          <w:b/>
          <w:szCs w:val="21"/>
          <w:highlight w:val="none"/>
        </w:rPr>
        <w:t>六、技术与服务</w:t>
      </w:r>
      <w:bookmarkEnd w:id="29"/>
      <w:bookmarkEnd w:id="30"/>
      <w:bookmarkEnd w:id="31"/>
    </w:p>
    <w:p w14:paraId="5DD0227A">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（一）技术资料：</w:t>
      </w:r>
    </w:p>
    <w:p w14:paraId="5F741365">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技术资料：</w:t>
      </w:r>
    </w:p>
    <w:p w14:paraId="173148F4">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成交供应商应随同服务提供相应的中文成果技术文件，成果文件需要以纸质文件及电子版的形式移交给甲方。</w:t>
      </w:r>
    </w:p>
    <w:p w14:paraId="52A831CB">
      <w:pPr>
        <w:tabs>
          <w:tab w:val="left" w:pos="480"/>
        </w:tabs>
        <w:spacing w:line="360" w:lineRule="auto"/>
        <w:ind w:firstLine="480" w:firstLineChars="200"/>
        <w:rPr>
          <w:highlight w:val="none"/>
        </w:rPr>
      </w:pPr>
      <w:r>
        <w:rPr>
          <w:rFonts w:hint="eastAsia" w:hAnsi="宋体" w:cs="宋体"/>
          <w:szCs w:val="21"/>
          <w:highlight w:val="none"/>
        </w:rPr>
        <w:t>（二）服务承诺：以竞争性磋商响应文件、澄清表（函）、合同和随货物的相关文件为准。</w:t>
      </w:r>
    </w:p>
    <w:p w14:paraId="45BDA663">
      <w:pPr>
        <w:tabs>
          <w:tab w:val="left" w:pos="480"/>
        </w:tabs>
        <w:spacing w:line="360" w:lineRule="auto"/>
        <w:outlineLvl w:val="1"/>
        <w:rPr>
          <w:rFonts w:hAnsi="宋体" w:cs="宋体"/>
          <w:b/>
          <w:szCs w:val="21"/>
          <w:highlight w:val="none"/>
        </w:rPr>
      </w:pPr>
      <w:bookmarkStart w:id="32" w:name="_Toc12975"/>
      <w:bookmarkStart w:id="33" w:name="_Toc22161"/>
      <w:bookmarkStart w:id="34" w:name="_Toc14409"/>
      <w:r>
        <w:rPr>
          <w:rFonts w:hint="eastAsia" w:hAnsi="宋体" w:cs="宋体"/>
          <w:b/>
          <w:szCs w:val="21"/>
          <w:highlight w:val="none"/>
        </w:rPr>
        <w:t>七、验收</w:t>
      </w:r>
      <w:bookmarkEnd w:id="32"/>
      <w:bookmarkEnd w:id="33"/>
      <w:bookmarkEnd w:id="34"/>
    </w:p>
    <w:p w14:paraId="13E03D18">
      <w:pPr>
        <w:spacing w:line="360" w:lineRule="auto"/>
        <w:ind w:firstLine="480" w:firstLineChars="200"/>
        <w:rPr>
          <w:highlight w:val="none"/>
        </w:rPr>
      </w:pPr>
      <w:r>
        <w:rPr>
          <w:rFonts w:hint="eastAsia"/>
          <w:highlight w:val="none"/>
        </w:rPr>
        <w:t>1、所验服务最终验收达不到磋商文件要求和磋商响应文件承诺及国家或行业标准的，或在使用中发现甲方不能容忍的缺陷等，将视为验收不合格，乙方应在甲方要求的时间内无条件完善或要求赔付甲方损失。</w:t>
      </w:r>
    </w:p>
    <w:p w14:paraId="6ACAF662">
      <w:pPr>
        <w:spacing w:line="360" w:lineRule="auto"/>
        <w:ind w:firstLine="480" w:firstLineChars="200"/>
        <w:rPr>
          <w:highlight w:val="none"/>
        </w:rPr>
      </w:pPr>
      <w:r>
        <w:rPr>
          <w:rFonts w:hint="eastAsia"/>
          <w:highlight w:val="none"/>
        </w:rPr>
        <w:t>2、若发现乙方有弄虚作假的，及在项目实施阶段故意或随意夸大服务，本合同解除，乙方赔偿甲方相应的损失。</w:t>
      </w:r>
    </w:p>
    <w:p w14:paraId="2565DA54">
      <w:pPr>
        <w:spacing w:line="360" w:lineRule="auto"/>
        <w:ind w:firstLine="480" w:firstLineChars="200"/>
        <w:rPr>
          <w:highlight w:val="none"/>
        </w:rPr>
      </w:pPr>
      <w:r>
        <w:rPr>
          <w:rFonts w:hint="eastAsia"/>
          <w:highlight w:val="none"/>
        </w:rPr>
        <w:t>3、验收标准：按磋商文件、磋商响应文件及磋商记录表等技术指标进行逐项验收。各项指标均应符合验收标准及要求。</w:t>
      </w:r>
    </w:p>
    <w:bookmarkEnd w:id="26"/>
    <w:bookmarkEnd w:id="27"/>
    <w:bookmarkEnd w:id="28"/>
    <w:p w14:paraId="3ABE745E">
      <w:pPr>
        <w:tabs>
          <w:tab w:val="left" w:pos="480"/>
        </w:tabs>
        <w:spacing w:line="360" w:lineRule="auto"/>
        <w:outlineLvl w:val="1"/>
        <w:rPr>
          <w:rFonts w:hAnsi="宋体" w:cs="宋体"/>
          <w:b/>
          <w:szCs w:val="21"/>
          <w:highlight w:val="none"/>
        </w:rPr>
      </w:pPr>
      <w:bookmarkStart w:id="35" w:name="_Toc20026"/>
      <w:bookmarkStart w:id="36" w:name="_Toc30681"/>
      <w:bookmarkStart w:id="37" w:name="_Toc9858"/>
      <w:r>
        <w:rPr>
          <w:rFonts w:hint="eastAsia" w:hAnsi="宋体" w:cs="宋体"/>
          <w:b/>
          <w:szCs w:val="21"/>
          <w:highlight w:val="none"/>
        </w:rPr>
        <w:t>八、违约责任</w:t>
      </w:r>
      <w:bookmarkEnd w:id="35"/>
      <w:bookmarkEnd w:id="36"/>
      <w:bookmarkEnd w:id="37"/>
    </w:p>
    <w:p w14:paraId="3EFB6AF3">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1、按《中华人民共和国民法典》中的相关条款执行。</w:t>
      </w:r>
    </w:p>
    <w:p w14:paraId="6ECE9080">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2、未按合同要求提供服务或服务不能满足合同要求，采购人应当将服务商违约的情况以及拟采取的措施以书面形式报政府采购监管部门，根据政府采购监管部门的处理意见，采购人有权依据《中华人民共和国民法典》有关条款及合同约定终止合同，并要求服务商承担违约责任。同时，政府采购监管部门有权依据《政府采购法》及相关法律法规对服务商的违法行为进行相应的处罚。</w:t>
      </w:r>
    </w:p>
    <w:p w14:paraId="654778AA">
      <w:pPr>
        <w:tabs>
          <w:tab w:val="left" w:pos="480"/>
        </w:tabs>
        <w:spacing w:line="360" w:lineRule="auto"/>
        <w:outlineLvl w:val="1"/>
        <w:rPr>
          <w:rFonts w:hAnsi="宋体" w:cs="宋体"/>
          <w:b/>
          <w:szCs w:val="21"/>
          <w:highlight w:val="none"/>
        </w:rPr>
      </w:pPr>
      <w:r>
        <w:rPr>
          <w:rFonts w:hint="eastAsia" w:hAnsi="宋体" w:cs="宋体"/>
          <w:b/>
          <w:szCs w:val="21"/>
          <w:highlight w:val="none"/>
        </w:rPr>
        <w:t>九、合同争议解决的方式</w:t>
      </w:r>
    </w:p>
    <w:p w14:paraId="2D85866B">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本合同在履行过程中发生的争议，由甲、乙双方当事人协商解决，协商不成的按下列第</w:t>
      </w:r>
      <w:r>
        <w:rPr>
          <w:rFonts w:hint="eastAsia" w:hAnsi="宋体" w:cs="宋体"/>
          <w:szCs w:val="21"/>
          <w:highlight w:val="none"/>
          <w:u w:val="single"/>
          <w:lang w:val="en-US" w:eastAsia="zh-CN"/>
        </w:rPr>
        <w:t xml:space="preserve"> （二） </w:t>
      </w:r>
      <w:r>
        <w:rPr>
          <w:rFonts w:hint="eastAsia" w:hAnsi="宋体" w:cs="宋体"/>
          <w:szCs w:val="21"/>
          <w:highlight w:val="none"/>
        </w:rPr>
        <w:t>种方式解决：</w:t>
      </w:r>
    </w:p>
    <w:p w14:paraId="3BE79995">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（一）提交仲裁委员会仲裁；</w:t>
      </w:r>
    </w:p>
    <w:p w14:paraId="4FE950BA">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（二）依法向</w:t>
      </w:r>
      <w:r>
        <w:rPr>
          <w:rFonts w:hint="eastAsia" w:hAnsi="宋体" w:cs="宋体"/>
          <w:szCs w:val="21"/>
          <w:highlight w:val="none"/>
          <w:u w:val="single"/>
          <w:lang w:val="en-US" w:eastAsia="zh-CN"/>
        </w:rPr>
        <w:t xml:space="preserve"> 甲方 </w:t>
      </w:r>
      <w:r>
        <w:rPr>
          <w:rFonts w:hint="eastAsia" w:hAnsi="宋体" w:cs="宋体"/>
          <w:szCs w:val="21"/>
          <w:highlight w:val="none"/>
        </w:rPr>
        <w:t>所在地人民法院起诉。</w:t>
      </w:r>
    </w:p>
    <w:p w14:paraId="19AF5789">
      <w:pPr>
        <w:tabs>
          <w:tab w:val="left" w:pos="480"/>
        </w:tabs>
        <w:spacing w:line="360" w:lineRule="auto"/>
        <w:outlineLvl w:val="1"/>
        <w:rPr>
          <w:rFonts w:hAnsi="宋体" w:cs="宋体"/>
          <w:b/>
          <w:szCs w:val="21"/>
          <w:highlight w:val="none"/>
        </w:rPr>
      </w:pPr>
      <w:bookmarkStart w:id="38" w:name="_Toc18389"/>
      <w:bookmarkStart w:id="39" w:name="_Toc7342"/>
      <w:bookmarkStart w:id="40" w:name="_Toc2858"/>
      <w:r>
        <w:rPr>
          <w:rFonts w:hint="eastAsia" w:hAnsi="宋体" w:cs="宋体"/>
          <w:b/>
          <w:szCs w:val="21"/>
          <w:highlight w:val="none"/>
        </w:rPr>
        <w:t>十、合同生效</w:t>
      </w:r>
      <w:bookmarkEnd w:id="38"/>
      <w:bookmarkEnd w:id="39"/>
      <w:bookmarkEnd w:id="40"/>
    </w:p>
    <w:p w14:paraId="0437E931">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本合同一式份，甲方执份，乙方执份，本合同甲、乙、确认各方签字盖章后生效，合同执行完毕后，自动失效（合同的服务承诺则长期有效）。</w:t>
      </w:r>
    </w:p>
    <w:p w14:paraId="1B4AE86E">
      <w:pPr>
        <w:tabs>
          <w:tab w:val="left" w:pos="480"/>
        </w:tabs>
        <w:spacing w:line="360" w:lineRule="auto"/>
        <w:outlineLvl w:val="1"/>
        <w:rPr>
          <w:rFonts w:hAnsi="宋体" w:cs="宋体"/>
          <w:b/>
          <w:szCs w:val="21"/>
          <w:highlight w:val="none"/>
        </w:rPr>
      </w:pPr>
      <w:bookmarkStart w:id="41" w:name="_Toc18381"/>
      <w:bookmarkStart w:id="42" w:name="_Toc18225"/>
      <w:bookmarkStart w:id="43" w:name="_Toc823"/>
      <w:r>
        <w:rPr>
          <w:rFonts w:hint="eastAsia" w:hAnsi="宋体" w:cs="宋体"/>
          <w:b/>
          <w:szCs w:val="21"/>
          <w:highlight w:val="none"/>
        </w:rPr>
        <w:t>十一、其他事项</w:t>
      </w:r>
      <w:bookmarkEnd w:id="41"/>
      <w:bookmarkEnd w:id="42"/>
      <w:bookmarkEnd w:id="43"/>
    </w:p>
    <w:p w14:paraId="40280D5B">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（一）竞争性磋商文件、竞争性磋商响应文件、澄清表（函）、成交通知书、合同附件均成为合同不可分割的部分。</w:t>
      </w:r>
    </w:p>
    <w:p w14:paraId="224C8684">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（二）合同未尽事宜，由甲、乙双方协商，作为合同补充，与原合同具有同等法律效力。</w:t>
      </w:r>
    </w:p>
    <w:p w14:paraId="62A13CED">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（三）合同一经签订，不得擅自变更、中止或终止合同。但若与甲方的上级管理机关的政策性行为或其他规定发生冲突，甲方有权与乙方协商调整协议内容或终止协议执行。</w:t>
      </w:r>
    </w:p>
    <w:p w14:paraId="5B3C3AE1">
      <w:pPr>
        <w:spacing w:line="360" w:lineRule="auto"/>
        <w:ind w:firstLine="420"/>
        <w:rPr>
          <w:szCs w:val="24"/>
          <w:highlight w:val="none"/>
        </w:rPr>
      </w:pPr>
      <w:r>
        <w:rPr>
          <w:rFonts w:hint="eastAsia" w:hAnsi="宋体"/>
          <w:szCs w:val="24"/>
          <w:highlight w:val="none"/>
        </w:rPr>
        <w:t>（四）执行本合同过程中发生争议，由当事人双方协商解决。协商不成，可向</w:t>
      </w:r>
      <w:r>
        <w:rPr>
          <w:rFonts w:hint="eastAsia" w:hAnsi="宋体"/>
          <w:szCs w:val="24"/>
          <w:highlight w:val="none"/>
          <w:lang w:val="en-US" w:eastAsia="zh-CN"/>
        </w:rPr>
        <w:t>甲</w:t>
      </w:r>
      <w:r>
        <w:rPr>
          <w:rFonts w:hint="eastAsia" w:hAnsi="宋体"/>
          <w:szCs w:val="24"/>
          <w:highlight w:val="none"/>
        </w:rPr>
        <w:t>方所在地人民法院提起诉讼。</w:t>
      </w:r>
    </w:p>
    <w:p w14:paraId="1F9BE886">
      <w:pPr>
        <w:spacing w:line="360" w:lineRule="auto"/>
        <w:ind w:firstLine="420"/>
        <w:rPr>
          <w:szCs w:val="24"/>
          <w:highlight w:val="none"/>
        </w:rPr>
      </w:pPr>
      <w:r>
        <w:rPr>
          <w:rFonts w:hint="eastAsia" w:hAnsi="宋体"/>
          <w:szCs w:val="24"/>
          <w:highlight w:val="none"/>
        </w:rPr>
        <w:t>（五）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1CA245BB">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w:t>
      </w:r>
      <w:r>
        <w:rPr>
          <w:rFonts w:hint="eastAsia" w:hAnsi="宋体"/>
          <w:szCs w:val="24"/>
          <w:highlight w:val="none"/>
        </w:rPr>
        <w:t>六</w:t>
      </w:r>
      <w:r>
        <w:rPr>
          <w:rFonts w:hint="eastAsia" w:hAnsi="宋体" w:cs="宋体"/>
          <w:szCs w:val="21"/>
          <w:highlight w:val="none"/>
        </w:rPr>
        <w:t>）本合同按照中华人民共和国的现行法律进行解释。</w:t>
      </w:r>
    </w:p>
    <w:p w14:paraId="325F8C67">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甲  方：（盖章）                          乙  方：（盖章）</w:t>
      </w:r>
    </w:p>
    <w:p w14:paraId="7DD1A474">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单位名称：                                单位名称：</w:t>
      </w:r>
    </w:p>
    <w:p w14:paraId="598B244A">
      <w:pPr>
        <w:tabs>
          <w:tab w:val="left" w:pos="480"/>
        </w:tabs>
        <w:spacing w:line="360" w:lineRule="auto"/>
        <w:ind w:left="6720" w:leftChars="200" w:hanging="6240" w:hangingChars="2600"/>
        <w:rPr>
          <w:rFonts w:hAnsi="宋体" w:cs="宋体"/>
          <w:szCs w:val="21"/>
          <w:highlight w:val="none"/>
        </w:rPr>
      </w:pPr>
      <w:r>
        <w:rPr>
          <w:rFonts w:hint="eastAsia" w:hAnsi="宋体" w:cs="宋体"/>
          <w:szCs w:val="21"/>
          <w:highlight w:val="none"/>
        </w:rPr>
        <w:t>地  址：                                  地  址：</w:t>
      </w:r>
    </w:p>
    <w:p w14:paraId="6692E2A0">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法定代表人                                法定代表人</w:t>
      </w:r>
    </w:p>
    <w:p w14:paraId="528F22CB">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或委托代理人：                            或委托代理人：</w:t>
      </w:r>
    </w:p>
    <w:p w14:paraId="5B8B7D8B">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 xml:space="preserve">                                          开户银行：</w:t>
      </w:r>
    </w:p>
    <w:p w14:paraId="6C02B4EA">
      <w:pPr>
        <w:tabs>
          <w:tab w:val="left" w:pos="480"/>
        </w:tabs>
        <w:spacing w:line="360" w:lineRule="auto"/>
        <w:ind w:firstLine="5520" w:firstLineChars="2300"/>
        <w:rPr>
          <w:rFonts w:hAnsi="宋体" w:cs="宋体"/>
          <w:szCs w:val="21"/>
          <w:highlight w:val="none"/>
        </w:rPr>
      </w:pPr>
      <w:r>
        <w:rPr>
          <w:rFonts w:hint="eastAsia" w:hAnsi="宋体" w:cs="宋体"/>
          <w:szCs w:val="21"/>
          <w:highlight w:val="none"/>
        </w:rPr>
        <w:t xml:space="preserve">账  号：       </w:t>
      </w:r>
    </w:p>
    <w:p w14:paraId="1BBA92AF">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联系电话：                                联系电话：</w:t>
      </w:r>
    </w:p>
    <w:p w14:paraId="0EE383C3">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签订日期：    年    月      日           签订日期：    年   月   日</w:t>
      </w:r>
    </w:p>
    <w:p w14:paraId="0A7DAD90">
      <w:pPr>
        <w:rPr>
          <w:rFonts w:hint="eastAsia" w:ascii="宋体" w:eastAsia="宋体" w:cs="宋体"/>
          <w:bCs/>
          <w:sz w:val="36"/>
          <w:szCs w:val="36"/>
          <w:highlight w:val="none"/>
        </w:rPr>
      </w:pPr>
      <w:r>
        <w:rPr>
          <w:rFonts w:hint="eastAsia" w:ascii="宋体" w:eastAsia="宋体" w:cs="宋体"/>
          <w:bCs/>
          <w:sz w:val="36"/>
          <w:szCs w:val="36"/>
          <w:highlight w:val="none"/>
        </w:rPr>
        <w:br w:type="page"/>
      </w:r>
    </w:p>
    <w:p w14:paraId="683D84B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00172A27"/>
    <w:rsid w:val="00BF52BD"/>
    <w:rsid w:val="01B27E1F"/>
    <w:rsid w:val="01DE694E"/>
    <w:rsid w:val="02016828"/>
    <w:rsid w:val="029D518A"/>
    <w:rsid w:val="02D74A6B"/>
    <w:rsid w:val="03086AA8"/>
    <w:rsid w:val="03217B69"/>
    <w:rsid w:val="05720B50"/>
    <w:rsid w:val="05CD3E2B"/>
    <w:rsid w:val="06685D84"/>
    <w:rsid w:val="06BF1B73"/>
    <w:rsid w:val="07585B24"/>
    <w:rsid w:val="08397703"/>
    <w:rsid w:val="09470BCC"/>
    <w:rsid w:val="0A8F1D8E"/>
    <w:rsid w:val="0AFF3693"/>
    <w:rsid w:val="0C0A3890"/>
    <w:rsid w:val="0C9C64B3"/>
    <w:rsid w:val="0C9D51A9"/>
    <w:rsid w:val="0CDF4D1D"/>
    <w:rsid w:val="0CF14A50"/>
    <w:rsid w:val="0DF26CD2"/>
    <w:rsid w:val="0EB67D00"/>
    <w:rsid w:val="0FF73EA4"/>
    <w:rsid w:val="104906FF"/>
    <w:rsid w:val="112C42A9"/>
    <w:rsid w:val="116013CE"/>
    <w:rsid w:val="12945AFE"/>
    <w:rsid w:val="13581385"/>
    <w:rsid w:val="14865FEF"/>
    <w:rsid w:val="148B7538"/>
    <w:rsid w:val="15267261"/>
    <w:rsid w:val="15B90694"/>
    <w:rsid w:val="17575DF8"/>
    <w:rsid w:val="17B31280"/>
    <w:rsid w:val="181F06C4"/>
    <w:rsid w:val="183323C1"/>
    <w:rsid w:val="1A2975D8"/>
    <w:rsid w:val="1B214753"/>
    <w:rsid w:val="1C057BD0"/>
    <w:rsid w:val="1D014845"/>
    <w:rsid w:val="21586366"/>
    <w:rsid w:val="21C10A3D"/>
    <w:rsid w:val="23F5677C"/>
    <w:rsid w:val="25363D57"/>
    <w:rsid w:val="266C303E"/>
    <w:rsid w:val="274A6DDF"/>
    <w:rsid w:val="274F43F6"/>
    <w:rsid w:val="28333D17"/>
    <w:rsid w:val="2849353B"/>
    <w:rsid w:val="29433254"/>
    <w:rsid w:val="296E6743"/>
    <w:rsid w:val="2B4C75CA"/>
    <w:rsid w:val="2BA03472"/>
    <w:rsid w:val="2BD96984"/>
    <w:rsid w:val="2C827599"/>
    <w:rsid w:val="2CA84CD4"/>
    <w:rsid w:val="2E5C5D76"/>
    <w:rsid w:val="2E6609A2"/>
    <w:rsid w:val="2EDC6EB7"/>
    <w:rsid w:val="2FB83480"/>
    <w:rsid w:val="31C53C32"/>
    <w:rsid w:val="327318E0"/>
    <w:rsid w:val="33751688"/>
    <w:rsid w:val="339C09C3"/>
    <w:rsid w:val="35020CF9"/>
    <w:rsid w:val="355037A0"/>
    <w:rsid w:val="355A6D87"/>
    <w:rsid w:val="357C4F4F"/>
    <w:rsid w:val="36714388"/>
    <w:rsid w:val="37117919"/>
    <w:rsid w:val="371F3DE4"/>
    <w:rsid w:val="37B26A07"/>
    <w:rsid w:val="38192267"/>
    <w:rsid w:val="392B4CC2"/>
    <w:rsid w:val="398E6FFF"/>
    <w:rsid w:val="3A125061"/>
    <w:rsid w:val="3B9603ED"/>
    <w:rsid w:val="3C073099"/>
    <w:rsid w:val="3D253674"/>
    <w:rsid w:val="3EDE27D7"/>
    <w:rsid w:val="400E49F6"/>
    <w:rsid w:val="40C45E10"/>
    <w:rsid w:val="41F540C0"/>
    <w:rsid w:val="42D00689"/>
    <w:rsid w:val="441C261F"/>
    <w:rsid w:val="44683056"/>
    <w:rsid w:val="461A6037"/>
    <w:rsid w:val="465D66D7"/>
    <w:rsid w:val="46C6602A"/>
    <w:rsid w:val="487D6BBD"/>
    <w:rsid w:val="4A33616E"/>
    <w:rsid w:val="4AAA5C63"/>
    <w:rsid w:val="4B6C4CC7"/>
    <w:rsid w:val="4B7F49FA"/>
    <w:rsid w:val="4B8D5369"/>
    <w:rsid w:val="4BF947AC"/>
    <w:rsid w:val="4C5E6D05"/>
    <w:rsid w:val="4C7C543D"/>
    <w:rsid w:val="4CE30FB8"/>
    <w:rsid w:val="4D4B5768"/>
    <w:rsid w:val="4D842CBE"/>
    <w:rsid w:val="4F5B3FAF"/>
    <w:rsid w:val="51752B27"/>
    <w:rsid w:val="519F1952"/>
    <w:rsid w:val="52846D9A"/>
    <w:rsid w:val="52A04D83"/>
    <w:rsid w:val="53B4545D"/>
    <w:rsid w:val="53E21FCA"/>
    <w:rsid w:val="54F41FB5"/>
    <w:rsid w:val="58416A58"/>
    <w:rsid w:val="5BBC1352"/>
    <w:rsid w:val="5C25514A"/>
    <w:rsid w:val="5C735EB5"/>
    <w:rsid w:val="5DAA1DAA"/>
    <w:rsid w:val="5E087D32"/>
    <w:rsid w:val="5EC724E8"/>
    <w:rsid w:val="5EDA221B"/>
    <w:rsid w:val="5FBA3DFB"/>
    <w:rsid w:val="60017C7C"/>
    <w:rsid w:val="622F6D22"/>
    <w:rsid w:val="636D74BD"/>
    <w:rsid w:val="640B2CFB"/>
    <w:rsid w:val="64F102BF"/>
    <w:rsid w:val="6502427A"/>
    <w:rsid w:val="65556AA0"/>
    <w:rsid w:val="6A097E59"/>
    <w:rsid w:val="6A152CA1"/>
    <w:rsid w:val="6A1D31C9"/>
    <w:rsid w:val="6AA81420"/>
    <w:rsid w:val="6C663340"/>
    <w:rsid w:val="6C7041BF"/>
    <w:rsid w:val="6CAE4CE7"/>
    <w:rsid w:val="701D640C"/>
    <w:rsid w:val="720721F4"/>
    <w:rsid w:val="73766F61"/>
    <w:rsid w:val="73D2750D"/>
    <w:rsid w:val="74B61E66"/>
    <w:rsid w:val="781A1483"/>
    <w:rsid w:val="7AE53FCA"/>
    <w:rsid w:val="7BEC3CB1"/>
    <w:rsid w:val="7D11554A"/>
    <w:rsid w:val="7D1208B4"/>
    <w:rsid w:val="7D621902"/>
    <w:rsid w:val="7D7E4305"/>
    <w:rsid w:val="7EB443DF"/>
    <w:rsid w:val="7EFD7BF6"/>
    <w:rsid w:val="7F477001"/>
    <w:rsid w:val="7FC00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9"/>
    <w:pPr>
      <w:keepNext/>
      <w:keepLines/>
      <w:widowControl/>
      <w:spacing w:before="260" w:after="260"/>
      <w:ind w:left="284"/>
      <w:jc w:val="left"/>
      <w:outlineLvl w:val="1"/>
    </w:pPr>
    <w:rPr>
      <w:rFonts w:ascii="Arial" w:hAnsi="Arial"/>
      <w:b/>
      <w:bCs/>
      <w:sz w:val="28"/>
      <w:szCs w:val="32"/>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Plain Text"/>
    <w:basedOn w:val="1"/>
    <w:qFormat/>
    <w:uiPriority w:val="0"/>
    <w:rPr>
      <w:rFonts w:hAnsi="Courier New"/>
      <w:kern w:val="2"/>
      <w:sz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2450</Words>
  <Characters>2478</Characters>
  <Lines>0</Lines>
  <Paragraphs>0</Paragraphs>
  <TotalTime>1</TotalTime>
  <ScaleCrop>false</ScaleCrop>
  <LinksUpToDate>false</LinksUpToDate>
  <CharactersWithSpaces>2939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2024-06-27T03:10:00Z</dcterms:created>
  <dc:creator>Dream</dc:creator>
  <cp:lastModifiedBy>Dream</cp:lastModifiedBy>
  <dcterms:modified xsi:type="dcterms:W3CDTF">2025-05-15T11:50:51Z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A57AC5DE1C3E44B1AF06C2AD41AA46E5_11</vt:lpwstr>
  </property>
  <property fmtid="{D5CDD505-2E9C-101B-9397-08002B2CF9AE}" pid="4" name="KSOTemplateDocerSaveRecord">
    <vt:lpwstr>eyJoZGlkIjoiODVjOGM0MDkxYzIwNWQzMTBkNDEyMmI3MTFhY2U4OTgifQ==</vt:lpwstr>
  </property>
</Properties>
</file>