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版本号：SXZY-2025-ZC-112520250515001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会展业第三方统计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SXZY-2025-ZC-1125</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会展业第三方统计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会展业第三方统计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开展会展业第三方统计工作，进一步提高西安市会展业统计数据的客观性和专业性，做到广泛收集、应统尽统，对相关数据进行深入分析和与其他副省级数据对比，全面呈现我市会展业发展情况，提出合理化和可行性建议，为政府行业主管部门及单位提供决策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采购包1（会展业第三方统计）：属于专门面向中小企业采购。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为2024年10月至今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为2024年10月至今任意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8、非联合体磋商声明：提交非联合体形式参加本项目磋商的声明函。供应商需在项目电子化交易系统中按要求上传相应证明文件并进行电子签章。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左福刚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86786473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开展会展业第三方统计工作，进一步提高西安市会展业统计数据的客观性和专业性，做到广泛收集、应统尽统，对相关数据进行深入分析和与其他副省级数据对比，全面呈现我市会展业发展情况，提出合理化和可行性建议，为政府行业主管部门及单位提供决策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开展展会项目统计调查分析服务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标的名称：开展展会项目统计调查分析服务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服务内容</w:t>
            </w:r>
          </w:p>
          <w:p>
            <w:pPr>
              <w:pStyle w:val="null3"/>
            </w:pPr>
            <w:r>
              <w:rPr>
                <w:rFonts w:ascii="仿宋_GB2312" w:hAnsi="仿宋_GB2312" w:cs="仿宋_GB2312" w:eastAsia="仿宋_GB2312"/>
              </w:rPr>
              <w:t>（一）会展业基础统计</w:t>
            </w:r>
          </w:p>
          <w:p>
            <w:pPr>
              <w:pStyle w:val="null3"/>
            </w:pPr>
            <w:r>
              <w:rPr>
                <w:rFonts w:ascii="仿宋_GB2312" w:hAnsi="仿宋_GB2312" w:cs="仿宋_GB2312" w:eastAsia="仿宋_GB2312"/>
              </w:rPr>
              <w:t>开展展会项目统计调查主要为展览项目统计调查、会议项目统计调查两大板块。统计对象包括会展活动重点场所、会展活动组织单位、会展服务商、会展活动的延伸企业等。</w:t>
            </w:r>
          </w:p>
          <w:p>
            <w:pPr>
              <w:pStyle w:val="null3"/>
            </w:pPr>
            <w:r>
              <w:rPr>
                <w:rFonts w:ascii="仿宋_GB2312" w:hAnsi="仿宋_GB2312" w:cs="仿宋_GB2312" w:eastAsia="仿宋_GB2312"/>
              </w:rPr>
              <w:t>1.展览项目统计调查指标包括展览名称、举办时间地点、主承办单位、参展商数量、展览面积、观众人数、所属产业、展会性质、办展单位属性、参展商类别、成交额或签约金额等。</w:t>
            </w:r>
          </w:p>
          <w:p>
            <w:pPr>
              <w:pStyle w:val="null3"/>
            </w:pPr>
            <w:r>
              <w:rPr>
                <w:rFonts w:ascii="仿宋_GB2312" w:hAnsi="仿宋_GB2312" w:cs="仿宋_GB2312" w:eastAsia="仿宋_GB2312"/>
              </w:rPr>
              <w:t>2.会议项目统计调查指标包括会议名称、举办时间地点、主承办单位、会议使用面积、参会人数、所属产业、会议类型、会议级别、办会单位属性、参会人员类别、签约金额等。</w:t>
            </w:r>
          </w:p>
          <w:p>
            <w:pPr>
              <w:pStyle w:val="null3"/>
            </w:pPr>
            <w:r>
              <w:rPr>
                <w:rFonts w:ascii="仿宋_GB2312" w:hAnsi="仿宋_GB2312" w:cs="仿宋_GB2312" w:eastAsia="仿宋_GB2312"/>
              </w:rPr>
              <w:t>（二）会展业延伸统计</w:t>
            </w:r>
          </w:p>
          <w:p>
            <w:pPr>
              <w:pStyle w:val="null3"/>
            </w:pPr>
            <w:r>
              <w:rPr>
                <w:rFonts w:ascii="仿宋_GB2312" w:hAnsi="仿宋_GB2312" w:cs="仿宋_GB2312" w:eastAsia="仿宋_GB2312"/>
              </w:rPr>
              <w:t>1.建立全市重点会展企业库。分类别建立全市重点会展企业库，调查统计内容包括企业数量、企业名称、成立时间、所属区县、业务类型、营收情况、主营业务等情况。</w:t>
            </w:r>
          </w:p>
          <w:p>
            <w:pPr>
              <w:pStyle w:val="null3"/>
            </w:pPr>
            <w:r>
              <w:rPr>
                <w:rFonts w:ascii="仿宋_GB2312" w:hAnsi="仿宋_GB2312" w:cs="仿宋_GB2312" w:eastAsia="仿宋_GB2312"/>
              </w:rPr>
              <w:t>2.梳理全市会展承办场所。全面摸排全市具备承接展会条件和功能的场所，包括会展中心、会议中心、博览中心、宴会中心、会议楼、会议酒店、大会堂等对外营利性场所，掌握场所性质、可供展览面积或容纳会议人数等情况。</w:t>
            </w:r>
          </w:p>
          <w:p>
            <w:pPr>
              <w:pStyle w:val="null3"/>
            </w:pPr>
            <w:r>
              <w:rPr>
                <w:rFonts w:ascii="仿宋_GB2312" w:hAnsi="仿宋_GB2312" w:cs="仿宋_GB2312" w:eastAsia="仿宋_GB2312"/>
              </w:rPr>
              <w:t>3.收集重点会展城市主要数据。对其他14个副省级城市会展主要数据进行调查统计，内容包括展览数量、展览面积、展馆承载力、展馆利用率、会展竞争力以及出台会展政策情况等。</w:t>
            </w:r>
          </w:p>
          <w:p>
            <w:pPr>
              <w:pStyle w:val="null3"/>
            </w:pPr>
            <w:r>
              <w:rPr>
                <w:rFonts w:ascii="仿宋_GB2312" w:hAnsi="仿宋_GB2312" w:cs="仿宋_GB2312" w:eastAsia="仿宋_GB2312"/>
              </w:rPr>
              <w:t>（三）会展业分析和对比</w:t>
            </w:r>
          </w:p>
          <w:p>
            <w:pPr>
              <w:pStyle w:val="null3"/>
            </w:pPr>
            <w:r>
              <w:rPr>
                <w:rFonts w:ascii="仿宋_GB2312" w:hAnsi="仿宋_GB2312" w:cs="仿宋_GB2312" w:eastAsia="仿宋_GB2312"/>
              </w:rPr>
              <w:t>1.展会数据分析：对我市全年举办的展览活动所属行业、展会性质、展览规模和办展单位属性进行梳理分析，结合上一年度情况进行对比和趋势分析。调研了解我市重点展会（政府类）运作情况，进行展会绩效分析和评估。</w:t>
            </w:r>
          </w:p>
          <w:p>
            <w:pPr>
              <w:pStyle w:val="null3"/>
            </w:pPr>
            <w:r>
              <w:rPr>
                <w:rFonts w:ascii="仿宋_GB2312" w:hAnsi="仿宋_GB2312" w:cs="仿宋_GB2312" w:eastAsia="仿宋_GB2312"/>
              </w:rPr>
              <w:t>2.会展经济效益分析：一是直接经济效益，展会本身产生的效益，参展企业直接展示销售的产品或服务。二是间接经济效益，展会带动餐饮、住宿、交通等关联行业消费，展会吸引投资合作、促进产业发展、创新产品和服务、创造新消费场景等。三是社会效益分析，包括城市形象提升、品牌宣传推广、文化传播交流、消费观念引导，直接和间接创造社会就业岗位等。</w:t>
            </w:r>
          </w:p>
          <w:p>
            <w:pPr>
              <w:pStyle w:val="null3"/>
              <w:jc w:val="both"/>
            </w:pPr>
            <w:r>
              <w:rPr>
                <w:rFonts w:ascii="仿宋_GB2312" w:hAnsi="仿宋_GB2312" w:cs="仿宋_GB2312" w:eastAsia="仿宋_GB2312"/>
              </w:rPr>
              <w:t>3.会展业形势分析：了解国际国内会展业整体发展概况和趋势，重点围绕15个副省级城市的展览数量、展览面积、展馆承载力、展馆利用率、政策环境与支持、会展城市竞争力等6个维度进行对比，分析我市会展业发展的优势与不足，挖掘我市会展业发展的潜力，提出合理化和可行性建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技术要求</w:t>
            </w:r>
          </w:p>
          <w:p>
            <w:pPr>
              <w:pStyle w:val="null3"/>
              <w:jc w:val="both"/>
            </w:pPr>
            <w:r>
              <w:rPr>
                <w:rFonts w:ascii="仿宋_GB2312" w:hAnsi="仿宋_GB2312" w:cs="仿宋_GB2312" w:eastAsia="仿宋_GB2312"/>
              </w:rPr>
              <w:t>对数据处理软件进行使用，解决数据处理软件在使用过程中出现的技术问题。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服务要求</w:t>
            </w:r>
          </w:p>
          <w:p>
            <w:pPr>
              <w:pStyle w:val="null3"/>
            </w:pPr>
            <w:r>
              <w:rPr>
                <w:rFonts w:ascii="仿宋_GB2312" w:hAnsi="仿宋_GB2312" w:cs="仿宋_GB2312" w:eastAsia="仿宋_GB2312"/>
              </w:rPr>
              <w:t>（一）服务标准</w:t>
            </w:r>
          </w:p>
          <w:p>
            <w:pPr>
              <w:pStyle w:val="null3"/>
            </w:pPr>
            <w:r>
              <w:rPr>
                <w:rFonts w:ascii="仿宋_GB2312" w:hAnsi="仿宋_GB2312" w:cs="仿宋_GB2312" w:eastAsia="仿宋_GB2312"/>
              </w:rPr>
              <w:t>按照《西安市会展业统计报表制度》工作规范和要求，开展会展业统计服务，完成当年度西安市区域内举办展览、会议、展销等展会活动的统计工作，按时提供月度、季度、年度统计数据收集汇总，开展季度数据分析和年度统计分析报告。</w:t>
            </w:r>
          </w:p>
          <w:p>
            <w:pPr>
              <w:pStyle w:val="null3"/>
            </w:pPr>
            <w:r>
              <w:rPr>
                <w:rFonts w:ascii="仿宋_GB2312" w:hAnsi="仿宋_GB2312" w:cs="仿宋_GB2312" w:eastAsia="仿宋_GB2312"/>
              </w:rPr>
              <w:t>（二）人员配置</w:t>
            </w:r>
          </w:p>
          <w:p>
            <w:pPr>
              <w:pStyle w:val="null3"/>
            </w:pPr>
            <w:r>
              <w:rPr>
                <w:rFonts w:ascii="仿宋_GB2312" w:hAnsi="仿宋_GB2312" w:cs="仿宋_GB2312" w:eastAsia="仿宋_GB2312"/>
              </w:rPr>
              <w:t>成立项目工作小组，配备工作人员，制定服务方案。工作人员需熟悉会展行业和了解相关场馆、企业运作模式，并具备统计、调查及分析工作的经验。</w:t>
            </w:r>
          </w:p>
          <w:p>
            <w:pPr>
              <w:pStyle w:val="null3"/>
            </w:pPr>
            <w:r>
              <w:rPr>
                <w:rFonts w:ascii="仿宋_GB2312" w:hAnsi="仿宋_GB2312" w:cs="仿宋_GB2312" w:eastAsia="仿宋_GB2312"/>
              </w:rPr>
              <w:t>（三）进度要求</w:t>
            </w:r>
          </w:p>
          <w:p>
            <w:pPr>
              <w:pStyle w:val="null3"/>
            </w:pPr>
            <w:r>
              <w:rPr>
                <w:rFonts w:ascii="仿宋_GB2312" w:hAnsi="仿宋_GB2312" w:cs="仿宋_GB2312" w:eastAsia="仿宋_GB2312"/>
              </w:rPr>
              <w:t>次月5个工作日内完成上月数据采集、整理，出具月度统计表；每季度结束后次月10个工作日内编制形成季度数据分析；年度统计报告根据项目进度按采购方要求按时提供。</w:t>
            </w:r>
          </w:p>
          <w:p>
            <w:pPr>
              <w:pStyle w:val="null3"/>
            </w:pPr>
            <w:r>
              <w:rPr>
                <w:rFonts w:ascii="仿宋_GB2312" w:hAnsi="仿宋_GB2312" w:cs="仿宋_GB2312" w:eastAsia="仿宋_GB2312"/>
              </w:rPr>
              <w:t>（四）成果交付要求</w:t>
            </w:r>
          </w:p>
          <w:p>
            <w:pPr>
              <w:pStyle w:val="null3"/>
            </w:pPr>
            <w:r>
              <w:rPr>
                <w:rFonts w:ascii="仿宋_GB2312" w:hAnsi="仿宋_GB2312" w:cs="仿宋_GB2312" w:eastAsia="仿宋_GB2312"/>
              </w:rPr>
              <w:t>1.提供会展业年度数据库，形成月度会展活动统计表12份、季度会展活动统计表4份、年度会展活动统计表1份。</w:t>
            </w:r>
          </w:p>
          <w:p>
            <w:pPr>
              <w:pStyle w:val="null3"/>
            </w:pPr>
            <w:r>
              <w:rPr>
                <w:rFonts w:ascii="仿宋_GB2312" w:hAnsi="仿宋_GB2312" w:cs="仿宋_GB2312" w:eastAsia="仿宋_GB2312"/>
              </w:rPr>
              <w:t>2.提供重点会展企业骨干库、成长库和种子库3个数据库。</w:t>
            </w:r>
          </w:p>
          <w:p>
            <w:pPr>
              <w:pStyle w:val="null3"/>
            </w:pPr>
            <w:r>
              <w:rPr>
                <w:rFonts w:ascii="仿宋_GB2312" w:hAnsi="仿宋_GB2312" w:cs="仿宋_GB2312" w:eastAsia="仿宋_GB2312"/>
              </w:rPr>
              <w:t>3.撰写季度数据分析3份、年度统计报告1份。</w:t>
            </w:r>
          </w:p>
          <w:p>
            <w:pPr>
              <w:pStyle w:val="null3"/>
              <w:jc w:val="both"/>
            </w:pPr>
            <w:r>
              <w:rPr>
                <w:rFonts w:ascii="仿宋_GB2312" w:hAnsi="仿宋_GB2312" w:cs="仿宋_GB2312" w:eastAsia="仿宋_GB2312"/>
              </w:rPr>
              <w:t>以上资料提供纸质版10份；电子版2份，并刻录U盘。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成立项目工作小组，配备工作人员，制定服务方案。工作人员需熟悉会展行业和了解相关场馆、企业运作模式，并具备统计、调查及分析工作的经验。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西安市会展业统计报表制度》工作规范和要求，在规定时间内完成方案设计、数据采集、数据处理、数据呈现、数据分析、报告撰写等各个环节的工作。统计报告做到图文并茂、科学详实，体现西安会展业发展情况、发展成果和前景优势，并按照甲方要求做好验收相关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供应商项目执行结束经验收合格后，向采购方开具等额的增值税普通发票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2.如任意一方不履行合同义务或者履行合同义务不符合约定的，应当承担继续履行、采取补救措施或者赔偿损失等违约责任。 3.因任何一方违约导致合同无法继续履行的，违约方需赔偿守约方合同金额20%的违约金，该违约金不足以弥补守约方实际损失的，违约方应赔偿守约方所有实际损失。 4.如碰到不可抗力因素造成无法按照原计划提供服务的，由甲乙双方协商解决。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范围：会展业第三方统计。2、供应商所报的价格应考虑到可能发生的所有与完成本项目相关服务及履行合同义务有关的一切费用，任何有选择的报价将不予接受，按无效磋商处理。3、本项目所属行业为：租赁和商务服务业。根据《工业和信息化部、国家统计局、国家发展和改革委员会、财政部关于印发中小企业划型标准规定的通知》《工信部联企业(2011)300 号)规定的划分标准, 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4、成交供应商在领取成交通知书前，需向采购代理机构提交加盖公章的纸质版响应文件三套，成交供应商应保持响应文件纸质版内容与系统上传内容完全一致，否则将承担一切法律责任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为2024年10月至今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为2024年10月至今任意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 商务响应偏离表 费用明细表 中小企业声明函 残疾人福利性单位声明函 资格证明材料 标的清单 报价表 供应商承诺书 响应函 监狱企业的证明文件 合同条款响应偏离表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方案充分结合本项目服务特点、科学合理、计划详细、措施具体完善、可行性强，得15分； 方案结合本项目服务特点、较为科学合理、有较详细的计划和措施、可行性较强，得12分； 方案结合本项目服务特点，有计划措施，但内容不详细，合理性、可行性较差，得9分； 方案未结合本项目特点，内容简单，合理性、可行性差，得6分；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团队人员数量充足、配备合理、职责明确，完全满足项目需求，得15分； 团队人员数量较为充足、配备较为合理、职责较为明确，满足项目需求，得12分； 团队人员数量较少、配备合理性较差、职责基本明确，基本满足项目需求，得9分； 团队人员数量少、配备不合理、职责不明确，基本满足项目需求，得6分；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具有完善的管理制度和服务质量监督制度。 制度完善，科学全面、可行性强，得10分； 制度较为完善，可行性较强，得8分； 制度不完善，可行性一般，得6分；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工作进度安排及保障措施</w:t>
            </w:r>
          </w:p>
        </w:tc>
        <w:tc>
          <w:tcPr>
            <w:tcW w:type="dxa" w:w="2492"/>
          </w:tcPr>
          <w:p>
            <w:pPr>
              <w:pStyle w:val="null3"/>
            </w:pPr>
            <w:r>
              <w:rPr>
                <w:rFonts w:ascii="仿宋_GB2312" w:hAnsi="仿宋_GB2312" w:cs="仿宋_GB2312" w:eastAsia="仿宋_GB2312"/>
              </w:rPr>
              <w:t>供应商综合考虑服务内容与时间安排制定项目进度安排及保障措施。 计划安排完善、科学合理，各环节衔接紧凑，保障措施可执行性强，能够完全满足采购需求，得10分； 计划安排较为完善、较科学合理，各环节衔接较紧凑，保障措施可执行性较强，基本满足采购需求，得8分； 计划安排基本合理，保障措施可执行性一般，基本满足采购需求，得 6分； 计划安排不完整，内容安排不合理，不能完全满足采购需求，得3分；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供应商针对项目的重难点分析及对策建议。 结合项目情况及项目特征，能够进行全面且客观的重难点分析，有可行、详实的对策建议，得8分； 结合项目情况及项目特征，能够进行较为全面、客观的重难点分析、有较为可行的对策建议，得6分； 结合项目情况及项目特征，有重难点分析及对策建议，但内容不全面，对策建议客观性、可行性较差，得4分； 没有结合项目情况及项目特征进行重难点分析，内容针对性弱，对策建议可行性差，得2分； 未提供得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针对本项目提出有利于采购人的合理化建议。 内容详实，科学合理，针对性、可行性强，完全有利于采购项目顺利实施，得7分； 内容较为详实，较为合理，针对性、可行性较强，有利于采购项目顺利实施，得5分； 内容简单，合理性、针对性、可行性一般，得3分； 内容简单，合理性、针对性、可行性差，得1分； 未提供得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根据供应商针对本项目的服务承诺，评审得分。 服务承诺明确、合理且详细，具有高标准，有针对性和可操作性，得5分； 服务承诺明确、合理但不够详细，具有高标准，有针对性但可行性一般，得3分 ； 服务承诺粗略，可行性不足，得1分；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供应商提供2022年1月1日至今（以合同签订时间为准）类似服务项目业绩合同，每提供一个计2分，最高计10分。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其它资料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费用明细表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