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版本号：HSGJ2025-16620250611001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2025年西安市“非遗进街区-国潮名品荟”文商旅消费主题系列活动</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HSGJ2025-166</w:t>
      </w:r>
      <w:r>
        <w:br/>
      </w:r>
      <w:r>
        <w:br/>
      </w:r>
      <w:r>
        <w:br/>
      </w:r>
    </w:p>
    <w:p>
      <w:pPr>
        <w:pStyle w:val="null3"/>
        <w:jc w:val="center"/>
        <w:outlineLvl w:val="2"/>
      </w:pPr>
      <w:r>
        <w:rPr>
          <w:rFonts w:ascii="仿宋_GB2312" w:hAnsi="仿宋_GB2312" w:cs="仿宋_GB2312" w:eastAsia="仿宋_GB2312"/>
          <w:sz w:val="28"/>
          <w:b/>
        </w:rPr>
        <w:t>西安市商务局（本级）</w:t>
      </w:r>
    </w:p>
    <w:p>
      <w:pPr>
        <w:pStyle w:val="null3"/>
        <w:jc w:val="center"/>
        <w:outlineLvl w:val="2"/>
      </w:pPr>
      <w:r>
        <w:rPr>
          <w:rFonts w:ascii="仿宋_GB2312" w:hAnsi="仿宋_GB2312" w:cs="仿宋_GB2312" w:eastAsia="仿宋_GB2312"/>
          <w:sz w:val="28"/>
          <w:b/>
        </w:rPr>
        <w:t>华晟国际项目管理有限公司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华晟国际项目管理有限公司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西安市商务局（本级）</w:t>
      </w:r>
      <w:r>
        <w:rPr>
          <w:rFonts w:ascii="仿宋_GB2312" w:hAnsi="仿宋_GB2312" w:cs="仿宋_GB2312" w:eastAsia="仿宋_GB2312"/>
        </w:rPr>
        <w:t>委托，拟对</w:t>
      </w:r>
      <w:r>
        <w:rPr>
          <w:rFonts w:ascii="仿宋_GB2312" w:hAnsi="仿宋_GB2312" w:cs="仿宋_GB2312" w:eastAsia="仿宋_GB2312"/>
        </w:rPr>
        <w:t>2025年西安市“非遗进街区-国潮名品荟”文商旅消费主题系列活动</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HSGJ2025-166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2025年西安市“非遗进街区-国潮名品荟”文商旅消费主题系列活动</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2025年西安市“非遗进街区 - 国潮名品荟”文商旅消费主题系列活动，具体内容详见第三章。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采购包1（2025年西安市“非遗进街区 - 国潮名品荟”文商旅消费主题系列活动）：属于专门面向中小企业采购。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1、有效的主体资格证明：提供合格有效的法人或者其他组织的营业执照等证明文件或自然人的身份证明；</w:t>
      </w:r>
    </w:p>
    <w:p>
      <w:pPr>
        <w:pStyle w:val="null3"/>
      </w:pPr>
      <w:r>
        <w:rPr>
          <w:rFonts w:ascii="仿宋_GB2312" w:hAnsi="仿宋_GB2312" w:cs="仿宋_GB2312" w:eastAsia="仿宋_GB2312"/>
        </w:rPr>
        <w:t>2、财务状况报告：提供2024年度的财务审计报告（成立时间至提交响应文件截止时间不足一年的可提供成立后任意时段的资产负债表）或其基本存款账户开户银行出具的资信证明及基本存款账户开户许可证（基本账户存款信息）；</w:t>
      </w:r>
    </w:p>
    <w:p>
      <w:pPr>
        <w:pStyle w:val="null3"/>
      </w:pPr>
      <w:r>
        <w:rPr>
          <w:rFonts w:ascii="仿宋_GB2312" w:hAnsi="仿宋_GB2312" w:cs="仿宋_GB2312" w:eastAsia="仿宋_GB2312"/>
        </w:rPr>
        <w:t>3、税收缴纳证明：提供2024年6月至今已缴纳任意一个月的纳税证明或完税证明（任意税种），依法免税的单位应提供相关证明材料；</w:t>
      </w:r>
    </w:p>
    <w:p>
      <w:pPr>
        <w:pStyle w:val="null3"/>
      </w:pPr>
      <w:r>
        <w:rPr>
          <w:rFonts w:ascii="仿宋_GB2312" w:hAnsi="仿宋_GB2312" w:cs="仿宋_GB2312" w:eastAsia="仿宋_GB2312"/>
        </w:rPr>
        <w:t>4、社会保障资金缴纳证明：提供2024年6月至今已缴纳任意一个月的社会保障资金缴存单据或社保机构开具的社会保险参保缴费情况证明，依法不需要缴纳社会保障资金的单位应提供相关证明材料；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5、无重大违法记录声明：参加政府采购活动前三年内，在经营活动中没有重大违法记录的书面声明（成立时间至提交响应文件截止时间不足三年的可提供成立至今的书面声明）；</w:t>
      </w:r>
    </w:p>
    <w:p>
      <w:pPr>
        <w:pStyle w:val="null3"/>
      </w:pPr>
      <w:r>
        <w:rPr>
          <w:rFonts w:ascii="仿宋_GB2312" w:hAnsi="仿宋_GB2312" w:cs="仿宋_GB2312" w:eastAsia="仿宋_GB2312"/>
        </w:rPr>
        <w:t>6、专业技术能力证明：提供具有履行合同所必需的设备和专业技术能力的承诺；</w:t>
      </w:r>
    </w:p>
    <w:p>
      <w:pPr>
        <w:pStyle w:val="null3"/>
      </w:pPr>
      <w:r>
        <w:rPr>
          <w:rFonts w:ascii="仿宋_GB2312" w:hAnsi="仿宋_GB2312" w:cs="仿宋_GB2312" w:eastAsia="仿宋_GB2312"/>
        </w:rPr>
        <w:t>7、法定代表人委托授权书\身份证明：法定代表人授权书及被授权人身份证（法定代表人直接参加磋商的须提供其法定代表人身份证），非法人单位参照执行。</w:t>
      </w:r>
    </w:p>
    <w:p>
      <w:pPr>
        <w:pStyle w:val="null3"/>
      </w:pPr>
      <w:r>
        <w:rPr>
          <w:rFonts w:ascii="仿宋_GB2312" w:hAnsi="仿宋_GB2312" w:cs="仿宋_GB2312" w:eastAsia="仿宋_GB2312"/>
        </w:rPr>
        <w:t>8、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时限为响应文件递交截止之日）。</w:t>
      </w:r>
    </w:p>
    <w:p>
      <w:pPr>
        <w:pStyle w:val="null3"/>
      </w:pPr>
      <w:r>
        <w:rPr>
          <w:rFonts w:ascii="仿宋_GB2312" w:hAnsi="仿宋_GB2312" w:cs="仿宋_GB2312" w:eastAsia="仿宋_GB2312"/>
        </w:rPr>
        <w:t>9、关联关系：单位负责人为同一人或者存在直接控股、管理关系的不同供应商，不得参加同一合同项下的政府采购活动。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10、联合体：本项目不接受联合体投标。</w:t>
      </w:r>
    </w:p>
    <w:p>
      <w:pPr>
        <w:pStyle w:val="null3"/>
      </w:pPr>
      <w:r>
        <w:rPr>
          <w:rFonts w:ascii="仿宋_GB2312" w:hAnsi="仿宋_GB2312" w:cs="仿宋_GB2312" w:eastAsia="仿宋_GB2312"/>
        </w:rPr>
        <w:t>11、中小企业声明：本项目专门面向中小企业采购，须符合《政府采购促进中小企业发展管理办法》（财库〔2020〕46号）规定的中小企业参加，符合要求的监狱企业或残疾人福利单位视同小微企业，并提供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西安市商务局（本级）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乔老师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029-86786498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华晟国际项目管理有限公司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西安市高新路88号尚品国际B幢25层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曹美奇、杨阳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029-81779899转8013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代理服务费收费标准：按照国家计委颁布的《招标代理服务收费管理暂行办法》（计价格『2002』1980号）及发改办价格『2003』857号文规定按服务类收取代理服务费。 银行户名：华晟国际项目管理有限公司 开户银行：建设银行西安劳动路支行 账 号：610501 740015 00000 427 转账事由：HSGJ2025-166项目代理服务费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西安市商务局（本级）</w:t>
      </w:r>
      <w:r>
        <w:rPr>
          <w:rFonts w:ascii="仿宋_GB2312" w:hAnsi="仿宋_GB2312" w:cs="仿宋_GB2312" w:eastAsia="仿宋_GB2312"/>
        </w:rPr>
        <w:t>和</w:t>
      </w:r>
      <w:r>
        <w:rPr>
          <w:rFonts w:ascii="仿宋_GB2312" w:hAnsi="仿宋_GB2312" w:cs="仿宋_GB2312" w:eastAsia="仿宋_GB2312"/>
        </w:rPr>
        <w:t>华晟国际项目管理有限公司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西安市商务局（本级）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华晟国际项目管理有限公司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西安市商务局（本级）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华晟国际项目管理有限公司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联系人：曹美奇、杨阳</w:t>
      </w:r>
    </w:p>
    <w:p>
      <w:pPr>
        <w:pStyle w:val="null3"/>
      </w:pPr>
      <w:r>
        <w:rPr>
          <w:rFonts w:ascii="仿宋_GB2312" w:hAnsi="仿宋_GB2312" w:cs="仿宋_GB2312" w:eastAsia="仿宋_GB2312"/>
        </w:rPr>
        <w:t>联系电话：029-81779899转8013</w:t>
      </w:r>
    </w:p>
    <w:p>
      <w:pPr>
        <w:pStyle w:val="null3"/>
      </w:pPr>
      <w:r>
        <w:rPr>
          <w:rFonts w:ascii="仿宋_GB2312" w:hAnsi="仿宋_GB2312" w:cs="仿宋_GB2312" w:eastAsia="仿宋_GB2312"/>
        </w:rPr>
        <w:t>地址：西安市高新路88号尚品国际B幢25层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4"/>
          <w:color w:val="000000"/>
        </w:rPr>
        <w:t>为深入贯彻落实国家关于推动文化传承与消费升级的决策部署，助力西安建设</w:t>
      </w:r>
      <w:r>
        <w:rPr>
          <w:rFonts w:ascii="仿宋_GB2312" w:hAnsi="仿宋_GB2312" w:cs="仿宋_GB2312" w:eastAsia="仿宋_GB2312"/>
          <w:sz w:val="24"/>
          <w:color w:val="000000"/>
        </w:rPr>
        <w:t>“历史文化与现代文明交相辉映的国际消费中心城市”，西安市商务局拟于2025年6月-7月举办“非遗进街区 - 国潮名品荟”文商旅消费主题系列活动。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举办“非遗进街区 - 国潮名品荟”文商旅消费主题系列活动，构建全域沉浸式文商旅融合生态服务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标的名称：举办“非遗进街区 - 国潮名品荟”文商旅消费主题系列活动，构建全域沉浸式文商旅融合生态服务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w:t>
            </w:r>
            <w:r>
              <w:rPr>
                <w:rFonts w:ascii="仿宋_GB2312" w:hAnsi="仿宋_GB2312" w:cs="仿宋_GB2312" w:eastAsia="仿宋_GB2312"/>
                <w:sz w:val="21"/>
                <w:b/>
              </w:rPr>
              <w:t>项目概况</w:t>
            </w:r>
          </w:p>
          <w:p>
            <w:pPr>
              <w:pStyle w:val="null3"/>
              <w:ind w:firstLine="420"/>
              <w:jc w:val="both"/>
            </w:pPr>
            <w:r>
              <w:rPr>
                <w:rFonts w:ascii="仿宋_GB2312" w:hAnsi="仿宋_GB2312" w:cs="仿宋_GB2312" w:eastAsia="仿宋_GB2312"/>
                <w:sz w:val="21"/>
              </w:rPr>
              <w:t>为深入贯彻落实国家关于推动文化传承与消费升级的决策部署，助力西安建设“历史文化与现代文明交相辉映的国际消费中心城市”，西安市商务局拟于</w:t>
            </w:r>
            <w:r>
              <w:rPr>
                <w:rFonts w:ascii="仿宋_GB2312" w:hAnsi="仿宋_GB2312" w:cs="仿宋_GB2312" w:eastAsia="仿宋_GB2312"/>
                <w:sz w:val="21"/>
              </w:rPr>
              <w:t>2025</w:t>
            </w:r>
            <w:r>
              <w:rPr>
                <w:rFonts w:ascii="仿宋_GB2312" w:hAnsi="仿宋_GB2312" w:cs="仿宋_GB2312" w:eastAsia="仿宋_GB2312"/>
                <w:sz w:val="21"/>
              </w:rPr>
              <w:t>年</w:t>
            </w:r>
            <w:r>
              <w:rPr>
                <w:rFonts w:ascii="仿宋_GB2312" w:hAnsi="仿宋_GB2312" w:cs="仿宋_GB2312" w:eastAsia="仿宋_GB2312"/>
                <w:sz w:val="21"/>
              </w:rPr>
              <w:t>6</w:t>
            </w:r>
            <w:r>
              <w:rPr>
                <w:rFonts w:ascii="仿宋_GB2312" w:hAnsi="仿宋_GB2312" w:cs="仿宋_GB2312" w:eastAsia="仿宋_GB2312"/>
                <w:sz w:val="21"/>
              </w:rPr>
              <w:t>月</w:t>
            </w:r>
            <w:r>
              <w:rPr>
                <w:rFonts w:ascii="仿宋_GB2312" w:hAnsi="仿宋_GB2312" w:cs="仿宋_GB2312" w:eastAsia="仿宋_GB2312"/>
                <w:sz w:val="21"/>
              </w:rPr>
              <w:t>-7</w:t>
            </w:r>
            <w:r>
              <w:rPr>
                <w:rFonts w:ascii="仿宋_GB2312" w:hAnsi="仿宋_GB2312" w:cs="仿宋_GB2312" w:eastAsia="仿宋_GB2312"/>
                <w:sz w:val="21"/>
              </w:rPr>
              <w:t xml:space="preserve">月举办“非遗进街区 </w:t>
            </w:r>
            <w:r>
              <w:rPr>
                <w:rFonts w:ascii="仿宋_GB2312" w:hAnsi="仿宋_GB2312" w:cs="仿宋_GB2312" w:eastAsia="仿宋_GB2312"/>
                <w:sz w:val="21"/>
              </w:rPr>
              <w:t xml:space="preserve">- </w:t>
            </w:r>
            <w:r>
              <w:rPr>
                <w:rFonts w:ascii="仿宋_GB2312" w:hAnsi="仿宋_GB2312" w:cs="仿宋_GB2312" w:eastAsia="仿宋_GB2312"/>
                <w:sz w:val="21"/>
              </w:rPr>
              <w:t xml:space="preserve">国潮名品荟”文商旅消费主题系列活动。          </w:t>
            </w:r>
          </w:p>
          <w:p>
            <w:pPr>
              <w:pStyle w:val="null3"/>
              <w:ind w:firstLine="420"/>
              <w:jc w:val="both"/>
            </w:pPr>
            <w:r>
              <w:rPr>
                <w:rFonts w:ascii="仿宋_GB2312" w:hAnsi="仿宋_GB2312" w:cs="仿宋_GB2312" w:eastAsia="仿宋_GB2312"/>
                <w:sz w:val="21"/>
              </w:rPr>
              <w:t>活动以“促进消费为基调、非遗传承为引擎、老字号焕新升级为突破”，通过“仪式破圈</w:t>
            </w:r>
            <w:r>
              <w:rPr>
                <w:rFonts w:ascii="仿宋_GB2312" w:hAnsi="仿宋_GB2312" w:cs="仿宋_GB2312" w:eastAsia="仿宋_GB2312"/>
                <w:sz w:val="21"/>
              </w:rPr>
              <w:t>+</w:t>
            </w:r>
            <w:r>
              <w:rPr>
                <w:rFonts w:ascii="仿宋_GB2312" w:hAnsi="仿宋_GB2312" w:cs="仿宋_GB2312" w:eastAsia="仿宋_GB2312"/>
                <w:sz w:val="21"/>
              </w:rPr>
              <w:t>场景重构</w:t>
            </w:r>
            <w:r>
              <w:rPr>
                <w:rFonts w:ascii="仿宋_GB2312" w:hAnsi="仿宋_GB2312" w:cs="仿宋_GB2312" w:eastAsia="仿宋_GB2312"/>
                <w:sz w:val="21"/>
              </w:rPr>
              <w:t>+</w:t>
            </w:r>
            <w:r>
              <w:rPr>
                <w:rFonts w:ascii="仿宋_GB2312" w:hAnsi="仿宋_GB2312" w:cs="仿宋_GB2312" w:eastAsia="仿宋_GB2312"/>
                <w:sz w:val="21"/>
              </w:rPr>
              <w:t>流量爆破</w:t>
            </w:r>
            <w:r>
              <w:rPr>
                <w:rFonts w:ascii="仿宋_GB2312" w:hAnsi="仿宋_GB2312" w:cs="仿宋_GB2312" w:eastAsia="仿宋_GB2312"/>
                <w:sz w:val="21"/>
              </w:rPr>
              <w:t>+</w:t>
            </w:r>
            <w:r>
              <w:rPr>
                <w:rFonts w:ascii="仿宋_GB2312" w:hAnsi="仿宋_GB2312" w:cs="仿宋_GB2312" w:eastAsia="仿宋_GB2312"/>
                <w:sz w:val="21"/>
              </w:rPr>
              <w:t xml:space="preserve">长效转化”四位一体策略，构建全域沉浸式文商旅融合生态。实现路径：    </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非遗见社区——以博物馆级工坊体验</w:t>
            </w:r>
            <w:r>
              <w:rPr>
                <w:rFonts w:ascii="仿宋_GB2312" w:hAnsi="仿宋_GB2312" w:cs="仿宋_GB2312" w:eastAsia="仿宋_GB2312"/>
                <w:sz w:val="21"/>
              </w:rPr>
              <w:t>+</w:t>
            </w:r>
            <w:r>
              <w:rPr>
                <w:rFonts w:ascii="仿宋_GB2312" w:hAnsi="仿宋_GB2312" w:cs="仿宋_GB2312" w:eastAsia="仿宋_GB2312"/>
                <w:sz w:val="21"/>
              </w:rPr>
              <w:t xml:space="preserve">全民非遗游乐场下沉文化传承，让剪纸擂台、皮影配音成为社区新日常；    </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 xml:space="preserve">国潮见市场——以唐潮艺术狂想夜×品牌共生计划激活消费，用摇滚非遗改编曲、汉服快闪引流百万年轻客群；    </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老字号见活力——以非遗美食周×联名爆款重塑品牌基因，借唐代食肆盲盒、数字藏品打通新消费场景；</w:t>
            </w:r>
          </w:p>
          <w:p>
            <w:pPr>
              <w:pStyle w:val="null3"/>
              <w:ind w:firstLine="420"/>
              <w:jc w:val="both"/>
            </w:pPr>
            <w:r>
              <w:rPr>
                <w:rFonts w:ascii="仿宋_GB2312" w:hAnsi="仿宋_GB2312" w:cs="仿宋_GB2312" w:eastAsia="仿宋_GB2312"/>
                <w:sz w:val="21"/>
              </w:rPr>
              <w:t xml:space="preserve">最终达成：    </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文化深度（</w:t>
            </w:r>
            <w:r>
              <w:rPr>
                <w:rFonts w:ascii="仿宋_GB2312" w:hAnsi="仿宋_GB2312" w:cs="仿宋_GB2312" w:eastAsia="仿宋_GB2312"/>
                <w:sz w:val="21"/>
              </w:rPr>
              <w:t>1</w:t>
            </w:r>
            <w:r>
              <w:rPr>
                <w:rFonts w:ascii="仿宋_GB2312" w:hAnsi="仿宋_GB2312" w:cs="仿宋_GB2312" w:eastAsia="仿宋_GB2312"/>
                <w:sz w:val="21"/>
              </w:rPr>
              <w:t>万</w:t>
            </w:r>
            <w:r>
              <w:rPr>
                <w:rFonts w:ascii="仿宋_GB2312" w:hAnsi="仿宋_GB2312" w:cs="仿宋_GB2312" w:eastAsia="仿宋_GB2312"/>
                <w:sz w:val="21"/>
              </w:rPr>
              <w:t>+</w:t>
            </w:r>
            <w:r>
              <w:rPr>
                <w:rFonts w:ascii="仿宋_GB2312" w:hAnsi="仿宋_GB2312" w:cs="仿宋_GB2312" w:eastAsia="仿宋_GB2312"/>
                <w:sz w:val="21"/>
              </w:rPr>
              <w:t xml:space="preserve">非遗体验人次）    </w:t>
            </w:r>
          </w:p>
          <w:p>
            <w:pPr>
              <w:pStyle w:val="null3"/>
              <w:jc w:val="both"/>
            </w:pPr>
            <w:r>
              <w:rPr>
                <w:rFonts w:ascii="仿宋_GB2312" w:hAnsi="仿宋_GB2312" w:cs="仿宋_GB2312" w:eastAsia="仿宋_GB2312"/>
                <w:sz w:val="21"/>
              </w:rPr>
              <w:t xml:space="preserve">         2.</w:t>
            </w:r>
            <w:r>
              <w:rPr>
                <w:rFonts w:ascii="仿宋_GB2312" w:hAnsi="仿宋_GB2312" w:cs="仿宋_GB2312" w:eastAsia="仿宋_GB2312"/>
                <w:sz w:val="21"/>
              </w:rPr>
              <w:t xml:space="preserve">经济热度（老字号销售环比增长）    </w:t>
            </w:r>
          </w:p>
          <w:p>
            <w:pPr>
              <w:pStyle w:val="null3"/>
              <w:jc w:val="both"/>
            </w:pPr>
            <w:r>
              <w:rPr>
                <w:rFonts w:ascii="仿宋_GB2312" w:hAnsi="仿宋_GB2312" w:cs="仿宋_GB2312" w:eastAsia="仿宋_GB2312"/>
                <w:sz w:val="21"/>
              </w:rPr>
              <w:t xml:space="preserve">         3.</w:t>
            </w:r>
            <w:r>
              <w:rPr>
                <w:rFonts w:ascii="仿宋_GB2312" w:hAnsi="仿宋_GB2312" w:cs="仿宋_GB2312" w:eastAsia="仿宋_GB2312"/>
                <w:sz w:val="21"/>
              </w:rPr>
              <w:t>传播声量（千万级曝光打造城市</w:t>
            </w:r>
            <w:r>
              <w:rPr>
                <w:rFonts w:ascii="仿宋_GB2312" w:hAnsi="仿宋_GB2312" w:cs="仿宋_GB2312" w:eastAsia="仿宋_GB2312"/>
                <w:sz w:val="21"/>
              </w:rPr>
              <w:t>IP</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活动要求按照“高标准策划、全流程执行、多维度传播”原则，围绕非遗传承、国潮创新、老字号活化三大核心目标，制定实施方案，确保活动安全有序、成效显著。</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服务内容</w:t>
            </w:r>
          </w:p>
          <w:p>
            <w:pPr>
              <w:pStyle w:val="null3"/>
              <w:jc w:val="both"/>
            </w:pPr>
            <w:r>
              <w:rPr>
                <w:rFonts w:ascii="仿宋_GB2312" w:hAnsi="仿宋_GB2312" w:cs="仿宋_GB2312" w:eastAsia="仿宋_GB2312"/>
                <w:sz w:val="21"/>
                <w:b/>
              </w:rPr>
              <w:t>（一）</w:t>
            </w:r>
            <w:r>
              <w:rPr>
                <w:rFonts w:ascii="仿宋_GB2312" w:hAnsi="仿宋_GB2312" w:cs="仿宋_GB2312" w:eastAsia="仿宋_GB2312"/>
                <w:sz w:val="21"/>
                <w:b/>
              </w:rPr>
              <w:t>活动全流程方案</w:t>
            </w:r>
          </w:p>
          <w:tbl>
            <w:tblPr>
              <w:tblBorders>
                <w:top w:val="none" w:color="000000" w:sz="4"/>
                <w:left w:val="none" w:color="000000" w:sz="4"/>
                <w:bottom w:val="none" w:color="000000" w:sz="4"/>
                <w:right w:val="none" w:color="000000" w:sz="4"/>
                <w:insideH w:val="none"/>
                <w:insideV w:val="none"/>
              </w:tblBorders>
            </w:tblPr>
            <w:tblGrid>
              <w:gridCol w:w="472"/>
              <w:gridCol w:w="760"/>
              <w:gridCol w:w="1321"/>
            </w:tblGrid>
            <w:tr>
              <w:tc>
                <w:tcPr>
                  <w:tcW w:type="dxa" w:w="4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招标要求环节</w:t>
                  </w:r>
                </w:p>
              </w:tc>
              <w:tc>
                <w:tcPr>
                  <w:tcW w:type="dxa" w:w="7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对应活动模块及内容</w:t>
                  </w:r>
                </w:p>
              </w:tc>
              <w:tc>
                <w:tcPr>
                  <w:tcW w:type="dxa" w:w="13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执行细则</w:t>
                  </w:r>
                </w:p>
              </w:tc>
            </w:tr>
            <w:tr>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开幕式</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开市盛典·时空启幕</w:t>
                  </w:r>
                </w:p>
              </w:tc>
              <w:tc>
                <w:tcPr>
                  <w:tcW w:type="dxa" w:w="1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百人汉服方阵快闪迎宾 </w:t>
                  </w:r>
                  <w:r>
                    <w:rPr>
                      <w:rFonts w:ascii="仿宋_GB2312" w:hAnsi="仿宋_GB2312" w:cs="仿宋_GB2312" w:eastAsia="仿宋_GB2312"/>
                      <w:sz w:val="21"/>
                    </w:rPr>
                    <w:t xml:space="preserve">+ </w:t>
                  </w:r>
                  <w:r>
                    <w:rPr>
                      <w:rFonts w:ascii="仿宋_GB2312" w:hAnsi="仿宋_GB2312" w:cs="仿宋_GB2312" w:eastAsia="仿宋_GB2312"/>
                      <w:sz w:val="21"/>
                    </w:rPr>
                    <w:t>商务局领导鸣锣</w:t>
                  </w:r>
                </w:p>
                <w:p>
                  <w:pPr>
                    <w:pStyle w:val="null3"/>
                    <w:jc w:val="center"/>
                  </w:pPr>
                  <w:r>
                    <w:rPr>
                      <w:rFonts w:ascii="仿宋_GB2312" w:hAnsi="仿宋_GB2312" w:cs="仿宋_GB2312" w:eastAsia="仿宋_GB2312"/>
                      <w:sz w:val="21"/>
                    </w:rPr>
                    <w:t>非遗传承人现场技艺展示（皮影</w:t>
                  </w:r>
                  <w:r>
                    <w:rPr>
                      <w:rFonts w:ascii="仿宋_GB2312" w:hAnsi="仿宋_GB2312" w:cs="仿宋_GB2312" w:eastAsia="仿宋_GB2312"/>
                      <w:sz w:val="21"/>
                    </w:rPr>
                    <w:t>/</w:t>
                  </w:r>
                  <w:r>
                    <w:rPr>
                      <w:rFonts w:ascii="仿宋_GB2312" w:hAnsi="仿宋_GB2312" w:cs="仿宋_GB2312" w:eastAsia="仿宋_GB2312"/>
                      <w:sz w:val="21"/>
                    </w:rPr>
                    <w:t>秦绣）</w:t>
                  </w:r>
                </w:p>
              </w:tc>
            </w:tr>
            <w:tr>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秦腔之夜</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非遗集市·民艺院</w:t>
                  </w:r>
                </w:p>
              </w:tc>
              <w:tc>
                <w:tcPr>
                  <w:tcW w:type="dxa" w:w="1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秦腔演出 </w:t>
                  </w:r>
                  <w:r>
                    <w:rPr>
                      <w:rFonts w:ascii="仿宋_GB2312" w:hAnsi="仿宋_GB2312" w:cs="仿宋_GB2312" w:eastAsia="仿宋_GB2312"/>
                      <w:sz w:val="21"/>
                    </w:rPr>
                    <w:t xml:space="preserve">+ </w:t>
                  </w:r>
                  <w:r>
                    <w:rPr>
                      <w:rFonts w:ascii="仿宋_GB2312" w:hAnsi="仿宋_GB2312" w:cs="仿宋_GB2312" w:eastAsia="仿宋_GB2312"/>
                      <w:sz w:val="21"/>
                    </w:rPr>
                    <w:t>观众脸谱绘画体验</w:t>
                  </w:r>
                </w:p>
              </w:tc>
            </w:tr>
            <w:tr>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摇滚之夜</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唐潮艺术狂想夜·入夜乐队盛宴</w:t>
                  </w:r>
                </w:p>
              </w:tc>
              <w:tc>
                <w:tcPr>
                  <w:tcW w:type="dxa" w:w="1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西安本土摇滚乐队非遗改编曲专场</w:t>
                  </w:r>
                </w:p>
              </w:tc>
            </w:tr>
            <w:tr>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非遗美食周</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品牌共生计划·唐朝食肆</w:t>
                  </w:r>
                </w:p>
              </w:tc>
              <w:tc>
                <w:tcPr>
                  <w:tcW w:type="dxa" w:w="1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同盛祥等老字号泡馍拉馍秀 </w:t>
                  </w:r>
                  <w:r>
                    <w:rPr>
                      <w:rFonts w:ascii="仿宋_GB2312" w:hAnsi="仿宋_GB2312" w:cs="仿宋_GB2312" w:eastAsia="仿宋_GB2312"/>
                      <w:sz w:val="21"/>
                    </w:rPr>
                    <w:t xml:space="preserve">+ </w:t>
                  </w:r>
                  <w:r>
                    <w:rPr>
                      <w:rFonts w:ascii="仿宋_GB2312" w:hAnsi="仿宋_GB2312" w:cs="仿宋_GB2312" w:eastAsia="仿宋_GB2312"/>
                      <w:sz w:val="21"/>
                    </w:rPr>
                    <w:t>美食盲盒</w:t>
                  </w:r>
                </w:p>
              </w:tc>
            </w:tr>
            <w:tr>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民谣音乐会</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唐潮艺术狂想夜·午后民谣时间</w:t>
                  </w:r>
                </w:p>
              </w:tc>
              <w:tc>
                <w:tcPr>
                  <w:tcW w:type="dxa" w:w="1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方言民谣驻唱 </w:t>
                  </w:r>
                  <w:r>
                    <w:rPr>
                      <w:rFonts w:ascii="仿宋_GB2312" w:hAnsi="仿宋_GB2312" w:cs="仿宋_GB2312" w:eastAsia="仿宋_GB2312"/>
                      <w:sz w:val="21"/>
                    </w:rPr>
                    <w:t xml:space="preserve">+ </w:t>
                  </w:r>
                  <w:r>
                    <w:rPr>
                      <w:rFonts w:ascii="仿宋_GB2312" w:hAnsi="仿宋_GB2312" w:cs="仿宋_GB2312" w:eastAsia="仿宋_GB2312"/>
                      <w:sz w:val="21"/>
                    </w:rPr>
                    <w:t>非遗茯茶茶席体验</w:t>
                  </w:r>
                </w:p>
              </w:tc>
            </w:tr>
          </w:tbl>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宣传推广与品牌传播</w:t>
            </w:r>
          </w:p>
          <w:tbl>
            <w:tblPr>
              <w:tblBorders>
                <w:top w:val="none" w:color="000000" w:sz="4"/>
                <w:left w:val="none" w:color="000000" w:sz="4"/>
                <w:bottom w:val="none" w:color="000000" w:sz="4"/>
                <w:right w:val="none" w:color="000000" w:sz="4"/>
                <w:insideH w:val="none"/>
                <w:insideV w:val="none"/>
              </w:tblBorders>
            </w:tblPr>
            <w:tblGrid>
              <w:gridCol w:w="482"/>
              <w:gridCol w:w="1220"/>
              <w:gridCol w:w="851"/>
            </w:tblGrid>
            <w:tr>
              <w:tc>
                <w:tcPr>
                  <w:tcW w:type="dxa" w:w="4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渠道</w:t>
                  </w:r>
                </w:p>
              </w:tc>
              <w:tc>
                <w:tcPr>
                  <w:tcW w:type="dxa" w:w="12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活动对应内容</w:t>
                  </w:r>
                </w:p>
              </w:tc>
              <w:tc>
                <w:tcPr>
                  <w:tcW w:type="dxa" w:w="8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KPI</w:t>
                  </w:r>
                  <w:r>
                    <w:rPr>
                      <w:rFonts w:ascii="仿宋_GB2312" w:hAnsi="仿宋_GB2312" w:cs="仿宋_GB2312" w:eastAsia="仿宋_GB2312"/>
                      <w:sz w:val="21"/>
                    </w:rPr>
                    <w:t>达标设计</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省市主流媒体</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陕西日报、西安发布、环球网、中国日报等</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r>
                    <w:rPr>
                      <w:rFonts w:ascii="仿宋_GB2312" w:hAnsi="仿宋_GB2312" w:cs="仿宋_GB2312" w:eastAsia="仿宋_GB2312"/>
                      <w:sz w:val="21"/>
                    </w:rPr>
                    <w:t>篇推文（覆盖开幕式</w:t>
                  </w:r>
                  <w:r>
                    <w:rPr>
                      <w:rFonts w:ascii="仿宋_GB2312" w:hAnsi="仿宋_GB2312" w:cs="仿宋_GB2312" w:eastAsia="仿宋_GB2312"/>
                      <w:sz w:val="21"/>
                    </w:rPr>
                    <w:t>/</w:t>
                  </w:r>
                  <w:r>
                    <w:rPr>
                      <w:rFonts w:ascii="仿宋_GB2312" w:hAnsi="仿宋_GB2312" w:cs="仿宋_GB2312" w:eastAsia="仿宋_GB2312"/>
                      <w:sz w:val="21"/>
                    </w:rPr>
                    <w:t>美食周</w:t>
                  </w:r>
                  <w:r>
                    <w:rPr>
                      <w:rFonts w:ascii="仿宋_GB2312" w:hAnsi="仿宋_GB2312" w:cs="仿宋_GB2312" w:eastAsia="仿宋_GB2312"/>
                      <w:sz w:val="21"/>
                    </w:rPr>
                    <w:t>/</w:t>
                  </w:r>
                  <w:r>
                    <w:rPr>
                      <w:rFonts w:ascii="仿宋_GB2312" w:hAnsi="仿宋_GB2312" w:cs="仿宋_GB2312" w:eastAsia="仿宋_GB2312"/>
                      <w:sz w:val="21"/>
                    </w:rPr>
                    <w:t>非遗秀）</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短视频平台</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小红书</w:t>
                  </w:r>
                  <w:r>
                    <w:rPr>
                      <w:rFonts w:ascii="仿宋_GB2312" w:hAnsi="仿宋_GB2312" w:cs="仿宋_GB2312" w:eastAsia="仿宋_GB2312"/>
                      <w:sz w:val="21"/>
                    </w:rPr>
                    <w:t>/</w:t>
                  </w:r>
                  <w:r>
                    <w:rPr>
                      <w:rFonts w:ascii="仿宋_GB2312" w:hAnsi="仿宋_GB2312" w:cs="仿宋_GB2312" w:eastAsia="仿宋_GB2312"/>
                      <w:sz w:val="21"/>
                    </w:rPr>
                    <w:t>视频号</w:t>
                  </w:r>
                  <w:r>
                    <w:rPr>
                      <w:rFonts w:ascii="仿宋_GB2312" w:hAnsi="仿宋_GB2312" w:cs="仿宋_GB2312" w:eastAsia="仿宋_GB2312"/>
                      <w:sz w:val="21"/>
                    </w:rPr>
                    <w:t>/</w:t>
                  </w:r>
                  <w:r>
                    <w:rPr>
                      <w:rFonts w:ascii="仿宋_GB2312" w:hAnsi="仿宋_GB2312" w:cs="仿宋_GB2312" w:eastAsia="仿宋_GB2312"/>
                      <w:sz w:val="21"/>
                    </w:rPr>
                    <w:t>抖音话题</w:t>
                  </w:r>
                  <w:r>
                    <w:rPr>
                      <w:rFonts w:ascii="仿宋_GB2312" w:hAnsi="仿宋_GB2312" w:cs="仿宋_GB2312" w:eastAsia="仿宋_GB2312"/>
                      <w:sz w:val="21"/>
                    </w:rPr>
                    <w:t>#</w:t>
                  </w:r>
                  <w:r>
                    <w:rPr>
                      <w:rFonts w:ascii="仿宋_GB2312" w:hAnsi="仿宋_GB2312" w:cs="仿宋_GB2312" w:eastAsia="仿宋_GB2312"/>
                      <w:sz w:val="21"/>
                    </w:rPr>
                    <w:t>西安非遗国潮</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发起“西市妆造大赛”（达人引流）→参与量</w:t>
                  </w:r>
                  <w:r>
                    <w:rPr>
                      <w:rFonts w:ascii="仿宋_GB2312" w:hAnsi="仿宋_GB2312" w:cs="仿宋_GB2312" w:eastAsia="仿宋_GB2312"/>
                      <w:sz w:val="21"/>
                    </w:rPr>
                    <w:t>500</w:t>
                  </w:r>
                  <w:r>
                    <w:rPr>
                      <w:rFonts w:ascii="仿宋_GB2312" w:hAnsi="仿宋_GB2312" w:cs="仿宋_GB2312" w:eastAsia="仿宋_GB2312"/>
                      <w:sz w:val="21"/>
                    </w:rPr>
                    <w:t>万</w:t>
                  </w:r>
                  <w:r>
                    <w:rPr>
                      <w:rFonts w:ascii="仿宋_GB2312" w:hAnsi="仿宋_GB2312" w:cs="仿宋_GB2312" w:eastAsia="仿宋_GB2312"/>
                      <w:sz w:val="21"/>
                    </w:rPr>
                    <w:t>+</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垂直媒体</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非遗保护网发布《非遗消费白皮书》</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深度解读“西市文牒通关计划”转化数据</w:t>
                  </w:r>
                </w:p>
              </w:tc>
            </w:tr>
          </w:tbl>
          <w:p>
            <w:pPr>
              <w:pStyle w:val="null3"/>
              <w:jc w:val="both"/>
            </w:pPr>
            <w:r>
              <w:rPr>
                <w:rFonts w:ascii="仿宋_GB2312" w:hAnsi="仿宋_GB2312" w:cs="仿宋_GB2312" w:eastAsia="仿宋_GB2312"/>
                <w:sz w:val="21"/>
              </w:rPr>
              <w:t>视觉与素材制作</w:t>
            </w:r>
          </w:p>
          <w:p>
            <w:pPr>
              <w:pStyle w:val="null3"/>
              <w:jc w:val="both"/>
            </w:pPr>
            <w:r>
              <w:rPr>
                <w:rFonts w:ascii="仿宋_GB2312" w:hAnsi="仿宋_GB2312" w:cs="仿宋_GB2312" w:eastAsia="仿宋_GB2312"/>
                <w:sz w:val="21"/>
              </w:rPr>
              <w:t>主</w:t>
            </w:r>
            <w:r>
              <w:rPr>
                <w:rFonts w:ascii="仿宋_GB2312" w:hAnsi="仿宋_GB2312" w:cs="仿宋_GB2312" w:eastAsia="仿宋_GB2312"/>
                <w:sz w:val="21"/>
              </w:rPr>
              <w:t>KV</w:t>
            </w:r>
            <w:r>
              <w:rPr>
                <w:rFonts w:ascii="仿宋_GB2312" w:hAnsi="仿宋_GB2312" w:cs="仿宋_GB2312" w:eastAsia="仿宋_GB2312"/>
                <w:sz w:val="21"/>
              </w:rPr>
              <w:t>设计：盛唐朱金</w:t>
            </w:r>
            <w:r>
              <w:rPr>
                <w:rFonts w:ascii="仿宋_GB2312" w:hAnsi="仿宋_GB2312" w:cs="仿宋_GB2312" w:eastAsia="仿宋_GB2312"/>
                <w:sz w:val="21"/>
              </w:rPr>
              <w:t>+</w:t>
            </w:r>
            <w:r>
              <w:rPr>
                <w:rFonts w:ascii="仿宋_GB2312" w:hAnsi="仿宋_GB2312" w:cs="仿宋_GB2312" w:eastAsia="仿宋_GB2312"/>
                <w:sz w:val="21"/>
              </w:rPr>
              <w:t>皮影纹样</w:t>
            </w:r>
            <w:r>
              <w:rPr>
                <w:rFonts w:ascii="仿宋_GB2312" w:hAnsi="仿宋_GB2312" w:cs="仿宋_GB2312" w:eastAsia="仿宋_GB2312"/>
                <w:sz w:val="21"/>
              </w:rPr>
              <w:t>+</w:t>
            </w:r>
            <w:r>
              <w:rPr>
                <w:rFonts w:ascii="仿宋_GB2312" w:hAnsi="仿宋_GB2312" w:cs="仿宋_GB2312" w:eastAsia="仿宋_GB2312"/>
                <w:sz w:val="21"/>
              </w:rPr>
              <w:t>国潮插画</w:t>
            </w:r>
          </w:p>
          <w:p>
            <w:pPr>
              <w:pStyle w:val="null3"/>
              <w:jc w:val="both"/>
            </w:pPr>
            <w:r>
              <w:rPr>
                <w:rFonts w:ascii="仿宋_GB2312" w:hAnsi="仿宋_GB2312" w:cs="仿宋_GB2312" w:eastAsia="仿宋_GB2312"/>
                <w:sz w:val="21"/>
              </w:rPr>
              <w:t>短视频：</w:t>
            </w:r>
          </w:p>
          <w:p>
            <w:pPr>
              <w:pStyle w:val="null3"/>
              <w:jc w:val="both"/>
            </w:pPr>
            <w:r>
              <w:rPr>
                <w:rFonts w:ascii="仿宋_GB2312" w:hAnsi="仿宋_GB2312" w:cs="仿宋_GB2312" w:eastAsia="仿宋_GB2312"/>
                <w:sz w:val="21"/>
              </w:rPr>
              <w:t>30</w:t>
            </w:r>
            <w:r>
              <w:rPr>
                <w:rFonts w:ascii="仿宋_GB2312" w:hAnsi="仿宋_GB2312" w:cs="仿宋_GB2312" w:eastAsia="仿宋_GB2312"/>
                <w:sz w:val="21"/>
              </w:rPr>
              <w:t>秒预热片×</w:t>
            </w:r>
            <w:r>
              <w:rPr>
                <w:rFonts w:ascii="仿宋_GB2312" w:hAnsi="仿宋_GB2312" w:cs="仿宋_GB2312" w:eastAsia="仿宋_GB2312"/>
                <w:sz w:val="21"/>
              </w:rPr>
              <w:t>5</w:t>
            </w:r>
            <w:r>
              <w:rPr>
                <w:rFonts w:ascii="仿宋_GB2312" w:hAnsi="仿宋_GB2312" w:cs="仿宋_GB2312" w:eastAsia="仿宋_GB2312"/>
                <w:sz w:val="21"/>
              </w:rPr>
              <w:t>条（汉服快闪</w:t>
            </w:r>
            <w:r>
              <w:rPr>
                <w:rFonts w:ascii="仿宋_GB2312" w:hAnsi="仿宋_GB2312" w:cs="仿宋_GB2312" w:eastAsia="仿宋_GB2312"/>
                <w:sz w:val="21"/>
              </w:rPr>
              <w:t>+</w:t>
            </w:r>
            <w:r>
              <w:rPr>
                <w:rFonts w:ascii="仿宋_GB2312" w:hAnsi="仿宋_GB2312" w:cs="仿宋_GB2312" w:eastAsia="仿宋_GB2312"/>
                <w:sz w:val="21"/>
              </w:rPr>
              <w:t>乐队燃剪</w:t>
            </w:r>
            <w:r>
              <w:rPr>
                <w:rFonts w:ascii="仿宋_GB2312" w:hAnsi="仿宋_GB2312" w:cs="仿宋_GB2312" w:eastAsia="仿宋_GB2312"/>
                <w:sz w:val="21"/>
              </w:rPr>
              <w:t>+</w:t>
            </w:r>
            <w:r>
              <w:rPr>
                <w:rFonts w:ascii="仿宋_GB2312" w:hAnsi="仿宋_GB2312" w:cs="仿宋_GB2312" w:eastAsia="仿宋_GB2312"/>
                <w:sz w:val="21"/>
              </w:rPr>
              <w:t>非遗手作特写）</w:t>
            </w:r>
          </w:p>
          <w:p>
            <w:pPr>
              <w:pStyle w:val="null3"/>
              <w:jc w:val="both"/>
            </w:pPr>
            <w:r>
              <w:rPr>
                <w:rFonts w:ascii="仿宋_GB2312" w:hAnsi="仿宋_GB2312" w:cs="仿宋_GB2312" w:eastAsia="仿宋_GB2312"/>
                <w:sz w:val="21"/>
              </w:rPr>
              <w:t>直播技术：多机位切换</w:t>
            </w:r>
            <w:r>
              <w:rPr>
                <w:rFonts w:ascii="仿宋_GB2312" w:hAnsi="仿宋_GB2312" w:cs="仿宋_GB2312" w:eastAsia="仿宋_GB2312"/>
                <w:sz w:val="21"/>
              </w:rPr>
              <w:t xml:space="preserve">+ </w:t>
            </w:r>
            <w:r>
              <w:rPr>
                <w:rFonts w:ascii="仿宋_GB2312" w:hAnsi="仿宋_GB2312" w:cs="仿宋_GB2312" w:eastAsia="仿宋_GB2312"/>
                <w:sz w:val="21"/>
              </w:rPr>
              <w:t>实时弹幕互动</w:t>
            </w:r>
          </w:p>
          <w:p>
            <w:pPr>
              <w:pStyle w:val="null3"/>
              <w:jc w:val="both"/>
            </w:pPr>
            <w:r>
              <w:rPr>
                <w:rFonts w:ascii="仿宋_GB2312" w:hAnsi="仿宋_GB2312" w:cs="仿宋_GB2312" w:eastAsia="仿宋_GB2312"/>
                <w:sz w:val="21"/>
              </w:rPr>
              <w:t>直播回放：精华版剪辑</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技术要求</w:t>
            </w:r>
          </w:p>
          <w:tbl>
            <w:tblPr>
              <w:tblBorders>
                <w:top w:val="none" w:color="000000" w:sz="4"/>
                <w:left w:val="none" w:color="000000" w:sz="4"/>
                <w:bottom w:val="none" w:color="000000" w:sz="4"/>
                <w:right w:val="none" w:color="000000" w:sz="4"/>
                <w:insideH w:val="none"/>
                <w:insideV w:val="none"/>
              </w:tblBorders>
            </w:tblPr>
            <w:tblGrid>
              <w:gridCol w:w="545"/>
              <w:gridCol w:w="1157"/>
              <w:gridCol w:w="851"/>
            </w:tblGrid>
            <w:tr>
              <w:tc>
                <w:tcPr>
                  <w:tcW w:type="dxa" w:w="5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展位规格</w:t>
                  </w:r>
                </w:p>
              </w:tc>
              <w:tc>
                <w:tcPr>
                  <w:tcW w:type="dxa" w:w="11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w:t>
                  </w:r>
                  <w:r>
                    <w:rPr>
                      <w:rFonts w:ascii="仿宋_GB2312" w:hAnsi="仿宋_GB2312" w:cs="仿宋_GB2312" w:eastAsia="仿宋_GB2312"/>
                      <w:sz w:val="21"/>
                    </w:rPr>
                    <w:t>个标准展位（</w:t>
                  </w:r>
                  <w:r>
                    <w:rPr>
                      <w:rFonts w:ascii="仿宋_GB2312" w:hAnsi="仿宋_GB2312" w:cs="仿宋_GB2312" w:eastAsia="仿宋_GB2312"/>
                      <w:sz w:val="21"/>
                    </w:rPr>
                    <w:t>3m</w:t>
                  </w:r>
                  <w:r>
                    <w:rPr>
                      <w:rFonts w:ascii="仿宋_GB2312" w:hAnsi="仿宋_GB2312" w:cs="仿宋_GB2312" w:eastAsia="仿宋_GB2312"/>
                      <w:sz w:val="21"/>
                    </w:rPr>
                    <w:t>×</w:t>
                  </w:r>
                  <w:r>
                    <w:rPr>
                      <w:rFonts w:ascii="仿宋_GB2312" w:hAnsi="仿宋_GB2312" w:cs="仿宋_GB2312" w:eastAsia="仿宋_GB2312"/>
                      <w:sz w:val="21"/>
                    </w:rPr>
                    <w:t>3m</w:t>
                  </w:r>
                  <w:r>
                    <w:rPr>
                      <w:rFonts w:ascii="仿宋_GB2312" w:hAnsi="仿宋_GB2312" w:cs="仿宋_GB2312" w:eastAsia="仿宋_GB2312"/>
                      <w:sz w:val="21"/>
                    </w:rPr>
                    <w:t>）</w:t>
                  </w:r>
                </w:p>
              </w:tc>
              <w:tc>
                <w:tcPr>
                  <w:tcW w:type="dxa" w:w="8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分设鉴宝院</w:t>
                  </w:r>
                  <w:r>
                    <w:rPr>
                      <w:rFonts w:ascii="仿宋_GB2312" w:hAnsi="仿宋_GB2312" w:cs="仿宋_GB2312" w:eastAsia="仿宋_GB2312"/>
                      <w:sz w:val="21"/>
                    </w:rPr>
                    <w:t>/</w:t>
                  </w:r>
                  <w:r>
                    <w:rPr>
                      <w:rFonts w:ascii="仿宋_GB2312" w:hAnsi="仿宋_GB2312" w:cs="仿宋_GB2312" w:eastAsia="仿宋_GB2312"/>
                      <w:sz w:val="21"/>
                    </w:rPr>
                    <w:t>民艺院</w:t>
                  </w:r>
                  <w:r>
                    <w:rPr>
                      <w:rFonts w:ascii="仿宋_GB2312" w:hAnsi="仿宋_GB2312" w:cs="仿宋_GB2312" w:eastAsia="仿宋_GB2312"/>
                      <w:sz w:val="21"/>
                    </w:rPr>
                    <w:t>/</w:t>
                  </w:r>
                  <w:r>
                    <w:rPr>
                      <w:rFonts w:ascii="仿宋_GB2312" w:hAnsi="仿宋_GB2312" w:cs="仿宋_GB2312" w:eastAsia="仿宋_GB2312"/>
                      <w:sz w:val="21"/>
                    </w:rPr>
                    <w:t>造物院三区</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非遗物料包</w:t>
                  </w: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皮影雕刻套组（牛皮胚</w:t>
                  </w:r>
                  <w:r>
                    <w:rPr>
                      <w:rFonts w:ascii="仿宋_GB2312" w:hAnsi="仿宋_GB2312" w:cs="仿宋_GB2312" w:eastAsia="仿宋_GB2312"/>
                      <w:sz w:val="21"/>
                    </w:rPr>
                    <w:t>+</w:t>
                  </w:r>
                  <w:r>
                    <w:rPr>
                      <w:rFonts w:ascii="仿宋_GB2312" w:hAnsi="仿宋_GB2312" w:cs="仿宋_GB2312" w:eastAsia="仿宋_GB2312"/>
                      <w:sz w:val="21"/>
                    </w:rPr>
                    <w:t>刻刀）</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500</w:t>
                  </w:r>
                  <w:r>
                    <w:rPr>
                      <w:rFonts w:ascii="仿宋_GB2312" w:hAnsi="仿宋_GB2312" w:cs="仿宋_GB2312" w:eastAsia="仿宋_GB2312"/>
                      <w:sz w:val="21"/>
                    </w:rPr>
                    <w:t>套；脸谱绘画胚体</w:t>
                  </w:r>
                  <w:r>
                    <w:rPr>
                      <w:rFonts w:ascii="仿宋_GB2312" w:hAnsi="仿宋_GB2312" w:cs="仿宋_GB2312" w:eastAsia="仿宋_GB2312"/>
                      <w:sz w:val="21"/>
                    </w:rPr>
                    <w:t>+</w:t>
                  </w:r>
                  <w:r>
                    <w:rPr>
                      <w:rFonts w:ascii="仿宋_GB2312" w:hAnsi="仿宋_GB2312" w:cs="仿宋_GB2312" w:eastAsia="仿宋_GB2312"/>
                      <w:sz w:val="21"/>
                    </w:rPr>
                    <w:t>食用级彩绘笔</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短视频算法适配</w:t>
                  </w: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竖版</w:t>
                  </w:r>
                  <w:r>
                    <w:rPr>
                      <w:rFonts w:ascii="仿宋_GB2312" w:hAnsi="仿宋_GB2312" w:cs="仿宋_GB2312" w:eastAsia="仿宋_GB2312"/>
                      <w:sz w:val="21"/>
                    </w:rPr>
                    <w:t>15</w:t>
                  </w:r>
                  <w:r>
                    <w:rPr>
                      <w:rFonts w:ascii="仿宋_GB2312" w:hAnsi="仿宋_GB2312" w:cs="仿宋_GB2312" w:eastAsia="仿宋_GB2312"/>
                      <w:sz w:val="21"/>
                    </w:rPr>
                    <w:t>秒短视频（汉服快闪</w:t>
                  </w:r>
                  <w:r>
                    <w:rPr>
                      <w:rFonts w:ascii="仿宋_GB2312" w:hAnsi="仿宋_GB2312" w:cs="仿宋_GB2312" w:eastAsia="仿宋_GB2312"/>
                      <w:sz w:val="21"/>
                    </w:rPr>
                    <w:t>/</w:t>
                  </w:r>
                  <w:r>
                    <w:rPr>
                      <w:rFonts w:ascii="仿宋_GB2312" w:hAnsi="仿宋_GB2312" w:cs="仿宋_GB2312" w:eastAsia="仿宋_GB2312"/>
                      <w:sz w:val="21"/>
                    </w:rPr>
                    <w:t>非遗美食）</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添加</w:t>
                  </w:r>
                  <w:r>
                    <w:rPr>
                      <w:rFonts w:ascii="仿宋_GB2312" w:hAnsi="仿宋_GB2312" w:cs="仿宋_GB2312" w:eastAsia="仿宋_GB2312"/>
                      <w:sz w:val="21"/>
                    </w:rPr>
                    <w:t>#</w:t>
                  </w:r>
                  <w:r>
                    <w:rPr>
                      <w:rFonts w:ascii="仿宋_GB2312" w:hAnsi="仿宋_GB2312" w:cs="仿宋_GB2312" w:eastAsia="仿宋_GB2312"/>
                      <w:sz w:val="21"/>
                    </w:rPr>
                    <w:t>非遗新体验标签，投</w:t>
                  </w:r>
                  <w:r>
                    <w:rPr>
                      <w:rFonts w:ascii="仿宋_GB2312" w:hAnsi="仿宋_GB2312" w:cs="仿宋_GB2312" w:eastAsia="仿宋_GB2312"/>
                      <w:sz w:val="21"/>
                    </w:rPr>
                    <w:t>DOU+</w:t>
                  </w:r>
                  <w:r>
                    <w:rPr>
                      <w:rFonts w:ascii="仿宋_GB2312" w:hAnsi="仿宋_GB2312" w:cs="仿宋_GB2312" w:eastAsia="仿宋_GB2312"/>
                      <w:sz w:val="21"/>
                    </w:rPr>
                    <w:t>精准流量</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直播多机位</w:t>
                  </w: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r>
                    <w:rPr>
                      <w:rFonts w:ascii="仿宋_GB2312" w:hAnsi="仿宋_GB2312" w:cs="仿宋_GB2312" w:eastAsia="仿宋_GB2312"/>
                      <w:sz w:val="21"/>
                    </w:rPr>
                    <w:t>机位部署（舞台全景</w:t>
                  </w:r>
                  <w:r>
                    <w:rPr>
                      <w:rFonts w:ascii="仿宋_GB2312" w:hAnsi="仿宋_GB2312" w:cs="仿宋_GB2312" w:eastAsia="仿宋_GB2312"/>
                      <w:sz w:val="21"/>
                    </w:rPr>
                    <w:t>+</w:t>
                  </w:r>
                  <w:r>
                    <w:rPr>
                      <w:rFonts w:ascii="仿宋_GB2312" w:hAnsi="仿宋_GB2312" w:cs="仿宋_GB2312" w:eastAsia="仿宋_GB2312"/>
                      <w:sz w:val="21"/>
                    </w:rPr>
                    <w:t>工坊近景</w:t>
                  </w:r>
                  <w:r>
                    <w:rPr>
                      <w:rFonts w:ascii="仿宋_GB2312" w:hAnsi="仿宋_GB2312" w:cs="仿宋_GB2312" w:eastAsia="仿宋_GB2312"/>
                      <w:sz w:val="21"/>
                    </w:rPr>
                    <w:t>+</w:t>
                  </w:r>
                  <w:r>
                    <w:rPr>
                      <w:rFonts w:ascii="仿宋_GB2312" w:hAnsi="仿宋_GB2312" w:cs="仿宋_GB2312" w:eastAsia="仿宋_GB2312"/>
                      <w:sz w:val="21"/>
                    </w:rPr>
                    <w:t>观众互动）</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支持弹幕点播回切镜头</w:t>
                  </w:r>
                </w:p>
              </w:tc>
            </w:tr>
          </w:tbl>
          <w:p>
            <w:pPr>
              <w:pStyle w:val="null3"/>
              <w:jc w:val="both"/>
            </w:pPr>
            <w:r>
              <w:rPr>
                <w:rFonts w:ascii="仿宋_GB2312" w:hAnsi="仿宋_GB2312" w:cs="仿宋_GB2312" w:eastAsia="仿宋_GB2312"/>
                <w:sz w:val="21"/>
              </w:rPr>
              <w:t>四、服务要求</w:t>
            </w:r>
          </w:p>
          <w:p>
            <w:pPr>
              <w:pStyle w:val="null3"/>
              <w:jc w:val="both"/>
            </w:pPr>
            <w:r>
              <w:rPr>
                <w:rFonts w:ascii="仿宋_GB2312" w:hAnsi="仿宋_GB2312" w:cs="仿宋_GB2312" w:eastAsia="仿宋_GB2312"/>
                <w:sz w:val="21"/>
              </w:rPr>
              <w:t>（一）人员配置</w:t>
            </w:r>
          </w:p>
          <w:p>
            <w:pPr>
              <w:pStyle w:val="null3"/>
              <w:jc w:val="both"/>
            </w:pPr>
            <w:r>
              <w:rPr>
                <w:rFonts w:ascii="仿宋_GB2312" w:hAnsi="仿宋_GB2312" w:cs="仿宋_GB2312" w:eastAsia="仿宋_GB2312"/>
                <w:sz w:val="21"/>
              </w:rPr>
              <w:t>配备活动总控团队（含策划、执行、宣传负责人各</w:t>
            </w:r>
            <w:r>
              <w:rPr>
                <w:rFonts w:ascii="仿宋_GB2312" w:hAnsi="仿宋_GB2312" w:cs="仿宋_GB2312" w:eastAsia="仿宋_GB2312"/>
                <w:sz w:val="21"/>
              </w:rPr>
              <w:t>1</w:t>
            </w:r>
            <w:r>
              <w:rPr>
                <w:rFonts w:ascii="仿宋_GB2312" w:hAnsi="仿宋_GB2312" w:cs="仿宋_GB2312" w:eastAsia="仿宋_GB2312"/>
                <w:sz w:val="21"/>
              </w:rPr>
              <w:t>名），现场执行人员不少于</w:t>
            </w:r>
            <w:r>
              <w:rPr>
                <w:rFonts w:ascii="仿宋_GB2312" w:hAnsi="仿宋_GB2312" w:cs="仿宋_GB2312" w:eastAsia="仿宋_GB2312"/>
                <w:sz w:val="21"/>
              </w:rPr>
              <w:t>10</w:t>
            </w:r>
            <w:r>
              <w:rPr>
                <w:rFonts w:ascii="仿宋_GB2312" w:hAnsi="仿宋_GB2312" w:cs="仿宋_GB2312" w:eastAsia="仿宋_GB2312"/>
                <w:sz w:val="21"/>
              </w:rPr>
              <w:t>人。</w:t>
            </w:r>
          </w:p>
          <w:p>
            <w:pPr>
              <w:pStyle w:val="null3"/>
              <w:jc w:val="both"/>
            </w:pPr>
            <w:r>
              <w:rPr>
                <w:rFonts w:ascii="仿宋_GB2312" w:hAnsi="仿宋_GB2312" w:cs="仿宋_GB2312" w:eastAsia="仿宋_GB2312"/>
                <w:sz w:val="21"/>
              </w:rPr>
              <w:t>主持人需具备政府活动经验，安保团队需持有专业资质。</w:t>
            </w:r>
          </w:p>
          <w:p>
            <w:pPr>
              <w:pStyle w:val="null3"/>
              <w:jc w:val="both"/>
            </w:pPr>
            <w:r>
              <w:rPr>
                <w:rFonts w:ascii="仿宋_GB2312" w:hAnsi="仿宋_GB2312" w:cs="仿宋_GB2312" w:eastAsia="仿宋_GB2312"/>
                <w:sz w:val="21"/>
              </w:rPr>
              <w:t>（二）服务标准</w:t>
            </w:r>
          </w:p>
          <w:p>
            <w:pPr>
              <w:pStyle w:val="null3"/>
              <w:jc w:val="both"/>
            </w:pPr>
            <w:r>
              <w:rPr>
                <w:rFonts w:ascii="仿宋_GB2312" w:hAnsi="仿宋_GB2312" w:cs="仿宋_GB2312" w:eastAsia="仿宋_GB2312"/>
                <w:sz w:val="21"/>
              </w:rPr>
              <w:t>活动前需提交完整方案及应急预案，事中每日提交执行日报，事后</w:t>
            </w:r>
            <w:r>
              <w:rPr>
                <w:rFonts w:ascii="仿宋_GB2312" w:hAnsi="仿宋_GB2312" w:cs="仿宋_GB2312" w:eastAsia="仿宋_GB2312"/>
                <w:sz w:val="21"/>
              </w:rPr>
              <w:t>3</w:t>
            </w:r>
            <w:r>
              <w:rPr>
                <w:rFonts w:ascii="仿宋_GB2312" w:hAnsi="仿宋_GB2312" w:cs="仿宋_GB2312" w:eastAsia="仿宋_GB2312"/>
                <w:sz w:val="21"/>
              </w:rPr>
              <w:t>日内提交总结报告。</w:t>
            </w:r>
          </w:p>
          <w:p>
            <w:pPr>
              <w:pStyle w:val="null3"/>
              <w:jc w:val="both"/>
            </w:pPr>
            <w:r>
              <w:rPr>
                <w:rFonts w:ascii="仿宋_GB2312" w:hAnsi="仿宋_GB2312" w:cs="仿宋_GB2312" w:eastAsia="仿宋_GB2312"/>
                <w:sz w:val="21"/>
              </w:rPr>
              <w:t>宣传曝光量达标率≥</w:t>
            </w:r>
            <w:r>
              <w:rPr>
                <w:rFonts w:ascii="仿宋_GB2312" w:hAnsi="仿宋_GB2312" w:cs="仿宋_GB2312" w:eastAsia="仿宋_GB2312"/>
                <w:sz w:val="21"/>
              </w:rPr>
              <w:t>90%</w:t>
            </w:r>
            <w:r>
              <w:rPr>
                <w:rFonts w:ascii="仿宋_GB2312" w:hAnsi="仿宋_GB2312" w:cs="仿宋_GB2312" w:eastAsia="仿宋_GB2312"/>
                <w:sz w:val="21"/>
              </w:rPr>
              <w:t>，活动现场安全事故率为零。</w:t>
            </w:r>
          </w:p>
          <w:p>
            <w:pPr>
              <w:pStyle w:val="null3"/>
              <w:jc w:val="both"/>
            </w:pPr>
            <w:r>
              <w:rPr>
                <w:rFonts w:ascii="仿宋_GB2312" w:hAnsi="仿宋_GB2312" w:cs="仿宋_GB2312" w:eastAsia="仿宋_GB2312"/>
                <w:sz w:val="21"/>
              </w:rPr>
              <w:t>（三）质量保障</w:t>
            </w:r>
          </w:p>
          <w:p>
            <w:pPr>
              <w:pStyle w:val="null3"/>
              <w:jc w:val="both"/>
            </w:pPr>
            <w:r>
              <w:rPr>
                <w:rFonts w:ascii="仿宋_GB2312" w:hAnsi="仿宋_GB2312" w:cs="仿宋_GB2312" w:eastAsia="仿宋_GB2312"/>
                <w:sz w:val="21"/>
              </w:rPr>
              <w:t>供应商需配合完成活动前调研（覆盖</w:t>
            </w:r>
            <w:r>
              <w:rPr>
                <w:rFonts w:ascii="仿宋_GB2312" w:hAnsi="仿宋_GB2312" w:cs="仿宋_GB2312" w:eastAsia="仿宋_GB2312"/>
                <w:sz w:val="21"/>
              </w:rPr>
              <w:t>500</w:t>
            </w:r>
            <w:r>
              <w:rPr>
                <w:rFonts w:ascii="仿宋_GB2312" w:hAnsi="仿宋_GB2312" w:cs="仿宋_GB2312" w:eastAsia="仿宋_GB2312"/>
                <w:sz w:val="21"/>
              </w:rPr>
              <w:t>名市民</w:t>
            </w:r>
            <w:r>
              <w:rPr>
                <w:rFonts w:ascii="仿宋_GB2312" w:hAnsi="仿宋_GB2312" w:cs="仿宋_GB2312" w:eastAsia="仿宋_GB2312"/>
                <w:sz w:val="21"/>
              </w:rPr>
              <w:t>/</w:t>
            </w:r>
            <w:r>
              <w:rPr>
                <w:rFonts w:ascii="仿宋_GB2312" w:hAnsi="仿宋_GB2312" w:cs="仿宋_GB2312" w:eastAsia="仿宋_GB2312"/>
                <w:sz w:val="21"/>
              </w:rPr>
              <w:t>游客需求）、事中数据监测、事后效果评估。</w:t>
            </w:r>
          </w:p>
          <w:p>
            <w:pPr>
              <w:pStyle w:val="null3"/>
              <w:jc w:val="both"/>
            </w:pPr>
            <w:r>
              <w:rPr>
                <w:rFonts w:ascii="仿宋_GB2312" w:hAnsi="仿宋_GB2312" w:cs="仿宋_GB2312" w:eastAsia="仿宋_GB2312"/>
                <w:sz w:val="21"/>
              </w:rPr>
              <w:t>五、商务要求</w:t>
            </w:r>
          </w:p>
          <w:p>
            <w:pPr>
              <w:pStyle w:val="null3"/>
              <w:jc w:val="both"/>
            </w:pPr>
            <w:r>
              <w:rPr>
                <w:rFonts w:ascii="仿宋_GB2312" w:hAnsi="仿宋_GB2312" w:cs="仿宋_GB2312" w:eastAsia="仿宋_GB2312"/>
                <w:sz w:val="21"/>
              </w:rPr>
              <w:t>（一）服务期限</w:t>
            </w:r>
          </w:p>
          <w:p>
            <w:pPr>
              <w:pStyle w:val="null3"/>
              <w:jc w:val="both"/>
            </w:pPr>
            <w:r>
              <w:rPr>
                <w:rFonts w:ascii="仿宋_GB2312" w:hAnsi="仿宋_GB2312" w:cs="仿宋_GB2312" w:eastAsia="仿宋_GB2312"/>
                <w:sz w:val="21"/>
              </w:rPr>
              <w:t>合同签订之日起至</w:t>
            </w:r>
            <w:r>
              <w:rPr>
                <w:rFonts w:ascii="仿宋_GB2312" w:hAnsi="仿宋_GB2312" w:cs="仿宋_GB2312" w:eastAsia="仿宋_GB2312"/>
                <w:sz w:val="21"/>
              </w:rPr>
              <w:t>2025</w:t>
            </w:r>
            <w:r>
              <w:rPr>
                <w:rFonts w:ascii="仿宋_GB2312" w:hAnsi="仿宋_GB2312" w:cs="仿宋_GB2312" w:eastAsia="仿宋_GB2312"/>
                <w:sz w:val="21"/>
              </w:rPr>
              <w:t>年</w:t>
            </w:r>
            <w:r>
              <w:rPr>
                <w:rFonts w:ascii="仿宋_GB2312" w:hAnsi="仿宋_GB2312" w:cs="仿宋_GB2312" w:eastAsia="仿宋_GB2312"/>
                <w:sz w:val="21"/>
              </w:rPr>
              <w:t>7</w:t>
            </w:r>
            <w:r>
              <w:rPr>
                <w:rFonts w:ascii="仿宋_GB2312" w:hAnsi="仿宋_GB2312" w:cs="仿宋_GB2312" w:eastAsia="仿宋_GB2312"/>
                <w:sz w:val="21"/>
              </w:rPr>
              <w:t>月</w:t>
            </w:r>
            <w:r>
              <w:rPr>
                <w:rFonts w:ascii="仿宋_GB2312" w:hAnsi="仿宋_GB2312" w:cs="仿宋_GB2312" w:eastAsia="仿宋_GB2312"/>
                <w:sz w:val="21"/>
              </w:rPr>
              <w:t>30</w:t>
            </w:r>
            <w:r>
              <w:rPr>
                <w:rFonts w:ascii="仿宋_GB2312" w:hAnsi="仿宋_GB2312" w:cs="仿宋_GB2312" w:eastAsia="仿宋_GB2312"/>
                <w:sz w:val="21"/>
              </w:rPr>
              <w:t>日止，含活动执行、总结验收及资料归档。</w:t>
            </w:r>
          </w:p>
          <w:p>
            <w:pPr>
              <w:pStyle w:val="null3"/>
              <w:jc w:val="both"/>
            </w:pPr>
            <w:r>
              <w:rPr>
                <w:rFonts w:ascii="仿宋_GB2312" w:hAnsi="仿宋_GB2312" w:cs="仿宋_GB2312" w:eastAsia="仿宋_GB2312"/>
                <w:sz w:val="21"/>
              </w:rPr>
              <w:t>（二）款项结算</w:t>
            </w:r>
          </w:p>
          <w:p>
            <w:pPr>
              <w:pStyle w:val="null3"/>
              <w:jc w:val="both"/>
            </w:pPr>
            <w:r>
              <w:rPr>
                <w:rFonts w:ascii="仿宋_GB2312" w:hAnsi="仿宋_GB2312" w:cs="仿宋_GB2312" w:eastAsia="仿宋_GB2312"/>
                <w:sz w:val="21"/>
              </w:rPr>
              <w:t>合同签订后，供应商向采购方开具等额的增值税普通发票，采购方收到合规的发票，达到付款条件后</w:t>
            </w:r>
            <w:r>
              <w:rPr>
                <w:rFonts w:ascii="仿宋_GB2312" w:hAnsi="仿宋_GB2312" w:cs="仿宋_GB2312" w:eastAsia="仿宋_GB2312"/>
                <w:sz w:val="21"/>
              </w:rPr>
              <w:t>15</w:t>
            </w:r>
            <w:r>
              <w:rPr>
                <w:rFonts w:ascii="仿宋_GB2312" w:hAnsi="仿宋_GB2312" w:cs="仿宋_GB2312" w:eastAsia="仿宋_GB2312"/>
                <w:sz w:val="21"/>
              </w:rPr>
              <w:t>个工作日内向乙方支付合同金额的</w:t>
            </w:r>
            <w:r>
              <w:rPr>
                <w:rFonts w:ascii="仿宋_GB2312" w:hAnsi="仿宋_GB2312" w:cs="仿宋_GB2312" w:eastAsia="仿宋_GB2312"/>
                <w:sz w:val="21"/>
              </w:rPr>
              <w:t>50%</w:t>
            </w:r>
            <w:r>
              <w:rPr>
                <w:rFonts w:ascii="仿宋_GB2312" w:hAnsi="仿宋_GB2312" w:cs="仿宋_GB2312" w:eastAsia="仿宋_GB2312"/>
                <w:sz w:val="21"/>
              </w:rPr>
              <w:t>项目资金，剩余</w:t>
            </w:r>
            <w:r>
              <w:rPr>
                <w:rFonts w:ascii="仿宋_GB2312" w:hAnsi="仿宋_GB2312" w:cs="仿宋_GB2312" w:eastAsia="仿宋_GB2312"/>
                <w:sz w:val="21"/>
              </w:rPr>
              <w:t>50%</w:t>
            </w:r>
            <w:r>
              <w:rPr>
                <w:rFonts w:ascii="仿宋_GB2312" w:hAnsi="仿宋_GB2312" w:cs="仿宋_GB2312" w:eastAsia="仿宋_GB2312"/>
                <w:sz w:val="21"/>
              </w:rPr>
              <w:t>，供应商项目执行结束经验收合格后，向采购方开具等额的增值税普通发票。采购方收到合规的发票，达到付款条件后</w:t>
            </w:r>
            <w:r>
              <w:rPr>
                <w:rFonts w:ascii="仿宋_GB2312" w:hAnsi="仿宋_GB2312" w:cs="仿宋_GB2312" w:eastAsia="仿宋_GB2312"/>
                <w:sz w:val="21"/>
              </w:rPr>
              <w:t>15</w:t>
            </w:r>
            <w:r>
              <w:rPr>
                <w:rFonts w:ascii="仿宋_GB2312" w:hAnsi="仿宋_GB2312" w:cs="仿宋_GB2312" w:eastAsia="仿宋_GB2312"/>
                <w:sz w:val="21"/>
              </w:rPr>
              <w:t>个工作日内付清尾款。</w:t>
            </w:r>
          </w:p>
          <w:p>
            <w:pPr>
              <w:pStyle w:val="null3"/>
              <w:jc w:val="both"/>
            </w:pPr>
            <w:r>
              <w:rPr>
                <w:rFonts w:ascii="仿宋_GB2312" w:hAnsi="仿宋_GB2312" w:cs="仿宋_GB2312" w:eastAsia="仿宋_GB2312"/>
                <w:sz w:val="21"/>
              </w:rPr>
              <w:t>六、其他要求</w:t>
            </w:r>
          </w:p>
          <w:p>
            <w:pPr>
              <w:pStyle w:val="null3"/>
              <w:jc w:val="both"/>
            </w:pPr>
            <w:r>
              <w:rPr>
                <w:rFonts w:ascii="仿宋_GB2312" w:hAnsi="仿宋_GB2312" w:cs="仿宋_GB2312" w:eastAsia="仿宋_GB2312"/>
                <w:sz w:val="21"/>
              </w:rPr>
              <w:t>（一）成果交付</w:t>
            </w:r>
          </w:p>
          <w:p>
            <w:pPr>
              <w:pStyle w:val="null3"/>
              <w:jc w:val="both"/>
            </w:pPr>
            <w:r>
              <w:rPr>
                <w:rFonts w:ascii="仿宋_GB2312" w:hAnsi="仿宋_GB2312" w:cs="仿宋_GB2312" w:eastAsia="仿宋_GB2312"/>
                <w:sz w:val="21"/>
              </w:rPr>
              <w:t>活动结束后</w:t>
            </w:r>
            <w:r>
              <w:rPr>
                <w:rFonts w:ascii="仿宋_GB2312" w:hAnsi="仿宋_GB2312" w:cs="仿宋_GB2312" w:eastAsia="仿宋_GB2312"/>
                <w:sz w:val="21"/>
              </w:rPr>
              <w:t>7</w:t>
            </w:r>
            <w:r>
              <w:rPr>
                <w:rFonts w:ascii="仿宋_GB2312" w:hAnsi="仿宋_GB2312" w:cs="仿宋_GB2312" w:eastAsia="仿宋_GB2312"/>
                <w:sz w:val="21"/>
              </w:rPr>
              <w:t>日内提交验收报告（含图文视频资料、媒体传播数据、消费拉动分析）。</w:t>
            </w:r>
          </w:p>
          <w:p>
            <w:pPr>
              <w:pStyle w:val="null3"/>
              <w:jc w:val="both"/>
            </w:pPr>
            <w:r>
              <w:rPr>
                <w:rFonts w:ascii="仿宋_GB2312" w:hAnsi="仿宋_GB2312" w:cs="仿宋_GB2312" w:eastAsia="仿宋_GB2312"/>
                <w:sz w:val="21"/>
              </w:rPr>
              <w:t>（二）验收标准：中标单位在成果交付后</w:t>
            </w:r>
            <w:r>
              <w:rPr>
                <w:rFonts w:ascii="仿宋_GB2312" w:hAnsi="仿宋_GB2312" w:cs="仿宋_GB2312" w:eastAsia="仿宋_GB2312"/>
                <w:sz w:val="21"/>
              </w:rPr>
              <w:t>10</w:t>
            </w:r>
            <w:r>
              <w:rPr>
                <w:rFonts w:ascii="仿宋_GB2312" w:hAnsi="仿宋_GB2312" w:cs="仿宋_GB2312" w:eastAsia="仿宋_GB2312"/>
                <w:sz w:val="21"/>
              </w:rPr>
              <w:t>个工作日内提出验收申请后</w:t>
            </w:r>
            <w:r>
              <w:rPr>
                <w:rFonts w:ascii="仿宋_GB2312" w:hAnsi="仿宋_GB2312" w:cs="仿宋_GB2312" w:eastAsia="仿宋_GB2312"/>
                <w:sz w:val="21"/>
              </w:rPr>
              <w:t>7</w:t>
            </w:r>
            <w:r>
              <w:rPr>
                <w:rFonts w:ascii="仿宋_GB2312" w:hAnsi="仿宋_GB2312" w:cs="仿宋_GB2312" w:eastAsia="仿宋_GB2312"/>
                <w:sz w:val="21"/>
              </w:rPr>
              <w:t>工作日内开展验收工作。</w:t>
            </w:r>
          </w:p>
          <w:p>
            <w:pPr>
              <w:pStyle w:val="null3"/>
              <w:jc w:val="both"/>
            </w:pPr>
            <w:r>
              <w:rPr>
                <w:rFonts w:ascii="仿宋_GB2312" w:hAnsi="仿宋_GB2312" w:cs="仿宋_GB2312" w:eastAsia="仿宋_GB2312"/>
                <w:sz w:val="21"/>
              </w:rPr>
              <w:t>（三）违约责任</w:t>
            </w:r>
          </w:p>
          <w:p>
            <w:pPr>
              <w:pStyle w:val="null3"/>
              <w:jc w:val="both"/>
            </w:pPr>
            <w:r>
              <w:rPr>
                <w:rFonts w:ascii="仿宋_GB2312" w:hAnsi="仿宋_GB2312" w:cs="仿宋_GB2312" w:eastAsia="仿宋_GB2312"/>
                <w:sz w:val="21"/>
              </w:rPr>
              <w:t>未达标服务内容按合同金额</w:t>
            </w:r>
            <w:r>
              <w:rPr>
                <w:rFonts w:ascii="仿宋_GB2312" w:hAnsi="仿宋_GB2312" w:cs="仿宋_GB2312" w:eastAsia="仿宋_GB2312"/>
                <w:sz w:val="21"/>
              </w:rPr>
              <w:t>20%</w:t>
            </w:r>
            <w:r>
              <w:rPr>
                <w:rFonts w:ascii="仿宋_GB2312" w:hAnsi="仿宋_GB2312" w:cs="仿宋_GB2312" w:eastAsia="仿宋_GB2312"/>
                <w:sz w:val="21"/>
              </w:rPr>
              <w:t>扣除违约金，重大失误（如安全事故）终止合同并追责。</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合同签订之日起至2025年7月30日止，含活动执行、总结验收及资料归档</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本项目活动地点在西安市城六区内限额以上商业综合体场所内（具体地址按照市商务局指定要求办理）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期满后按照成交供应商所提供的资料及数据进行验收；2、最终验收：中标单位在成果交付后10个工作日内提出验收申请后7工作日内开展验收工作。3、验收和评价方式3.1乙方提供的服务最终验收达不到磋商文件要求和磋商响应文件承诺及国家或行业标准，或在使用中发现甲方不能容忍的缺陷等，将视为验收不合格，乙方应在甲方要求的时间内无条件完善或要求赔付采购人损失。3.2若发现乙方有弄虚作假的，及在项目实施阶段故意或随意夸大服务，本项目合同解除，乙方赔偿甲方相应的损失。3.3验收标准：按磋商文件、磋商响应文件等服务指标进行逐项验收，各项指标均应符合验收标准及要求。3.4 验收合格后，填写验收单，双方盖章、签字生效。 3.5验收依据3.5.1合同文本。3.5.2磋商响应文件、磋商文件、澄清函。3.5.3国家和行业制定的相应的标准和规范。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合同签订后，供应商向采购方开具等额的增值税普通发票，采购方收到合规的发票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剩余50%，供应商项目执行结束经验收合格后，向采购方开具等额的增值税普通发票。采购方收到合规的发票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1、按《民法典》中的相关条款执行。2、未达标服务内容按合同金额20%扣除违约金，重大失误（如安全事故）终止合同并追责。3、如有异议另行协商。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服务标准：符合国家及行业有关现行规范、标准的要求。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提供合格有效的法人或者其他组织的营业执照等证明文件或自然人的身份证明；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提供2024年度的财务审计报告（成立时间至提交响应文件截止时间不足一年的可提供成立后任意时段的资产负债表）或其基本存款账户开户银行出具的资信证明及基本存款账户开户许可证（基本账户存款信息）；</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提供2024年6月至今已缴纳任意一个月的纳税证明或完税证明（任意税种），依法免税的单位应提供相关证明材料；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提供2024年6月至今已缴纳任意一个月的社会保障资金缴存单据或社保机构开具的社会保险参保缴费情况证明，依法不需要缴纳社会保障资金的单位应提供相关证明材料；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专业技术能力证明</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法定代表人委托授权书\身份证明</w:t>
            </w:r>
          </w:p>
        </w:tc>
        <w:tc>
          <w:tcPr>
            <w:tcW w:type="dxa" w:w="3322"/>
          </w:tcPr>
          <w:p>
            <w:pPr>
              <w:pStyle w:val="null3"/>
            </w:pPr>
            <w:r>
              <w:rPr>
                <w:rFonts w:ascii="仿宋_GB2312" w:hAnsi="仿宋_GB2312" w:cs="仿宋_GB2312" w:eastAsia="仿宋_GB2312"/>
              </w:rPr>
              <w:t>法定代表人授权书及被授权人身份证（法定代表人直接参加磋商的须提供其法定代表人身份证），非法人单位参照执行。</w:t>
            </w:r>
          </w:p>
        </w:tc>
        <w:tc>
          <w:tcPr>
            <w:tcW w:type="dxa" w:w="1661"/>
          </w:tcPr>
          <w:p>
            <w:pPr>
              <w:pStyle w:val="null3"/>
            </w:pPr>
            <w:r>
              <w:rPr>
                <w:rFonts w:ascii="仿宋_GB2312" w:hAnsi="仿宋_GB2312" w:cs="仿宋_GB2312" w:eastAsia="仿宋_GB2312"/>
              </w:rPr>
              <w:t>法定代表人证明书及法定代表人授权书</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时限为响应文件递交截止之日）。</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w:t>
            </w:r>
          </w:p>
        </w:tc>
        <w:tc>
          <w:tcPr>
            <w:tcW w:type="dxa" w:w="3322"/>
          </w:tcPr>
          <w:p>
            <w:pPr>
              <w:pStyle w:val="null3"/>
            </w:pPr>
            <w:r>
              <w:rPr>
                <w:rFonts w:ascii="仿宋_GB2312" w:hAnsi="仿宋_GB2312" w:cs="仿宋_GB2312" w:eastAsia="仿宋_GB2312"/>
              </w:rPr>
              <w:t>本项目专门面向中小企业采购，须符合《政府采购促进中小企业发展管理办法》（财库〔2020〕46号）规定的中小企业参加，符合要求的监狱企业或残疾人福利单位视同小微企业，并提供声明函。</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磋商内容未出现漏项或数量与要求不符，未出现重大负偏差；</w:t>
            </w:r>
          </w:p>
        </w:tc>
        <w:tc>
          <w:tcPr>
            <w:tcW w:type="dxa" w:w="1661"/>
          </w:tcPr>
          <w:p>
            <w:pPr>
              <w:pStyle w:val="null3"/>
            </w:pPr>
            <w:r>
              <w:rPr>
                <w:rFonts w:ascii="仿宋_GB2312" w:hAnsi="仿宋_GB2312" w:cs="仿宋_GB2312" w:eastAsia="仿宋_GB2312"/>
              </w:rPr>
              <w:t>商务偏离表 法定代表人证明书及法定代表人授权书 服务需求响应表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w:t>
            </w:r>
          </w:p>
        </w:tc>
        <w:tc>
          <w:tcPr>
            <w:tcW w:type="dxa" w:w="3322"/>
          </w:tcPr>
          <w:p>
            <w:pPr>
              <w:pStyle w:val="null3"/>
            </w:pPr>
            <w:r>
              <w:rPr>
                <w:rFonts w:ascii="仿宋_GB2312" w:hAnsi="仿宋_GB2312" w:cs="仿宋_GB2312" w:eastAsia="仿宋_GB2312"/>
              </w:rPr>
              <w:t>磋商响应文件的签署、加盖公章有效；</w:t>
            </w:r>
          </w:p>
        </w:tc>
        <w:tc>
          <w:tcPr>
            <w:tcW w:type="dxa" w:w="1661"/>
          </w:tcPr>
          <w:p>
            <w:pPr>
              <w:pStyle w:val="null3"/>
            </w:pPr>
            <w:r>
              <w:rPr>
                <w:rFonts w:ascii="仿宋_GB2312" w:hAnsi="仿宋_GB2312" w:cs="仿宋_GB2312" w:eastAsia="仿宋_GB2312"/>
              </w:rPr>
              <w:t>中小企业声明函 报价表 分项报价明细表 法定代表人证明书及法定代表人授权书 服务需求响应表 响应文件封面 资格证明文件 类似项目业绩 商务偏离表 残疾人福利性单位声明函 磋商响应单位承诺书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磋商响应文件按有效期达到磋商文件的要求；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完全理解并接受法律法规和磋商文件对供应商合法经营的各类规约和责任义务要求，未出现法律、法规或磋商文件规定的其他无效情形的。</w:t>
            </w:r>
          </w:p>
        </w:tc>
        <w:tc>
          <w:tcPr>
            <w:tcW w:type="dxa" w:w="1661"/>
          </w:tcPr>
          <w:p>
            <w:pPr>
              <w:pStyle w:val="null3"/>
            </w:pPr>
            <w:r>
              <w:rPr>
                <w:rFonts w:ascii="仿宋_GB2312" w:hAnsi="仿宋_GB2312" w:cs="仿宋_GB2312" w:eastAsia="仿宋_GB2312"/>
              </w:rPr>
              <w:t>响应文件封面 磋商响应方案说明 资格证明文件 类似项目业绩 商务偏离表 磋商响应单位承诺书 标的清单 报价表 分项报价明细表 响应函 法定代表人证明书及法定代表人授权书 服务需求响应表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报价未超过磋商文件中规定的最高限价的</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项目实施组织计划与服务方案</w:t>
            </w:r>
          </w:p>
        </w:tc>
        <w:tc>
          <w:tcPr>
            <w:tcW w:type="dxa" w:w="2492"/>
          </w:tcPr>
          <w:p>
            <w:pPr>
              <w:pStyle w:val="null3"/>
            </w:pPr>
            <w:r>
              <w:rPr>
                <w:rFonts w:ascii="仿宋_GB2312" w:hAnsi="仿宋_GB2312" w:cs="仿宋_GB2312" w:eastAsia="仿宋_GB2312"/>
              </w:rPr>
              <w:t>对本项目实施计划与服务方案（包括但不限于服务标准、服务流程、服务内容、服务响应、活动现场管理、氛围营造、启动仪式节目演出、主持、保洁安保以及水电费用、场地租赁协调活动等：（1）方案完整、详尽、计划合理、可行、满足项目需求针对性强的得10分。（2）计划方案完整性、合理性、可行性较强，较好的满足项目需求得8分；（3）计划方案完整性、合理性、可行性基本满足项目需求得6分；（4）计划方案基本满足本次活动的要求，可行性一般得4分；（5）计划方案宽泛内容一般，可行性差，得2分；（6）未提供相关内容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场地搭建及物料</w:t>
            </w:r>
          </w:p>
        </w:tc>
        <w:tc>
          <w:tcPr>
            <w:tcW w:type="dxa" w:w="2492"/>
          </w:tcPr>
          <w:p>
            <w:pPr>
              <w:pStyle w:val="null3"/>
            </w:pPr>
            <w:r>
              <w:rPr>
                <w:rFonts w:ascii="仿宋_GB2312" w:hAnsi="仿宋_GB2312" w:cs="仿宋_GB2312" w:eastAsia="仿宋_GB2312"/>
              </w:rPr>
              <w:t>供应商提供针对本项目的场地搭建，音响灯光设备、照明线路管道布置、背景墙设计墙喷绘、美陈及氛围营造仪式执行等方案。在保证方案合理可行的基础上：（1）方案完整、详尽、计划合理、可行、满足项目需求针对性强的得10分。（2）方案完整性、合理性、可行性较强，较好的满足项目需求得8分；（3）方案完整性、合理性、可行性基本满足项目需求得6分；（4）方案基本满足本次活动的要求，可行性一般得4分；（5）方案宽泛内容一般，可行性差，得2分；（6）未提供相关内容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宣传方案</w:t>
            </w:r>
          </w:p>
        </w:tc>
        <w:tc>
          <w:tcPr>
            <w:tcW w:type="dxa" w:w="2492"/>
          </w:tcPr>
          <w:p>
            <w:pPr>
              <w:pStyle w:val="null3"/>
            </w:pPr>
            <w:r>
              <w:rPr>
                <w:rFonts w:ascii="仿宋_GB2312" w:hAnsi="仿宋_GB2312" w:cs="仿宋_GB2312" w:eastAsia="仿宋_GB2312"/>
              </w:rPr>
              <w:t>供应商根据宣传需求在各大主流媒体和平台对活动做好宣传（宣传推广、品牌传播、媒体宣传策划等）：（1）宣传方案完整、详尽、计划合理、可行、满足项目需求针对性强的得10分。（2）宣传方案完整性、合理性、可行性较强，较好的满足项目需求得8分；（3）宣传方案完整性、合理性、可行性基本满足项目需求得6分；（4）宣传方案基本满足本次活动的要求，可行性一般得4分；（5）宣传方案一般，可行性差，得2分；（6）未提供相关内容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商户招展</w:t>
            </w:r>
          </w:p>
        </w:tc>
        <w:tc>
          <w:tcPr>
            <w:tcW w:type="dxa" w:w="2492"/>
          </w:tcPr>
          <w:p>
            <w:pPr>
              <w:pStyle w:val="null3"/>
            </w:pPr>
            <w:r>
              <w:rPr>
                <w:rFonts w:ascii="仿宋_GB2312" w:hAnsi="仿宋_GB2312" w:cs="仿宋_GB2312" w:eastAsia="仿宋_GB2312"/>
              </w:rPr>
              <w:t>供应商提供针对本项目的商户招展等实施方案：（1）方案完整、详尽、计划合理、可行、满足项目需求针对性强的得8分。（2）方案完整性、合理性、可行性较强，较好的满足项目需求得6分；（3）方案基本满足本次活动的要求，可行性一般得4分；（4）方案宽泛内容一般，可行性差，得2分；（5）未提供相关内容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进度目标及保障措施</w:t>
            </w:r>
          </w:p>
        </w:tc>
        <w:tc>
          <w:tcPr>
            <w:tcW w:type="dxa" w:w="2492"/>
          </w:tcPr>
          <w:p>
            <w:pPr>
              <w:pStyle w:val="null3"/>
            </w:pPr>
            <w:r>
              <w:rPr>
                <w:rFonts w:ascii="仿宋_GB2312" w:hAnsi="仿宋_GB2312" w:cs="仿宋_GB2312" w:eastAsia="仿宋_GB2312"/>
              </w:rPr>
              <w:t>供应商针对本项目提供详细的进度目标及内控保障措施：（1）进度目标及保障措施详尽，完全满足采购人需求，能够保证服务，及时协调解决各类问题，得8分；（（2）进度目标及保障措施基本完善，基本满足采购人需求，保证服务，基本能协调解决各类问题，得6分；（3）进度目标及保障措施简略，部分满足采购人需求，及协调解决各类问题的能力不强，得4分；（4）进度目标及保障措施方案一般，可行性差，得2分。（5）未提供相关内容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针对本项目提供详细的质量保障措施：(1)质量控制措施全面、合理、可靠，针对性强，得8分；（2）质量控制措施质量较全面、合理、可行，满足需求，得6分；（3）质量控制措施质量基本全面、合理、可行，基本满足需求，得4分；（4）质量控制措施简单，不合理，内容有重大缺陷，得2分；（5）未提供相关内容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活动现场可能发生突发事件的应急方案及措施：（1）方案及措施详细完整，可操作性强计8分；（2）方案及措施基本完整，具有可实施性计6分；（3）方案及措施一般，可实施性一般计4分；（4）方案及措施简单，不合理计2分（5）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供应商针对本项目提供服务团队的人员配备方案具有专业的执行团队（包括但不限于项目负责人、策划、执行、宣传、管理等岗位设置），提供人员证明材料（不限于毕业证或学历证等相关证明材料复印件）。（1）人员配备合理，专业性强，经验丰富，职责分工明确，得10分；（2）人员配备较合理，专业性较强，经验较丰富，职责分工较明确，得8分；（3）人员配备基本合理，专业性经验基本丰富，职责分工基本明确，得6分；（4）人员配备一般、专业性一般，经验欠缺，职责分工一般，得4分；（5）人员配备合理差、专业性差，职责分工不明确，得2分；（6）未提供相关内容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供应商针对本项目进行重难点分析：（1）方案合理，对工作重点、难点分析准确的得5分；（2）方案较合理，对工作重点、难点分析较准确的得4分；（3）方案基本合理，对工作重点、难点分析一般的得2分；（4）方案宽泛，对工作重点、难点分析较差的得1分；（5）未提供相关内容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进行服务承诺：（1）承诺内容完整详尽，且不限于上述所要求内容的得8分；（2）承诺内容完整性、合理性、可行性较强，得6分；（3）承诺内容基本满足本次活动的要求，可行性一般得4分；（4）承诺内容宽泛，可行性差得2分；（5）未提供相关内容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提供2022年1月1日至今类似项目业绩合同（以合同签订时间为准）每提供一份有效业绩得1分，最高得5分。注：以合同为准，须在竞争性磋商响应文件中附合同的扫描件加盖单位公章。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满足磋商文件要求且磋商价格最低的磋商报价为评标基准价，其价格分为满分。价格分按照下列公式计算。报价总得分=（评标基准价/磋商总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详见附件：分项报价明细表</w:t>
      </w:r>
    </w:p>
    <w:p>
      <w:pPr>
        <w:pStyle w:val="null3"/>
        <w:ind w:firstLine="960"/>
      </w:pPr>
      <w:r>
        <w:rPr>
          <w:rFonts w:ascii="仿宋_GB2312" w:hAnsi="仿宋_GB2312" w:cs="仿宋_GB2312" w:eastAsia="仿宋_GB2312"/>
        </w:rPr>
        <w:t>详见附件：法定代表人证明书及法定代表人授权书</w:t>
      </w:r>
    </w:p>
    <w:p>
      <w:pPr>
        <w:pStyle w:val="null3"/>
        <w:ind w:firstLine="960"/>
      </w:pPr>
      <w:r>
        <w:rPr>
          <w:rFonts w:ascii="仿宋_GB2312" w:hAnsi="仿宋_GB2312" w:cs="仿宋_GB2312" w:eastAsia="仿宋_GB2312"/>
        </w:rPr>
        <w:t>详见附件：服务需求响应表</w:t>
      </w:r>
    </w:p>
    <w:p>
      <w:pPr>
        <w:pStyle w:val="null3"/>
        <w:ind w:firstLine="960"/>
      </w:pPr>
      <w:r>
        <w:rPr>
          <w:rFonts w:ascii="仿宋_GB2312" w:hAnsi="仿宋_GB2312" w:cs="仿宋_GB2312" w:eastAsia="仿宋_GB2312"/>
        </w:rPr>
        <w:t>详见附件：商务偏离表</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详见附件：类似项目业绩</w:t>
      </w:r>
    </w:p>
    <w:p>
      <w:pPr>
        <w:pStyle w:val="null3"/>
        <w:ind w:firstLine="960"/>
      </w:pPr>
      <w:r>
        <w:rPr>
          <w:rFonts w:ascii="仿宋_GB2312" w:hAnsi="仿宋_GB2312" w:cs="仿宋_GB2312" w:eastAsia="仿宋_GB2312"/>
        </w:rPr>
        <w:t>详见附件：磋商响应方案说明</w:t>
      </w:r>
    </w:p>
    <w:p>
      <w:pPr>
        <w:pStyle w:val="null3"/>
        <w:ind w:firstLine="960"/>
      </w:pPr>
      <w:r>
        <w:rPr>
          <w:rFonts w:ascii="仿宋_GB2312" w:hAnsi="仿宋_GB2312" w:cs="仿宋_GB2312" w:eastAsia="仿宋_GB2312"/>
        </w:rPr>
        <w:t>详见附件：磋商响应单位承诺书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详见附件：合同草案条款.docx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