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版本号：SXGS2025-ZC-008-220250611001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“智联未来、共创辉煌”西安丝路软件城电子消费品促销活动(二次)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SXGS2025-ZC-008-2</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“智联未来、共创辉煌”西安丝路软件城电子消费品促销活动(二次)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“智联未来、共创辉煌”西安丝路软件城电子消费品促销活动(二次)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采购包1（“智联未来、共创辉煌”西安丝路软件城电子消费品促销活动）：属于专门面向中小企业采购。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1、独立承担民事责任能力：具有独立承担民事责任能力的法人或其他组织，提供统一社会信用代码的营业执照或事业单位法人证书国家规定的相关证明；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3、税收缴纳证明：提供2024年5月至今已缴纳的任意1个月的纳税证明或完税证明，依法免税的单位应提供相关证明材料；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4、社会保障资金：提供2024年5月至今已缴纳的任意1个月的社会保障资金缴存单据或社保机构开具的社会保险参保缴费情况证明，依法不需要缴纳社会保障资金的单位应提供相关证明材料；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5、身份证明：法定代表人授权书及被授权人身份证（法定代表人直接参加磋商的须提供其法定代表人身份证明），非法人单位参照执行;</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9、信用中国：供应商不得为“信用中国(www.creditchina.gov.cn)”中列入失信被执行人和重大税收违法案件当事人名单的供应商，不得为“中国政府采购网(www.ccgp.gov.cn)”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10、不接受联合体投标：本项目不接受联合体投标；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李智勃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3300元按3300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“智联未来、共创辉煌”西安丝路软件城电子消费品促销活动服务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标的名称：“智联未来、共创辉煌”西安丝路软件城电子消费品促销活动服务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结合3C数码以旧换新活动，组织全市重点电子产品销售企业，采取购物有礼、发放消费券等方式、开展智能手机、平板电脑、智能穿戴设备、智慧家电、智慧家居、无人机、智慧安防设备等科技产品促消费活动，让消费者体验更便捷、购买更方便。同时，通过创造新的消费场景、刺激新的消费需求、拓展新的消费市场等方式，对西安市商务局的助企惠民措施进行宣传、对西安特色企业的特色产品进行推广促销，为企业带来销售收入的新增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一、整体活动组织策划、制定活动方案、商户招展、活动现场组织执行和管理等工作。</w:t>
            </w:r>
          </w:p>
          <w:p>
            <w:pPr>
              <w:pStyle w:val="null3"/>
            </w:pPr>
            <w:r>
              <w:rPr>
                <w:rFonts w:ascii="仿宋_GB2312" w:hAnsi="仿宋_GB2312" w:cs="仿宋_GB2312" w:eastAsia="仿宋_GB2312"/>
              </w:rPr>
              <w:t xml:space="preserve">      二、活动场地搭建、氛围营造等工作。</w:t>
            </w:r>
          </w:p>
          <w:p>
            <w:pPr>
              <w:pStyle w:val="null3"/>
            </w:pPr>
            <w:r>
              <w:rPr>
                <w:rFonts w:ascii="仿宋_GB2312" w:hAnsi="仿宋_GB2312" w:cs="仿宋_GB2312" w:eastAsia="仿宋_GB2312"/>
              </w:rPr>
              <w:t xml:space="preserve">     1.活动场地协调及租赁等工作；</w:t>
            </w:r>
          </w:p>
          <w:p>
            <w:pPr>
              <w:pStyle w:val="null3"/>
            </w:pPr>
            <w:r>
              <w:rPr>
                <w:rFonts w:ascii="仿宋_GB2312" w:hAnsi="仿宋_GB2312" w:cs="仿宋_GB2312" w:eastAsia="仿宋_GB2312"/>
              </w:rPr>
              <w:t xml:space="preserve">     2.场地主舞台搭建：LED主屏、舞台（地毯）、礼宾桌椅、启动仪式道具、音响音控设备、灯光照明、隔离带等；</w:t>
            </w:r>
          </w:p>
          <w:p>
            <w:pPr>
              <w:pStyle w:val="null3"/>
            </w:pPr>
            <w:r>
              <w:rPr>
                <w:rFonts w:ascii="仿宋_GB2312" w:hAnsi="仿宋_GB2312" w:cs="仿宋_GB2312" w:eastAsia="仿宋_GB2312"/>
              </w:rPr>
              <w:t xml:space="preserve">     3.宣导装饰：舞台主背景、主题背景墙设计墙搭建，活动现场门头灯光渲染、灯带装饰等相关工作；</w:t>
            </w:r>
          </w:p>
          <w:p>
            <w:pPr>
              <w:pStyle w:val="null3"/>
            </w:pPr>
            <w:r>
              <w:rPr>
                <w:rFonts w:ascii="仿宋_GB2312" w:hAnsi="仿宋_GB2312" w:cs="仿宋_GB2312" w:eastAsia="仿宋_GB2312"/>
              </w:rPr>
              <w:t xml:space="preserve">     4.美陈及氛围营造：活动现场门头、吊旗、休息区桌椅等布置装饰，工作证等印刷；</w:t>
            </w:r>
          </w:p>
          <w:p>
            <w:pPr>
              <w:pStyle w:val="null3"/>
            </w:pPr>
            <w:r>
              <w:rPr>
                <w:rFonts w:ascii="仿宋_GB2312" w:hAnsi="仿宋_GB2312" w:cs="仿宋_GB2312" w:eastAsia="仿宋_GB2312"/>
              </w:rPr>
              <w:t xml:space="preserve">     5.设备租赁：舞台音响、灯光、电缆及配电等相关设备的租赁；</w:t>
            </w:r>
          </w:p>
          <w:p>
            <w:pPr>
              <w:pStyle w:val="null3"/>
            </w:pPr>
            <w:r>
              <w:rPr>
                <w:rFonts w:ascii="仿宋_GB2312" w:hAnsi="仿宋_GB2312" w:cs="仿宋_GB2312" w:eastAsia="仿宋_GB2312"/>
              </w:rPr>
              <w:t xml:space="preserve">    6.活动宣传：整体活动媒体宣传、视频制作等工作；</w:t>
            </w:r>
          </w:p>
          <w:p>
            <w:pPr>
              <w:pStyle w:val="null3"/>
            </w:pPr>
            <w:r>
              <w:rPr>
                <w:rFonts w:ascii="仿宋_GB2312" w:hAnsi="仿宋_GB2312" w:cs="仿宋_GB2312" w:eastAsia="仿宋_GB2312"/>
              </w:rPr>
              <w:t xml:space="preserve">     7.活动保障：活动现场保洁、安保等工作。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 xml:space="preserve">     本次活动所有搭建，相关物料制作，必须符合相关行业的标准，并做好本次活动纸质资料、影像资料的留存。</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 xml:space="preserve">    1.活动现场搭建方案内容详见、方便可行，安全可靠，能够完全满足采购人需求；</w:t>
            </w:r>
          </w:p>
          <w:p>
            <w:pPr>
              <w:pStyle w:val="null3"/>
            </w:pPr>
            <w:r>
              <w:rPr>
                <w:rFonts w:ascii="仿宋_GB2312" w:hAnsi="仿宋_GB2312" w:cs="仿宋_GB2312" w:eastAsia="仿宋_GB2312"/>
              </w:rPr>
              <w:t xml:space="preserve">    2.在规定时间内完成活动策划方案及整体设计，提交采购人</w:t>
            </w:r>
            <w:r>
              <w:br/>
            </w:r>
            <w:r>
              <w:rPr>
                <w:rFonts w:ascii="仿宋_GB2312" w:hAnsi="仿宋_GB2312" w:cs="仿宋_GB2312" w:eastAsia="仿宋_GB2312"/>
              </w:rPr>
              <w:t xml:space="preserve"> 进行审核，提出改进意见并修改方案至采购人满意。</w:t>
            </w:r>
          </w:p>
          <w:p>
            <w:pPr>
              <w:pStyle w:val="null3"/>
            </w:pPr>
            <w:r>
              <w:rPr>
                <w:rFonts w:ascii="仿宋_GB2312" w:hAnsi="仿宋_GB2312" w:cs="仿宋_GB2312" w:eastAsia="仿宋_GB2312"/>
              </w:rPr>
              <w:t xml:space="preserve">   3.活动期间，安排专人现场协调对接落实活动各项具体事宜，严格执行方案，确保展示效果。</w:t>
            </w:r>
          </w:p>
          <w:p>
            <w:pPr>
              <w:pStyle w:val="null3"/>
            </w:pPr>
            <w:r>
              <w:rPr>
                <w:rFonts w:ascii="仿宋_GB2312" w:hAnsi="仿宋_GB2312" w:cs="仿宋_GB2312" w:eastAsia="仿宋_GB2312"/>
              </w:rPr>
              <w:t xml:space="preserve">   4.按照活动要求，在严格遵守安保、消防等相关安全规定的情况下，按时按质按量完成活动现场各项工作，确保活动效果呈现。</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（一）服务期限服务期限：自合同签订之日起至项目结束</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合同签订后，供应商开具等额的增值税普通发票，采购方收到符合要求的发票，达到付款条件后，20个工作日内向供应商支付合同金额的50%项目资金。</w:t>
            </w:r>
          </w:p>
          <w:p>
            <w:pPr>
              <w:pStyle w:val="null3"/>
            </w:pPr>
            <w:r>
              <w:rPr>
                <w:rFonts w:ascii="仿宋_GB2312" w:hAnsi="仿宋_GB2312" w:cs="仿宋_GB2312" w:eastAsia="仿宋_GB2312"/>
              </w:rPr>
              <w:t xml:space="preserve">             剩余50%，项目验收合格后，供应商开具等额的增值税普通发票，采购方收到符合要求的发票，达到付款条件后，20个工作日内向供应商支付合同金额的50%项目资金。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（一）对服务商的业绩要求类似项目业绩</w:t>
            </w:r>
          </w:p>
          <w:p>
            <w:pPr>
              <w:pStyle w:val="null3"/>
            </w:pPr>
            <w:r>
              <w:rPr>
                <w:rFonts w:ascii="仿宋_GB2312" w:hAnsi="仿宋_GB2312" w:cs="仿宋_GB2312" w:eastAsia="仿宋_GB2312"/>
              </w:rPr>
              <w:t>（二）进度要求按甲方进度要求组织。</w:t>
            </w:r>
          </w:p>
          <w:p>
            <w:pPr>
              <w:pStyle w:val="null3"/>
            </w:pPr>
            <w:r>
              <w:rPr>
                <w:rFonts w:ascii="仿宋_GB2312" w:hAnsi="仿宋_GB2312" w:cs="仿宋_GB2312" w:eastAsia="仿宋_GB2312"/>
              </w:rPr>
              <w:t>（三）成果交付要求需达到采购人对项目的具体要求。</w:t>
            </w:r>
          </w:p>
          <w:p>
            <w:pPr>
              <w:pStyle w:val="null3"/>
            </w:pPr>
            <w:r>
              <w:rPr>
                <w:rFonts w:ascii="仿宋_GB2312" w:hAnsi="仿宋_GB2312" w:cs="仿宋_GB2312" w:eastAsia="仿宋_GB2312"/>
              </w:rPr>
              <w:t>（四）质量验收标准或规范</w:t>
            </w:r>
            <w:r>
              <w:br/>
            </w:r>
            <w:r>
              <w:rPr>
                <w:rFonts w:ascii="仿宋_GB2312" w:hAnsi="仿宋_GB2312" w:cs="仿宋_GB2312" w:eastAsia="仿宋_GB2312"/>
              </w:rPr>
              <w:t xml:space="preserve">     1、服务期满后按照成交供应商所提供的资料及数据进行验收；</w:t>
            </w:r>
          </w:p>
          <w:p>
            <w:pPr>
              <w:pStyle w:val="null3"/>
            </w:pPr>
            <w:r>
              <w:rPr>
                <w:rFonts w:ascii="仿宋_GB2312" w:hAnsi="仿宋_GB2312" w:cs="仿宋_GB2312" w:eastAsia="仿宋_GB2312"/>
              </w:rPr>
              <w:t xml:space="preserve">   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 xml:space="preserve">  3、验收和评价方式</w:t>
            </w:r>
          </w:p>
          <w:p>
            <w:pPr>
              <w:pStyle w:val="null3"/>
            </w:pPr>
            <w:r>
              <w:rPr>
                <w:rFonts w:ascii="仿宋_GB2312" w:hAnsi="仿宋_GB2312" w:cs="仿宋_GB2312" w:eastAsia="仿宋_GB2312"/>
              </w:rPr>
              <w:t xml:space="preserve">  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 xml:space="preserve">  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 xml:space="preserve">  3.3  验收标准：按磋商文件、磋商响应文件等服务指标进行逐项验收，各项指标均应符合验收标准及要求。</w:t>
            </w:r>
          </w:p>
          <w:p>
            <w:pPr>
              <w:pStyle w:val="null3"/>
            </w:pPr>
            <w:r>
              <w:rPr>
                <w:rFonts w:ascii="仿宋_GB2312" w:hAnsi="仿宋_GB2312" w:cs="仿宋_GB2312" w:eastAsia="仿宋_GB2312"/>
              </w:rPr>
              <w:t xml:space="preserve">  3.4  验收合格后，填写验收单，双方盖章、签字生效。</w:t>
            </w:r>
          </w:p>
          <w:p>
            <w:pPr>
              <w:pStyle w:val="null3"/>
            </w:pPr>
            <w:r>
              <w:rPr>
                <w:rFonts w:ascii="仿宋_GB2312" w:hAnsi="仿宋_GB2312" w:cs="仿宋_GB2312" w:eastAsia="仿宋_GB2312"/>
              </w:rPr>
              <w:t xml:space="preserve">  3.5  验收依据</w:t>
            </w:r>
          </w:p>
          <w:p>
            <w:pPr>
              <w:pStyle w:val="null3"/>
            </w:pPr>
            <w:r>
              <w:rPr>
                <w:rFonts w:ascii="仿宋_GB2312" w:hAnsi="仿宋_GB2312" w:cs="仿宋_GB2312" w:eastAsia="仿宋_GB2312"/>
              </w:rPr>
              <w:t xml:space="preserve">  3.5.1  合同文本。</w:t>
            </w:r>
          </w:p>
          <w:p>
            <w:pPr>
              <w:pStyle w:val="null3"/>
            </w:pPr>
            <w:r>
              <w:rPr>
                <w:rFonts w:ascii="仿宋_GB2312" w:hAnsi="仿宋_GB2312" w:cs="仿宋_GB2312" w:eastAsia="仿宋_GB2312"/>
              </w:rPr>
              <w:t xml:space="preserve">  3.5.2  磋商响应文件、磋商文件、澄清函。</w:t>
            </w:r>
          </w:p>
          <w:p>
            <w:pPr>
              <w:pStyle w:val="null3"/>
            </w:pPr>
            <w:r>
              <w:rPr>
                <w:rFonts w:ascii="仿宋_GB2312" w:hAnsi="仿宋_GB2312" w:cs="仿宋_GB2312" w:eastAsia="仿宋_GB2312"/>
              </w:rPr>
              <w:t xml:space="preserve">  3.5.3  国家和行业制定的相应的标准和规范。</w:t>
            </w:r>
          </w:p>
          <w:p>
            <w:pPr>
              <w:pStyle w:val="null3"/>
            </w:pPr>
            <w:r>
              <w:rPr>
                <w:rFonts w:ascii="仿宋_GB2312" w:hAnsi="仿宋_GB2312" w:cs="仿宋_GB2312" w:eastAsia="仿宋_GB2312"/>
              </w:rPr>
              <w:t>（五）违约责任</w:t>
            </w:r>
          </w:p>
          <w:p>
            <w:pPr>
              <w:pStyle w:val="null3"/>
            </w:pPr>
            <w:r>
              <w:rPr>
                <w:rFonts w:ascii="仿宋_GB2312" w:hAnsi="仿宋_GB2312" w:cs="仿宋_GB2312" w:eastAsia="仿宋_GB2312"/>
              </w:rPr>
              <w:t xml:space="preserve">  1、按《民法典》中的相关条款执行。</w:t>
            </w:r>
          </w:p>
          <w:p>
            <w:pPr>
              <w:pStyle w:val="null3"/>
            </w:pPr>
            <w:r>
              <w:rPr>
                <w:rFonts w:ascii="仿宋_GB2312" w:hAnsi="仿宋_GB2312" w:cs="仿宋_GB2312" w:eastAsia="仿宋_GB2312"/>
              </w:rPr>
              <w:t xml:space="preserve">  2、乙方未按协议要求提供服务或服务质量不能满足协议要求的，甲方应当将供应商违约的情况以及拟采取的措施以书面形 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 xml:space="preserve">  3、由不可抗力因素造成无法按照原计划提供服务，双方互不追究违约责任。</w:t>
            </w:r>
          </w:p>
          <w:p>
            <w:pPr>
              <w:pStyle w:val="null3"/>
            </w:pPr>
            <w:r>
              <w:rPr>
                <w:rFonts w:ascii="仿宋_GB2312" w:hAnsi="仿宋_GB2312" w:cs="仿宋_GB2312" w:eastAsia="仿宋_GB2312"/>
              </w:rPr>
              <w:t xml:space="preserve">  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项目验收合格后，供应商开具等额的增值税普通发票，采购方收到符合要求的发票</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 方有权依据《民法典》有关条款及合同约定终止合同，并要求乙方承担违约责任。同时，政府采购监管部门有权依据《政府采购法》及相关法律法规对乙方的违法行为进行相应的处罚。3、由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具有独立承担民事责任能力的法人或其他组织，提供统一社会信用代码的营业执照或事业单位法人证书国家规定的相关证明；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提供2024年5月至今已缴纳的任意1个月的社会保障资金缴存单据或社保机构开具的社会保险参保缴费情况证明，依法不需要缴纳社会保障资金的单位应提供相关证明材料；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①对本项目理解深刻，分析正确、合理，计10.1-15分； ②对本项目基本理解，分析基本正确、合理，计5.1-10分； ③对本项目理解一般，重点、难点分析不全面，计1.1-5分； ④未提供相关内容的不得分。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活动策划方案</w:t>
            </w:r>
          </w:p>
        </w:tc>
        <w:tc>
          <w:tcPr>
            <w:tcW w:type="dxa" w:w="2492"/>
          </w:tcPr>
          <w:p>
            <w:pPr>
              <w:pStyle w:val="null3"/>
            </w:pPr>
            <w:r>
              <w:rPr>
                <w:rFonts w:ascii="仿宋_GB2312" w:hAnsi="仿宋_GB2312" w:cs="仿宋_GB2312" w:eastAsia="仿宋_GB2312"/>
              </w:rPr>
              <w:t>整体活动组织策划、制定活动方案、商户招展、活动现场组织执行和管理等工作。活动场地搭建、氛围营造。（活动场地协调及租赁等工作，场地主舞台搭建、宣导装饰、美陈及氛围营造、设备租赁、活动宣传、活动保障）会场布置氛围贴合活动主题，材料设备配备齐全。 ①各项方案详细、内容全面、安排合理，计11.1-20分； ②总体方案有1项缺项，计7.1-11分； ③总体方案有2项缺项，计3.1-7分； ④总体方案3项或以上缺漏，内容简略的，计1.1-3分； ⑤未提供本项不计分。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场地搭建</w:t>
            </w:r>
          </w:p>
        </w:tc>
        <w:tc>
          <w:tcPr>
            <w:tcW w:type="dxa" w:w="2492"/>
          </w:tcPr>
          <w:p>
            <w:pPr>
              <w:pStyle w:val="null3"/>
            </w:pPr>
            <w:r>
              <w:rPr>
                <w:rFonts w:ascii="仿宋_GB2312" w:hAnsi="仿宋_GB2312" w:cs="仿宋_GB2312" w:eastAsia="仿宋_GB2312"/>
              </w:rPr>
              <w:t>根据完成本项目须提供的相关物品，其场地搭建方案的规范性、合理性、科学性和可行性、效果图设计合理，采用的布展理念适用，贴合项目需求，进行比较和评价①场地搭建方案完整详细、布局合理、搭建方案方便可行，安全可靠性高，计10.1-15分； ②场地搭建方案有缺项，内容完整度一般、安全可行计5.1-10分； ③设计搭建方案有缺项，内容完整度较差、不可行计1.1-5分；④未提供设计方案不得分。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安排专人现场协调对接落实活动各项具体事宜（包括但不限于涵盖主持、礼仪、安保、保洁等人员配置），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③方案内容、人员配备严重欠缺，无法满足项目需求得1.1-3分； ④未提供不得分。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包括：健全的质量控制体系、针对本项目的服务质量、进度把控方案、质量保证措施，并有质量进度目标无法实现时的认罚承诺等，包括但不限于活动现场治安、消防、观众进退场等）。 ①方案措施详尽，完全满足采购人需求，能够保证服务质量，及时协调解决各类问题，计7.1-10分；②方案措施较全，基本满足采购人需求，保证服务质量，基本能协调解决各类问题，计3.1-7分； ③方案措施简略，部分满足采购人需求，保证服务质量，及协调解决各类问题的能力不强，计1.1-3 分； ④未提供相关内容的不得分。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制定合理、可行的各种突发情况（包含现场秩序调节、停电、断网、所提供的设备及材料出现质量问题等）的安全应急预案。 ①应急预案内容完善，应对措施全面、可行性强、考虑充分，计5.1-10分； ②应急预案内容基本完善，应对措施有一定可行性，考虑不足，计1.1-5分； ③未提供的不计分。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提供投标人2022年01月01日至今类似项目业绩（大型活动、会议、会展的设计搭建和服务保障工作项目），每份计1分，计满5分为止。业绩证明材料以合同复印件或中标通知书为准。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