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版本号：SXLXFW-2025-030.1B120250829001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临床检验项目第三方检测机构(二次)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SXLXFW-2025-030.1B1</w:t>
      </w:r>
      <w:r>
        <w:br/>
      </w:r>
      <w:r>
        <w:br/>
      </w:r>
      <w:r>
        <w:br/>
      </w:r>
    </w:p>
    <w:p>
      <w:pPr>
        <w:pStyle w:val="null3"/>
        <w:jc w:val="center"/>
        <w:outlineLvl w:val="2"/>
      </w:pPr>
      <w:r>
        <w:rPr>
          <w:rFonts w:ascii="仿宋_GB2312" w:hAnsi="仿宋_GB2312" w:cs="仿宋_GB2312" w:eastAsia="仿宋_GB2312"/>
          <w:sz w:val="28"/>
          <w:b/>
        </w:rPr>
        <w:t>西安市第五医院</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西安市第五医院</w:t>
      </w:r>
      <w:r>
        <w:rPr>
          <w:rFonts w:ascii="仿宋_GB2312" w:hAnsi="仿宋_GB2312" w:cs="仿宋_GB2312" w:eastAsia="仿宋_GB2312"/>
        </w:rPr>
        <w:t>委托，拟对</w:t>
      </w:r>
      <w:r>
        <w:rPr>
          <w:rFonts w:ascii="仿宋_GB2312" w:hAnsi="仿宋_GB2312" w:cs="仿宋_GB2312" w:eastAsia="仿宋_GB2312"/>
        </w:rPr>
        <w:t>临床检验项目第三方检测机构(二次)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SXLXFW-2025-030.1B1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临床检验项目第三方检测机构(二次)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临床检验项目第三方检测机构，详见磋商文件要求。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采购包1（临床检验项目第三方检测机构）：属于专门面向中小企业采购。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2、法定代表人授权书/法定代表人身份证明：法定代表人参加磋商的，须出具法定代表人身份证明书及身份证。法定代表人授权委托人参加磋商的，须出具法定代表人授权委托书及授权委托人身份证；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3、财务状况报告：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p>
      <w:pPr>
        <w:pStyle w:val="null3"/>
      </w:pPr>
      <w:r>
        <w:rPr>
          <w:rFonts w:ascii="仿宋_GB2312" w:hAnsi="仿宋_GB2312" w:cs="仿宋_GB2312" w:eastAsia="仿宋_GB2312"/>
        </w:rPr>
        <w:t>4、医疗机构执业许可证书：供应商须具备医疗机构执业许可证书；</w:t>
      </w:r>
    </w:p>
    <w:p>
      <w:pPr>
        <w:pStyle w:val="null3"/>
      </w:pPr>
      <w:r>
        <w:rPr>
          <w:rFonts w:ascii="仿宋_GB2312" w:hAnsi="仿宋_GB2312" w:cs="仿宋_GB2312" w:eastAsia="仿宋_GB2312"/>
        </w:rPr>
        <w:t>5、生物安全实验室备案证书：供应商具备生物安全实验室备案证书；</w:t>
      </w:r>
    </w:p>
    <w:p>
      <w:pPr>
        <w:pStyle w:val="null3"/>
      </w:pPr>
      <w:r>
        <w:rPr>
          <w:rFonts w:ascii="仿宋_GB2312" w:hAnsi="仿宋_GB2312" w:cs="仿宋_GB2312" w:eastAsia="仿宋_GB2312"/>
        </w:rPr>
        <w:t>6、税收缴纳证明：提供递交响应文件截止之日前一年内不少于三个月的依法缴纳税收的相关凭据（时间以税款所属日期为准），依法免税或无须缴纳税收的供应商应提供相应证明文件；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7、社会保障资金缴纳证明：提供递交响应文件截止之日前一年内不少于三个月的社会保障资金缴纳证明，依法不需要缴纳社会保障资金的供应商应提供相关文件证明；</w:t>
      </w:r>
    </w:p>
    <w:p>
      <w:pPr>
        <w:pStyle w:val="null3"/>
      </w:pPr>
      <w:r>
        <w:rPr>
          <w:rFonts w:ascii="仿宋_GB2312" w:hAnsi="仿宋_GB2312" w:cs="仿宋_GB2312" w:eastAsia="仿宋_GB2312"/>
        </w:rPr>
        <w:t>8、前三年无重大违法记录声明：参加政府采购活动前3年内在经营活动中没有重大违法记录的书面声明；</w:t>
      </w:r>
    </w:p>
    <w:p>
      <w:pPr>
        <w:pStyle w:val="null3"/>
      </w:pPr>
      <w:r>
        <w:rPr>
          <w:rFonts w:ascii="仿宋_GB2312" w:hAnsi="仿宋_GB2312" w:cs="仿宋_GB2312" w:eastAsia="仿宋_GB2312"/>
        </w:rPr>
        <w:t>9、履行合同所必需的设备和专业技术能力：具备履行合同所必需的设备和专业技术能力的证明材料；</w:t>
      </w:r>
    </w:p>
    <w:p>
      <w:pPr>
        <w:pStyle w:val="null3"/>
      </w:pPr>
      <w:r>
        <w:rPr>
          <w:rFonts w:ascii="仿宋_GB2312" w:hAnsi="仿宋_GB2312" w:cs="仿宋_GB2312" w:eastAsia="仿宋_GB2312"/>
        </w:rPr>
        <w:t>10、信用查询：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11、企业关联关系：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西安市第五医院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西安市莲湖区西关正街112号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029-88621331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下浮20%计取，成交金额50万元（不含）以下的项目不下浮。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西安市第五医院</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西安市第五医院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西安市第五医院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符合现行的国家验收标准及规范或国家行政部门颁布的法律法规、规章制度等。</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联系人：李娇</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0"/>
        </w:rPr>
        <w:t>为满足本院就诊人群和病种需求，部分检测项目尚未开展，现需对临床血液、尿液、组织等标本由第三方检测机构完成，填补我院检验科、病理科的检验工作，现需将超出本院检验能力的标本外送于第三方医检机构（公司）</w:t>
      </w: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320,000.00</w:t>
      </w:r>
    </w:p>
    <w:p>
      <w:pPr>
        <w:pStyle w:val="null3"/>
      </w:pPr>
      <w:r>
        <w:rPr>
          <w:rFonts w:ascii="仿宋_GB2312" w:hAnsi="仿宋_GB2312" w:cs="仿宋_GB2312" w:eastAsia="仿宋_GB2312"/>
        </w:rPr>
        <w:t>采购包最高限价（元）: 320,000.00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临床检验项目第三方检测机构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标的名称：临床检验项目第三方检测机构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一、服务内容（包括工作区域、工作内容等）</w:t>
            </w:r>
          </w:p>
          <w:p>
            <w:pPr>
              <w:pStyle w:val="null3"/>
              <w:ind w:firstLine="400"/>
              <w:jc w:val="both"/>
            </w:pPr>
            <w:r>
              <w:rPr>
                <w:rFonts w:ascii="仿宋_GB2312" w:hAnsi="仿宋_GB2312" w:cs="仿宋_GB2312" w:eastAsia="仿宋_GB2312"/>
                <w:sz w:val="20"/>
              </w:rPr>
              <w:t>服务商对所有外送的标本做到安全运输、检测、发单；外送标本按照国家相关规定做到妥善保存，妥善处理。项目总汇见附件</w:t>
            </w:r>
            <w:r>
              <w:rPr>
                <w:rFonts w:ascii="仿宋_GB2312" w:hAnsi="仿宋_GB2312" w:cs="仿宋_GB2312" w:eastAsia="仿宋_GB2312"/>
                <w:sz w:val="20"/>
              </w:rPr>
              <w:t>1</w:t>
            </w:r>
          </w:p>
          <w:p>
            <w:pPr>
              <w:pStyle w:val="null3"/>
              <w:jc w:val="both"/>
            </w:pPr>
            <w:r>
              <w:rPr>
                <w:rFonts w:ascii="仿宋_GB2312" w:hAnsi="仿宋_GB2312" w:cs="仿宋_GB2312" w:eastAsia="仿宋_GB2312"/>
                <w:sz w:val="20"/>
                <w:b/>
              </w:rPr>
              <w:t>二、服务要求（如对人员配置、专业设备、服务标准等）</w:t>
            </w:r>
          </w:p>
          <w:p>
            <w:pPr>
              <w:pStyle w:val="null3"/>
              <w:ind w:firstLine="400"/>
              <w:jc w:val="both"/>
            </w:pPr>
            <w:r>
              <w:rPr>
                <w:rFonts w:ascii="仿宋_GB2312" w:hAnsi="仿宋_GB2312" w:cs="仿宋_GB2312" w:eastAsia="仿宋_GB2312"/>
                <w:sz w:val="20"/>
              </w:rPr>
              <w:t>1.投标人具有通过ISO15189认证的第三方医学检验实验室。</w:t>
            </w:r>
          </w:p>
          <w:p>
            <w:pPr>
              <w:pStyle w:val="null3"/>
              <w:ind w:firstLine="400"/>
              <w:jc w:val="both"/>
            </w:pPr>
            <w:r>
              <w:rPr>
                <w:rFonts w:ascii="仿宋_GB2312" w:hAnsi="仿宋_GB2312" w:cs="仿宋_GB2312" w:eastAsia="仿宋_GB2312"/>
                <w:sz w:val="20"/>
              </w:rPr>
              <w:t>2.投标人具有独立实体实验室，实验室面积≥6000平方米，开展项目≥500项，必须包含项目（见附件1）但不限于项目明细。注：提供相关证明材料（包括但不限于实验室所在场所的房屋产权证明或者房屋租赁证明等，提供检测项目手册）。</w:t>
            </w:r>
          </w:p>
          <w:p>
            <w:pPr>
              <w:pStyle w:val="null3"/>
              <w:ind w:firstLine="400"/>
              <w:jc w:val="both"/>
            </w:pPr>
            <w:r>
              <w:rPr>
                <w:rFonts w:ascii="仿宋_GB2312" w:hAnsi="仿宋_GB2312" w:cs="仿宋_GB2312" w:eastAsia="仿宋_GB2312"/>
                <w:sz w:val="20"/>
              </w:rPr>
              <w:t>3.提供实验室专家简介及检验人员资质证明材料。</w:t>
            </w:r>
          </w:p>
          <w:p>
            <w:pPr>
              <w:pStyle w:val="null3"/>
              <w:ind w:firstLine="200"/>
              <w:jc w:val="both"/>
            </w:pPr>
            <w:r>
              <w:rPr>
                <w:rFonts w:ascii="仿宋_GB2312" w:hAnsi="仿宋_GB2312" w:cs="仿宋_GB2312" w:eastAsia="仿宋_GB2312"/>
                <w:sz w:val="20"/>
              </w:rPr>
              <w:t>★4.提供与本院信息对接计算机系统，支持自动传输结果至本院lis及医生工作站。具备实现区域内检验报告互认的基础。在陕西省2025年检验结果互认医疗机构及其互认项目名单可查询。</w:t>
            </w:r>
          </w:p>
          <w:p>
            <w:pPr>
              <w:pStyle w:val="null3"/>
              <w:ind w:firstLine="400"/>
              <w:jc w:val="both"/>
            </w:pPr>
            <w:r>
              <w:rPr>
                <w:rFonts w:ascii="仿宋_GB2312" w:hAnsi="仿宋_GB2312" w:cs="仿宋_GB2312" w:eastAsia="仿宋_GB2312"/>
                <w:sz w:val="20"/>
              </w:rPr>
              <w:t>5.每周共六天上门收样（休1天），节假日做到隔日收样。收样日13:00前取走样本，特殊样本/情况做到2小时内完成收样。具备医疗冷链物流团队，专用信息平台对冷链实时监控。提供相关证明材料。（包括人员、车辆）</w:t>
            </w:r>
          </w:p>
          <w:p>
            <w:pPr>
              <w:pStyle w:val="null3"/>
              <w:ind w:firstLine="400"/>
              <w:jc w:val="both"/>
            </w:pPr>
            <w:r>
              <w:rPr>
                <w:rFonts w:ascii="仿宋_GB2312" w:hAnsi="仿宋_GB2312" w:cs="仿宋_GB2312" w:eastAsia="仿宋_GB2312"/>
                <w:sz w:val="20"/>
              </w:rPr>
              <w:t>6.具有病理高级职称诊断医师/技术/检验专家现场专业技术指导≥1次/周。提供实时临床会诊支持，满足我院病理术中冰冻需要。</w:t>
            </w:r>
          </w:p>
          <w:p>
            <w:pPr>
              <w:pStyle w:val="null3"/>
              <w:ind w:firstLine="400"/>
              <w:jc w:val="both"/>
            </w:pPr>
            <w:r>
              <w:rPr>
                <w:rFonts w:ascii="仿宋_GB2312" w:hAnsi="仿宋_GB2312" w:cs="仿宋_GB2312" w:eastAsia="仿宋_GB2312"/>
                <w:sz w:val="20"/>
              </w:rPr>
              <w:t>7.配合医院完成质量监管工作，按医院要求提供项目室内质控图、室间完成比对项目15个/次、2次/年（每半年1次，每次15个指标，每个指标5份样本）。</w:t>
            </w:r>
          </w:p>
          <w:p>
            <w:pPr>
              <w:pStyle w:val="null3"/>
              <w:ind w:firstLine="400"/>
              <w:jc w:val="both"/>
            </w:pPr>
            <w:r>
              <w:rPr>
                <w:rFonts w:ascii="仿宋_GB2312" w:hAnsi="仿宋_GB2312" w:cs="仿宋_GB2312" w:eastAsia="仿宋_GB2312"/>
                <w:sz w:val="20"/>
              </w:rPr>
              <w:t>8.按照甲方要求完成危急值报告，提供危急值清单及报告范围（如有出入应满足甲方要求调整一致）、危急值报告制度及流程。</w:t>
            </w:r>
          </w:p>
          <w:p>
            <w:pPr>
              <w:pStyle w:val="null3"/>
              <w:ind w:firstLine="400"/>
              <w:jc w:val="both"/>
            </w:pPr>
            <w:r>
              <w:rPr>
                <w:rFonts w:ascii="仿宋_GB2312" w:hAnsi="仿宋_GB2312" w:cs="仿宋_GB2312" w:eastAsia="仿宋_GB2312"/>
                <w:sz w:val="20"/>
              </w:rPr>
              <w:t>9.对于院方提出的问题及时回应并处理。（0.5小时响应，1小时解决）</w:t>
            </w:r>
          </w:p>
          <w:p>
            <w:pPr>
              <w:pStyle w:val="null3"/>
              <w:ind w:firstLine="400"/>
              <w:jc w:val="both"/>
            </w:pPr>
            <w:r>
              <w:rPr>
                <w:rFonts w:ascii="仿宋_GB2312" w:hAnsi="仿宋_GB2312" w:cs="仿宋_GB2312" w:eastAsia="仿宋_GB2312"/>
                <w:sz w:val="20"/>
              </w:rPr>
              <w:t>10.提供医院术中冰冻远程平台建设、远程会诊服务等，并符合国家与行业相关规定与要求。</w:t>
            </w:r>
          </w:p>
          <w:p>
            <w:pPr>
              <w:pStyle w:val="null3"/>
              <w:ind w:firstLine="400"/>
              <w:jc w:val="both"/>
            </w:pPr>
            <w:r>
              <w:rPr>
                <w:rFonts w:ascii="仿宋_GB2312" w:hAnsi="仿宋_GB2312" w:cs="仿宋_GB2312" w:eastAsia="仿宋_GB2312"/>
                <w:sz w:val="20"/>
              </w:rPr>
              <w:t>11.提供技术人员培养计划：对医院技术员进行完成冰冻切片制备+数字化扫描操作双模块培训。</w:t>
            </w:r>
          </w:p>
          <w:p>
            <w:pPr>
              <w:pStyle w:val="null3"/>
              <w:jc w:val="both"/>
            </w:pPr>
            <w:r>
              <w:rPr>
                <w:rFonts w:ascii="仿宋_GB2312" w:hAnsi="仿宋_GB2312" w:cs="仿宋_GB2312" w:eastAsia="仿宋_GB2312"/>
                <w:sz w:val="20"/>
                <w:b/>
              </w:rPr>
              <w:t>三、商务要求</w:t>
            </w:r>
          </w:p>
          <w:p>
            <w:pPr>
              <w:pStyle w:val="null3"/>
              <w:ind w:firstLine="402"/>
              <w:jc w:val="both"/>
            </w:pPr>
            <w:r>
              <w:rPr>
                <w:rFonts w:ascii="仿宋_GB2312" w:hAnsi="仿宋_GB2312" w:cs="仿宋_GB2312" w:eastAsia="仿宋_GB2312"/>
                <w:sz w:val="20"/>
                <w:b/>
              </w:rPr>
              <w:t>（一）服务期限</w:t>
            </w:r>
          </w:p>
          <w:p>
            <w:pPr>
              <w:pStyle w:val="null3"/>
              <w:ind w:firstLine="400"/>
              <w:jc w:val="both"/>
            </w:pPr>
            <w:r>
              <w:rPr>
                <w:rFonts w:ascii="仿宋_GB2312" w:hAnsi="仿宋_GB2312" w:cs="仿宋_GB2312" w:eastAsia="仿宋_GB2312"/>
                <w:sz w:val="20"/>
              </w:rPr>
              <w:t>自合同签订之日起一年。</w:t>
            </w:r>
          </w:p>
          <w:p>
            <w:pPr>
              <w:pStyle w:val="null3"/>
              <w:ind w:firstLine="402"/>
              <w:jc w:val="both"/>
            </w:pPr>
            <w:r>
              <w:rPr>
                <w:rFonts w:ascii="仿宋_GB2312" w:hAnsi="仿宋_GB2312" w:cs="仿宋_GB2312" w:eastAsia="仿宋_GB2312"/>
                <w:sz w:val="20"/>
                <w:b/>
              </w:rPr>
              <w:t>（二）款项结算</w:t>
            </w:r>
          </w:p>
          <w:p>
            <w:pPr>
              <w:pStyle w:val="null3"/>
              <w:ind w:firstLine="400"/>
              <w:jc w:val="both"/>
            </w:pPr>
            <w:r>
              <w:rPr>
                <w:rFonts w:ascii="仿宋_GB2312" w:hAnsi="仿宋_GB2312" w:cs="仿宋_GB2312" w:eastAsia="仿宋_GB2312"/>
                <w:sz w:val="20"/>
              </w:rPr>
              <w:t>1、支付方式：银行转账。乙方需提供：公司开户名称、开户行、账号。甲方仅认可上述指定账户并向该账户付款，甲方有权拒绝向指定账户之外的任何账户付款，并且由此导致的付款延迟责任由乙方承担。</w:t>
            </w:r>
          </w:p>
          <w:p>
            <w:pPr>
              <w:pStyle w:val="null3"/>
              <w:ind w:firstLine="400"/>
              <w:jc w:val="both"/>
            </w:pPr>
            <w:r>
              <w:rPr>
                <w:rFonts w:ascii="仿宋_GB2312" w:hAnsi="仿宋_GB2312" w:cs="仿宋_GB2312" w:eastAsia="仿宋_GB2312"/>
                <w:sz w:val="20"/>
              </w:rPr>
              <w:t>2、支付时间：按季度结算，乙方根据甲方开具的检验申请单和乙方系统数据，按约定比例核算检验费用总额，按照甲方提供的发票信息开具相应金额的发票，甲方在收到发票10个工作日内将检验费用支付至乙方指定的银行账户。</w:t>
            </w:r>
          </w:p>
          <w:p>
            <w:pPr>
              <w:pStyle w:val="null3"/>
              <w:ind w:firstLine="400"/>
              <w:jc w:val="both"/>
            </w:pPr>
            <w:r>
              <w:rPr>
                <w:rFonts w:ascii="仿宋_GB2312" w:hAnsi="仿宋_GB2312" w:cs="仿宋_GB2312" w:eastAsia="仿宋_GB2312"/>
                <w:sz w:val="20"/>
              </w:rPr>
              <w:t>3、乙方要如实开具发票，不得变更开票内容，乙方开具发票出现税务争议时，乙方需承担税款、滞纳金、罚款等赔偿责任以及其他相关责任。</w:t>
            </w:r>
          </w:p>
          <w:p>
            <w:pPr>
              <w:pStyle w:val="null3"/>
              <w:ind w:firstLine="400"/>
              <w:jc w:val="both"/>
            </w:pPr>
            <w:r>
              <w:rPr>
                <w:rFonts w:ascii="仿宋_GB2312" w:hAnsi="仿宋_GB2312" w:cs="仿宋_GB2312" w:eastAsia="仿宋_GB2312"/>
                <w:sz w:val="20"/>
              </w:rPr>
              <w:t>4、结算方式：乙方持成交通知书、正式合同、正式发票、第三方检测明细与甲方进行结算。</w:t>
            </w:r>
          </w:p>
          <w:p>
            <w:pPr>
              <w:pStyle w:val="null3"/>
              <w:ind w:firstLine="400"/>
              <w:jc w:val="both"/>
            </w:pPr>
            <w:r>
              <w:rPr>
                <w:rFonts w:ascii="仿宋_GB2312" w:hAnsi="仿宋_GB2312" w:cs="仿宋_GB2312" w:eastAsia="仿宋_GB2312"/>
                <w:sz w:val="20"/>
              </w:rPr>
              <w:t>5、按照陕西省城市公立医院医疗服务项目价格(2021版)三级收费标准，提供同本院收费分成比例。限价39%（解释：第三方收取比例≤收费*0.39）。</w:t>
            </w:r>
          </w:p>
          <w:p>
            <w:pPr>
              <w:pStyle w:val="null3"/>
              <w:ind w:firstLine="402"/>
              <w:jc w:val="both"/>
            </w:pPr>
            <w:r>
              <w:rPr>
                <w:rFonts w:ascii="仿宋_GB2312" w:hAnsi="仿宋_GB2312" w:cs="仿宋_GB2312" w:eastAsia="仿宋_GB2312"/>
                <w:sz w:val="20"/>
                <w:b/>
              </w:rPr>
              <w:t>附件</w:t>
            </w:r>
            <w:r>
              <w:rPr>
                <w:rFonts w:ascii="仿宋_GB2312" w:hAnsi="仿宋_GB2312" w:cs="仿宋_GB2312" w:eastAsia="仿宋_GB2312"/>
                <w:sz w:val="20"/>
                <w:b/>
              </w:rPr>
              <w:t>1：外送部分项目清单及最长报告时间</w:t>
            </w:r>
          </w:p>
          <w:tbl>
            <w:tblPr>
              <w:tblInd w:type="dxa" w:w="120"/>
              <w:tblBorders>
                <w:top w:val="none" w:color="000000" w:sz="4"/>
                <w:left w:val="none" w:color="000000" w:sz="4"/>
                <w:bottom w:val="none" w:color="000000" w:sz="4"/>
                <w:right w:val="none" w:color="000000" w:sz="4"/>
                <w:insideH w:val="none"/>
                <w:insideV w:val="none"/>
              </w:tblBorders>
            </w:tblPr>
            <w:tblGrid>
              <w:gridCol w:w="551"/>
              <w:gridCol w:w="412"/>
              <w:gridCol w:w="294"/>
              <w:gridCol w:w="556"/>
              <w:gridCol w:w="412"/>
              <w:gridCol w:w="321"/>
            </w:tblGrid>
            <w:tr>
              <w:tc>
                <w:tcPr>
                  <w:tcW w:type="dxa" w:w="5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报告时间</w:t>
                  </w:r>
                </w:p>
              </w:tc>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符合性</w:t>
                  </w:r>
                </w:p>
              </w:tc>
              <w:tc>
                <w:tcPr>
                  <w:tcW w:type="dxa" w:w="5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项目</w:t>
                  </w:r>
                </w:p>
              </w:tc>
              <w:tc>
                <w:tcPr>
                  <w:tcW w:type="dxa" w:w="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报告时间</w:t>
                  </w:r>
                </w:p>
              </w:tc>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符合性</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直接抗人球蛋白试验</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地高辛浓度测定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高血压五项（立位）</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全血中环孢素药物浓度测定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高血压五项（卧位）</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他克莫司药物浓度测定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GM检测（半乳甘露聚糖检测）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血清骨钙素测定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G检测(真菌D-葡聚糖检测)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间接抗人球蛋白试验</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自身免疫性肝病抗体四项测定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血清肌酸激酶－</w:t>
                  </w:r>
                  <w:r>
                    <w:rPr>
                      <w:rFonts w:ascii="仿宋_GB2312" w:hAnsi="仿宋_GB2312" w:cs="仿宋_GB2312" w:eastAsia="仿宋_GB2312"/>
                      <w:sz w:val="20"/>
                      <w:color w:val="000000"/>
                    </w:rPr>
                    <w:t>MB同工酶质量测定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免疫固定电泳</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24小时尿儿茶酚胺及其代谢产物检测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病毒五项（</w:t>
                  </w:r>
                  <w:r>
                    <w:rPr>
                      <w:rFonts w:ascii="仿宋_GB2312" w:hAnsi="仿宋_GB2312" w:cs="仿宋_GB2312" w:eastAsia="仿宋_GB2312"/>
                      <w:sz w:val="20"/>
                      <w:color w:val="000000"/>
                    </w:rPr>
                    <w:t>IgM）</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巨细胞病毒抗体（</w:t>
                  </w:r>
                  <w:r>
                    <w:rPr>
                      <w:rFonts w:ascii="仿宋_GB2312" w:hAnsi="仿宋_GB2312" w:cs="仿宋_GB2312" w:eastAsia="仿宋_GB2312"/>
                      <w:sz w:val="20"/>
                      <w:color w:val="000000"/>
                    </w:rPr>
                    <w:t>IgG）测定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肝纤维四项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淋巴细胞亚群测定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轻链</w:t>
                  </w:r>
                  <w:r>
                    <w:rPr>
                      <w:rFonts w:ascii="仿宋_GB2312" w:hAnsi="仿宋_GB2312" w:cs="仿宋_GB2312" w:eastAsia="仿宋_GB2312"/>
                      <w:sz w:val="20"/>
                      <w:color w:val="000000"/>
                    </w:rPr>
                    <w:t>KAPPA、LAMBDA测定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血清生长激素测定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胰岛素</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幽门螺杆菌分型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糖尿病自身抗体三项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丙型肝炎病毒基因</w:t>
                  </w:r>
                  <w:r>
                    <w:rPr>
                      <w:rFonts w:ascii="仿宋_GB2312" w:hAnsi="仿宋_GB2312" w:cs="仿宋_GB2312" w:eastAsia="仿宋_GB2312"/>
                      <w:sz w:val="20"/>
                      <w:color w:val="000000"/>
                    </w:rPr>
                    <w:t>HCV分型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血清维生素定量测定</w:t>
                  </w:r>
                  <w:r>
                    <w:rPr>
                      <w:rFonts w:ascii="仿宋_GB2312" w:hAnsi="仿宋_GB2312" w:cs="仿宋_GB2312" w:eastAsia="仿宋_GB2312"/>
                      <w:sz w:val="20"/>
                      <w:color w:val="000000"/>
                    </w:rPr>
                    <w:t>(B12)</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T淋巴细胞亚群计数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C肽</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肥达氏反应</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w:t>
                  </w:r>
                  <w:r>
                    <w:rPr>
                      <w:rFonts w:ascii="仿宋_GB2312" w:hAnsi="仿宋_GB2312" w:cs="仿宋_GB2312" w:eastAsia="仿宋_GB2312"/>
                      <w:sz w:val="20"/>
                      <w:color w:val="000000"/>
                    </w:rPr>
                    <w:t>IgE测定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副流感病毒抗体测定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微量元素七项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艰难梭菌霉素</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叶酸测定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抗精子抗体测定</w:t>
                  </w:r>
                  <w:r>
                    <w:rPr>
                      <w:rFonts w:ascii="仿宋_GB2312" w:hAnsi="仿宋_GB2312" w:cs="仿宋_GB2312" w:eastAsia="仿宋_GB2312"/>
                      <w:sz w:val="20"/>
                      <w:color w:val="000000"/>
                    </w:rPr>
                    <w:t>(AsAb)</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血清蛋白电泳</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淋巴细胞亚群计数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免疫球蛋白亚类</w:t>
                  </w:r>
                  <w:r>
                    <w:rPr>
                      <w:rFonts w:ascii="仿宋_GB2312" w:hAnsi="仿宋_GB2312" w:cs="仿宋_GB2312" w:eastAsia="仿宋_GB2312"/>
                      <w:sz w:val="20"/>
                      <w:color w:val="000000"/>
                    </w:rPr>
                    <w:t>IgG4定量测定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尿蛋白电泳分析</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全血微量元素八项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血清药物浓度测定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吸入过敏原十一项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ANA谱十五项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EB病毒早期抗原IgM抗体</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EB病毒核酸定量检测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血清促肾上腺皮质激素测定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镁测定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百日咳杆菌</w:t>
                  </w:r>
                  <w:r>
                    <w:rPr>
                      <w:rFonts w:ascii="仿宋_GB2312" w:hAnsi="仿宋_GB2312" w:cs="仿宋_GB2312" w:eastAsia="仿宋_GB2312"/>
                      <w:sz w:val="20"/>
                      <w:color w:val="000000"/>
                    </w:rPr>
                    <w:t>IgG抗体测定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钠测定（</w:t>
                  </w:r>
                  <w:r>
                    <w:rPr>
                      <w:rFonts w:ascii="仿宋_GB2312" w:hAnsi="仿宋_GB2312" w:cs="仿宋_GB2312" w:eastAsia="仿宋_GB2312"/>
                      <w:sz w:val="20"/>
                      <w:color w:val="000000"/>
                    </w:rPr>
                    <w:t>24小时尿）</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戊肝两项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醛固酮测定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骨髓细胞分析检查</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外斐氏反应</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降钙素测定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等检验项目</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食入过敏原十一项</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显微摄影术</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促甲状腺素受体抗体（</w:t>
                  </w:r>
                  <w:r>
                    <w:rPr>
                      <w:rFonts w:ascii="仿宋_GB2312" w:hAnsi="仿宋_GB2312" w:cs="仿宋_GB2312" w:eastAsia="仿宋_GB2312"/>
                      <w:sz w:val="20"/>
                      <w:color w:val="000000"/>
                    </w:rPr>
                    <w:t>TRAb）</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病理体视学检查与图像分析</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巨细胞病毒抗体（</w:t>
                  </w:r>
                  <w:r>
                    <w:rPr>
                      <w:rFonts w:ascii="仿宋_GB2312" w:hAnsi="仿宋_GB2312" w:cs="仿宋_GB2312" w:eastAsia="仿宋_GB2312"/>
                      <w:sz w:val="20"/>
                      <w:color w:val="000000"/>
                    </w:rPr>
                    <w:t>IgM）测定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内镜组织活检检查与诊断</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呼吸道合胞病毒抗体测定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手术标本检查与诊断</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抗胰岛素抗体测定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液基薄层细胞制片术</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血清骨型碱性磷酸酶测定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手术标本检查与诊断超过两个蜡块加收</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皮质醇节律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病理体视学及显微摄影术</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血浆皮质醇测定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局部切除组织活检检查与诊断</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总铁结合力组套</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牙齿及骨骼磨片诊断（脱钙）</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单纯疱疹病毒</w:t>
                  </w:r>
                  <w:r>
                    <w:rPr>
                      <w:rFonts w:ascii="仿宋_GB2312" w:hAnsi="仿宋_GB2312" w:cs="仿宋_GB2312" w:eastAsia="仿宋_GB2312"/>
                      <w:sz w:val="20"/>
                      <w:color w:val="000000"/>
                    </w:rPr>
                    <w:t>1/2型（IgM）</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局部切除组织活检检查与诊断超过两个蜡块加收</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病毒五项（</w:t>
                  </w:r>
                  <w:r>
                    <w:rPr>
                      <w:rFonts w:ascii="仿宋_GB2312" w:hAnsi="仿宋_GB2312" w:cs="仿宋_GB2312" w:eastAsia="仿宋_GB2312"/>
                      <w:sz w:val="20"/>
                      <w:color w:val="000000"/>
                    </w:rPr>
                    <w:t>IgG）</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体液细胞学检查与诊断</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单纯疱疹病毒</w:t>
                  </w:r>
                  <w:r>
                    <w:rPr>
                      <w:rFonts w:ascii="仿宋_GB2312" w:hAnsi="仿宋_GB2312" w:cs="仿宋_GB2312" w:eastAsia="仿宋_GB2312"/>
                      <w:sz w:val="20"/>
                      <w:color w:val="000000"/>
                    </w:rPr>
                    <w:t>1/2型（IgG）</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细胞学计数</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腺病毒抗体测定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病理大体标本摄影</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肿瘤坏死因子测定</w:t>
                  </w:r>
                  <w:r>
                    <w:rPr>
                      <w:rFonts w:ascii="仿宋_GB2312" w:hAnsi="仿宋_GB2312" w:cs="仿宋_GB2312" w:eastAsia="仿宋_GB2312"/>
                      <w:sz w:val="20"/>
                      <w:color w:val="000000"/>
                    </w:rPr>
                    <w:t>(TNF)</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免疫组织化学染色诊断</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EB病毒抗体测定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腹水</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5个工作日</w:t>
                  </w:r>
                </w:p>
              </w:tc>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24小时尿钾测定</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4个工作日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9"/>
                  <w:gridSpan w:val="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等检验病理项目</w:t>
                  </w:r>
                </w:p>
              </w:tc>
            </w:tr>
            <w:tr>
              <w:tc>
                <w:tcPr>
                  <w:tcW w:type="dxa" w:w="5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化学药物用药指导基因检测</w:t>
                  </w:r>
                </w:p>
              </w:tc>
              <w:tc>
                <w:tcPr>
                  <w:tcW w:type="dxa" w:w="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4个自然日</w:t>
                  </w:r>
                </w:p>
              </w:tc>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289"/>
                  <w:gridSpan w:val="3"/>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符合现行的国家验收标准及规范或国家行政部门颁布的法律法规、规章制度等。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度结算，乙方根据甲方开具的检验申请单和乙方系统数据，按约定比例核算检验费用总额，按照甲方提供的发票信息开具相应金额的发票，甲方在收到发票10个工作日内，将检验费用支付至乙方指定的银行账户</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业绩.docx 服务内容及服务邀请应答表 中小企业声明函 报价表 商务应答表.docx 投入人员情况.docx 供应商承诺书.docx 响应文件封面 供应商应提交的相关资格证明材料.docx 残疾人福利性单位声明函 服务方案 标的清单 利益关系承诺函.docx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医疗机构执业许可证书</w:t>
            </w:r>
          </w:p>
        </w:tc>
        <w:tc>
          <w:tcPr>
            <w:tcW w:type="dxa" w:w="3322"/>
          </w:tcPr>
          <w:p>
            <w:pPr>
              <w:pStyle w:val="null3"/>
            </w:pPr>
            <w:r>
              <w:rPr>
                <w:rFonts w:ascii="仿宋_GB2312" w:hAnsi="仿宋_GB2312" w:cs="仿宋_GB2312" w:eastAsia="仿宋_GB2312"/>
              </w:rPr>
              <w:t>供应商须具备医疗机构执业许可证书；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生物安全实验室备案证书</w:t>
            </w:r>
          </w:p>
        </w:tc>
        <w:tc>
          <w:tcPr>
            <w:tcW w:type="dxa" w:w="3322"/>
          </w:tcPr>
          <w:p>
            <w:pPr>
              <w:pStyle w:val="null3"/>
            </w:pPr>
            <w:r>
              <w:rPr>
                <w:rFonts w:ascii="仿宋_GB2312" w:hAnsi="仿宋_GB2312" w:cs="仿宋_GB2312" w:eastAsia="仿宋_GB2312"/>
              </w:rPr>
              <w:t>供应商具备生物安全实验室备案证书；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提供递交响应文件截止之日前一年内不少于三个月的依法缴纳税收的相关凭据（时间以税款所属日期为准），依法免税或无须缴纳税收的供应商应提供相应证明文件；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提供递交响应文件截止之日前一年内不少于三个月的社会保障资金缴纳证明，依法不需要缴纳社会保障资金的供应商应提供相关文件证明；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响应文件封面 服务内容及服务邀请应答表 中小企业声明函 标的清单 报价表 商务应答表.docx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业绩.docx 服务内容及服务邀请应答表 中小企业声明函 报价表 商务应答表.docx 投入人员情况.docx 供应商承诺书.docx 响应文件封面 供应商应提交的相关资格证明材料.docx 残疾人福利性单位声明函 服务方案 标的清单 利益关系承诺函.docx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符合“第三章 质量验收标准或规范”的要求</w:t>
            </w:r>
          </w:p>
        </w:tc>
        <w:tc>
          <w:tcPr>
            <w:tcW w:type="dxa" w:w="1661"/>
          </w:tcPr>
          <w:p>
            <w:pPr>
              <w:pStyle w:val="null3"/>
            </w:pPr>
            <w:r>
              <w:rPr>
                <w:rFonts w:ascii="仿宋_GB2312" w:hAnsi="仿宋_GB2312" w:cs="仿宋_GB2312" w:eastAsia="仿宋_GB2312"/>
              </w:rPr>
              <w:t>服务内容及服务邀请应答表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实质性条款、商务要求、合同条款响应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供应商应提交的相关资格证明材料.docx 中小企业声明函 标的清单 利益关系承诺函.docx 报价表 商务应答表.docx 响应函 供应商承诺书.docx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供应商应提交的相关资格证明材料.docx 服务内容及服务邀请应答表 中小企业声明函 标的清单 商务应答表.docx 报价表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利益关系承诺函</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利益关系承诺函.docx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w:t>
            </w:r>
          </w:p>
        </w:tc>
        <w:tc>
          <w:tcPr>
            <w:tcW w:type="dxa" w:w="2492"/>
          </w:tcPr>
          <w:p>
            <w:pPr>
              <w:pStyle w:val="null3"/>
            </w:pPr>
            <w:r>
              <w:rPr>
                <w:rFonts w:ascii="仿宋_GB2312" w:hAnsi="仿宋_GB2312" w:cs="仿宋_GB2312" w:eastAsia="仿宋_GB2312"/>
              </w:rPr>
              <w:t>供应商所提供服务主要技术指标、采购需求，评审小组根据响应情况进行赋分。 每负偏离1项扣 1 分，扣完为止，不计负分。标“★”项不满足为无效投标。</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项目服务方案</w:t>
            </w:r>
          </w:p>
        </w:tc>
        <w:tc>
          <w:tcPr>
            <w:tcW w:type="dxa" w:w="2492"/>
          </w:tcPr>
          <w:p>
            <w:pPr>
              <w:pStyle w:val="null3"/>
            </w:pPr>
            <w:r>
              <w:rPr>
                <w:rFonts w:ascii="仿宋_GB2312" w:hAnsi="仿宋_GB2312" w:cs="仿宋_GB2312" w:eastAsia="仿宋_GB2312"/>
              </w:rPr>
              <w:t>针对本项目的工作部署、取样及核查、检验、异议处理、 保密工作的实施等内容进行合理安排和制定详细方案。 1.方案细致完整、描述条理清晰，内容齐全，有较高的针对性，视其响应程度得 5.1-8分； 2.方案较完整，可基本实现及满足采购要求，视其响应程度得3.1-5 分； 3.方案较完善，可行性差，针对性一般得 0-3 分； 4.方案有明显缺陷或未提供不得分。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管理能力质量控制</w:t>
            </w:r>
          </w:p>
        </w:tc>
        <w:tc>
          <w:tcPr>
            <w:tcW w:type="dxa" w:w="2492"/>
          </w:tcPr>
          <w:p>
            <w:pPr>
              <w:pStyle w:val="null3"/>
            </w:pPr>
            <w:r>
              <w:rPr>
                <w:rFonts w:ascii="仿宋_GB2312" w:hAnsi="仿宋_GB2312" w:cs="仿宋_GB2312" w:eastAsia="仿宋_GB2312"/>
              </w:rPr>
              <w:t>1、样品控制（6 分）： ①应建立样品管理控制程序，按其响应文件描述程度得 0-2分，无控制程序不得分；②确保检验检测结果有效性，按规定和相关标准留证，按其响应文件描述程度得 0-2分，检测方法不合标或留证不全，存在违法违规或纠纷隐患的，不得分；③样品管理和流转不影响检验结果，且具有可溯性，按其响应文件描述程度得 0-2分。 2、质量控制（3分）：供应商应有有效质控程序，包括设备、试剂的有效期核查，能力验证、不同实验室之间比对、机构内部比对等，质量控制应有适当的方法和计划并加以评价。按其响应文件描述程度得 0-3分。 3、记录控制（3分）：机构要建立检验记录控制程序，确保每一项检验记录信息完整、准确、真实且具有溯源性。按其响应文件描述程度得 0-3分。 4、室间质评（2 分）：提供近一年内参加室间质评活动的合格证书，提供得 2 分，不提供不得分。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实验室体系管理：供应商应建立、实施和保持与实际情况相适应管理体系，具备完整适用的体系文件，包括：管理体系文件、 程序文件、作业指导书、文件控制、记录控制、对风险的应对、改进和纠正措施、内部审核和管理评审。按其响应文件描述程度赋分：优良 6.1-8分， 一般2.1-6，较差0-2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投入人员情况</w:t>
            </w:r>
          </w:p>
        </w:tc>
        <w:tc>
          <w:tcPr>
            <w:tcW w:type="dxa" w:w="2492"/>
          </w:tcPr>
          <w:p>
            <w:pPr>
              <w:pStyle w:val="null3"/>
            </w:pPr>
            <w:r>
              <w:rPr>
                <w:rFonts w:ascii="仿宋_GB2312" w:hAnsi="仿宋_GB2312" w:cs="仿宋_GB2312" w:eastAsia="仿宋_GB2312"/>
              </w:rPr>
              <w:t>配备有医学博士或高级职称至少3人的专家团队，满足基本要求得2分，不满足不得分； 每增加 1 名医学博士加 1 分，最高 1分； 每增加 1 名高级职称人员加 1 分，最高 2分。 评审依据：需提供人员职称证或学历证书及在本单位近6个月的社保（退休人员提供劳务合同）等证明材料为依据。未提供不得分。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投入人员情况.docx</w:t>
            </w:r>
          </w:p>
        </w:tc>
      </w:tr>
      <w:tr>
        <w:tc>
          <w:tcPr>
            <w:tcW w:type="dxa" w:w="831"/>
            <w:vMerge/>
          </w:tcPr>
          <w:p/>
        </w:tc>
        <w:tc>
          <w:tcPr>
            <w:tcW w:type="dxa" w:w="1661"/>
          </w:tcPr>
          <w:p>
            <w:pPr>
              <w:pStyle w:val="null3"/>
            </w:pPr>
            <w:r>
              <w:rPr>
                <w:rFonts w:ascii="仿宋_GB2312" w:hAnsi="仿宋_GB2312" w:cs="仿宋_GB2312" w:eastAsia="仿宋_GB2312"/>
              </w:rPr>
              <w:t>实验室保障</w:t>
            </w:r>
          </w:p>
        </w:tc>
        <w:tc>
          <w:tcPr>
            <w:tcW w:type="dxa" w:w="2492"/>
          </w:tcPr>
          <w:p>
            <w:pPr>
              <w:pStyle w:val="null3"/>
            </w:pPr>
            <w:r>
              <w:rPr>
                <w:rFonts w:ascii="仿宋_GB2312" w:hAnsi="仿宋_GB2312" w:cs="仿宋_GB2312" w:eastAsia="仿宋_GB2312"/>
              </w:rPr>
              <w:t>配备与需求承检品种、项目数量相匹配的场所、环境和设备设施： 1、供应商具备与承检品种、项目相适应的场所、环境，且功能齐全，布局合理。视其实验室现场照片综合比较得 0-5 分。（以实验室现场环境、设施设备图片为准） 2、实验室仪器设备种类和数量满足承检品种和项目检验需求，提供检验设备仪器清单（包括设备名称、厂家、型号、规格、产地、使用年限），数量满足检测需要，主要仪器为目前国内外主流设备，视其响应程度得 0-5 分。 注：未提供不得分。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对项目实施过程突发的紧急状况有合理化建议及相关措施可行： 处理方式可行、处理人员配备合理、响应时间短、问题处理迅速得 3.1-5分； 处理方式基本可行、处理人员配备较为合理、响应时间短、问题处理迅速得 2.1-3分； 处理方式基本一般、处理人员配备不合理、响应时间长、问题处理耗时长得 0-2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根据供应商针对本项目提供售后服务方案（包括售后服务承诺、售后服务计划、售后服务响应时间、售后服务措施。）由评审小组进行评审。 售后服务方案科学合理、合理性、针对性强、响应速度快、完全满足项目要求得3.1-5分； 售后服务方案有一定的可行性，基本满足项目要求，具有一定的合理性、针对性得1.1-3分； 售后服务方案基本可行，合理性、针对性较差的得0-1分；未提供不得分。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2022年06月01日至今与医疗机构合作的同类项目业绩证明文件（完整的合同或协议书，时间以合同签订日期为准），每有一项得1分,最多得5分； 注：响应文件中的业绩证明文件复印件须加盖供应商公章。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磋商报价得分=（磋商基准价/最终磋商报价）×30超出预算的磋商报价在评审过程中按无效投标处理。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详见附件：投入人员情况.docx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详见附件：利益关系承诺函.docx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