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版本号：CT-ZB00-155-2025.1B220250910001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2025年世界城地组织理事会会议暨工发组织“城市之桥”十周年特别动场地租赁项目(三次)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CT-ZB00-155-2025.1B2</w:t>
      </w:r>
      <w:r>
        <w:br/>
      </w:r>
      <w:r>
        <w:br/>
      </w:r>
      <w:r>
        <w:br/>
      </w:r>
    </w:p>
    <w:p>
      <w:pPr>
        <w:pStyle w:val="null3"/>
        <w:jc w:val="center"/>
        <w:outlineLvl w:val="5"/>
      </w:pPr>
      <w:r>
        <w:rPr>
          <w:rFonts w:ascii="仿宋_GB2312" w:hAnsi="仿宋_GB2312" w:cs="仿宋_GB2312" w:eastAsia="仿宋_GB2312"/>
          <w:sz w:val="15"/>
          <w:b/>
        </w:rPr>
        <w:t>西安市对外友好城市交流中心</w:t>
      </w:r>
    </w:p>
    <w:p>
      <w:pPr>
        <w:pStyle w:val="null3"/>
        <w:jc w:val="center"/>
        <w:outlineLvl w:val="5"/>
      </w:pPr>
      <w:r>
        <w:rPr>
          <w:rFonts w:ascii="仿宋_GB2312" w:hAnsi="仿宋_GB2312" w:cs="仿宋_GB2312" w:eastAsia="仿宋_GB2312"/>
          <w:sz w:val="15"/>
          <w:b/>
        </w:rPr>
        <w:t>中昕国际项目管理有限公司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西安市对外友好城市交流中心</w:t>
      </w:r>
      <w:r>
        <w:rPr>
          <w:rFonts w:ascii="仿宋_GB2312" w:hAnsi="仿宋_GB2312" w:cs="仿宋_GB2312" w:eastAsia="仿宋_GB2312"/>
        </w:rPr>
        <w:t>委托，拟对</w:t>
      </w:r>
      <w:r>
        <w:rPr>
          <w:rFonts w:ascii="仿宋_GB2312" w:hAnsi="仿宋_GB2312" w:cs="仿宋_GB2312" w:eastAsia="仿宋_GB2312"/>
        </w:rPr>
        <w:t>2025年世界城地组织理事会会议暨工发组织“城市之桥”十周年特别动场地租赁项目(三次)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CT-ZB00-155-2025.1B2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2025年世界城地组织理事会会议暨工发组织“城市之桥”十周年特别动场地租赁项目(三次)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本次采购旨在为西安市即将举办的2025年世界城地组织理事会会议暨工发组织“城市之桥”十周年特别活动提供合适的场地，该活动规格高、影响力大，对场地的规模、设施、服务等方面有着严格且特定的要求。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采购包1（2025年世界城地组织理事会会议暨工发组织“城市之桥”十周年特别活动场地租赁项目）：属于专门面向中小企业采购。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社会保障资金缴纳证明：提供递交投标文件截止时间前一年内至少一个月已缴纳的社会保障资金的证明（社会保障资金缴存单据或社保机构开具的社会保险参保缴费情况证明等）；依法不需要缴纳社会保障资金的供应商应提供相关文件证明；</w:t>
      </w:r>
    </w:p>
    <w:p>
      <w:pPr>
        <w:pStyle w:val="null3"/>
      </w:pPr>
      <w:r>
        <w:rPr>
          <w:rFonts w:ascii="仿宋_GB2312" w:hAnsi="仿宋_GB2312" w:cs="仿宋_GB2312" w:eastAsia="仿宋_GB2312"/>
        </w:rPr>
        <w:t>3、税收缴纳证明：提供递交投标文件截止时间前一年内至少一个月的纳税证明或完税证明，纳税证明或完税证明上应有代收机构或税务机关的公章或业务专用章；其他组织和自然人提供投标文件截止时间前一年内至少一个月缴纳税收的凭据；依法免税的供应商应提供相关文件证明；</w:t>
      </w:r>
    </w:p>
    <w:p>
      <w:pPr>
        <w:pStyle w:val="null3"/>
      </w:pPr>
      <w:r>
        <w:rPr>
          <w:rFonts w:ascii="仿宋_GB2312" w:hAnsi="仿宋_GB2312" w:cs="仿宋_GB2312" w:eastAsia="仿宋_GB2312"/>
        </w:rPr>
        <w:t>4、财务审计报告：供2024年度经审计的财务报告（成立时间至递交投标文件截止时间不足一年的可提供成立后任意时段的资产负债表），或递交投标文件截止时间前六个月内基本账户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5、书面声明：投标供应商参加政府采购活动前三年内在经营活动中没有重大违法记录的书面声明；</w:t>
      </w:r>
    </w:p>
    <w:p>
      <w:pPr>
        <w:pStyle w:val="null3"/>
      </w:pPr>
      <w:r>
        <w:rPr>
          <w:rFonts w:ascii="仿宋_GB2312" w:hAnsi="仿宋_GB2312" w:cs="仿宋_GB2312" w:eastAsia="仿宋_GB2312"/>
        </w:rPr>
        <w:t>6、法定代表人（单位负责人）身份证明书或法定代表人（单位负责人）授权委托书：法定代表人（单位负责人）身份证明书或法定代表人（单位负责人）授权委托书：非法定代表人（单位负责人）参加投标的，须提供法定代表人（单位负责人）授权委托书及被授权人身份证；法定代表人（单位负责人）参加投标时，只须提供法定代表人（单位负责人）身份证；</w:t>
      </w:r>
    </w:p>
    <w:p>
      <w:pPr>
        <w:pStyle w:val="null3"/>
      </w:pPr>
      <w:r>
        <w:rPr>
          <w:rFonts w:ascii="仿宋_GB2312" w:hAnsi="仿宋_GB2312" w:cs="仿宋_GB2312" w:eastAsia="仿宋_GB2312"/>
        </w:rPr>
        <w:t>7、信用查询记录：采购代理机构通过“信用中国”网站(www.creditchina.gov.cn)、中国政府采购网(www.ccgp.gov.cn) 等查询相关主体信用记录；查询时间节点为公告发布之日起至本项目进行资格审核时。对列入失信被执行人、重大税收违法案件当事人名单、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8、承诺书：由投标供应商自行出具具备履行合同所必需的设备和专业技术能力的承诺书；</w:t>
      </w:r>
    </w:p>
    <w:p>
      <w:pPr>
        <w:pStyle w:val="null3"/>
      </w:pPr>
      <w:r>
        <w:rPr>
          <w:rFonts w:ascii="仿宋_GB2312" w:hAnsi="仿宋_GB2312" w:cs="仿宋_GB2312" w:eastAsia="仿宋_GB2312"/>
        </w:rPr>
        <w:t>9、是否联合体投标：本项目不接受联合体投标，投标供应商自行出具非联合体投标声明。</w:t>
      </w:r>
    </w:p>
    <w:p>
      <w:pPr>
        <w:pStyle w:val="null3"/>
      </w:pPr>
      <w:r>
        <w:rPr>
          <w:rFonts w:ascii="仿宋_GB2312" w:hAnsi="仿宋_GB2312" w:cs="仿宋_GB2312" w:eastAsia="仿宋_GB2312"/>
        </w:rPr>
        <w:t>10、限制投标要求：投标供应商单位负责人为同一人或者存在直接控股、管理关系的不同供应商，不得参加同一项目或同一标段的政府采购活动。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西安市对外友好城市交流中心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郝怡明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029-87221557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谭晶晶 、王超、王涛、李博飞、秦瑶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15209184728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代理服务费收费标准：中标（成交）服务费参照《国家计委关于印发&lt;招标代理服务收费管理暂行办法&gt;的通知》（计价格[2002]1980号）规定标准下浮15％收取，由中标（成交）供应商向受托人支付； 银行户名：中昕国际项目管理有限公司 开户银行：中国建设银行股份有限公司西安文景路支行 账 号：61050178150000000278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西安市对外友好城市交流中心</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西安市对外友好城市交流中心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本次采购旨在为西安市即将举办的2025年世界城地组织理事会会议暨工发组织“城市之桥”十周年特别活动提供合适的场地，该活动规格高、影响力大，对场地的规模、设施、服务等方面有着严格且特定的要求。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1100000.00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标的名称：1100000.00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一、项目概述</w:t>
            </w:r>
          </w:p>
          <w:p>
            <w:pPr>
              <w:pStyle w:val="null3"/>
              <w:ind w:firstLine="608"/>
              <w:jc w:val="both"/>
            </w:pPr>
            <w:r>
              <w:rPr>
                <w:rFonts w:ascii="仿宋_GB2312" w:hAnsi="仿宋_GB2312" w:cs="仿宋_GB2312" w:eastAsia="仿宋_GB2312"/>
                <w:sz w:val="20"/>
              </w:rPr>
              <w:t>项目名称：</w:t>
            </w:r>
            <w:r>
              <w:rPr>
                <w:rFonts w:ascii="仿宋_GB2312" w:hAnsi="仿宋_GB2312" w:cs="仿宋_GB2312" w:eastAsia="仿宋_GB2312"/>
                <w:sz w:val="20"/>
              </w:rPr>
              <w:t>2025年世界城地组织理事会会议暨工发组织“城市之桥”十周年特别活动场地租赁项目</w:t>
            </w:r>
          </w:p>
          <w:p>
            <w:pPr>
              <w:pStyle w:val="null3"/>
              <w:ind w:firstLine="608"/>
              <w:jc w:val="both"/>
            </w:pPr>
            <w:r>
              <w:rPr>
                <w:rFonts w:ascii="仿宋_GB2312" w:hAnsi="仿宋_GB2312" w:cs="仿宋_GB2312" w:eastAsia="仿宋_GB2312"/>
                <w:sz w:val="20"/>
              </w:rPr>
              <w:t>采购单位：</w:t>
            </w:r>
            <w:r>
              <w:rPr>
                <w:rFonts w:ascii="仿宋_GB2312" w:hAnsi="仿宋_GB2312" w:cs="仿宋_GB2312" w:eastAsia="仿宋_GB2312"/>
                <w:sz w:val="20"/>
              </w:rPr>
              <w:t>西安市对外友好城市交流中心</w:t>
            </w:r>
          </w:p>
          <w:p>
            <w:pPr>
              <w:pStyle w:val="null3"/>
              <w:ind w:firstLine="608"/>
              <w:jc w:val="both"/>
            </w:pPr>
            <w:r>
              <w:rPr>
                <w:rFonts w:ascii="仿宋_GB2312" w:hAnsi="仿宋_GB2312" w:cs="仿宋_GB2312" w:eastAsia="仿宋_GB2312"/>
                <w:sz w:val="20"/>
              </w:rPr>
              <w:t>项目背景：本次采购旨在为西安市即将举办的</w:t>
            </w:r>
            <w:r>
              <w:rPr>
                <w:rFonts w:ascii="仿宋_GB2312" w:hAnsi="仿宋_GB2312" w:cs="仿宋_GB2312" w:eastAsia="仿宋_GB2312"/>
                <w:sz w:val="20"/>
              </w:rPr>
              <w:t>[2025年世界城地组织理事会会议暨工发组织“城市之桥”十周年特别活动] 提供合适的场地。该活动规格高、影响力大，对场地的规模、设施、服务等方面有着严格且特定的要求。</w:t>
            </w:r>
          </w:p>
          <w:p>
            <w:pPr>
              <w:pStyle w:val="null3"/>
              <w:ind w:firstLine="608"/>
              <w:jc w:val="both"/>
            </w:pPr>
            <w:r>
              <w:rPr>
                <w:rFonts w:ascii="仿宋_GB2312" w:hAnsi="仿宋_GB2312" w:cs="仿宋_GB2312" w:eastAsia="仿宋_GB2312"/>
                <w:sz w:val="20"/>
              </w:rPr>
              <w:t>二、场地租赁需求</w:t>
            </w:r>
          </w:p>
          <w:p>
            <w:pPr>
              <w:pStyle w:val="null3"/>
              <w:ind w:firstLine="608"/>
              <w:jc w:val="both"/>
            </w:pPr>
            <w:r>
              <w:rPr>
                <w:rFonts w:ascii="仿宋_GB2312" w:hAnsi="仿宋_GB2312" w:cs="仿宋_GB2312" w:eastAsia="仿宋_GB2312"/>
                <w:sz w:val="20"/>
              </w:rPr>
              <w:t>租赁场地：包括但不限于</w:t>
            </w:r>
            <w:r>
              <w:rPr>
                <w:rFonts w:ascii="仿宋_GB2312" w:hAnsi="仿宋_GB2312" w:cs="仿宋_GB2312" w:eastAsia="仿宋_GB2312"/>
                <w:sz w:val="20"/>
              </w:rPr>
              <w:t>两个</w:t>
            </w:r>
            <w:r>
              <w:rPr>
                <w:rFonts w:ascii="仿宋_GB2312" w:hAnsi="仿宋_GB2312" w:cs="仿宋_GB2312" w:eastAsia="仿宋_GB2312"/>
                <w:sz w:val="20"/>
              </w:rPr>
              <w:t>主会场、</w:t>
            </w:r>
            <w:r>
              <w:rPr>
                <w:rFonts w:ascii="仿宋_GB2312" w:hAnsi="仿宋_GB2312" w:cs="仿宋_GB2312" w:eastAsia="仿宋_GB2312"/>
                <w:sz w:val="20"/>
              </w:rPr>
              <w:t>每层两个</w:t>
            </w:r>
            <w:r>
              <w:rPr>
                <w:rFonts w:ascii="仿宋_GB2312" w:hAnsi="仿宋_GB2312" w:cs="仿宋_GB2312" w:eastAsia="仿宋_GB2312"/>
                <w:sz w:val="20"/>
              </w:rPr>
              <w:t>分会场、</w:t>
            </w:r>
            <w:r>
              <w:rPr>
                <w:rFonts w:ascii="仿宋_GB2312" w:hAnsi="仿宋_GB2312" w:cs="仿宋_GB2312" w:eastAsia="仿宋_GB2312"/>
                <w:sz w:val="20"/>
              </w:rPr>
              <w:t>中方以及两个国际组织办公室，</w:t>
            </w:r>
            <w:r>
              <w:rPr>
                <w:rFonts w:ascii="仿宋_GB2312" w:hAnsi="仿宋_GB2312" w:cs="仿宋_GB2312" w:eastAsia="仿宋_GB2312"/>
                <w:sz w:val="20"/>
              </w:rPr>
              <w:t>贵宾休息室、</w:t>
            </w:r>
            <w:r>
              <w:rPr>
                <w:rFonts w:ascii="仿宋_GB2312" w:hAnsi="仿宋_GB2312" w:cs="仿宋_GB2312" w:eastAsia="仿宋_GB2312"/>
                <w:sz w:val="20"/>
              </w:rPr>
              <w:t>媒体区</w:t>
            </w:r>
            <w:r>
              <w:rPr>
                <w:rFonts w:ascii="仿宋_GB2312" w:hAnsi="仿宋_GB2312" w:cs="仿宋_GB2312" w:eastAsia="仿宋_GB2312"/>
                <w:sz w:val="20"/>
              </w:rPr>
              <w:t>、餐饮区等，以满足活动期间各类功能需求。场地具体布局和面积需根据活动方案进行确定，确保各区域之间衔接顺畅，人流、物流合理。</w:t>
            </w:r>
          </w:p>
          <w:p>
            <w:pPr>
              <w:pStyle w:val="null3"/>
              <w:ind w:firstLine="608"/>
              <w:jc w:val="both"/>
            </w:pPr>
            <w:r>
              <w:rPr>
                <w:rFonts w:ascii="仿宋_GB2312" w:hAnsi="仿宋_GB2312" w:cs="仿宋_GB2312" w:eastAsia="仿宋_GB2312"/>
                <w:sz w:val="20"/>
              </w:rPr>
              <w:t>租赁期限：</w:t>
            </w:r>
          </w:p>
          <w:p>
            <w:pPr>
              <w:pStyle w:val="null3"/>
              <w:ind w:firstLine="608"/>
              <w:jc w:val="both"/>
            </w:pPr>
            <w:r>
              <w:rPr>
                <w:rFonts w:ascii="仿宋_GB2312" w:hAnsi="仿宋_GB2312" w:cs="仿宋_GB2312" w:eastAsia="仿宋_GB2312"/>
                <w:sz w:val="20"/>
              </w:rPr>
              <w:t>活动使用期：从</w:t>
            </w:r>
            <w:r>
              <w:rPr>
                <w:rFonts w:ascii="仿宋_GB2312" w:hAnsi="仿宋_GB2312" w:cs="仿宋_GB2312" w:eastAsia="仿宋_GB2312"/>
                <w:sz w:val="20"/>
              </w:rPr>
              <w:t>2025年10月16日至17日</w:t>
            </w:r>
            <w:r>
              <w:rPr>
                <w:rFonts w:ascii="仿宋_GB2312" w:hAnsi="仿宋_GB2312" w:cs="仿宋_GB2312" w:eastAsia="仿宋_GB2312"/>
                <w:sz w:val="20"/>
              </w:rPr>
              <w:t>，共计</w:t>
            </w:r>
            <w:r>
              <w:rPr>
                <w:rFonts w:ascii="仿宋_GB2312" w:hAnsi="仿宋_GB2312" w:cs="仿宋_GB2312" w:eastAsia="仿宋_GB2312"/>
                <w:sz w:val="20"/>
              </w:rPr>
              <w:t>2</w:t>
            </w:r>
            <w:r>
              <w:rPr>
                <w:rFonts w:ascii="仿宋_GB2312" w:hAnsi="仿宋_GB2312" w:cs="仿宋_GB2312" w:eastAsia="仿宋_GB2312"/>
                <w:sz w:val="20"/>
              </w:rPr>
              <w:t>天，确保活动期间场地的不间断使用。</w:t>
            </w:r>
          </w:p>
          <w:p>
            <w:pPr>
              <w:pStyle w:val="null3"/>
              <w:ind w:firstLine="608"/>
              <w:jc w:val="both"/>
            </w:pPr>
            <w:r>
              <w:rPr>
                <w:rFonts w:ascii="仿宋_GB2312" w:hAnsi="仿宋_GB2312" w:cs="仿宋_GB2312" w:eastAsia="仿宋_GB2312"/>
                <w:sz w:val="20"/>
              </w:rPr>
              <w:t>搭建</w:t>
            </w:r>
            <w:r>
              <w:rPr>
                <w:rFonts w:ascii="仿宋_GB2312" w:hAnsi="仿宋_GB2312" w:cs="仿宋_GB2312" w:eastAsia="仿宋_GB2312"/>
                <w:sz w:val="20"/>
              </w:rPr>
              <w:t>及撤</w:t>
            </w:r>
            <w:r>
              <w:rPr>
                <w:rFonts w:ascii="仿宋_GB2312" w:hAnsi="仿宋_GB2312" w:cs="仿宋_GB2312" w:eastAsia="仿宋_GB2312"/>
                <w:sz w:val="20"/>
              </w:rPr>
              <w:t>场</w:t>
            </w:r>
            <w:r>
              <w:rPr>
                <w:rFonts w:ascii="仿宋_GB2312" w:hAnsi="仿宋_GB2312" w:cs="仿宋_GB2312" w:eastAsia="仿宋_GB2312"/>
                <w:sz w:val="20"/>
              </w:rPr>
              <w:t>期：布展期为</w:t>
            </w:r>
            <w:r>
              <w:rPr>
                <w:rFonts w:ascii="仿宋_GB2312" w:hAnsi="仿宋_GB2312" w:cs="仿宋_GB2312" w:eastAsia="仿宋_GB2312"/>
                <w:sz w:val="20"/>
              </w:rPr>
              <w:t>2025年10月13</w:t>
            </w:r>
            <w:r>
              <w:rPr>
                <w:rFonts w:ascii="仿宋_GB2312" w:hAnsi="仿宋_GB2312" w:cs="仿宋_GB2312" w:eastAsia="仿宋_GB2312"/>
                <w:sz w:val="20"/>
              </w:rPr>
              <w:t>至</w:t>
            </w:r>
            <w:r>
              <w:rPr>
                <w:rFonts w:ascii="仿宋_GB2312" w:hAnsi="仿宋_GB2312" w:cs="仿宋_GB2312" w:eastAsia="仿宋_GB2312"/>
                <w:sz w:val="20"/>
              </w:rPr>
              <w:t>15日</w:t>
            </w:r>
            <w:r>
              <w:rPr>
                <w:rFonts w:ascii="仿宋_GB2312" w:hAnsi="仿宋_GB2312" w:cs="仿宋_GB2312" w:eastAsia="仿宋_GB2312"/>
                <w:sz w:val="20"/>
              </w:rPr>
              <w:t>，共计3</w:t>
            </w:r>
            <w:r>
              <w:rPr>
                <w:rFonts w:ascii="仿宋_GB2312" w:hAnsi="仿宋_GB2312" w:cs="仿宋_GB2312" w:eastAsia="仿宋_GB2312"/>
                <w:sz w:val="20"/>
              </w:rPr>
              <w:t>天，以便活动筹备团队有充足时间进行场地布置、设备安装调试等工作；撤展期为</w:t>
            </w:r>
            <w:r>
              <w:rPr>
                <w:rFonts w:ascii="仿宋_GB2312" w:hAnsi="仿宋_GB2312" w:cs="仿宋_GB2312" w:eastAsia="仿宋_GB2312"/>
                <w:sz w:val="20"/>
              </w:rPr>
              <w:t>2025年10月18日，共</w:t>
            </w:r>
            <w:r>
              <w:rPr>
                <w:rFonts w:ascii="仿宋_GB2312" w:hAnsi="仿宋_GB2312" w:cs="仿宋_GB2312" w:eastAsia="仿宋_GB2312"/>
                <w:sz w:val="20"/>
              </w:rPr>
              <w:t>计</w:t>
            </w:r>
            <w:r>
              <w:rPr>
                <w:rFonts w:ascii="仿宋_GB2312" w:hAnsi="仿宋_GB2312" w:cs="仿宋_GB2312" w:eastAsia="仿宋_GB2312"/>
                <w:sz w:val="20"/>
              </w:rPr>
              <w:t>1</w:t>
            </w:r>
            <w:r>
              <w:rPr>
                <w:rFonts w:ascii="仿宋_GB2312" w:hAnsi="仿宋_GB2312" w:cs="仿宋_GB2312" w:eastAsia="仿宋_GB2312"/>
                <w:sz w:val="20"/>
              </w:rPr>
              <w:t xml:space="preserve"> </w:t>
            </w:r>
            <w:r>
              <w:rPr>
                <w:rFonts w:ascii="仿宋_GB2312" w:hAnsi="仿宋_GB2312" w:cs="仿宋_GB2312" w:eastAsia="仿宋_GB2312"/>
                <w:sz w:val="20"/>
              </w:rPr>
              <w:t>天，用于清理场地、拆除搭建物等，恢复场地原状。</w:t>
            </w:r>
          </w:p>
          <w:p>
            <w:pPr>
              <w:pStyle w:val="null3"/>
              <w:ind w:firstLine="608"/>
              <w:jc w:val="both"/>
            </w:pPr>
            <w:r>
              <w:rPr>
                <w:rFonts w:ascii="仿宋_GB2312" w:hAnsi="仿宋_GB2312" w:cs="仿宋_GB2312" w:eastAsia="仿宋_GB2312"/>
                <w:sz w:val="20"/>
              </w:rPr>
              <w:t>三、场地设施要求</w:t>
            </w:r>
          </w:p>
          <w:p>
            <w:pPr>
              <w:pStyle w:val="null3"/>
              <w:ind w:firstLine="608"/>
              <w:jc w:val="both"/>
            </w:pPr>
            <w:r>
              <w:rPr>
                <w:rFonts w:ascii="仿宋_GB2312" w:hAnsi="仿宋_GB2312" w:cs="仿宋_GB2312" w:eastAsia="仿宋_GB2312"/>
                <w:sz w:val="20"/>
              </w:rPr>
              <w:t>建筑及空间：</w:t>
            </w:r>
          </w:p>
          <w:p>
            <w:pPr>
              <w:pStyle w:val="null3"/>
              <w:ind w:firstLine="608"/>
              <w:jc w:val="both"/>
            </w:pPr>
            <w:r>
              <w:rPr>
                <w:rFonts w:ascii="仿宋_GB2312" w:hAnsi="仿宋_GB2312" w:cs="仿宋_GB2312" w:eastAsia="仿宋_GB2312"/>
                <w:sz w:val="20"/>
              </w:rPr>
              <w:t>1.联合国工发组织及开幕式</w:t>
            </w:r>
            <w:r>
              <w:rPr>
                <w:rFonts w:ascii="仿宋_GB2312" w:hAnsi="仿宋_GB2312" w:cs="仿宋_GB2312" w:eastAsia="仿宋_GB2312"/>
                <w:sz w:val="20"/>
              </w:rPr>
              <w:t>主会场：具备宽敞开阔的空间，无立柱遮挡视线，净层高不低于</w:t>
            </w:r>
            <w:r>
              <w:rPr>
                <w:rFonts w:ascii="仿宋_GB2312" w:hAnsi="仿宋_GB2312" w:cs="仿宋_GB2312" w:eastAsia="仿宋_GB2312"/>
                <w:sz w:val="20"/>
              </w:rPr>
              <w:t>10</w:t>
            </w:r>
            <w:r>
              <w:rPr>
                <w:rFonts w:ascii="仿宋_GB2312" w:hAnsi="仿宋_GB2312" w:cs="仿宋_GB2312" w:eastAsia="仿宋_GB2312"/>
                <w:sz w:val="20"/>
              </w:rPr>
              <w:t>米，以容纳</w:t>
            </w:r>
            <w:r>
              <w:rPr>
                <w:rFonts w:ascii="仿宋_GB2312" w:hAnsi="仿宋_GB2312" w:cs="仿宋_GB2312" w:eastAsia="仿宋_GB2312"/>
                <w:sz w:val="20"/>
              </w:rPr>
              <w:t>600</w:t>
            </w:r>
            <w:r>
              <w:rPr>
                <w:rFonts w:ascii="仿宋_GB2312" w:hAnsi="仿宋_GB2312" w:cs="仿宋_GB2312" w:eastAsia="仿宋_GB2312"/>
                <w:sz w:val="20"/>
              </w:rPr>
              <w:t>人，满足不同座位布局（如剧院式、课桌式等）的需求。地面承重能力满足活动设备及人员密集活动要求，地面材质需适宜，便于人员行走及设备移动。</w:t>
            </w:r>
          </w:p>
          <w:p>
            <w:pPr>
              <w:pStyle w:val="null3"/>
              <w:ind w:firstLine="608"/>
              <w:jc w:val="both"/>
            </w:pPr>
            <w:r>
              <w:rPr>
                <w:rFonts w:ascii="仿宋_GB2312" w:hAnsi="仿宋_GB2312" w:cs="仿宋_GB2312" w:eastAsia="仿宋_GB2312"/>
                <w:sz w:val="20"/>
              </w:rPr>
              <w:t>2.世界城地组织</w:t>
            </w:r>
            <w:r>
              <w:rPr>
                <w:rFonts w:ascii="仿宋_GB2312" w:hAnsi="仿宋_GB2312" w:cs="仿宋_GB2312" w:eastAsia="仿宋_GB2312"/>
                <w:sz w:val="20"/>
              </w:rPr>
              <w:t>主会场：具备宽敞开阔的空间，无立柱遮挡视线，净层高不低于</w:t>
            </w:r>
            <w:r>
              <w:rPr>
                <w:rFonts w:ascii="仿宋_GB2312" w:hAnsi="仿宋_GB2312" w:cs="仿宋_GB2312" w:eastAsia="仿宋_GB2312"/>
                <w:sz w:val="20"/>
              </w:rPr>
              <w:t>10</w:t>
            </w:r>
            <w:r>
              <w:rPr>
                <w:rFonts w:ascii="仿宋_GB2312" w:hAnsi="仿宋_GB2312" w:cs="仿宋_GB2312" w:eastAsia="仿宋_GB2312"/>
                <w:sz w:val="20"/>
              </w:rPr>
              <w:t>米，以容纳</w:t>
            </w:r>
            <w:r>
              <w:rPr>
                <w:rFonts w:ascii="仿宋_GB2312" w:hAnsi="仿宋_GB2312" w:cs="仿宋_GB2312" w:eastAsia="仿宋_GB2312"/>
                <w:sz w:val="20"/>
              </w:rPr>
              <w:t>400</w:t>
            </w:r>
            <w:r>
              <w:rPr>
                <w:rFonts w:ascii="仿宋_GB2312" w:hAnsi="仿宋_GB2312" w:cs="仿宋_GB2312" w:eastAsia="仿宋_GB2312"/>
                <w:sz w:val="20"/>
              </w:rPr>
              <w:t>人，满足</w:t>
            </w:r>
            <w:r>
              <w:rPr>
                <w:rFonts w:ascii="仿宋_GB2312" w:hAnsi="仿宋_GB2312" w:cs="仿宋_GB2312" w:eastAsia="仿宋_GB2312"/>
                <w:sz w:val="20"/>
              </w:rPr>
              <w:t>个性化</w:t>
            </w:r>
            <w:r>
              <w:rPr>
                <w:rFonts w:ascii="仿宋_GB2312" w:hAnsi="仿宋_GB2312" w:cs="仿宋_GB2312" w:eastAsia="仿宋_GB2312"/>
                <w:sz w:val="20"/>
              </w:rPr>
              <w:t>座位布局（如</w:t>
            </w:r>
            <w:r>
              <w:rPr>
                <w:rFonts w:ascii="仿宋_GB2312" w:hAnsi="仿宋_GB2312" w:cs="仿宋_GB2312" w:eastAsia="仿宋_GB2312"/>
                <w:sz w:val="20"/>
              </w:rPr>
              <w:t>五边形、</w:t>
            </w:r>
            <w:r>
              <w:rPr>
                <w:rFonts w:ascii="仿宋_GB2312" w:hAnsi="仿宋_GB2312" w:cs="仿宋_GB2312" w:eastAsia="仿宋_GB2312"/>
                <w:sz w:val="20"/>
              </w:rPr>
              <w:t>剧院式、课桌式等）的需求。地面承重能力满足活动设备及人员密集活动要求，地面材质需适宜，便于人员行走及设备移动。</w:t>
            </w:r>
          </w:p>
          <w:p>
            <w:pPr>
              <w:pStyle w:val="null3"/>
              <w:ind w:firstLine="608"/>
              <w:jc w:val="both"/>
            </w:pPr>
            <w:r>
              <w:rPr>
                <w:rFonts w:ascii="仿宋_GB2312" w:hAnsi="仿宋_GB2312" w:cs="仿宋_GB2312" w:eastAsia="仿宋_GB2312"/>
                <w:sz w:val="20"/>
              </w:rPr>
              <w:t>3.</w:t>
            </w:r>
            <w:r>
              <w:rPr>
                <w:rFonts w:ascii="仿宋_GB2312" w:hAnsi="仿宋_GB2312" w:cs="仿宋_GB2312" w:eastAsia="仿宋_GB2312"/>
                <w:sz w:val="20"/>
              </w:rPr>
              <w:t>分会场</w:t>
            </w:r>
            <w:r>
              <w:rPr>
                <w:rFonts w:ascii="仿宋_GB2312" w:hAnsi="仿宋_GB2312" w:cs="仿宋_GB2312" w:eastAsia="仿宋_GB2312"/>
                <w:sz w:val="20"/>
              </w:rPr>
              <w:t>4个</w:t>
            </w:r>
            <w:r>
              <w:rPr>
                <w:rFonts w:ascii="仿宋_GB2312" w:hAnsi="仿宋_GB2312" w:cs="仿宋_GB2312" w:eastAsia="仿宋_GB2312"/>
                <w:sz w:val="20"/>
              </w:rPr>
              <w:t>：各分会场面积不小于</w:t>
            </w:r>
            <w:r>
              <w:rPr>
                <w:rFonts w:ascii="仿宋_GB2312" w:hAnsi="仿宋_GB2312" w:cs="仿宋_GB2312" w:eastAsia="仿宋_GB2312"/>
                <w:sz w:val="20"/>
              </w:rPr>
              <w:t>300</w:t>
            </w:r>
            <w:r>
              <w:rPr>
                <w:rFonts w:ascii="仿宋_GB2312" w:hAnsi="仿宋_GB2312" w:cs="仿宋_GB2312" w:eastAsia="仿宋_GB2312"/>
                <w:sz w:val="20"/>
              </w:rPr>
              <w:t>平方米，根据不同会议规模可灵活调整布局，满足</w:t>
            </w:r>
            <w:r>
              <w:rPr>
                <w:rFonts w:ascii="仿宋_GB2312" w:hAnsi="仿宋_GB2312" w:cs="仿宋_GB2312" w:eastAsia="仿宋_GB2312"/>
                <w:sz w:val="20"/>
              </w:rPr>
              <w:t>50-150人</w:t>
            </w:r>
            <w:r>
              <w:rPr>
                <w:rFonts w:ascii="仿宋_GB2312" w:hAnsi="仿宋_GB2312" w:cs="仿宋_GB2312" w:eastAsia="仿宋_GB2312"/>
                <w:sz w:val="20"/>
              </w:rPr>
              <w:t>的使用需求。同样要求空间开阔，无明显视线阻碍。</w:t>
            </w:r>
          </w:p>
          <w:p>
            <w:pPr>
              <w:pStyle w:val="null3"/>
              <w:ind w:firstLine="608"/>
              <w:jc w:val="both"/>
            </w:pPr>
            <w:r>
              <w:rPr>
                <w:rFonts w:ascii="仿宋_GB2312" w:hAnsi="仿宋_GB2312" w:cs="仿宋_GB2312" w:eastAsia="仿宋_GB2312"/>
                <w:sz w:val="20"/>
              </w:rPr>
              <w:t>4.双边会议室2个</w:t>
            </w:r>
            <w:r>
              <w:rPr>
                <w:rFonts w:ascii="仿宋_GB2312" w:hAnsi="仿宋_GB2312" w:cs="仿宋_GB2312" w:eastAsia="仿宋_GB2312"/>
                <w:sz w:val="20"/>
              </w:rPr>
              <w:t>：各</w:t>
            </w:r>
            <w:r>
              <w:rPr>
                <w:rFonts w:ascii="仿宋_GB2312" w:hAnsi="仿宋_GB2312" w:cs="仿宋_GB2312" w:eastAsia="仿宋_GB2312"/>
                <w:sz w:val="20"/>
              </w:rPr>
              <w:t>会议室</w:t>
            </w:r>
            <w:r>
              <w:rPr>
                <w:rFonts w:ascii="仿宋_GB2312" w:hAnsi="仿宋_GB2312" w:cs="仿宋_GB2312" w:eastAsia="仿宋_GB2312"/>
                <w:sz w:val="20"/>
              </w:rPr>
              <w:t>面积不小于</w:t>
            </w:r>
            <w:r>
              <w:rPr>
                <w:rFonts w:ascii="仿宋_GB2312" w:hAnsi="仿宋_GB2312" w:cs="仿宋_GB2312" w:eastAsia="仿宋_GB2312"/>
                <w:sz w:val="20"/>
              </w:rPr>
              <w:t>300 平方米，根据不同会议规模可灵活调整布局，满足 50-150人的使用需求。同样要求空间开阔，无明显视线阻碍。</w:t>
            </w:r>
          </w:p>
          <w:p>
            <w:pPr>
              <w:pStyle w:val="null3"/>
              <w:ind w:firstLine="608"/>
              <w:jc w:val="both"/>
            </w:pPr>
            <w:r>
              <w:rPr>
                <w:rFonts w:ascii="仿宋_GB2312" w:hAnsi="仿宋_GB2312" w:cs="仿宋_GB2312" w:eastAsia="仿宋_GB2312"/>
                <w:sz w:val="20"/>
              </w:rPr>
              <w:t>5.城市治理和产业创新展：提供面积在 4000 平方米以上的场地，场地空间开阔，便于根据展示需求进行灵活分区和展位搭建。场地地面承重能力满足展示设备及展品的放置要求，具备良好的通风和照明条件。</w:t>
            </w:r>
          </w:p>
          <w:p>
            <w:pPr>
              <w:pStyle w:val="null3"/>
              <w:ind w:firstLine="608"/>
              <w:jc w:val="both"/>
            </w:pPr>
            <w:r>
              <w:rPr>
                <w:rFonts w:ascii="仿宋_GB2312" w:hAnsi="仿宋_GB2312" w:cs="仿宋_GB2312" w:eastAsia="仿宋_GB2312"/>
                <w:sz w:val="20"/>
              </w:rPr>
              <w:t>6.中外企业交流会场地要求：提供面积在 600 平方米以上的场地，场地空间布局灵活，能够与城市治理和产业创新展有机联动，方便参会企业人员在展览与交流活动之间便捷通行。场地地面条件适宜，便于布置桌椅及相关交流设施。</w:t>
            </w:r>
          </w:p>
          <w:p>
            <w:pPr>
              <w:pStyle w:val="null3"/>
              <w:ind w:firstLine="608"/>
              <w:jc w:val="both"/>
            </w:pPr>
            <w:r>
              <w:rPr>
                <w:rFonts w:ascii="仿宋_GB2312" w:hAnsi="仿宋_GB2312" w:cs="仿宋_GB2312" w:eastAsia="仿宋_GB2312"/>
                <w:sz w:val="20"/>
              </w:rPr>
              <w:t>7.颁奖典礼及招待晚宴场地：需提供面积在 3000 平方米以上的场地，场地空间宽敞，能够同时容纳 600 人参加冷餐会，并设置表演区域。场地净层高不低于10米，地面承重能力满足人员密集活动及表演设备放置要求。</w:t>
            </w:r>
          </w:p>
          <w:p>
            <w:pPr>
              <w:pStyle w:val="null3"/>
              <w:ind w:firstLine="608"/>
              <w:jc w:val="both"/>
            </w:pPr>
            <w:r>
              <w:rPr>
                <w:rFonts w:ascii="仿宋_GB2312" w:hAnsi="仿宋_GB2312" w:cs="仿宋_GB2312" w:eastAsia="仿宋_GB2312"/>
                <w:sz w:val="20"/>
              </w:rPr>
              <w:t>8.</w:t>
            </w:r>
            <w:r>
              <w:rPr>
                <w:rFonts w:ascii="仿宋_GB2312" w:hAnsi="仿宋_GB2312" w:cs="仿宋_GB2312" w:eastAsia="仿宋_GB2312"/>
                <w:sz w:val="20"/>
              </w:rPr>
              <w:t>贵宾休息室</w:t>
            </w:r>
            <w:r>
              <w:rPr>
                <w:rFonts w:ascii="仿宋_GB2312" w:hAnsi="仿宋_GB2312" w:cs="仿宋_GB2312" w:eastAsia="仿宋_GB2312"/>
                <w:sz w:val="20"/>
              </w:rPr>
              <w:t>2个</w:t>
            </w:r>
            <w:r>
              <w:rPr>
                <w:rFonts w:ascii="仿宋_GB2312" w:hAnsi="仿宋_GB2312" w:cs="仿宋_GB2312" w:eastAsia="仿宋_GB2312"/>
                <w:sz w:val="20"/>
              </w:rPr>
              <w:t>：独立的贵宾休息室，每个面积不小于</w:t>
            </w:r>
            <w:r>
              <w:rPr>
                <w:rFonts w:ascii="仿宋_GB2312" w:hAnsi="仿宋_GB2312" w:cs="仿宋_GB2312" w:eastAsia="仿宋_GB2312"/>
                <w:sz w:val="20"/>
              </w:rPr>
              <w:t>20</w:t>
            </w:r>
            <w:r>
              <w:rPr>
                <w:rFonts w:ascii="仿宋_GB2312" w:hAnsi="仿宋_GB2312" w:cs="仿宋_GB2312" w:eastAsia="仿宋_GB2312"/>
                <w:sz w:val="20"/>
              </w:rPr>
              <w:t xml:space="preserve"> </w:t>
            </w:r>
            <w:r>
              <w:rPr>
                <w:rFonts w:ascii="仿宋_GB2312" w:hAnsi="仿宋_GB2312" w:cs="仿宋_GB2312" w:eastAsia="仿宋_GB2312"/>
                <w:sz w:val="20"/>
              </w:rPr>
              <w:t>平方米，装修风格高雅，环境安静舒适，具备良好的通风和采光条件，内部设有舒适的沙发、茶几、衣架等设施。</w:t>
            </w:r>
          </w:p>
          <w:p>
            <w:pPr>
              <w:pStyle w:val="null3"/>
              <w:ind w:firstLine="608"/>
              <w:jc w:val="both"/>
            </w:pPr>
            <w:r>
              <w:rPr>
                <w:rFonts w:ascii="仿宋_GB2312" w:hAnsi="仿宋_GB2312" w:cs="仿宋_GB2312" w:eastAsia="仿宋_GB2312"/>
                <w:sz w:val="20"/>
              </w:rPr>
              <w:t>9.餐饮区：需提供面积在 2000 平方米以上的场地，场地空间宽敞，能够同时容纳 600 人用餐。场地净层高不低于10米，地面承重能力满足人员密集活动及表演设备放置要求。</w:t>
            </w:r>
          </w:p>
          <w:p>
            <w:pPr>
              <w:pStyle w:val="null3"/>
              <w:ind w:firstLine="608"/>
              <w:jc w:val="both"/>
            </w:pPr>
            <w:r>
              <w:rPr>
                <w:rFonts w:ascii="仿宋_GB2312" w:hAnsi="仿宋_GB2312" w:cs="仿宋_GB2312" w:eastAsia="仿宋_GB2312"/>
                <w:sz w:val="20"/>
              </w:rPr>
              <w:t>10.</w:t>
            </w:r>
            <w:r>
              <w:rPr>
                <w:rFonts w:ascii="仿宋_GB2312" w:hAnsi="仿宋_GB2312" w:cs="仿宋_GB2312" w:eastAsia="仿宋_GB2312"/>
                <w:sz w:val="20"/>
              </w:rPr>
              <w:t>其他区域：新闻发布厅、</w:t>
            </w:r>
            <w:r>
              <w:rPr>
                <w:rFonts w:ascii="仿宋_GB2312" w:hAnsi="仿宋_GB2312" w:cs="仿宋_GB2312" w:eastAsia="仿宋_GB2312"/>
                <w:sz w:val="20"/>
              </w:rPr>
              <w:t>茶歇</w:t>
            </w:r>
            <w:r>
              <w:rPr>
                <w:rFonts w:ascii="仿宋_GB2312" w:hAnsi="仿宋_GB2312" w:cs="仿宋_GB2312" w:eastAsia="仿宋_GB2312"/>
                <w:sz w:val="20"/>
              </w:rPr>
              <w:t>区、注册区等功能区域面积合理，能够满足活动期间相应功能的高效运作。</w:t>
            </w:r>
          </w:p>
          <w:p>
            <w:pPr>
              <w:pStyle w:val="null3"/>
              <w:ind w:firstLine="608"/>
              <w:jc w:val="both"/>
            </w:pPr>
            <w:r>
              <w:rPr>
                <w:rFonts w:ascii="仿宋_GB2312" w:hAnsi="仿宋_GB2312" w:cs="仿宋_GB2312" w:eastAsia="仿宋_GB2312"/>
                <w:sz w:val="20"/>
              </w:rPr>
              <w:t>基础设施：</w:t>
            </w:r>
          </w:p>
          <w:p>
            <w:pPr>
              <w:pStyle w:val="null3"/>
              <w:ind w:firstLine="608"/>
              <w:jc w:val="both"/>
            </w:pPr>
            <w:r>
              <w:rPr>
                <w:rFonts w:ascii="仿宋_GB2312" w:hAnsi="仿宋_GB2312" w:cs="仿宋_GB2312" w:eastAsia="仿宋_GB2312"/>
                <w:sz w:val="20"/>
              </w:rPr>
              <w:t>1.</w:t>
            </w:r>
            <w:r>
              <w:rPr>
                <w:rFonts w:ascii="仿宋_GB2312" w:hAnsi="仿宋_GB2312" w:cs="仿宋_GB2312" w:eastAsia="仿宋_GB2312"/>
                <w:sz w:val="20"/>
              </w:rPr>
              <w:t>电力供应：提供稳定可靠的电力供应，满足活动期间所有设备（如照明、音响、视频、空调等）同时运行的电力需求，且配备足够容量的备用电源（如不间断电源</w:t>
            </w:r>
            <w:r>
              <w:rPr>
                <w:rFonts w:ascii="仿宋_GB2312" w:hAnsi="仿宋_GB2312" w:cs="仿宋_GB2312" w:eastAsia="仿宋_GB2312"/>
                <w:sz w:val="20"/>
              </w:rPr>
              <w:t>UPS 或应急发电机），确保在市电故障时能在规定时间 30 秒 内无缝切换，保障活动关键环节不受影响。明确各区域电力接口位置及负荷标准，方便设备接入。</w:t>
            </w:r>
          </w:p>
          <w:p>
            <w:pPr>
              <w:pStyle w:val="null3"/>
              <w:ind w:firstLine="608"/>
              <w:jc w:val="both"/>
            </w:pPr>
            <w:r>
              <w:rPr>
                <w:rFonts w:ascii="仿宋_GB2312" w:hAnsi="仿宋_GB2312" w:cs="仿宋_GB2312" w:eastAsia="仿宋_GB2312"/>
                <w:sz w:val="20"/>
              </w:rPr>
              <w:t>照明系统：全场采用节能、无频闪的照明设备，亮度可根据不同活动场景进行调节，满足会议、演讲、展示等场景对照明的不同需求。在重要区域（如主席台、展示区等）设置重点照明，突出关键部位。</w:t>
            </w:r>
          </w:p>
          <w:p>
            <w:pPr>
              <w:pStyle w:val="null3"/>
              <w:ind w:firstLine="608"/>
              <w:jc w:val="both"/>
            </w:pPr>
            <w:r>
              <w:rPr>
                <w:rFonts w:ascii="仿宋_GB2312" w:hAnsi="仿宋_GB2312" w:cs="仿宋_GB2312" w:eastAsia="仿宋_GB2312"/>
                <w:sz w:val="20"/>
              </w:rPr>
              <w:t>2.</w:t>
            </w:r>
            <w:r>
              <w:rPr>
                <w:rFonts w:ascii="仿宋_GB2312" w:hAnsi="仿宋_GB2312" w:cs="仿宋_GB2312" w:eastAsia="仿宋_GB2312"/>
                <w:sz w:val="20"/>
              </w:rPr>
              <w:t>空调通风：具备高效的中央空调系统，能够精确控制室内温度、湿度，保持空气清新。在活动期间，室内温度控制在</w:t>
            </w:r>
            <w:r>
              <w:rPr>
                <w:rFonts w:ascii="仿宋_GB2312" w:hAnsi="仿宋_GB2312" w:cs="仿宋_GB2312" w:eastAsia="仿宋_GB2312"/>
                <w:sz w:val="20"/>
              </w:rPr>
              <w:t>24℃ - 26℃，湿度控制在 如 40% - 60%。通风系统应确保新风量充足，避免空气污浊。</w:t>
            </w:r>
          </w:p>
          <w:p>
            <w:pPr>
              <w:pStyle w:val="null3"/>
              <w:ind w:firstLine="608"/>
              <w:jc w:val="both"/>
            </w:pPr>
            <w:r>
              <w:rPr>
                <w:rFonts w:ascii="仿宋_GB2312" w:hAnsi="仿宋_GB2312" w:cs="仿宋_GB2312" w:eastAsia="仿宋_GB2312"/>
                <w:sz w:val="20"/>
              </w:rPr>
              <w:t>给排水：卫生间及餐饮区等区域的给排水系统运行良好，水压稳定，水质符合国家卫生标准。卫生间应配备足够数量的洗手盆、马桶，排水通畅，无异味。餐饮区需满足餐饮加工、清洗餐具等用水需求，且排水具备隔油等处理设施。</w:t>
            </w:r>
          </w:p>
          <w:p>
            <w:pPr>
              <w:pStyle w:val="null3"/>
              <w:ind w:firstLine="608"/>
              <w:jc w:val="both"/>
            </w:pPr>
            <w:r>
              <w:rPr>
                <w:rFonts w:ascii="仿宋_GB2312" w:hAnsi="仿宋_GB2312" w:cs="仿宋_GB2312" w:eastAsia="仿宋_GB2312"/>
                <w:sz w:val="20"/>
              </w:rPr>
              <w:t>会议系统：</w:t>
            </w:r>
          </w:p>
          <w:p>
            <w:pPr>
              <w:pStyle w:val="null3"/>
              <w:ind w:firstLine="608"/>
              <w:jc w:val="both"/>
            </w:pPr>
            <w:r>
              <w:rPr>
                <w:rFonts w:ascii="仿宋_GB2312" w:hAnsi="仿宋_GB2312" w:cs="仿宋_GB2312" w:eastAsia="仿宋_GB2312"/>
                <w:sz w:val="20"/>
              </w:rPr>
              <w:t>音响设备：主会场及各分会场配备专业级音响系统，包括多组音箱（确保声音覆盖均匀，无死角）</w:t>
            </w:r>
            <w:r>
              <w:rPr>
                <w:rFonts w:ascii="仿宋_GB2312" w:hAnsi="仿宋_GB2312" w:cs="仿宋_GB2312" w:eastAsia="仿宋_GB2312"/>
                <w:sz w:val="20"/>
              </w:rPr>
              <w:t>，</w:t>
            </w:r>
            <w:r>
              <w:rPr>
                <w:rFonts w:ascii="仿宋_GB2312" w:hAnsi="仿宋_GB2312" w:cs="仿宋_GB2312" w:eastAsia="仿宋_GB2312"/>
                <w:sz w:val="20"/>
              </w:rPr>
              <w:t>具备良好的音质效果，声音清晰、无杂音、无啸叫，能够满足大型会议、演讲、文艺表演等不同场景的扩声需求。</w:t>
            </w:r>
          </w:p>
          <w:p>
            <w:pPr>
              <w:pStyle w:val="null3"/>
              <w:ind w:firstLine="608"/>
              <w:jc w:val="both"/>
            </w:pPr>
            <w:r>
              <w:rPr>
                <w:rFonts w:ascii="仿宋_GB2312" w:hAnsi="仿宋_GB2312" w:cs="仿宋_GB2312" w:eastAsia="仿宋_GB2312"/>
                <w:sz w:val="20"/>
              </w:rPr>
              <w:t>视频设备：</w:t>
            </w:r>
            <w:r>
              <w:rPr>
                <w:rFonts w:ascii="仿宋_GB2312" w:hAnsi="仿宋_GB2312" w:cs="仿宋_GB2312" w:eastAsia="仿宋_GB2312"/>
                <w:sz w:val="20"/>
              </w:rPr>
              <w:t>分</w:t>
            </w:r>
            <w:r>
              <w:rPr>
                <w:rFonts w:ascii="仿宋_GB2312" w:hAnsi="仿宋_GB2312" w:cs="仿宋_GB2312" w:eastAsia="仿宋_GB2312"/>
                <w:sz w:val="20"/>
              </w:rPr>
              <w:t>会场设置大屏幕投影系统，显示屏面积不小于</w:t>
            </w:r>
            <w:r>
              <w:rPr>
                <w:rFonts w:ascii="仿宋_GB2312" w:hAnsi="仿宋_GB2312" w:cs="仿宋_GB2312" w:eastAsia="仿宋_GB2312"/>
                <w:sz w:val="20"/>
              </w:rPr>
              <w:t>10</w:t>
            </w:r>
            <w:r>
              <w:rPr>
                <w:rFonts w:ascii="仿宋_GB2312" w:hAnsi="仿宋_GB2312" w:cs="仿宋_GB2312" w:eastAsia="仿宋_GB2312"/>
                <w:sz w:val="20"/>
              </w:rPr>
              <w:t>平方米，画面清晰、色彩鲜艳，可用于播放活动背景视频、演示文稿、实时画面等。分会场同样配备合适尺寸的高清显示设备。</w:t>
            </w:r>
          </w:p>
          <w:p>
            <w:pPr>
              <w:pStyle w:val="null3"/>
              <w:ind w:firstLine="608"/>
              <w:jc w:val="both"/>
            </w:pPr>
            <w:r>
              <w:rPr>
                <w:rFonts w:ascii="仿宋_GB2312" w:hAnsi="仿宋_GB2312" w:cs="仿宋_GB2312" w:eastAsia="仿宋_GB2312"/>
                <w:sz w:val="20"/>
              </w:rPr>
              <w:t>网络通讯：</w:t>
            </w:r>
          </w:p>
          <w:p>
            <w:pPr>
              <w:pStyle w:val="null3"/>
              <w:ind w:firstLine="608"/>
              <w:jc w:val="both"/>
            </w:pPr>
            <w:r>
              <w:rPr>
                <w:rFonts w:ascii="仿宋_GB2312" w:hAnsi="仿宋_GB2312" w:cs="仿宋_GB2312" w:eastAsia="仿宋_GB2312"/>
                <w:sz w:val="20"/>
              </w:rPr>
              <w:t>有线网络：全场覆盖高速有线网络，网络带宽不低于</w:t>
            </w:r>
            <w:r>
              <w:rPr>
                <w:rFonts w:ascii="仿宋_GB2312" w:hAnsi="仿宋_GB2312" w:cs="仿宋_GB2312" w:eastAsia="仿宋_GB2312"/>
                <w:sz w:val="20"/>
              </w:rPr>
              <w:t>30</w:t>
            </w:r>
            <w:r>
              <w:rPr>
                <w:rFonts w:ascii="仿宋_GB2312" w:hAnsi="仿宋_GB2312" w:cs="仿宋_GB2312" w:eastAsia="仿宋_GB2312"/>
                <w:sz w:val="20"/>
              </w:rPr>
              <w:t xml:space="preserve"> </w:t>
            </w:r>
            <w:r>
              <w:rPr>
                <w:rFonts w:ascii="仿宋_GB2312" w:hAnsi="仿宋_GB2312" w:cs="仿宋_GB2312" w:eastAsia="仿宋_GB2312"/>
                <w:sz w:val="20"/>
              </w:rPr>
              <w:t>Mbps，为活动期间的办公、数据传输、视频会议等提供稳定的网络支持。在各功能区域设置足够数量的网络接口，方便设备接入。</w:t>
            </w:r>
          </w:p>
          <w:p>
            <w:pPr>
              <w:pStyle w:val="null3"/>
              <w:ind w:firstLine="608"/>
              <w:jc w:val="both"/>
            </w:pPr>
            <w:r>
              <w:rPr>
                <w:rFonts w:ascii="仿宋_GB2312" w:hAnsi="仿宋_GB2312" w:cs="仿宋_GB2312" w:eastAsia="仿宋_GB2312"/>
                <w:sz w:val="20"/>
              </w:rPr>
              <w:t>无线网络：提供高性能的无线网络覆盖，支持</w:t>
            </w:r>
            <w:r>
              <w:rPr>
                <w:rFonts w:ascii="仿宋_GB2312" w:hAnsi="仿宋_GB2312" w:cs="仿宋_GB2312" w:eastAsia="仿宋_GB2312"/>
                <w:sz w:val="20"/>
              </w:rPr>
              <w:t>[预计同时接入设备数量] 个以上</w:t>
            </w:r>
            <w:r>
              <w:rPr>
                <w:rFonts w:ascii="仿宋_GB2312" w:hAnsi="仿宋_GB2312" w:cs="仿宋_GB2312" w:eastAsia="仿宋_GB2312"/>
                <w:sz w:val="20"/>
              </w:rPr>
              <w:t>多个</w:t>
            </w:r>
            <w:r>
              <w:rPr>
                <w:rFonts w:ascii="仿宋_GB2312" w:hAnsi="仿宋_GB2312" w:cs="仿宋_GB2312" w:eastAsia="仿宋_GB2312"/>
                <w:sz w:val="20"/>
              </w:rPr>
              <w:t>无线终端同时稳定连接，网络信号强度均匀，无明显信号死角。</w:t>
            </w:r>
          </w:p>
          <w:p>
            <w:pPr>
              <w:pStyle w:val="null3"/>
              <w:ind w:firstLine="608"/>
              <w:jc w:val="both"/>
            </w:pPr>
            <w:r>
              <w:rPr>
                <w:rFonts w:ascii="仿宋_GB2312" w:hAnsi="仿宋_GB2312" w:cs="仿宋_GB2312" w:eastAsia="仿宋_GB2312"/>
                <w:sz w:val="20"/>
              </w:rPr>
              <w:t>四、服务保障要求</w:t>
            </w:r>
          </w:p>
          <w:p>
            <w:pPr>
              <w:pStyle w:val="null3"/>
              <w:ind w:firstLine="608"/>
              <w:jc w:val="both"/>
            </w:pPr>
            <w:r>
              <w:rPr>
                <w:rFonts w:ascii="仿宋_GB2312" w:hAnsi="仿宋_GB2312" w:cs="仿宋_GB2312" w:eastAsia="仿宋_GB2312"/>
                <w:sz w:val="20"/>
              </w:rPr>
              <w:t>场地布置协助：供应商需配合采购单位及活动执行团队进行场地布置工作，提供场地的详细</w:t>
            </w:r>
            <w:r>
              <w:rPr>
                <w:rFonts w:ascii="仿宋_GB2312" w:hAnsi="仿宋_GB2312" w:cs="仿宋_GB2312" w:eastAsia="仿宋_GB2312"/>
                <w:sz w:val="20"/>
              </w:rPr>
              <w:t>CAD 图纸及相关技术参数，协助制定合理的场地布置方案。允许活动执行方按照安全规范进行场地搭建、装饰等工作，提供必要的场地施工许可及协调服务，确保施工过程顺利进行。</w:t>
            </w:r>
          </w:p>
          <w:p>
            <w:pPr>
              <w:pStyle w:val="null3"/>
              <w:ind w:firstLine="608"/>
              <w:jc w:val="both"/>
            </w:pPr>
            <w:r>
              <w:rPr>
                <w:rFonts w:ascii="仿宋_GB2312" w:hAnsi="仿宋_GB2312" w:cs="仿宋_GB2312" w:eastAsia="仿宋_GB2312"/>
                <w:sz w:val="20"/>
              </w:rPr>
              <w:t>人员服务：</w:t>
            </w:r>
          </w:p>
          <w:p>
            <w:pPr>
              <w:pStyle w:val="null3"/>
              <w:ind w:firstLine="608"/>
              <w:jc w:val="both"/>
            </w:pPr>
            <w:r>
              <w:rPr>
                <w:rFonts w:ascii="仿宋_GB2312" w:hAnsi="仿宋_GB2312" w:cs="仿宋_GB2312" w:eastAsia="仿宋_GB2312"/>
                <w:sz w:val="20"/>
              </w:rPr>
              <w:t>活动期间服务人员配备：</w:t>
            </w:r>
          </w:p>
          <w:p>
            <w:pPr>
              <w:pStyle w:val="null3"/>
              <w:ind w:firstLine="608"/>
              <w:jc w:val="both"/>
            </w:pPr>
            <w:r>
              <w:rPr>
                <w:rFonts w:ascii="仿宋_GB2312" w:hAnsi="仿宋_GB2312" w:cs="仿宋_GB2312" w:eastAsia="仿宋_GB2312"/>
                <w:sz w:val="20"/>
              </w:rPr>
              <w:t>引导员：在场地入口、主要通道、各功能区域入口等位置安排专业引导员，人数不少于</w:t>
            </w:r>
            <w:r>
              <w:rPr>
                <w:rFonts w:ascii="仿宋_GB2312" w:hAnsi="仿宋_GB2312" w:cs="仿宋_GB2312" w:eastAsia="仿宋_GB2312"/>
                <w:sz w:val="20"/>
              </w:rPr>
              <w:t>每层</w:t>
            </w:r>
            <w:r>
              <w:rPr>
                <w:rFonts w:ascii="仿宋_GB2312" w:hAnsi="仿宋_GB2312" w:cs="仿宋_GB2312" w:eastAsia="仿宋_GB2312"/>
                <w:sz w:val="20"/>
              </w:rPr>
              <w:t>2</w:t>
            </w:r>
            <w:r>
              <w:rPr>
                <w:rFonts w:ascii="仿宋_GB2312" w:hAnsi="仿宋_GB2312" w:cs="仿宋_GB2312" w:eastAsia="仿宋_GB2312"/>
                <w:sz w:val="20"/>
              </w:rPr>
              <w:t>人，负责引导人员有序流动，确保活动现场秩序井然。引导员需形象良好、具备基本外语沟通能力（如英语），熟悉活动流程和场地布局。</w:t>
            </w:r>
          </w:p>
          <w:p>
            <w:pPr>
              <w:pStyle w:val="null3"/>
              <w:ind w:firstLine="608"/>
              <w:jc w:val="both"/>
            </w:pPr>
            <w:r>
              <w:rPr>
                <w:rFonts w:ascii="仿宋_GB2312" w:hAnsi="仿宋_GB2312" w:cs="仿宋_GB2312" w:eastAsia="仿宋_GB2312"/>
                <w:sz w:val="20"/>
              </w:rPr>
              <w:t>设备操作员：配备专业的音响、视频、灯光等设备操作员，确保活动期间设备正常运行，根据活动进程及时调整设备参数。设备操作员人数根据设备复杂程度和活动需求确定，不少于</w:t>
            </w:r>
            <w:r>
              <w:rPr>
                <w:rFonts w:ascii="仿宋_GB2312" w:hAnsi="仿宋_GB2312" w:cs="仿宋_GB2312" w:eastAsia="仿宋_GB2312"/>
                <w:sz w:val="20"/>
              </w:rPr>
              <w:t>1</w:t>
            </w:r>
            <w:r>
              <w:rPr>
                <w:rFonts w:ascii="仿宋_GB2312" w:hAnsi="仿宋_GB2312" w:cs="仿宋_GB2312" w:eastAsia="仿宋_GB2312"/>
                <w:sz w:val="20"/>
              </w:rPr>
              <w:t>人，且均需具备相关设备操作资质和丰富的活动保障经验。</w:t>
            </w:r>
          </w:p>
          <w:p>
            <w:pPr>
              <w:pStyle w:val="null3"/>
              <w:ind w:firstLine="608"/>
              <w:jc w:val="both"/>
            </w:pPr>
            <w:r>
              <w:rPr>
                <w:rFonts w:ascii="仿宋_GB2312" w:hAnsi="仿宋_GB2312" w:cs="仿宋_GB2312" w:eastAsia="仿宋_GB2312"/>
                <w:sz w:val="20"/>
              </w:rPr>
              <w:t>保洁员：活动期间安排足够数量的保洁员，不少于</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人，负责场地内公共区域及卫生间的卫生清洁工作，保持场地环境整洁。保洁员需定时进行清扫，及时清理垃圾，确保卫生间无异味、设施干净整洁。</w:t>
            </w:r>
          </w:p>
          <w:p>
            <w:pPr>
              <w:pStyle w:val="null3"/>
              <w:ind w:firstLine="608"/>
              <w:jc w:val="both"/>
            </w:pPr>
            <w:r>
              <w:rPr>
                <w:rFonts w:ascii="仿宋_GB2312" w:hAnsi="仿宋_GB2312" w:cs="仿宋_GB2312" w:eastAsia="仿宋_GB2312"/>
                <w:sz w:val="20"/>
              </w:rPr>
              <w:t>安保人员：配备专业安保团队，安保人员不少于</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人，负责活动现场的安全保卫工作。安保人员需经过专业培训，具备良好的安全意识和应急处理能力，在场地入口、重要区域设置安检点，对人员和物品进行安全检查，活动期间进行不间断巡逻，确保活动现场安全。</w:t>
            </w:r>
          </w:p>
          <w:p>
            <w:pPr>
              <w:pStyle w:val="null3"/>
              <w:ind w:firstLine="608"/>
              <w:jc w:val="both"/>
            </w:pPr>
            <w:r>
              <w:rPr>
                <w:rFonts w:ascii="仿宋_GB2312" w:hAnsi="仿宋_GB2312" w:cs="仿宋_GB2312" w:eastAsia="仿宋_GB2312"/>
                <w:sz w:val="20"/>
              </w:rPr>
              <w:t>人员培训及管理：供应商应对所有服务人员进行活动前培训，使其熟悉活动流程、场地布局、服务规范及应急处理预案等内容。活动期间，供应商需对服务人员进行有效管理，确保服务人员按时到岗、尽职尽责，服务态度热情、专业。</w:t>
            </w:r>
          </w:p>
          <w:p>
            <w:pPr>
              <w:pStyle w:val="null3"/>
              <w:ind w:firstLine="608"/>
              <w:jc w:val="both"/>
            </w:pPr>
            <w:r>
              <w:rPr>
                <w:rFonts w:ascii="仿宋_GB2312" w:hAnsi="仿宋_GB2312" w:cs="仿宋_GB2312" w:eastAsia="仿宋_GB2312"/>
                <w:sz w:val="20"/>
              </w:rPr>
              <w:t>安全保障：</w:t>
            </w:r>
          </w:p>
          <w:p>
            <w:pPr>
              <w:pStyle w:val="null3"/>
              <w:ind w:firstLine="608"/>
              <w:jc w:val="both"/>
            </w:pPr>
            <w:r>
              <w:rPr>
                <w:rFonts w:ascii="仿宋_GB2312" w:hAnsi="仿宋_GB2312" w:cs="仿宋_GB2312" w:eastAsia="仿宋_GB2312"/>
                <w:sz w:val="20"/>
              </w:rPr>
              <w:t>消防安全：场地内消防设施齐全且完好有效，包括火灾自动报警系统、消火栓系统、灭火器、应急照明和疏散指示标志等，定期进行维护保养和检测，确保在紧急情况下能正常使用。消防通道保持畅通无阻，不得堆放任何杂物。制定完善的消防安全预案，并在活动前组织消防演练，确保相关人员熟悉消防流程和应急疏散路线。</w:t>
            </w:r>
          </w:p>
          <w:p>
            <w:pPr>
              <w:pStyle w:val="null3"/>
              <w:ind w:firstLine="608"/>
              <w:jc w:val="both"/>
            </w:pPr>
            <w:r>
              <w:rPr>
                <w:rFonts w:ascii="仿宋_GB2312" w:hAnsi="仿宋_GB2312" w:cs="仿宋_GB2312" w:eastAsia="仿宋_GB2312"/>
                <w:sz w:val="20"/>
              </w:rPr>
              <w:t>设施安全：活动前对场地内所有设施设备进行全面安全检查，包括建筑物结构、电气设备、电梯、各类活动设施等，确保设施设备运行安全可靠。在活动期间，安排专人对设施设备进行巡查，及时发现并处理安全隐患。对可能存在安全风险的区域设置明显的警示标识。</w:t>
            </w:r>
          </w:p>
          <w:p>
            <w:pPr>
              <w:pStyle w:val="null3"/>
              <w:ind w:firstLine="608"/>
              <w:jc w:val="both"/>
            </w:pPr>
            <w:r>
              <w:rPr>
                <w:rFonts w:ascii="仿宋_GB2312" w:hAnsi="仿宋_GB2312" w:cs="仿宋_GB2312" w:eastAsia="仿宋_GB2312"/>
                <w:sz w:val="20"/>
              </w:rPr>
              <w:t>应急</w:t>
            </w:r>
            <w:r>
              <w:rPr>
                <w:rFonts w:ascii="仿宋_GB2312" w:hAnsi="仿宋_GB2312" w:cs="仿宋_GB2312" w:eastAsia="仿宋_GB2312"/>
                <w:sz w:val="20"/>
              </w:rPr>
              <w:t>预案</w:t>
            </w:r>
            <w:r>
              <w:rPr>
                <w:rFonts w:ascii="仿宋_GB2312" w:hAnsi="仿宋_GB2312" w:cs="仿宋_GB2312" w:eastAsia="仿宋_GB2312"/>
                <w:sz w:val="20"/>
              </w:rPr>
              <w:t>：制定详细的应急处理预案，针对可能出现的突发情况（如设备故障、电力中断、恶劣天气、人员突发疾病等）制定相应的应对措施，并明确各部门及人员的职责。成立应急处理小组，配备必要的应急物资和设备，确保在突发情况发生时能够迅速响应、有效处理，将损失和影响降到最低。</w:t>
            </w:r>
          </w:p>
          <w:p>
            <w:pPr>
              <w:pStyle w:val="null3"/>
              <w:ind w:firstLine="608"/>
              <w:jc w:val="both"/>
            </w:pPr>
            <w:r>
              <w:rPr>
                <w:rFonts w:ascii="仿宋_GB2312" w:hAnsi="仿宋_GB2312" w:cs="仿宋_GB2312" w:eastAsia="仿宋_GB2312"/>
                <w:sz w:val="20"/>
              </w:rPr>
              <w:t>卫生防疫：活动前对场地进行全面清洁和消毒，特别是公共区域、卫生间、电梯按钮等高频接触部位。活动期间，加强卫生防疫工作，增加消毒频次，保持场地通风良好。在场地入口、卫生间等位置配备充足的洗手液、消毒湿巾等防疫物资。若活动期间遇到传染病疫情等特殊情况，能够按照相关卫生防疫要求及时采取有效的防控措施。</w:t>
            </w:r>
          </w:p>
          <w:p>
            <w:pPr>
              <w:pStyle w:val="null3"/>
              <w:ind w:firstLine="608"/>
              <w:jc w:val="both"/>
            </w:pPr>
            <w:r>
              <w:rPr>
                <w:rFonts w:ascii="仿宋_GB2312" w:hAnsi="仿宋_GB2312" w:cs="仿宋_GB2312" w:eastAsia="仿宋_GB2312"/>
                <w:sz w:val="20"/>
              </w:rPr>
              <w:t>五</w:t>
            </w:r>
            <w:r>
              <w:rPr>
                <w:rFonts w:ascii="仿宋_GB2312" w:hAnsi="仿宋_GB2312" w:cs="仿宋_GB2312" w:eastAsia="仿宋_GB2312"/>
                <w:sz w:val="20"/>
              </w:rPr>
              <w:t>、其他要求</w:t>
            </w:r>
          </w:p>
          <w:p>
            <w:pPr>
              <w:pStyle w:val="null3"/>
              <w:ind w:firstLine="608"/>
              <w:jc w:val="both"/>
            </w:pPr>
            <w:r>
              <w:rPr>
                <w:rFonts w:ascii="仿宋_GB2312" w:hAnsi="仿宋_GB2312" w:cs="仿宋_GB2312" w:eastAsia="仿宋_GB2312"/>
                <w:sz w:val="20"/>
              </w:rPr>
              <w:t>保密条款：供应商应对活动期间所接触到的采购单位及活动相关的敏感信息、文件资料、参会人员信息等严格保密，不得向任何第三方泄露。保密期限自合同签订之日起至活动结束后</w:t>
            </w:r>
            <w:r>
              <w:rPr>
                <w:rFonts w:ascii="仿宋_GB2312" w:hAnsi="仿宋_GB2312" w:cs="仿宋_GB2312" w:eastAsia="仿宋_GB2312"/>
                <w:sz w:val="20"/>
              </w:rPr>
              <w:t>1 年。在合同中应明确保密责任和违约处理措施，若供应商违反保密条款，应承担相应的法律责任和经济赔偿。</w:t>
            </w:r>
          </w:p>
          <w:p>
            <w:pPr>
              <w:pStyle w:val="null3"/>
              <w:ind w:firstLine="608"/>
              <w:jc w:val="both"/>
            </w:pPr>
            <w:r>
              <w:rPr>
                <w:rFonts w:ascii="仿宋_GB2312" w:hAnsi="仿宋_GB2312" w:cs="仿宋_GB2312" w:eastAsia="仿宋_GB2312"/>
                <w:sz w:val="20"/>
              </w:rPr>
              <w:t>违约责任：若供应商未按照合同约定提供场地、设施设备或服务，导致活动受到影响或无法正常进行，供应商应承担相应的违约责任，包括但不限于退还已支付的款项、赔偿采购单位因此遭受的直接经济损失、按照合同总金额的一定比例支付违约金等。若采购单位未按照合同约定支付款项，也应承担相应的违约责任，按照逾期金额和逾期时间支付一定比例的滞纳金。具体违约责任在合同中应详细明确。</w:t>
            </w:r>
          </w:p>
          <w:p>
            <w:pPr>
              <w:pStyle w:val="null3"/>
              <w:jc w:val="both"/>
            </w:pPr>
            <w:r>
              <w:rPr>
                <w:rFonts w:ascii="仿宋_GB2312" w:hAnsi="仿宋_GB2312" w:cs="仿宋_GB2312" w:eastAsia="仿宋_GB2312"/>
                <w:sz w:val="20"/>
              </w:rPr>
              <w:t>争议解决：在合同履行过程中，若双方发生争议，应首先通过友好协商解决；协商不成的，任何一方均可向有管辖权的人民法院提起诉讼。在争议解决期间，除争议事项外，双方应继续履行合同其他条款。</w:t>
            </w:r>
            <w:r>
              <w:rPr>
                <w:rFonts w:ascii="仿宋_GB2312" w:hAnsi="仿宋_GB2312" w:cs="仿宋_GB2312" w:eastAsia="仿宋_GB2312"/>
                <w:sz w:val="21"/>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服务期：活动使用期：从 2025年10月16日至17日，共计2天，确保活动期间场地的不间断使用。 搭建及撤场期：布展期为2025年10月13至 15日，共计 3天，以便活动筹备团队有充足时间进行场地布置、设备安装调试等工作；撤展期为 2025年10月18日，共计 1 天，用于清理场地、拆除搭建物等，恢复场地原状。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双方签订本合同后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（1）合同文本；（2）响应文件及澄清函、单一来源采购文件；（3）国家和行业制定的相应的标准和规范。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未按条约定支付费用的，每逾期一天，以应付未付款项为基数，按照中国人民银行授权全国银行同业拆借中心发布的一年期贷款市场报价利率向乙方支付违约金；此种情况下，乙方还有在乙方逾期付款后30日权选择解除本合同，乙方选择解除本合同的，甲方按照乙方实际提供的服务支付对应服务费。在合同解除通知送达甲方后，乙方有权为减低损失而将活动场地转给第三方使用，获得之权益与乙方无关。 2.甲方有下述行为之一的，有权与乙方协商书面确认解除本合同并按照实际损失主张赔偿： 2.1违反本合同约定，擅自变更使用区域的使用目的、用途、活动名称。 2.2未经乙方书面同意，擅自转租场馆或场地。 2.3违反本合同第二条约定导致合同不能继续履行的。 2.4 开展违反国家法律法规的活动，违反乙方规章制度以及本合同约定的其他情形。 3.若乙方违反本合同约定，应当按照甲方的实际损失进行赔偿。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递交投标文件截止时间不足一年的可提供成立后任意时段的资产负债表），或递交投标文件截止时间前六个月内基本账户开户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时间前一年内至少一个月已缴纳的社会保障资金的证明（社会保障资金缴存单据或社保机构开具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时间前一年内至少一个月的纳税证明或完税证明，纳税证明或完税证明上应有代收机构或税务机关的公章或业务专用章；其他组织和自然人提供投标文件截止时间前一年内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2024年度经审计的财务报告（成立时间至递交投标文件截止时间不足一年的可提供成立后任意时段的资产负债表），或递交投标文件截止时间前六个月内基本账户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投标供应商参加政府采购活动前三年内在经营活动中没有重大违法记录的书面声明；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法定代表人（单位负责人）身份证明书或法定代表人（单位负责人）授权委托书</w:t>
            </w:r>
          </w:p>
        </w:tc>
        <w:tc>
          <w:tcPr>
            <w:tcW w:type="dxa" w:w="3322"/>
          </w:tcPr>
          <w:p>
            <w:pPr>
              <w:pStyle w:val="null3"/>
            </w:pPr>
            <w:r>
              <w:rPr>
                <w:rFonts w:ascii="仿宋_GB2312" w:hAnsi="仿宋_GB2312" w:cs="仿宋_GB2312" w:eastAsia="仿宋_GB2312"/>
              </w:rPr>
              <w:t>法定代表人（单位负责人）身份证明书或法定代表人（单位负责人）授权委托书：非法定代表人（单位负责人）参加投标的，须提供法定代表人（单位负责人）授权委托书及被授权人身份证；法定代表人（单位负责人）参加投标时，只须提供法定代表人（单位负责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采购代理机构通过“信用中国”网站(www.creditchina.gov.cn)、中国政府采购网(www.ccgp.gov.cn) 等查询相关主体信用记录；查询时间节点为公告发布之日起至本项目进行资格审核时。对列入失信被执行人、重大税收违法案件当事人名单、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由投标供应商自行出具具备履行合同所必需的设备和专业技术能力的承诺书；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是否联合体投标</w:t>
            </w:r>
          </w:p>
        </w:tc>
        <w:tc>
          <w:tcPr>
            <w:tcW w:type="dxa" w:w="3322"/>
          </w:tcPr>
          <w:p>
            <w:pPr>
              <w:pStyle w:val="null3"/>
            </w:pPr>
            <w:r>
              <w:rPr>
                <w:rFonts w:ascii="仿宋_GB2312" w:hAnsi="仿宋_GB2312" w:cs="仿宋_GB2312" w:eastAsia="仿宋_GB2312"/>
              </w:rPr>
              <w:t>本项目不接受联合体投标，投标供应商自行出具非联合体投标声明。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限制投标要求</w:t>
            </w:r>
          </w:p>
        </w:tc>
        <w:tc>
          <w:tcPr>
            <w:tcW w:type="dxa" w:w="3322"/>
          </w:tcPr>
          <w:p>
            <w:pPr>
              <w:pStyle w:val="null3"/>
            </w:pPr>
            <w:r>
              <w:rPr>
                <w:rFonts w:ascii="仿宋_GB2312" w:hAnsi="仿宋_GB2312" w:cs="仿宋_GB2312" w:eastAsia="仿宋_GB2312"/>
              </w:rPr>
              <w:t>投标供应商单位负责人为同一人或者存在直接控股、管理关系的不同供应商，不得参加同一项目或同一标段的政府采购活动。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响应文件按单一来源采购文件要求的签署、盖章</w:t>
            </w:r>
          </w:p>
        </w:tc>
        <w:tc>
          <w:tcPr>
            <w:tcW w:type="dxa" w:w="1661"/>
          </w:tcPr>
          <w:p>
            <w:pPr>
              <w:pStyle w:val="null3"/>
            </w:pPr>
            <w:r>
              <w:rPr>
                <w:rFonts w:ascii="仿宋_GB2312" w:hAnsi="仿宋_GB2312" w:cs="仿宋_GB2312" w:eastAsia="仿宋_GB2312"/>
              </w:rPr>
              <w:t>响应文件封面 报价一览表 服务内容及服务邀请应答表 分项报价表 中小企业声明函 残疾人福利性单位声明函 商务应答表 服务方案 供应商应提交的相关资格证明材料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