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7B519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tbl>
      <w:tblPr>
        <w:tblStyle w:val="11"/>
        <w:tblW w:w="793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95"/>
        <w:gridCol w:w="1061"/>
        <w:gridCol w:w="1010"/>
        <w:gridCol w:w="1010"/>
        <w:gridCol w:w="1010"/>
      </w:tblGrid>
      <w:tr w14:paraId="1F816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CC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7452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0F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EC8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C74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13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</w:tr>
      <w:tr w14:paraId="6213E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50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0730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6D5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933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8C0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3A6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02EDD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D6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6F81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BC7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A50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0F1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07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4FAAF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EF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DB39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6FC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36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47C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DA8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550C0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9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25BE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投标总价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45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</w:tbl>
    <w:p w14:paraId="4EA80168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注：投标人根据采购清单自行扩展表格；</w:t>
      </w:r>
    </w:p>
    <w:p w14:paraId="519BB128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903C5AF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E64ADD8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2640BDD6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 w14:paraId="13B89327"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</w:p>
    <w:p w14:paraId="29427B08">
      <w:pPr>
        <w:ind w:firstLine="420" w:firstLineChars="20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4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5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6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7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8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9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10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700B8"/>
    <w:rsid w:val="150700B8"/>
    <w:rsid w:val="312E5CD8"/>
    <w:rsid w:val="4B9A7A86"/>
    <w:rsid w:val="511770CE"/>
    <w:rsid w:val="5AD73E18"/>
    <w:rsid w:val="624C4A50"/>
    <w:rsid w:val="6613017B"/>
    <w:rsid w:val="66DF1098"/>
    <w:rsid w:val="75B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6">
    <w:name w:val="heading 3"/>
    <w:basedOn w:val="1"/>
    <w:next w:val="1"/>
    <w:link w:val="13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3">
    <w:name w:val="标题 3 字符"/>
    <w:link w:val="6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959</Words>
  <Characters>1249</Characters>
  <Lines>0</Lines>
  <Paragraphs>0</Paragraphs>
  <TotalTime>0</TotalTime>
  <ScaleCrop>false</ScaleCrop>
  <LinksUpToDate>false</LinksUpToDate>
  <CharactersWithSpaces>1249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2025-07-13T13:24:00Z</dcterms:created>
  <dc:creator>一个人看熊出没</dc:creator>
  <cp:lastModifiedBy>13622</cp:lastModifiedBy>
  <dcterms:modified xsi:type="dcterms:W3CDTF">2025-08-10T08:28:24Z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D7699DC0625448089C1FB537F3FCE9A2_11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